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334010</wp:posOffset>
            </wp:positionV>
            <wp:extent cx="728789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7895" cy="40640"/>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8-K</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July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133985</wp:posOffset>
            </wp:positionV>
            <wp:extent cx="1305560" cy="409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05560" cy="409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LivaNova PLC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25" w:lineRule="exact"/>
        <w:rPr>
          <w:sz w:val="24"/>
          <w:szCs w:val="24"/>
          <w:color w:val="auto"/>
        </w:rPr>
      </w:pPr>
    </w:p>
    <w:tbl>
      <w:tblPr>
        <w:tblLayout w:type="fixed"/>
        <w:tblInd w:w="960" w:type="dxa"/>
        <w:tblCellMar>
          <w:top w:w="0" w:type="dxa"/>
          <w:left w:w="0" w:type="dxa"/>
          <w:bottom w:w="0" w:type="dxa"/>
          <w:right w:w="0" w:type="dxa"/>
        </w:tblCellMar>
      </w:tblPr>
      <w:tr>
        <w:trPr>
          <w:trHeight w:val="195"/>
        </w:trPr>
        <w:tc>
          <w:tcPr>
            <w:tcW w:w="2200" w:type="dxa"/>
            <w:vAlign w:val="bottom"/>
          </w:tcPr>
          <w:p>
            <w:pPr>
              <w:jc w:val="center"/>
              <w:ind w:right="380"/>
              <w:spacing w:after="0"/>
              <w:rPr>
                <w:sz w:val="20"/>
                <w:szCs w:val="20"/>
                <w:color w:val="auto"/>
              </w:rPr>
            </w:pPr>
            <w:r>
              <w:rPr>
                <w:rFonts w:ascii="Arial" w:cs="Arial" w:eastAsia="Arial" w:hAnsi="Arial"/>
                <w:sz w:val="16"/>
                <w:szCs w:val="16"/>
                <w:b w:val="1"/>
                <w:bCs w:val="1"/>
                <w:color w:val="auto"/>
                <w:w w:val="88"/>
              </w:rPr>
              <w:t>England and Wales</w:t>
            </w:r>
          </w:p>
        </w:tc>
        <w:tc>
          <w:tcPr>
            <w:tcW w:w="5260" w:type="dxa"/>
            <w:vAlign w:val="bottom"/>
          </w:tcPr>
          <w:p>
            <w:pPr>
              <w:jc w:val="center"/>
              <w:ind w:right="60"/>
              <w:spacing w:after="0"/>
              <w:rPr>
                <w:sz w:val="20"/>
                <w:szCs w:val="20"/>
                <w:color w:val="auto"/>
              </w:rPr>
            </w:pPr>
            <w:r>
              <w:rPr>
                <w:rFonts w:ascii="Arial" w:cs="Arial" w:eastAsia="Arial" w:hAnsi="Arial"/>
                <w:sz w:val="16"/>
                <w:szCs w:val="16"/>
                <w:b w:val="1"/>
                <w:bCs w:val="1"/>
                <w:color w:val="auto"/>
                <w:w w:val="88"/>
              </w:rPr>
              <w:t>001-37599</w:t>
            </w:r>
          </w:p>
        </w:tc>
        <w:tc>
          <w:tcPr>
            <w:tcW w:w="1780" w:type="dxa"/>
            <w:vAlign w:val="bottom"/>
          </w:tcPr>
          <w:p>
            <w:pPr>
              <w:jc w:val="center"/>
              <w:ind w:left="500"/>
              <w:spacing w:after="0"/>
              <w:rPr>
                <w:sz w:val="20"/>
                <w:szCs w:val="20"/>
                <w:color w:val="auto"/>
              </w:rPr>
            </w:pPr>
            <w:r>
              <w:rPr>
                <w:rFonts w:ascii="Arial" w:cs="Arial" w:eastAsia="Arial" w:hAnsi="Arial"/>
                <w:sz w:val="16"/>
                <w:szCs w:val="16"/>
                <w:b w:val="1"/>
                <w:bCs w:val="1"/>
                <w:color w:val="auto"/>
                <w:w w:val="88"/>
              </w:rPr>
              <w:t>98-1268150</w:t>
            </w:r>
          </w:p>
        </w:tc>
      </w:tr>
      <w:tr>
        <w:trPr>
          <w:trHeight w:val="191"/>
        </w:trPr>
        <w:tc>
          <w:tcPr>
            <w:tcW w:w="2200" w:type="dxa"/>
            <w:vAlign w:val="bottom"/>
          </w:tcPr>
          <w:p>
            <w:pPr>
              <w:jc w:val="center"/>
              <w:ind w:right="380"/>
              <w:spacing w:after="0"/>
              <w:rPr>
                <w:sz w:val="20"/>
                <w:szCs w:val="20"/>
                <w:color w:val="auto"/>
              </w:rPr>
            </w:pPr>
            <w:r>
              <w:rPr>
                <w:rFonts w:ascii="Arial" w:cs="Arial" w:eastAsia="Arial" w:hAnsi="Arial"/>
                <w:sz w:val="16"/>
                <w:szCs w:val="16"/>
                <w:color w:val="auto"/>
                <w:w w:val="91"/>
              </w:rPr>
              <w:t>(State or Other Jurisdiction</w:t>
            </w:r>
          </w:p>
        </w:tc>
        <w:tc>
          <w:tcPr>
            <w:tcW w:w="5260" w:type="dxa"/>
            <w:vAlign w:val="bottom"/>
          </w:tcPr>
          <w:p>
            <w:pPr>
              <w:jc w:val="center"/>
              <w:ind w:right="60"/>
              <w:spacing w:after="0"/>
              <w:rPr>
                <w:sz w:val="20"/>
                <w:szCs w:val="20"/>
                <w:color w:val="auto"/>
              </w:rPr>
            </w:pPr>
            <w:r>
              <w:rPr>
                <w:rFonts w:ascii="Arial" w:cs="Arial" w:eastAsia="Arial" w:hAnsi="Arial"/>
                <w:sz w:val="16"/>
                <w:szCs w:val="16"/>
                <w:color w:val="auto"/>
                <w:w w:val="89"/>
              </w:rPr>
              <w:t>(Commission</w:t>
            </w:r>
          </w:p>
        </w:tc>
        <w:tc>
          <w:tcPr>
            <w:tcW w:w="1780" w:type="dxa"/>
            <w:vAlign w:val="bottom"/>
          </w:tcPr>
          <w:p>
            <w:pPr>
              <w:jc w:val="center"/>
              <w:ind w:left="500"/>
              <w:spacing w:after="0"/>
              <w:rPr>
                <w:sz w:val="20"/>
                <w:szCs w:val="20"/>
                <w:color w:val="auto"/>
              </w:rPr>
            </w:pPr>
            <w:r>
              <w:rPr>
                <w:rFonts w:ascii="Arial" w:cs="Arial" w:eastAsia="Arial" w:hAnsi="Arial"/>
                <w:sz w:val="16"/>
                <w:szCs w:val="16"/>
                <w:color w:val="auto"/>
                <w:w w:val="92"/>
              </w:rPr>
              <w:t>(IRS Employer</w:t>
            </w:r>
          </w:p>
        </w:tc>
      </w:tr>
      <w:tr>
        <w:trPr>
          <w:trHeight w:val="204"/>
        </w:trPr>
        <w:tc>
          <w:tcPr>
            <w:tcW w:w="2200" w:type="dxa"/>
            <w:vAlign w:val="bottom"/>
          </w:tcPr>
          <w:p>
            <w:pPr>
              <w:jc w:val="center"/>
              <w:ind w:right="340"/>
              <w:spacing w:after="0"/>
              <w:rPr>
                <w:sz w:val="20"/>
                <w:szCs w:val="20"/>
                <w:color w:val="auto"/>
              </w:rPr>
            </w:pPr>
            <w:r>
              <w:rPr>
                <w:rFonts w:ascii="Arial" w:cs="Arial" w:eastAsia="Arial" w:hAnsi="Arial"/>
                <w:sz w:val="16"/>
                <w:szCs w:val="16"/>
                <w:color w:val="auto"/>
                <w:w w:val="94"/>
              </w:rPr>
              <w:t>of Incorporation)</w:t>
            </w:r>
          </w:p>
        </w:tc>
        <w:tc>
          <w:tcPr>
            <w:tcW w:w="5260" w:type="dxa"/>
            <w:vAlign w:val="bottom"/>
          </w:tcPr>
          <w:p>
            <w:pPr>
              <w:jc w:val="center"/>
              <w:ind w:right="60"/>
              <w:spacing w:after="0"/>
              <w:rPr>
                <w:sz w:val="20"/>
                <w:szCs w:val="20"/>
                <w:color w:val="auto"/>
              </w:rPr>
            </w:pPr>
            <w:r>
              <w:rPr>
                <w:rFonts w:ascii="Arial" w:cs="Arial" w:eastAsia="Arial" w:hAnsi="Arial"/>
                <w:sz w:val="16"/>
                <w:szCs w:val="16"/>
                <w:color w:val="auto"/>
                <w:w w:val="95"/>
              </w:rPr>
              <w:t>File Number)</w:t>
            </w:r>
          </w:p>
        </w:tc>
        <w:tc>
          <w:tcPr>
            <w:tcW w:w="1780" w:type="dxa"/>
            <w:vAlign w:val="bottom"/>
          </w:tcPr>
          <w:p>
            <w:pPr>
              <w:jc w:val="center"/>
              <w:ind w:left="520"/>
              <w:spacing w:after="0"/>
              <w:rPr>
                <w:sz w:val="20"/>
                <w:szCs w:val="20"/>
                <w:color w:val="auto"/>
              </w:rPr>
            </w:pPr>
            <w:r>
              <w:rPr>
                <w:rFonts w:ascii="Arial" w:cs="Arial" w:eastAsia="Arial" w:hAnsi="Arial"/>
                <w:sz w:val="16"/>
                <w:szCs w:val="16"/>
                <w:color w:val="auto"/>
                <w:w w:val="94"/>
              </w:rPr>
              <w:t>Identification No.)</w:t>
            </w:r>
          </w:p>
        </w:tc>
      </w:tr>
      <w:tr>
        <w:trPr>
          <w:trHeight w:val="390"/>
        </w:trPr>
        <w:tc>
          <w:tcPr>
            <w:tcW w:w="2200" w:type="dxa"/>
            <w:vAlign w:val="bottom"/>
          </w:tcPr>
          <w:p>
            <w:pPr>
              <w:spacing w:after="0"/>
              <w:rPr>
                <w:sz w:val="24"/>
                <w:szCs w:val="24"/>
                <w:color w:val="auto"/>
              </w:rPr>
            </w:pPr>
          </w:p>
        </w:tc>
        <w:tc>
          <w:tcPr>
            <w:tcW w:w="5260" w:type="dxa"/>
            <w:vAlign w:val="bottom"/>
          </w:tcPr>
          <w:p>
            <w:pPr>
              <w:jc w:val="center"/>
              <w:ind w:right="80"/>
              <w:spacing w:after="0"/>
              <w:rPr>
                <w:sz w:val="20"/>
                <w:szCs w:val="20"/>
                <w:color w:val="auto"/>
              </w:rPr>
            </w:pPr>
            <w:r>
              <w:rPr>
                <w:rFonts w:ascii="Arial" w:cs="Arial" w:eastAsia="Arial" w:hAnsi="Arial"/>
                <w:sz w:val="16"/>
                <w:szCs w:val="16"/>
                <w:b w:val="1"/>
                <w:bCs w:val="1"/>
                <w:color w:val="auto"/>
                <w:w w:val="89"/>
              </w:rPr>
              <w:t>20 Eastbourne Terrace</w:t>
            </w:r>
          </w:p>
        </w:tc>
        <w:tc>
          <w:tcPr>
            <w:tcW w:w="1780" w:type="dxa"/>
            <w:vAlign w:val="bottom"/>
          </w:tcPr>
          <w:p>
            <w:pPr>
              <w:spacing w:after="0"/>
              <w:rPr>
                <w:sz w:val="24"/>
                <w:szCs w:val="24"/>
                <w:color w:val="auto"/>
              </w:rPr>
            </w:pPr>
          </w:p>
        </w:tc>
      </w:tr>
      <w:tr>
        <w:trPr>
          <w:trHeight w:val="191"/>
        </w:trPr>
        <w:tc>
          <w:tcPr>
            <w:tcW w:w="2200" w:type="dxa"/>
            <w:vAlign w:val="bottom"/>
          </w:tcPr>
          <w:p>
            <w:pPr>
              <w:spacing w:after="0"/>
              <w:rPr>
                <w:sz w:val="16"/>
                <w:szCs w:val="16"/>
                <w:color w:val="auto"/>
              </w:rPr>
            </w:pPr>
          </w:p>
        </w:tc>
        <w:tc>
          <w:tcPr>
            <w:tcW w:w="5260" w:type="dxa"/>
            <w:vAlign w:val="bottom"/>
          </w:tcPr>
          <w:p>
            <w:pPr>
              <w:jc w:val="center"/>
              <w:ind w:right="60"/>
              <w:spacing w:after="0"/>
              <w:rPr>
                <w:sz w:val="20"/>
                <w:szCs w:val="20"/>
                <w:color w:val="auto"/>
              </w:rPr>
            </w:pPr>
            <w:r>
              <w:rPr>
                <w:rFonts w:ascii="Arial" w:cs="Arial" w:eastAsia="Arial" w:hAnsi="Arial"/>
                <w:sz w:val="16"/>
                <w:szCs w:val="16"/>
                <w:b w:val="1"/>
                <w:bCs w:val="1"/>
                <w:color w:val="auto"/>
                <w:w w:val="94"/>
              </w:rPr>
              <w:t>London, W2 6LG</w:t>
            </w:r>
          </w:p>
        </w:tc>
        <w:tc>
          <w:tcPr>
            <w:tcW w:w="1780" w:type="dxa"/>
            <w:vAlign w:val="bottom"/>
          </w:tcPr>
          <w:p>
            <w:pPr>
              <w:spacing w:after="0"/>
              <w:rPr>
                <w:sz w:val="16"/>
                <w:szCs w:val="16"/>
                <w:color w:val="auto"/>
              </w:rPr>
            </w:pPr>
          </w:p>
        </w:tc>
      </w:tr>
      <w:tr>
        <w:trPr>
          <w:trHeight w:val="195"/>
        </w:trPr>
        <w:tc>
          <w:tcPr>
            <w:tcW w:w="2200" w:type="dxa"/>
            <w:vAlign w:val="bottom"/>
          </w:tcPr>
          <w:p>
            <w:pPr>
              <w:spacing w:after="0"/>
              <w:rPr>
                <w:sz w:val="16"/>
                <w:szCs w:val="16"/>
                <w:color w:val="auto"/>
              </w:rPr>
            </w:pPr>
          </w:p>
        </w:tc>
        <w:tc>
          <w:tcPr>
            <w:tcW w:w="5260" w:type="dxa"/>
            <w:vAlign w:val="bottom"/>
          </w:tcPr>
          <w:p>
            <w:pPr>
              <w:jc w:val="center"/>
              <w:ind w:right="80"/>
              <w:spacing w:after="0"/>
              <w:rPr>
                <w:sz w:val="20"/>
                <w:szCs w:val="20"/>
                <w:color w:val="auto"/>
              </w:rPr>
            </w:pPr>
            <w:r>
              <w:rPr>
                <w:rFonts w:ascii="Arial" w:cs="Arial" w:eastAsia="Arial" w:hAnsi="Arial"/>
                <w:sz w:val="16"/>
                <w:szCs w:val="16"/>
                <w:b w:val="1"/>
                <w:bCs w:val="1"/>
                <w:color w:val="auto"/>
                <w:w w:val="92"/>
              </w:rPr>
              <w:t>United Kingdom</w:t>
            </w:r>
          </w:p>
        </w:tc>
        <w:tc>
          <w:tcPr>
            <w:tcW w:w="1780" w:type="dxa"/>
            <w:vAlign w:val="bottom"/>
          </w:tcPr>
          <w:p>
            <w:pPr>
              <w:spacing w:after="0"/>
              <w:rPr>
                <w:sz w:val="16"/>
                <w:szCs w:val="16"/>
                <w:color w:val="auto"/>
              </w:rPr>
            </w:pPr>
          </w:p>
        </w:tc>
      </w:tr>
      <w:tr>
        <w:trPr>
          <w:trHeight w:val="204"/>
        </w:trPr>
        <w:tc>
          <w:tcPr>
            <w:tcW w:w="2200" w:type="dxa"/>
            <w:vAlign w:val="bottom"/>
          </w:tcPr>
          <w:p>
            <w:pPr>
              <w:spacing w:after="0"/>
              <w:rPr>
                <w:sz w:val="17"/>
                <w:szCs w:val="17"/>
                <w:color w:val="auto"/>
              </w:rPr>
            </w:pPr>
          </w:p>
        </w:tc>
        <w:tc>
          <w:tcPr>
            <w:tcW w:w="5260" w:type="dxa"/>
            <w:vAlign w:val="bottom"/>
          </w:tcPr>
          <w:p>
            <w:pPr>
              <w:jc w:val="center"/>
              <w:ind w:right="60"/>
              <w:spacing w:after="0"/>
              <w:rPr>
                <w:sz w:val="20"/>
                <w:szCs w:val="20"/>
                <w:color w:val="auto"/>
              </w:rPr>
            </w:pPr>
            <w:r>
              <w:rPr>
                <w:rFonts w:ascii="Arial" w:cs="Arial" w:eastAsia="Arial" w:hAnsi="Arial"/>
                <w:sz w:val="16"/>
                <w:szCs w:val="16"/>
                <w:color w:val="auto"/>
                <w:w w:val="92"/>
              </w:rPr>
              <w:t>(Address of Principal Executive Offices)</w:t>
            </w:r>
          </w:p>
        </w:tc>
        <w:tc>
          <w:tcPr>
            <w:tcW w:w="1780" w:type="dxa"/>
            <w:vAlign w:val="bottom"/>
          </w:tcPr>
          <w:p>
            <w:pPr>
              <w:spacing w:after="0"/>
              <w:rPr>
                <w:sz w:val="17"/>
                <w:szCs w:val="17"/>
                <w:color w:val="auto"/>
              </w:rPr>
            </w:pPr>
          </w:p>
        </w:tc>
      </w:tr>
      <w:tr>
        <w:trPr>
          <w:trHeight w:val="370"/>
        </w:trPr>
        <w:tc>
          <w:tcPr>
            <w:tcW w:w="2200" w:type="dxa"/>
            <w:vAlign w:val="bottom"/>
          </w:tcPr>
          <w:p>
            <w:pPr>
              <w:spacing w:after="0"/>
              <w:rPr>
                <w:sz w:val="24"/>
                <w:szCs w:val="24"/>
                <w:color w:val="auto"/>
              </w:rPr>
            </w:pPr>
          </w:p>
        </w:tc>
        <w:tc>
          <w:tcPr>
            <w:tcW w:w="5260" w:type="dxa"/>
            <w:vAlign w:val="bottom"/>
          </w:tcPr>
          <w:p>
            <w:pPr>
              <w:jc w:val="center"/>
              <w:ind w:right="60"/>
              <w:spacing w:after="0"/>
              <w:rPr>
                <w:sz w:val="20"/>
                <w:szCs w:val="20"/>
                <w:color w:val="auto"/>
              </w:rPr>
            </w:pPr>
            <w:r>
              <w:rPr>
                <w:rFonts w:ascii="Arial" w:cs="Arial" w:eastAsia="Arial" w:hAnsi="Arial"/>
                <w:sz w:val="16"/>
                <w:szCs w:val="16"/>
                <w:b w:val="1"/>
                <w:bCs w:val="1"/>
                <w:color w:val="auto"/>
                <w:w w:val="89"/>
              </w:rPr>
              <w:t>+44 20 33250660</w:t>
            </w:r>
          </w:p>
        </w:tc>
        <w:tc>
          <w:tcPr>
            <w:tcW w:w="1780" w:type="dxa"/>
            <w:vAlign w:val="bottom"/>
          </w:tcPr>
          <w:p>
            <w:pPr>
              <w:spacing w:after="0"/>
              <w:rPr>
                <w:sz w:val="24"/>
                <w:szCs w:val="24"/>
                <w:color w:val="auto"/>
              </w:rPr>
            </w:pPr>
          </w:p>
        </w:tc>
      </w:tr>
      <w:tr>
        <w:trPr>
          <w:trHeight w:val="204"/>
        </w:trPr>
        <w:tc>
          <w:tcPr>
            <w:tcW w:w="2200" w:type="dxa"/>
            <w:vAlign w:val="bottom"/>
          </w:tcPr>
          <w:p>
            <w:pPr>
              <w:spacing w:after="0"/>
              <w:rPr>
                <w:sz w:val="17"/>
                <w:szCs w:val="17"/>
                <w:color w:val="auto"/>
              </w:rPr>
            </w:pPr>
          </w:p>
        </w:tc>
        <w:tc>
          <w:tcPr>
            <w:tcW w:w="5260" w:type="dxa"/>
            <w:vAlign w:val="bottom"/>
          </w:tcPr>
          <w:p>
            <w:pPr>
              <w:jc w:val="center"/>
              <w:ind w:right="80"/>
              <w:spacing w:after="0"/>
              <w:rPr>
                <w:sz w:val="20"/>
                <w:szCs w:val="20"/>
                <w:color w:val="auto"/>
              </w:rPr>
            </w:pPr>
            <w:r>
              <w:rPr>
                <w:rFonts w:ascii="Arial" w:cs="Arial" w:eastAsia="Arial" w:hAnsi="Arial"/>
                <w:sz w:val="16"/>
                <w:szCs w:val="16"/>
                <w:color w:val="auto"/>
                <w:w w:val="90"/>
              </w:rPr>
              <w:t>(Registrant’s Telephone Number, Including Area Code)</w:t>
            </w:r>
          </w:p>
        </w:tc>
        <w:tc>
          <w:tcPr>
            <w:tcW w:w="1780" w:type="dxa"/>
            <w:vAlign w:val="bottom"/>
          </w:tcPr>
          <w:p>
            <w:pPr>
              <w:spacing w:after="0"/>
              <w:rPr>
                <w:sz w:val="17"/>
                <w:szCs w:val="17"/>
                <w:color w:val="auto"/>
              </w:rPr>
            </w:pPr>
          </w:p>
        </w:tc>
      </w:tr>
      <w:tr>
        <w:trPr>
          <w:trHeight w:val="370"/>
        </w:trPr>
        <w:tc>
          <w:tcPr>
            <w:tcW w:w="2200" w:type="dxa"/>
            <w:vAlign w:val="bottom"/>
          </w:tcPr>
          <w:p>
            <w:pPr>
              <w:spacing w:after="0"/>
              <w:rPr>
                <w:sz w:val="24"/>
                <w:szCs w:val="24"/>
                <w:color w:val="auto"/>
              </w:rPr>
            </w:pPr>
          </w:p>
        </w:tc>
        <w:tc>
          <w:tcPr>
            <w:tcW w:w="5260" w:type="dxa"/>
            <w:vAlign w:val="bottom"/>
          </w:tcPr>
          <w:p>
            <w:pPr>
              <w:jc w:val="center"/>
              <w:ind w:right="60"/>
              <w:spacing w:after="0"/>
              <w:rPr>
                <w:sz w:val="20"/>
                <w:szCs w:val="20"/>
                <w:color w:val="auto"/>
              </w:rPr>
            </w:pPr>
            <w:r>
              <w:rPr>
                <w:rFonts w:ascii="Arial" w:cs="Arial" w:eastAsia="Arial" w:hAnsi="Arial"/>
                <w:sz w:val="16"/>
                <w:szCs w:val="16"/>
                <w:b w:val="1"/>
                <w:bCs w:val="1"/>
                <w:color w:val="auto"/>
              </w:rPr>
              <w:t>N/A</w:t>
            </w:r>
          </w:p>
        </w:tc>
        <w:tc>
          <w:tcPr>
            <w:tcW w:w="1780" w:type="dxa"/>
            <w:vAlign w:val="bottom"/>
          </w:tcPr>
          <w:p>
            <w:pPr>
              <w:spacing w:after="0"/>
              <w:rPr>
                <w:sz w:val="24"/>
                <w:szCs w:val="24"/>
                <w:color w:val="auto"/>
              </w:rPr>
            </w:pPr>
          </w:p>
        </w:tc>
      </w:tr>
      <w:tr>
        <w:trPr>
          <w:trHeight w:val="204"/>
        </w:trPr>
        <w:tc>
          <w:tcPr>
            <w:tcW w:w="2200" w:type="dxa"/>
            <w:vAlign w:val="bottom"/>
          </w:tcPr>
          <w:p>
            <w:pPr>
              <w:spacing w:after="0"/>
              <w:rPr>
                <w:sz w:val="17"/>
                <w:szCs w:val="17"/>
                <w:color w:val="auto"/>
              </w:rPr>
            </w:pPr>
          </w:p>
        </w:tc>
        <w:tc>
          <w:tcPr>
            <w:tcW w:w="5260" w:type="dxa"/>
            <w:vAlign w:val="bottom"/>
          </w:tcPr>
          <w:p>
            <w:pPr>
              <w:jc w:val="center"/>
              <w:ind w:right="60"/>
              <w:spacing w:after="0"/>
              <w:rPr>
                <w:sz w:val="20"/>
                <w:szCs w:val="20"/>
                <w:color w:val="auto"/>
              </w:rPr>
            </w:pPr>
            <w:r>
              <w:rPr>
                <w:rFonts w:ascii="Arial" w:cs="Arial" w:eastAsia="Arial" w:hAnsi="Arial"/>
                <w:sz w:val="16"/>
                <w:szCs w:val="16"/>
                <w:color w:val="auto"/>
                <w:w w:val="90"/>
              </w:rPr>
              <w:t>(Former Name or Former Address, if Changed Since Last Report)</w:t>
            </w:r>
          </w:p>
        </w:tc>
        <w:tc>
          <w:tcPr>
            <w:tcW w:w="1780" w:type="dxa"/>
            <w:vAlign w:val="bottom"/>
          </w:tcPr>
          <w:p>
            <w:pPr>
              <w:spacing w:after="0"/>
              <w:rPr>
                <w:sz w:val="17"/>
                <w:szCs w:val="17"/>
                <w:color w:val="auto"/>
              </w:rPr>
            </w:pPr>
          </w:p>
        </w:tc>
      </w:tr>
    </w:tbl>
    <w:p>
      <w:pPr>
        <w:spacing w:after="0" w:line="178" w:lineRule="exact"/>
        <w:rPr>
          <w:sz w:val="24"/>
          <w:szCs w:val="24"/>
          <w:color w:val="auto"/>
        </w:rPr>
      </w:pPr>
    </w:p>
    <w:p>
      <w:pPr>
        <w:ind w:right="300"/>
        <w:spacing w:after="0" w:line="275" w:lineRule="auto"/>
        <w:rPr>
          <w:sz w:val="20"/>
          <w:szCs w:val="20"/>
          <w:color w:val="auto"/>
        </w:rPr>
      </w:pPr>
      <w:r>
        <w:rPr>
          <w:rFonts w:ascii="Arial" w:cs="Arial" w:eastAsia="Arial" w:hAnsi="Arial"/>
          <w:sz w:val="16"/>
          <w:szCs w:val="16"/>
          <w:color w:val="auto"/>
        </w:rPr>
        <w:t>Check the appropriate box below if the Form 8-K is intended to simultaneously satisfy the filing obligation of the registrant under any of the following provisions (see General Instructions A.2. below):</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5"/>
          <w:szCs w:val="15"/>
          <w:color w:val="auto"/>
        </w:rPr>
        <w:t>Written communications pursuant to Rule 425 under the Securities Act (17 CFR 230.425)</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5"/>
          <w:szCs w:val="15"/>
          <w:color w:val="auto"/>
        </w:rPr>
        <w:t>Soliciting material pursuant to Rule 14a-12 under the Exchange Act (17 CFR 240.14a-12)</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5"/>
          <w:szCs w:val="15"/>
          <w:color w:val="auto"/>
        </w:rPr>
        <w:t>Pre-commencement communications pursuant to Rule 14d-2(b) under the Exchange Act (17 CFR 240.14d-2(b))</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5"/>
          <w:szCs w:val="15"/>
          <w:color w:val="auto"/>
        </w:rPr>
        <w:t>Pre-commencement communications pursuant to Rule 13e-4(c) under the Exchange Act (17 CFR 240.13e-4(c))</w:t>
      </w:r>
    </w:p>
    <w:p>
      <w:pPr>
        <w:spacing w:after="0" w:line="190"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2" w:lineRule="exact"/>
        <w:rPr>
          <w:sz w:val="24"/>
          <w:szCs w:val="24"/>
          <w:color w:val="auto"/>
        </w:rPr>
      </w:pPr>
    </w:p>
    <w:p>
      <w:pPr>
        <w:ind w:left="7660"/>
        <w:spacing w:after="0"/>
        <w:tabs>
          <w:tab w:leader="none" w:pos="112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Arial" w:cs="Arial" w:eastAsia="Arial" w:hAnsi="Arial"/>
          <w:sz w:val="16"/>
          <w:szCs w:val="16"/>
          <w:color w:val="auto"/>
        </w:rPr>
        <w:t>o</w:t>
      </w:r>
    </w:p>
    <w:p>
      <w:pPr>
        <w:spacing w:after="0" w:line="236"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02" w:lineRule="exact"/>
        <w:rPr>
          <w:sz w:val="24"/>
          <w:szCs w:val="24"/>
          <w:color w:val="auto"/>
        </w:rPr>
      </w:pPr>
    </w:p>
    <w:p>
      <w:pPr>
        <w:ind w:left="11280"/>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69850</wp:posOffset>
            </wp:positionV>
            <wp:extent cx="728789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7895" cy="40640"/>
                    </a:xfrm>
                    <a:prstGeom prst="rect">
                      <a:avLst/>
                    </a:prstGeom>
                    <a:noFill/>
                  </pic:spPr>
                </pic:pic>
              </a:graphicData>
            </a:graphic>
          </wp:anchor>
        </w:drawing>
      </w:r>
    </w:p>
    <w:p>
      <w:pPr>
        <w:sectPr>
          <w:pgSz w:w="11900" w:h="16838" w:orient="portrait"/>
          <w:cols w:equalWidth="0" w:num="1">
            <w:col w:w="11440"/>
          </w:cols>
          <w:pgMar w:left="240" w:top="649"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2" w:lineRule="exact"/>
        <w:rPr>
          <w:sz w:val="20"/>
          <w:szCs w:val="20"/>
          <w:color w:val="auto"/>
        </w:rPr>
      </w:pPr>
    </w:p>
    <w:p>
      <w:pPr>
        <w:ind w:firstLine="574"/>
        <w:spacing w:after="0" w:line="280" w:lineRule="auto"/>
        <w:rPr>
          <w:sz w:val="20"/>
          <w:szCs w:val="20"/>
          <w:color w:val="auto"/>
        </w:rPr>
      </w:pPr>
      <w:r>
        <w:rPr>
          <w:rFonts w:ascii="Arial" w:cs="Arial" w:eastAsia="Arial" w:hAnsi="Arial"/>
          <w:sz w:val="15"/>
          <w:szCs w:val="15"/>
          <w:color w:val="auto"/>
        </w:rPr>
        <w:t xml:space="preserve">On July 31, 2019, LivaNova PLC (the “Company”) issued a press release announcing financial results for the quarter ended June 30, 2019. The Company will host a business update conference call and webcast today, July 31, 2019, at 1 p.m. London time (8 a.m. Eastern Time), during which the Company will discuss the financial results. The conference call will be available to interested parties through a live audio webcast and accessible through the Investor Relations section of the LivaNova corporate website at </w:t>
      </w:r>
      <w:r>
        <w:rPr>
          <w:rFonts w:ascii="Arial" w:cs="Arial" w:eastAsia="Arial" w:hAnsi="Arial"/>
          <w:sz w:val="15"/>
          <w:szCs w:val="15"/>
          <w:u w:val="single" w:color="auto"/>
          <w:color w:val="auto"/>
        </w:rPr>
        <w:t>www.livanova.com</w:t>
      </w:r>
      <w:r>
        <w:rPr>
          <w:rFonts w:ascii="Arial" w:cs="Arial" w:eastAsia="Arial" w:hAnsi="Arial"/>
          <w:sz w:val="15"/>
          <w:szCs w:val="15"/>
          <w:color w:val="auto"/>
        </w:rPr>
        <w:t>. A copy of the Company’s press release is furnished as Exhibit 99.1 on this Current Report on Form 8-K.</w:t>
      </w:r>
    </w:p>
    <w:p>
      <w:pPr>
        <w:spacing w:after="0" w:line="151"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The information in Item 2.02 of this report is being furnished, not filed, for purposes of Section 18 of the Securities Exchange Act of 1934, as amended, and pursuant to General Instruction B.2 of Form 8-K, will not be incorporated by reference into any filing under the Securities Act of 1933, as amended, unless specifically identified therein as being incorporated therein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5"/>
          <w:szCs w:val="15"/>
          <w:color w:val="auto"/>
        </w:rPr>
        <w:t>Exhibits.</w:t>
      </w:r>
    </w:p>
    <w:p>
      <w:pPr>
        <w:spacing w:after="0" w:line="338" w:lineRule="exact"/>
        <w:rPr>
          <w:sz w:val="20"/>
          <w:szCs w:val="20"/>
          <w:color w:val="auto"/>
        </w:rPr>
      </w:pPr>
    </w:p>
    <w:p>
      <w:pPr>
        <w:ind w:left="20"/>
        <w:spacing w:after="0"/>
        <w:tabs>
          <w:tab w:leader="none" w:pos="1500" w:val="left"/>
        </w:tabs>
        <w:rPr>
          <w:sz w:val="20"/>
          <w:szCs w:val="20"/>
          <w:color w:val="auto"/>
        </w:rPr>
      </w:pPr>
      <w:r>
        <w:rPr>
          <w:rFonts w:ascii="Arial" w:cs="Arial" w:eastAsia="Arial" w:hAnsi="Arial"/>
          <w:sz w:val="16"/>
          <w:szCs w:val="16"/>
          <w:b w:val="1"/>
          <w:bCs w:val="1"/>
          <w:u w:val="single" w:color="auto"/>
          <w:color w:val="auto"/>
        </w:rPr>
        <w:t>Exhibit</w:t>
      </w:r>
      <w:r>
        <w:rPr>
          <w:sz w:val="20"/>
          <w:szCs w:val="20"/>
          <w:color w:val="auto"/>
        </w:rPr>
        <w:tab/>
      </w:r>
      <w:r>
        <w:rPr>
          <w:rFonts w:ascii="Arial" w:cs="Arial" w:eastAsia="Arial" w:hAnsi="Arial"/>
          <w:sz w:val="16"/>
          <w:szCs w:val="16"/>
          <w:b w:val="1"/>
          <w:bCs w:val="1"/>
          <w:u w:val="single" w:color="auto"/>
          <w:color w:val="auto"/>
        </w:rPr>
        <w:t>Description</w:t>
      </w:r>
    </w:p>
    <w:p>
      <w:pPr>
        <w:spacing w:after="0" w:line="322" w:lineRule="exact"/>
        <w:rPr>
          <w:sz w:val="20"/>
          <w:szCs w:val="20"/>
          <w:color w:val="auto"/>
        </w:rPr>
      </w:pPr>
    </w:p>
    <w:p>
      <w:pPr>
        <w:ind w:left="20"/>
        <w:spacing w:after="0"/>
        <w:tabs>
          <w:tab w:leader="none" w:pos="1500" w:val="left"/>
        </w:tabs>
        <w:rPr>
          <w:rFonts w:ascii="Arial" w:cs="Arial" w:eastAsia="Arial" w:hAnsi="Arial"/>
          <w:sz w:val="14"/>
          <w:szCs w:val="14"/>
          <w:u w:val="single" w:color="auto"/>
          <w:color w:val="0000FF"/>
        </w:rPr>
      </w:pPr>
      <w:r>
        <w:rPr>
          <w:rFonts w:ascii="Arial" w:cs="Arial" w:eastAsia="Arial" w:hAnsi="Arial"/>
          <w:sz w:val="16"/>
          <w:szCs w:val="16"/>
          <w:color w:val="auto"/>
        </w:rPr>
        <w:t>99.1</w:t>
      </w:r>
      <w:r>
        <w:rPr>
          <w:sz w:val="20"/>
          <w:szCs w:val="20"/>
          <w:color w:val="auto"/>
        </w:rPr>
        <w:tab/>
      </w:r>
      <w:hyperlink w:anchor="page4">
        <w:r>
          <w:rPr>
            <w:rFonts w:ascii="Arial" w:cs="Arial" w:eastAsia="Arial" w:hAnsi="Arial"/>
            <w:sz w:val="14"/>
            <w:szCs w:val="14"/>
            <w:u w:val="single" w:color="auto"/>
            <w:color w:val="0000FF"/>
          </w:rPr>
          <w:t>Press Release issued by LivaNova PLC dated July 31, 2019</w:t>
        </w:r>
      </w:hyperlink>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00"/>
          </w:cols>
          <w:pgMar w:left="240" w:top="338" w:right="3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6"/>
          <w:szCs w:val="16"/>
          <w:b w:val="1"/>
          <w:bCs w:val="1"/>
          <w:color w:val="auto"/>
        </w:rPr>
        <w:t>SIGNATURE</w:t>
      </w:r>
    </w:p>
    <w:p>
      <w:pPr>
        <w:spacing w:after="0" w:line="202"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3460" w:type="dxa"/>
            <w:vAlign w:val="bottom"/>
          </w:tcPr>
          <w:p>
            <w:pPr>
              <w:spacing w:after="0"/>
              <w:rPr>
                <w:sz w:val="17"/>
                <w:szCs w:val="17"/>
                <w:color w:val="auto"/>
              </w:rPr>
            </w:pPr>
          </w:p>
        </w:tc>
        <w:tc>
          <w:tcPr>
            <w:tcW w:w="4100" w:type="dxa"/>
            <w:vAlign w:val="bottom"/>
            <w:gridSpan w:val="3"/>
          </w:tcPr>
          <w:p>
            <w:pPr>
              <w:ind w:left="2260"/>
              <w:spacing w:after="0"/>
              <w:rPr>
                <w:sz w:val="20"/>
                <w:szCs w:val="20"/>
                <w:color w:val="auto"/>
              </w:rPr>
            </w:pPr>
            <w:r>
              <w:rPr>
                <w:rFonts w:ascii="Arial" w:cs="Arial" w:eastAsia="Arial" w:hAnsi="Arial"/>
                <w:sz w:val="16"/>
                <w:szCs w:val="16"/>
                <w:color w:val="auto"/>
              </w:rPr>
              <w:t>LivaNova PLC</w:t>
            </w:r>
          </w:p>
        </w:tc>
      </w:tr>
      <w:tr>
        <w:trPr>
          <w:trHeight w:val="729"/>
        </w:trPr>
        <w:tc>
          <w:tcPr>
            <w:tcW w:w="3460" w:type="dxa"/>
            <w:vAlign w:val="bottom"/>
          </w:tcPr>
          <w:p>
            <w:pPr>
              <w:spacing w:after="0"/>
              <w:rPr>
                <w:sz w:val="20"/>
                <w:szCs w:val="20"/>
                <w:color w:val="auto"/>
              </w:rPr>
            </w:pPr>
            <w:r>
              <w:rPr>
                <w:rFonts w:ascii="Arial" w:cs="Arial" w:eastAsia="Arial" w:hAnsi="Arial"/>
                <w:sz w:val="16"/>
                <w:szCs w:val="16"/>
                <w:color w:val="auto"/>
              </w:rPr>
              <w:t>Date: July 31, 2019</w:t>
            </w:r>
          </w:p>
        </w:tc>
        <w:tc>
          <w:tcPr>
            <w:tcW w:w="4100" w:type="dxa"/>
            <w:vAlign w:val="bottom"/>
            <w:gridSpan w:val="3"/>
          </w:tcPr>
          <w:p>
            <w:pPr>
              <w:ind w:left="2260"/>
              <w:spacing w:after="0"/>
              <w:rPr>
                <w:sz w:val="20"/>
                <w:szCs w:val="20"/>
                <w:color w:val="auto"/>
              </w:rPr>
            </w:pPr>
            <w:r>
              <w:rPr>
                <w:rFonts w:ascii="Arial" w:cs="Arial" w:eastAsia="Arial" w:hAnsi="Arial"/>
                <w:sz w:val="16"/>
                <w:szCs w:val="16"/>
                <w:color w:val="auto"/>
              </w:rPr>
              <w:t>By:/s/ Catherine Moroz</w:t>
            </w:r>
          </w:p>
        </w:tc>
      </w:tr>
      <w:tr>
        <w:trPr>
          <w:trHeight w:val="20"/>
        </w:trPr>
        <w:tc>
          <w:tcPr>
            <w:tcW w:w="34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5"/>
        </w:trPr>
        <w:tc>
          <w:tcPr>
            <w:tcW w:w="3460" w:type="dxa"/>
            <w:vAlign w:val="bottom"/>
          </w:tcPr>
          <w:p>
            <w:pPr>
              <w:spacing w:after="0"/>
              <w:rPr>
                <w:sz w:val="22"/>
                <w:szCs w:val="22"/>
                <w:color w:val="auto"/>
              </w:rPr>
            </w:pPr>
          </w:p>
        </w:tc>
        <w:tc>
          <w:tcPr>
            <w:tcW w:w="4100" w:type="dxa"/>
            <w:vAlign w:val="bottom"/>
            <w:gridSpan w:val="3"/>
          </w:tcPr>
          <w:p>
            <w:pPr>
              <w:ind w:left="2460"/>
              <w:spacing w:after="0"/>
              <w:rPr>
                <w:sz w:val="20"/>
                <w:szCs w:val="20"/>
                <w:color w:val="auto"/>
              </w:rPr>
            </w:pPr>
            <w:r>
              <w:rPr>
                <w:rFonts w:ascii="Arial" w:cs="Arial" w:eastAsia="Arial" w:hAnsi="Arial"/>
                <w:sz w:val="16"/>
                <w:szCs w:val="16"/>
                <w:color w:val="auto"/>
                <w:w w:val="95"/>
              </w:rPr>
              <w:t>Name: Catherine Moroz</w:t>
            </w:r>
          </w:p>
        </w:tc>
      </w:tr>
      <w:tr>
        <w:trPr>
          <w:trHeight w:val="239"/>
        </w:trPr>
        <w:tc>
          <w:tcPr>
            <w:tcW w:w="3460" w:type="dxa"/>
            <w:vAlign w:val="bottom"/>
          </w:tcPr>
          <w:p>
            <w:pPr>
              <w:spacing w:after="0"/>
              <w:rPr>
                <w:sz w:val="20"/>
                <w:szCs w:val="20"/>
                <w:color w:val="auto"/>
              </w:rPr>
            </w:pPr>
          </w:p>
        </w:tc>
        <w:tc>
          <w:tcPr>
            <w:tcW w:w="4100" w:type="dxa"/>
            <w:vAlign w:val="bottom"/>
            <w:gridSpan w:val="3"/>
          </w:tcPr>
          <w:p>
            <w:pPr>
              <w:ind w:left="2460"/>
              <w:spacing w:after="0"/>
              <w:rPr>
                <w:sz w:val="20"/>
                <w:szCs w:val="20"/>
                <w:color w:val="auto"/>
              </w:rPr>
            </w:pPr>
            <w:r>
              <w:rPr>
                <w:rFonts w:ascii="Arial" w:cs="Arial" w:eastAsia="Arial" w:hAnsi="Arial"/>
                <w:sz w:val="16"/>
                <w:szCs w:val="16"/>
                <w:color w:val="auto"/>
                <w:w w:val="89"/>
              </w:rPr>
              <w:t>Title: Company Secretary</w:t>
            </w:r>
          </w:p>
        </w:tc>
      </w:tr>
      <w:tr>
        <w:trPr>
          <w:trHeight w:val="884"/>
        </w:trPr>
        <w:tc>
          <w:tcPr>
            <w:tcW w:w="3460" w:type="dxa"/>
            <w:vAlign w:val="bottom"/>
          </w:tcPr>
          <w:p>
            <w:pPr>
              <w:spacing w:after="0"/>
              <w:rPr>
                <w:sz w:val="24"/>
                <w:szCs w:val="24"/>
                <w:color w:val="auto"/>
              </w:rPr>
            </w:pPr>
          </w:p>
        </w:tc>
        <w:tc>
          <w:tcPr>
            <w:tcW w:w="2500" w:type="dxa"/>
            <w:vAlign w:val="bottom"/>
          </w:tcPr>
          <w:p>
            <w:pPr>
              <w:ind w:left="2200"/>
              <w:spacing w:after="0"/>
              <w:rPr>
                <w:sz w:val="20"/>
                <w:szCs w:val="20"/>
                <w:color w:val="auto"/>
              </w:rPr>
            </w:pPr>
            <w:r>
              <w:rPr>
                <w:rFonts w:ascii="Arial" w:cs="Arial" w:eastAsia="Arial" w:hAnsi="Arial"/>
                <w:sz w:val="16"/>
                <w:szCs w:val="16"/>
                <w:color w:val="auto"/>
              </w:rPr>
              <w:t>3</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140"/>
          </w:cols>
          <w:pgMar w:left="240" w:top="338" w:right="5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1487170" cy="424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7170" cy="42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FF5C39"/>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47625</wp:posOffset>
            </wp:positionV>
            <wp:extent cx="728789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7895" cy="40640"/>
                    </a:xfrm>
                    <a:prstGeom prst="rect">
                      <a:avLst/>
                    </a:prstGeom>
                    <a:noFill/>
                  </pic:spPr>
                </pic:pic>
              </a:graphicData>
            </a:graphic>
          </wp:anchor>
        </w:drawing>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5C39"/>
        </w:rPr>
        <w:t>LivaNova Reports Second Quarter 2019 Results</w:t>
      </w:r>
    </w:p>
    <w:p>
      <w:pPr>
        <w:spacing w:after="0" w:line="309" w:lineRule="exact"/>
        <w:rPr>
          <w:sz w:val="20"/>
          <w:szCs w:val="20"/>
          <w:color w:val="auto"/>
        </w:rPr>
      </w:pPr>
    </w:p>
    <w:p>
      <w:pPr>
        <w:jc w:val="both"/>
        <w:ind w:right="20"/>
        <w:spacing w:after="0" w:line="389" w:lineRule="auto"/>
        <w:rPr>
          <w:sz w:val="20"/>
          <w:szCs w:val="20"/>
          <w:color w:val="auto"/>
        </w:rPr>
      </w:pPr>
      <w:r>
        <w:rPr>
          <w:rFonts w:ascii="Arial" w:cs="Arial" w:eastAsia="Arial" w:hAnsi="Arial"/>
          <w:sz w:val="18"/>
          <w:szCs w:val="18"/>
          <w:b w:val="1"/>
          <w:bCs w:val="1"/>
          <w:color w:val="auto"/>
        </w:rPr>
        <w:t xml:space="preserve">London, July 31, 2019 – </w:t>
      </w:r>
      <w:r>
        <w:rPr>
          <w:rFonts w:ascii="Arial" w:cs="Arial" w:eastAsia="Arial" w:hAnsi="Arial"/>
          <w:sz w:val="18"/>
          <w:szCs w:val="18"/>
          <w:color w:val="auto"/>
        </w:rPr>
        <w:t>LivaNova PLC (NASDAQ:LIVN), a market-leading medical technology and innovation company, today reported results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quarter ended June 30, 2019.</w:t>
      </w:r>
    </w:p>
    <w:p>
      <w:pPr>
        <w:spacing w:after="0" w:line="283" w:lineRule="exact"/>
        <w:rPr>
          <w:sz w:val="20"/>
          <w:szCs w:val="20"/>
          <w:color w:val="auto"/>
        </w:rPr>
      </w:pPr>
    </w:p>
    <w:p>
      <w:pPr>
        <w:jc w:val="both"/>
        <w:spacing w:after="0" w:line="336" w:lineRule="auto"/>
        <w:rPr>
          <w:sz w:val="20"/>
          <w:szCs w:val="20"/>
          <w:color w:val="auto"/>
        </w:rPr>
      </w:pPr>
      <w:r>
        <w:rPr>
          <w:rFonts w:ascii="Arial" w:cs="Arial" w:eastAsia="Arial" w:hAnsi="Arial"/>
          <w:sz w:val="18"/>
          <w:szCs w:val="18"/>
          <w:color w:val="auto"/>
        </w:rPr>
        <w:t>For the second quarter of 2019, worldwide sales from continuing operations were $277.2 million, a decrease of 3.6 percent on a reported basis and a decrease of 1.0 percent on a constant-currency</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basis, as compared to the same quarter of the previous year. On the basis of U.S. Generally Accepted Accounting Principles (GAAP), second quarter 2019 diluted loss per share from continuing operations was $0.61. Second quarter 2019 adjusted diluted earnings per share from continuing operations were $0.70.</w:t>
      </w:r>
    </w:p>
    <w:p>
      <w:pPr>
        <w:spacing w:after="0" w:line="330" w:lineRule="exact"/>
        <w:rPr>
          <w:sz w:val="20"/>
          <w:szCs w:val="20"/>
          <w:color w:val="auto"/>
        </w:rPr>
      </w:pPr>
    </w:p>
    <w:p>
      <w:pPr>
        <w:jc w:val="both"/>
        <w:ind w:right="20"/>
        <w:spacing w:after="0" w:line="361" w:lineRule="auto"/>
        <w:rPr>
          <w:sz w:val="20"/>
          <w:szCs w:val="20"/>
          <w:color w:val="auto"/>
        </w:rPr>
      </w:pPr>
      <w:r>
        <w:rPr>
          <w:rFonts w:ascii="Arial" w:cs="Arial" w:eastAsia="Arial" w:hAnsi="Arial"/>
          <w:sz w:val="18"/>
          <w:szCs w:val="18"/>
          <w:color w:val="auto"/>
        </w:rPr>
        <w:t>"Sales results for second quarter 2019 were strong in Cardiovascular, driven by double-digit growth in Advanced Circulatory Support (ACS), along with healthy growth in heart-lung machines (HLM) and oxygenators. Neuromodulation had another quarter of double-digit growth in Europe and Rest of World, while the results in the U.S. declined year-over-year, but stabilized sequentially," said Damien McDonald, Chief Executive Officer of LivaNova. "Our team is intently focused on execution to better position the Company to deliver sales growth, consistent financial performance and long-term shareholder value."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2019 Results</w:t>
      </w:r>
    </w:p>
    <w:p>
      <w:pPr>
        <w:spacing w:after="0" w:line="281" w:lineRule="exact"/>
        <w:rPr>
          <w:sz w:val="20"/>
          <w:szCs w:val="20"/>
          <w:color w:val="auto"/>
        </w:rPr>
      </w:pPr>
    </w:p>
    <w:p>
      <w:pPr>
        <w:jc w:val="both"/>
        <w:ind w:right="20"/>
        <w:spacing w:after="0" w:line="364" w:lineRule="auto"/>
        <w:rPr>
          <w:sz w:val="20"/>
          <w:szCs w:val="20"/>
          <w:color w:val="auto"/>
        </w:rPr>
      </w:pPr>
      <w:r>
        <w:rPr>
          <w:rFonts w:ascii="Arial" w:cs="Arial" w:eastAsia="Arial" w:hAnsi="Arial"/>
          <w:sz w:val="18"/>
          <w:szCs w:val="18"/>
          <w:color w:val="auto"/>
        </w:rPr>
        <w:t>Worldwide sales from continuing operations for the second quarter were $277.2 million, down 1.0 percent on a constant-currency basis compared to the second quarter of 2018. The following table highlights worldwide sales for the second quarter of 2019 by business: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143" w:lineRule="exact"/>
        <w:rPr>
          <w:sz w:val="20"/>
          <w:szCs w:val="20"/>
          <w:color w:val="auto"/>
        </w:rPr>
      </w:pPr>
    </w:p>
    <w:p>
      <w:pPr>
        <w:spacing w:after="0"/>
        <w:rPr>
          <w:sz w:val="20"/>
          <w:szCs w:val="20"/>
          <w:color w:val="auto"/>
        </w:rPr>
      </w:pPr>
      <w:r>
        <w:rPr>
          <w:rFonts w:ascii="Arial" w:cs="Arial" w:eastAsia="Arial" w:hAnsi="Arial"/>
          <w:sz w:val="6"/>
          <w:szCs w:val="6"/>
          <w:color w:val="auto"/>
        </w:rPr>
        <w:t>1</w:t>
      </w:r>
      <w:r>
        <w:rPr>
          <w:rFonts w:ascii="Arial" w:cs="Arial" w:eastAsia="Arial" w:hAnsi="Arial"/>
          <w:sz w:val="9"/>
          <w:szCs w:val="9"/>
          <w:color w:val="auto"/>
        </w:rPr>
        <w:t>Constant-currency percent change is considered a non-GAAP metric.</w:t>
      </w:r>
    </w:p>
    <w:p>
      <w:pPr>
        <w:sectPr>
          <w:pgSz w:w="11900" w:h="16838" w:orient="portrait"/>
          <w:cols w:equalWidth="0" w:num="1">
            <w:col w:w="11440"/>
          </w:cols>
          <w:pgMar w:left="240" w:top="556" w:right="21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6"/>
        </w:trPr>
        <w:tc>
          <w:tcPr>
            <w:tcW w:w="44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4"/>
                <w:szCs w:val="14"/>
                <w:i w:val="1"/>
                <w:iCs w:val="1"/>
                <w:color w:val="auto"/>
              </w:rPr>
              <w:t>$ in millions</w:t>
            </w:r>
          </w:p>
        </w:tc>
        <w:tc>
          <w:tcPr>
            <w:tcW w:w="356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Three months ended</w:t>
            </w:r>
          </w:p>
        </w:tc>
        <w:tc>
          <w:tcPr>
            <w:tcW w:w="1720" w:type="dxa"/>
            <w:vAlign w:val="bottom"/>
            <w:tcBorders>
              <w:top w:val="single" w:sz="8" w:color="auto"/>
              <w:right w:val="single" w:sz="8" w:color="auto"/>
            </w:tcBorders>
          </w:tcPr>
          <w:p>
            <w:pPr>
              <w:spacing w:after="0"/>
              <w:rPr>
                <w:sz w:val="20"/>
                <w:szCs w:val="20"/>
                <w:color w:val="auto"/>
              </w:rPr>
            </w:pPr>
          </w:p>
        </w:tc>
        <w:tc>
          <w:tcPr>
            <w:tcW w:w="1700" w:type="dxa"/>
            <w:vAlign w:val="bottom"/>
            <w:tcBorders>
              <w:top w:val="single" w:sz="8" w:color="auto"/>
              <w:right w:val="single" w:sz="8" w:color="auto"/>
            </w:tcBorders>
            <w:vMerge w:val="restart"/>
          </w:tcPr>
          <w:p>
            <w:pPr>
              <w:jc w:val="right"/>
              <w:ind w:right="39"/>
              <w:spacing w:after="0"/>
              <w:rPr>
                <w:sz w:val="20"/>
                <w:szCs w:val="20"/>
                <w:color w:val="auto"/>
              </w:rPr>
            </w:pPr>
            <w:r>
              <w:rPr>
                <w:rFonts w:ascii="Arial" w:cs="Arial" w:eastAsia="Arial" w:hAnsi="Arial"/>
                <w:sz w:val="18"/>
                <w:szCs w:val="18"/>
                <w:color w:val="auto"/>
              </w:rPr>
              <w:t>Constant-Currency</w:t>
            </w:r>
          </w:p>
        </w:tc>
        <w:tc>
          <w:tcPr>
            <w:tcW w:w="0" w:type="dxa"/>
            <w:vAlign w:val="bottom"/>
          </w:tcPr>
          <w:p>
            <w:pPr>
              <w:spacing w:after="0"/>
              <w:rPr>
                <w:sz w:val="1"/>
                <w:szCs w:val="1"/>
                <w:color w:val="auto"/>
              </w:rPr>
            </w:pPr>
          </w:p>
        </w:tc>
      </w:tr>
      <w:tr>
        <w:trPr>
          <w:trHeight w:val="120"/>
        </w:trPr>
        <w:tc>
          <w:tcPr>
            <w:tcW w:w="4480" w:type="dxa"/>
            <w:vAlign w:val="bottom"/>
            <w:tcBorders>
              <w:left w:val="single" w:sz="8" w:color="auto"/>
              <w:right w:val="single" w:sz="8" w:color="auto"/>
            </w:tcBorders>
          </w:tcPr>
          <w:p>
            <w:pPr>
              <w:spacing w:after="0"/>
              <w:rPr>
                <w:sz w:val="10"/>
                <w:szCs w:val="10"/>
                <w:color w:val="auto"/>
              </w:rPr>
            </w:pPr>
          </w:p>
        </w:tc>
        <w:tc>
          <w:tcPr>
            <w:tcW w:w="2300" w:type="dxa"/>
            <w:vAlign w:val="bottom"/>
            <w:gridSpan w:val="2"/>
            <w:vMerge w:val="restart"/>
          </w:tcPr>
          <w:p>
            <w:pPr>
              <w:jc w:val="center"/>
              <w:ind w:left="1179"/>
              <w:spacing w:after="0"/>
              <w:rPr>
                <w:sz w:val="20"/>
                <w:szCs w:val="20"/>
                <w:color w:val="auto"/>
              </w:rPr>
            </w:pPr>
            <w:r>
              <w:rPr>
                <w:rFonts w:ascii="Arial" w:cs="Arial" w:eastAsia="Arial" w:hAnsi="Arial"/>
                <w:sz w:val="18"/>
                <w:szCs w:val="18"/>
                <w:color w:val="auto"/>
                <w:w w:val="98"/>
              </w:rPr>
              <w:t>June 30,</w:t>
            </w:r>
          </w:p>
        </w:tc>
        <w:tc>
          <w:tcPr>
            <w:tcW w:w="12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vMerge w:val="restart"/>
          </w:tcPr>
          <w:p>
            <w:pPr>
              <w:jc w:val="right"/>
              <w:ind w:right="379"/>
              <w:spacing w:after="0"/>
              <w:rPr>
                <w:sz w:val="20"/>
                <w:szCs w:val="20"/>
                <w:color w:val="auto"/>
              </w:rPr>
            </w:pPr>
            <w:r>
              <w:rPr>
                <w:rFonts w:ascii="Arial" w:cs="Arial" w:eastAsia="Arial" w:hAnsi="Arial"/>
                <w:sz w:val="18"/>
                <w:szCs w:val="18"/>
                <w:color w:val="auto"/>
              </w:rPr>
              <w:t>% Change</w:t>
            </w:r>
          </w:p>
        </w:tc>
        <w:tc>
          <w:tcPr>
            <w:tcW w:w="1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4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Business / Product Line:</w:t>
            </w:r>
          </w:p>
        </w:tc>
        <w:tc>
          <w:tcPr>
            <w:tcW w:w="2300" w:type="dxa"/>
            <w:vAlign w:val="bottom"/>
            <w:tcBorders>
              <w:bottom w:val="single" w:sz="8" w:color="00000A"/>
            </w:tcBorders>
            <w:gridSpan w:val="2"/>
            <w:vMerge w:val="continue"/>
          </w:tcPr>
          <w:p>
            <w:pPr>
              <w:spacing w:after="0"/>
              <w:rPr>
                <w:sz w:val="8"/>
                <w:szCs w:val="8"/>
                <w:color w:val="auto"/>
              </w:rPr>
            </w:pPr>
          </w:p>
        </w:tc>
        <w:tc>
          <w:tcPr>
            <w:tcW w:w="1260" w:type="dxa"/>
            <w:vAlign w:val="bottom"/>
            <w:tcBorders>
              <w:bottom w:val="single" w:sz="8" w:color="00000A"/>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restart"/>
          </w:tcPr>
          <w:p>
            <w:pPr>
              <w:jc w:val="right"/>
              <w:ind w:right="379"/>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92"/>
        </w:trPr>
        <w:tc>
          <w:tcPr>
            <w:tcW w:w="4480" w:type="dxa"/>
            <w:vAlign w:val="bottom"/>
            <w:tcBorders>
              <w:left w:val="single" w:sz="8" w:color="auto"/>
              <w:right w:val="single" w:sz="8" w:color="auto"/>
            </w:tcBorders>
            <w:vMerge w:val="continue"/>
          </w:tcPr>
          <w:p>
            <w:pPr>
              <w:spacing w:after="0"/>
              <w:rPr>
                <w:sz w:val="7"/>
                <w:szCs w:val="7"/>
                <w:color w:val="auto"/>
              </w:rPr>
            </w:pPr>
          </w:p>
        </w:tc>
        <w:tc>
          <w:tcPr>
            <w:tcW w:w="1780" w:type="dxa"/>
            <w:vAlign w:val="bottom"/>
            <w:tcBorders>
              <w:right w:val="single" w:sz="8" w:color="auto"/>
            </w:tcBorders>
            <w:vMerge w:val="restart"/>
          </w:tcPr>
          <w:p>
            <w:pPr>
              <w:jc w:val="right"/>
              <w:ind w:right="639"/>
              <w:spacing w:after="0"/>
              <w:rPr>
                <w:sz w:val="20"/>
                <w:szCs w:val="20"/>
                <w:color w:val="auto"/>
              </w:rPr>
            </w:pPr>
            <w:r>
              <w:rPr>
                <w:rFonts w:ascii="Arial" w:cs="Arial" w:eastAsia="Arial" w:hAnsi="Arial"/>
                <w:sz w:val="16"/>
                <w:szCs w:val="16"/>
                <w:color w:val="auto"/>
              </w:rPr>
              <w:t>2019</w:t>
            </w:r>
          </w:p>
        </w:tc>
        <w:tc>
          <w:tcPr>
            <w:tcW w:w="520" w:type="dxa"/>
            <w:vAlign w:val="bottom"/>
          </w:tcPr>
          <w:p>
            <w:pPr>
              <w:spacing w:after="0"/>
              <w:rPr>
                <w:sz w:val="7"/>
                <w:szCs w:val="7"/>
                <w:color w:val="auto"/>
              </w:rPr>
            </w:pPr>
          </w:p>
        </w:tc>
        <w:tc>
          <w:tcPr>
            <w:tcW w:w="1260" w:type="dxa"/>
            <w:vAlign w:val="bottom"/>
            <w:tcBorders>
              <w:right w:val="single" w:sz="8" w:color="auto"/>
            </w:tcBorders>
            <w:vMerge w:val="restart"/>
          </w:tcPr>
          <w:p>
            <w:pPr>
              <w:jc w:val="right"/>
              <w:ind w:right="640"/>
              <w:spacing w:after="0"/>
              <w:rPr>
                <w:sz w:val="20"/>
                <w:szCs w:val="20"/>
                <w:color w:val="auto"/>
              </w:rPr>
            </w:pPr>
            <w:r>
              <w:rPr>
                <w:rFonts w:ascii="Arial" w:cs="Arial" w:eastAsia="Arial" w:hAnsi="Arial"/>
                <w:sz w:val="16"/>
                <w:szCs w:val="16"/>
                <w:color w:val="auto"/>
              </w:rPr>
              <w:t>2018</w:t>
            </w:r>
          </w:p>
        </w:tc>
        <w:tc>
          <w:tcPr>
            <w:tcW w:w="172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48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780" w:type="dxa"/>
            <w:vAlign w:val="bottom"/>
            <w:tcBorders>
              <w:bottom w:val="single" w:sz="8" w:color="auto"/>
              <w:right w:val="single" w:sz="8" w:color="auto"/>
            </w:tcBorders>
            <w:vMerge w:val="continue"/>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60" w:type="dxa"/>
            <w:vAlign w:val="bottom"/>
            <w:tcBorders>
              <w:bottom w:val="single" w:sz="8" w:color="auto"/>
              <w:right w:val="single" w:sz="8" w:color="auto"/>
            </w:tcBorders>
            <w:vMerge w:val="continue"/>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44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6"/>
                <w:szCs w:val="16"/>
                <w:i w:val="1"/>
                <w:iCs w:val="1"/>
                <w:color w:val="auto"/>
              </w:rPr>
              <w:t>Cardiopulmonary</w:t>
            </w:r>
          </w:p>
        </w:tc>
        <w:tc>
          <w:tcPr>
            <w:tcW w:w="17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i w:val="1"/>
                <w:iCs w:val="1"/>
                <w:color w:val="auto"/>
              </w:rPr>
              <w:t>$130.6</w:t>
            </w:r>
          </w:p>
        </w:tc>
        <w:tc>
          <w:tcPr>
            <w:tcW w:w="52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i w:val="1"/>
                <w:iCs w:val="1"/>
                <w:color w:val="auto"/>
              </w:rPr>
              <w:t>$136.6</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44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6"/>
                <w:szCs w:val="16"/>
                <w:i w:val="1"/>
                <w:iCs w:val="1"/>
                <w:color w:val="auto"/>
              </w:rPr>
              <w:t>Heart Valves</w:t>
            </w:r>
          </w:p>
        </w:tc>
        <w:tc>
          <w:tcPr>
            <w:tcW w:w="17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i w:val="1"/>
                <w:iCs w:val="1"/>
                <w:color w:val="auto"/>
              </w:rPr>
              <w:t>33.4</w:t>
            </w: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i w:val="1"/>
                <w:iCs w:val="1"/>
                <w:color w:val="auto"/>
              </w:rPr>
              <w:t>33.8</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7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9"/>
        </w:trPr>
        <w:tc>
          <w:tcPr>
            <w:tcW w:w="44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6"/>
                <w:szCs w:val="16"/>
                <w:i w:val="1"/>
                <w:iCs w:val="1"/>
                <w:color w:val="auto"/>
              </w:rPr>
              <w:t>Advanced Circulatory Support</w:t>
            </w:r>
          </w:p>
        </w:tc>
        <w:tc>
          <w:tcPr>
            <w:tcW w:w="17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i w:val="1"/>
                <w:iCs w:val="1"/>
                <w:color w:val="auto"/>
              </w:rPr>
              <w:t>8.3</w:t>
            </w: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i w:val="1"/>
                <w:iCs w:val="1"/>
                <w:color w:val="auto"/>
              </w:rPr>
              <w:t>6.0</w:t>
            </w:r>
          </w:p>
        </w:tc>
        <w:tc>
          <w:tcPr>
            <w:tcW w:w="17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38.2%</w:t>
            </w:r>
          </w:p>
        </w:tc>
        <w:tc>
          <w:tcPr>
            <w:tcW w:w="17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19"/>
        </w:trPr>
        <w:tc>
          <w:tcPr>
            <w:tcW w:w="4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Cardiovascular</w:t>
            </w:r>
          </w:p>
        </w:tc>
        <w:tc>
          <w:tcPr>
            <w:tcW w:w="17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172.2</w:t>
            </w: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176.5</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7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4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Neuromodulation</w:t>
            </w:r>
          </w:p>
        </w:tc>
        <w:tc>
          <w:tcPr>
            <w:tcW w:w="17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104.3</w:t>
            </w: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110.7</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9"/>
        </w:trPr>
        <w:tc>
          <w:tcPr>
            <w:tcW w:w="4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Other</w:t>
            </w:r>
          </w:p>
        </w:tc>
        <w:tc>
          <w:tcPr>
            <w:tcW w:w="17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0.7</w:t>
            </w: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0.4</w:t>
            </w:r>
          </w:p>
        </w:tc>
        <w:tc>
          <w:tcPr>
            <w:tcW w:w="17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4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Total Net Sales</w:t>
            </w:r>
          </w:p>
        </w:tc>
        <w:tc>
          <w:tcPr>
            <w:tcW w:w="17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$277.2</w:t>
            </w:r>
          </w:p>
        </w:tc>
        <w:tc>
          <w:tcPr>
            <w:tcW w:w="52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$287.5</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240" w:hanging="224"/>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Note: Numbers may not add up precisely due to rounding. Constant-currency percent change is considered a non-GAAP metric.</w:t>
      </w:r>
    </w:p>
    <w:p>
      <w:pPr>
        <w:spacing w:after="0" w:line="229" w:lineRule="exact"/>
        <w:rPr>
          <w:sz w:val="20"/>
          <w:szCs w:val="20"/>
          <w:color w:val="auto"/>
        </w:rPr>
      </w:pPr>
    </w:p>
    <w:p>
      <w:pPr>
        <w:jc w:val="both"/>
        <w:ind w:left="20" w:right="20"/>
        <w:spacing w:after="0" w:line="364" w:lineRule="auto"/>
        <w:rPr>
          <w:sz w:val="20"/>
          <w:szCs w:val="20"/>
          <w:color w:val="auto"/>
        </w:rPr>
      </w:pPr>
      <w:r>
        <w:rPr>
          <w:rFonts w:ascii="Arial" w:cs="Arial" w:eastAsia="Arial" w:hAnsi="Arial"/>
          <w:sz w:val="18"/>
          <w:szCs w:val="18"/>
          <w:color w:val="auto"/>
        </w:rPr>
        <w:t>All sales growth rates below reflect comparable, constant-currency growth. Constant-currency growth accounts for the impact from fluctuations in the various currencies in which the Company operates as compared to reported growth.</w:t>
      </w:r>
    </w:p>
    <w:p>
      <w:pPr>
        <w:spacing w:after="0" w:line="378"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Cardiovascular</w:t>
      </w:r>
    </w:p>
    <w:p>
      <w:pPr>
        <w:spacing w:after="0" w:line="126" w:lineRule="exact"/>
        <w:rPr>
          <w:sz w:val="20"/>
          <w:szCs w:val="20"/>
          <w:color w:val="auto"/>
        </w:rPr>
      </w:pPr>
    </w:p>
    <w:p>
      <w:pPr>
        <w:jc w:val="both"/>
        <w:ind w:left="20"/>
        <w:spacing w:after="0" w:line="364" w:lineRule="auto"/>
        <w:rPr>
          <w:sz w:val="20"/>
          <w:szCs w:val="20"/>
          <w:color w:val="auto"/>
        </w:rPr>
      </w:pPr>
      <w:r>
        <w:rPr>
          <w:rFonts w:ascii="Arial" w:cs="Arial" w:eastAsia="Arial" w:hAnsi="Arial"/>
          <w:sz w:val="18"/>
          <w:szCs w:val="18"/>
          <w:color w:val="auto"/>
        </w:rPr>
        <w:t>Cardiovascular sales, which include Cardiopulmonary products, Heart Valves and ACS, were $172.2 million, representing a 1.2 percent increase versus the second quarter of 2018.</w:t>
      </w:r>
    </w:p>
    <w:p>
      <w:pPr>
        <w:spacing w:after="0" w:line="304" w:lineRule="exact"/>
        <w:rPr>
          <w:sz w:val="20"/>
          <w:szCs w:val="20"/>
          <w:color w:val="auto"/>
        </w:rPr>
      </w:pPr>
    </w:p>
    <w:p>
      <w:pPr>
        <w:jc w:val="both"/>
        <w:ind w:left="20"/>
        <w:spacing w:after="0" w:line="362" w:lineRule="auto"/>
        <w:rPr>
          <w:sz w:val="20"/>
          <w:szCs w:val="20"/>
          <w:color w:val="auto"/>
        </w:rPr>
      </w:pPr>
      <w:r>
        <w:rPr>
          <w:rFonts w:ascii="Arial" w:cs="Arial" w:eastAsia="Arial" w:hAnsi="Arial"/>
          <w:sz w:val="18"/>
          <w:szCs w:val="18"/>
          <w:color w:val="auto"/>
        </w:rPr>
        <w:t>Sales in Cardiopulmonary products were $130.6 million, representing a 1.3 percent decrease versus the second quarter of 2018 due to the impact of exiting a Canadian distribution agreement in Rest of World, which equated to $8.6 million in the prior-year period. The results in this product category were driven by oxygenators and HLM.</w:t>
      </w:r>
    </w:p>
    <w:p>
      <w:pPr>
        <w:spacing w:after="0" w:line="306" w:lineRule="exact"/>
        <w:rPr>
          <w:sz w:val="20"/>
          <w:szCs w:val="20"/>
          <w:color w:val="auto"/>
        </w:rPr>
      </w:pPr>
    </w:p>
    <w:p>
      <w:pPr>
        <w:jc w:val="both"/>
        <w:ind w:left="20" w:right="20"/>
        <w:spacing w:after="0" w:line="364" w:lineRule="auto"/>
        <w:rPr>
          <w:sz w:val="20"/>
          <w:szCs w:val="20"/>
          <w:color w:val="auto"/>
        </w:rPr>
      </w:pPr>
      <w:r>
        <w:rPr>
          <w:rFonts w:ascii="Arial" w:cs="Arial" w:eastAsia="Arial" w:hAnsi="Arial"/>
          <w:sz w:val="18"/>
          <w:szCs w:val="18"/>
          <w:color w:val="auto"/>
        </w:rPr>
        <w:t>Heart Valve sales for both tissue and mechanical heart valves, were $33.4 million, an increase of 4.6 percent compared to the second quarter of 2018.</w:t>
      </w:r>
    </w:p>
    <w:p>
      <w:pPr>
        <w:spacing w:after="0" w:line="304" w:lineRule="exact"/>
        <w:rPr>
          <w:sz w:val="20"/>
          <w:szCs w:val="20"/>
          <w:color w:val="auto"/>
        </w:rPr>
      </w:pPr>
    </w:p>
    <w:p>
      <w:pPr>
        <w:jc w:val="both"/>
        <w:ind w:left="20" w:right="20"/>
        <w:spacing w:after="0" w:line="307" w:lineRule="auto"/>
        <w:rPr>
          <w:sz w:val="20"/>
          <w:szCs w:val="20"/>
          <w:color w:val="auto"/>
        </w:rPr>
      </w:pPr>
      <w:r>
        <w:rPr>
          <w:rFonts w:ascii="Arial" w:cs="Arial" w:eastAsia="Arial" w:hAnsi="Arial"/>
          <w:sz w:val="18"/>
          <w:szCs w:val="18"/>
          <w:color w:val="auto"/>
        </w:rPr>
        <w:t>ACS sales were $8.3 million in the quarter, an increase of 38.3 percent compared to the second quarter of 2018. Growth in this segment was driven by the ProtekDuo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kit.</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Neuromodulation</w:t>
      </w:r>
    </w:p>
    <w:p>
      <w:pPr>
        <w:spacing w:after="0" w:line="126" w:lineRule="exact"/>
        <w:rPr>
          <w:sz w:val="20"/>
          <w:szCs w:val="20"/>
          <w:color w:val="auto"/>
        </w:rPr>
      </w:pPr>
    </w:p>
    <w:p>
      <w:pPr>
        <w:jc w:val="both"/>
        <w:ind w:left="20" w:right="20"/>
        <w:spacing w:after="0" w:line="364" w:lineRule="auto"/>
        <w:rPr>
          <w:sz w:val="20"/>
          <w:szCs w:val="20"/>
          <w:color w:val="auto"/>
        </w:rPr>
      </w:pPr>
      <w:r>
        <w:rPr>
          <w:rFonts w:ascii="Arial" w:cs="Arial" w:eastAsia="Arial" w:hAnsi="Arial"/>
          <w:sz w:val="18"/>
          <w:szCs w:val="18"/>
          <w:color w:val="auto"/>
        </w:rPr>
        <w:t>Neuromodulation sales were $104.3 million in the second quarter, representing a 4.8 percent decrease versus the second quarter of 2018. Europe and Rest of World had strong growth, while U.S. results declined compared to prior year.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460"/>
          </w:cols>
          <w:pgMar w:left="220" w:top="681" w:right="2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Financial Performance</w:t>
      </w:r>
    </w:p>
    <w:p>
      <w:pPr>
        <w:spacing w:after="0" w:line="126" w:lineRule="exact"/>
        <w:rPr>
          <w:sz w:val="20"/>
          <w:szCs w:val="20"/>
          <w:color w:val="auto"/>
        </w:rPr>
      </w:pPr>
    </w:p>
    <w:p>
      <w:pPr>
        <w:jc w:val="both"/>
        <w:spacing w:after="0" w:line="336" w:lineRule="auto"/>
        <w:rPr>
          <w:sz w:val="20"/>
          <w:szCs w:val="20"/>
          <w:color w:val="auto"/>
        </w:rPr>
      </w:pPr>
      <w:r>
        <w:rPr>
          <w:rFonts w:ascii="Arial" w:cs="Arial" w:eastAsia="Arial" w:hAnsi="Arial"/>
          <w:sz w:val="18"/>
          <w:szCs w:val="18"/>
          <w:color w:val="auto"/>
        </w:rPr>
        <w:t>On a U.S. GAAP basis, second quarter 2019 operating loss from continuing operations was $29.9 million, primarily impacted by the impairment of an intangible asset related to the ImThera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acquisition. Adjusted operating income from continuing operations for the second quarter of 2019 was $44.2 million, a decrease of 26.2 percent as compared to the second quarter of 2018 due to our continued investment in strategic portfolio initiatives and commercial expansion.</w:t>
      </w:r>
    </w:p>
    <w:p>
      <w:pPr>
        <w:spacing w:after="0" w:line="330" w:lineRule="exact"/>
        <w:rPr>
          <w:sz w:val="20"/>
          <w:szCs w:val="20"/>
          <w:color w:val="auto"/>
        </w:rPr>
      </w:pPr>
    </w:p>
    <w:p>
      <w:pPr>
        <w:jc w:val="both"/>
        <w:ind w:right="20"/>
        <w:spacing w:after="0" w:line="364" w:lineRule="auto"/>
        <w:rPr>
          <w:sz w:val="20"/>
          <w:szCs w:val="20"/>
          <w:color w:val="auto"/>
        </w:rPr>
      </w:pPr>
      <w:r>
        <w:rPr>
          <w:rFonts w:ascii="Arial" w:cs="Arial" w:eastAsia="Arial" w:hAnsi="Arial"/>
          <w:sz w:val="18"/>
          <w:szCs w:val="18"/>
          <w:color w:val="auto"/>
        </w:rPr>
        <w:t>Our adjusted effective tax rate in the quarter was 15.4 percent, an improvement from 17.4 percent in the second quarter of 2018 due to changes in the geographic mix of income and continued tax planning.</w:t>
      </w:r>
    </w:p>
    <w:p>
      <w:pPr>
        <w:spacing w:after="0" w:line="304"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On a U.S. GAAP basis, second quarter 2019 diluted loss per share from continuing operations was $0.61. Second quarter 2019 adjusted diluted earnings per share from continuing operations were $0.70, a decrease of 27.1 percent compared to the second quarter of 2018.</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2019 Guidance</w:t>
      </w:r>
    </w:p>
    <w:p>
      <w:pPr>
        <w:spacing w:after="0" w:line="126" w:lineRule="exact"/>
        <w:rPr>
          <w:sz w:val="20"/>
          <w:szCs w:val="20"/>
          <w:color w:val="auto"/>
        </w:rPr>
      </w:pPr>
    </w:p>
    <w:p>
      <w:pPr>
        <w:jc w:val="both"/>
        <w:ind w:right="20"/>
        <w:spacing w:after="0" w:line="336" w:lineRule="auto"/>
        <w:rPr>
          <w:sz w:val="20"/>
          <w:szCs w:val="20"/>
          <w:color w:val="auto"/>
        </w:rPr>
      </w:pPr>
      <w:r>
        <w:rPr>
          <w:rFonts w:ascii="Arial" w:cs="Arial" w:eastAsia="Arial" w:hAnsi="Arial"/>
          <w:sz w:val="18"/>
          <w:szCs w:val="18"/>
          <w:color w:val="auto"/>
        </w:rPr>
        <w:t>LivaNova worldwide net sales for full-year 2019 are expected to grow between 1 and 3 percent on a constant-currency basis. This guidance continues to account for the impact of exiting a low-margin distribution agreement in Canada and one quarter of sales from TandemLife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prior to the deal closing in April 2018. Adjusted diluted earnings per share from continuing operations for 2019 are expected to be in the range of $3.00 to $3.10.</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Webcast and Conference Call Instructions</w:t>
      </w:r>
    </w:p>
    <w:p>
      <w:pPr>
        <w:spacing w:after="0" w:line="126"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 xml:space="preserve">The Company will host a live audio webcast for interested parties commencing at 1 p.m. London time (8 a.m. Eastern Time) on Wednesday, July 31 that will be accessible through the Investor Relations section of the LivaNova corporate website at </w:t>
      </w:r>
      <w:r>
        <w:rPr>
          <w:rFonts w:ascii="Arial" w:cs="Arial" w:eastAsia="Arial" w:hAnsi="Arial"/>
          <w:sz w:val="18"/>
          <w:szCs w:val="18"/>
          <w:u w:val="single" w:color="auto"/>
          <w:color w:val="auto"/>
        </w:rPr>
        <w:t>www.livanova.com</w:t>
      </w:r>
      <w:r>
        <w:rPr>
          <w:rFonts w:ascii="Arial" w:cs="Arial" w:eastAsia="Arial" w:hAnsi="Arial"/>
          <w:sz w:val="18"/>
          <w:szCs w:val="18"/>
          <w:color w:val="auto"/>
        </w:rPr>
        <w:t>. To listen to the conference call live by telephone, dial (844) 601-5111 (if dialing from within the U.S.) or (647) 253-8650 (if dialing from outside the U.S.). The conference ID is 8673928.</w:t>
      </w:r>
    </w:p>
    <w:p>
      <w:pPr>
        <w:spacing w:after="0" w:line="308" w:lineRule="exact"/>
        <w:rPr>
          <w:sz w:val="20"/>
          <w:szCs w:val="20"/>
          <w:color w:val="auto"/>
        </w:rPr>
      </w:pPr>
    </w:p>
    <w:p>
      <w:pPr>
        <w:jc w:val="both"/>
        <w:ind w:right="20"/>
        <w:spacing w:after="0" w:line="364" w:lineRule="auto"/>
        <w:rPr>
          <w:sz w:val="20"/>
          <w:szCs w:val="20"/>
          <w:color w:val="auto"/>
        </w:rPr>
      </w:pPr>
      <w:r>
        <w:rPr>
          <w:rFonts w:ascii="Arial" w:cs="Arial" w:eastAsia="Arial" w:hAnsi="Arial"/>
          <w:sz w:val="18"/>
          <w:szCs w:val="18"/>
          <w:color w:val="auto"/>
        </w:rPr>
        <w:t>Within 24 hours of the webcast, a replay will be available under the "News &amp; Events / Presentations" section of the Investor Relations portion of the LivaNova website, where it will be archived and accessible for approximately 12 months.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440"/>
          </w:cols>
          <w:pgMar w:left="240" w:top="927" w:right="2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FF5C39"/>
        </w:rPr>
        <w:t>About LivaNova</w:t>
      </w:r>
    </w:p>
    <w:p>
      <w:pPr>
        <w:spacing w:after="0" w:line="187" w:lineRule="exact"/>
        <w:rPr>
          <w:sz w:val="20"/>
          <w:szCs w:val="20"/>
          <w:color w:val="auto"/>
        </w:rPr>
      </w:pPr>
    </w:p>
    <w:p>
      <w:pPr>
        <w:jc w:val="both"/>
        <w:spacing w:after="0" w:line="347" w:lineRule="auto"/>
        <w:rPr>
          <w:sz w:val="20"/>
          <w:szCs w:val="20"/>
          <w:color w:val="auto"/>
        </w:rPr>
      </w:pPr>
      <w:r>
        <w:rPr>
          <w:rFonts w:ascii="Arial" w:cs="Arial" w:eastAsia="Arial" w:hAnsi="Arial"/>
          <w:sz w:val="18"/>
          <w:szCs w:val="18"/>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LivaNova has a presence in more than 100 countries worldwide. The Company currently employs approximately 4,000 employees. LivaNova operates as two businesses: Cardiovascular and Neuromodulation, with operating headquarters in Mirandola (Italy) and Houston (U.S.),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more information, please visit </w:t>
      </w:r>
      <w:r>
        <w:rPr>
          <w:rFonts w:ascii="Arial" w:cs="Arial" w:eastAsia="Arial" w:hAnsi="Arial"/>
          <w:sz w:val="18"/>
          <w:szCs w:val="18"/>
          <w:u w:val="single" w:color="auto"/>
          <w:color w:val="auto"/>
        </w:rPr>
        <w:t>www.livanova.com</w:t>
      </w:r>
      <w:r>
        <w:rPr>
          <w:rFonts w:ascii="Arial" w:cs="Arial" w:eastAsia="Arial" w:hAnsi="Arial"/>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FF5C39"/>
        </w:rPr>
        <w:t>Use of Non-GAAP Financial Measures</w:t>
      </w:r>
    </w:p>
    <w:p>
      <w:pPr>
        <w:spacing w:after="0" w:line="92" w:lineRule="exact"/>
        <w:rPr>
          <w:sz w:val="20"/>
          <w:szCs w:val="20"/>
          <w:color w:val="auto"/>
        </w:rPr>
      </w:pPr>
    </w:p>
    <w:p>
      <w:pPr>
        <w:jc w:val="both"/>
        <w:spacing w:after="0" w:line="347" w:lineRule="auto"/>
        <w:rPr>
          <w:sz w:val="20"/>
          <w:szCs w:val="20"/>
          <w:color w:val="auto"/>
        </w:rPr>
      </w:pPr>
      <w:r>
        <w:rPr>
          <w:rFonts w:ascii="Arial" w:cs="Arial" w:eastAsia="Arial" w:hAnsi="Arial"/>
          <w:sz w:val="18"/>
          <w:szCs w:val="18"/>
          <w:color w:val="auto"/>
        </w:rPr>
        <w:t>In this press release, management has disclosed financial measurements that present financial information not necessarily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188" w:lineRule="exact"/>
        <w:rPr>
          <w:sz w:val="20"/>
          <w:szCs w:val="20"/>
          <w:color w:val="auto"/>
        </w:rPr>
      </w:pPr>
    </w:p>
    <w:p>
      <w:pPr>
        <w:jc w:val="both"/>
        <w:spacing w:after="0" w:line="347" w:lineRule="auto"/>
        <w:rPr>
          <w:sz w:val="20"/>
          <w:szCs w:val="20"/>
          <w:color w:val="auto"/>
        </w:rPr>
      </w:pPr>
      <w:r>
        <w:rPr>
          <w:rFonts w:ascii="Arial" w:cs="Arial" w:eastAsia="Arial" w:hAnsi="Arial"/>
          <w:sz w:val="18"/>
          <w:szCs w:val="18"/>
          <w:color w:val="auto"/>
        </w:rPr>
        <w:t>Unless otherwise noted, all sales growth rates in this release reflect comparable, constant-currency growth. Management believes that referring to comparable, constant-currency growth is the most useful way to evaluate the sales performance of LivaNova and to compare the sales performance of current periods to prior periods on a consistent basis. Constant-currency growth, a non-GAAP financial measure, measures the change in sales between current and prior-year periods using average exchange rates in effect during the applicable prior-year period.</w:t>
      </w:r>
    </w:p>
    <w:p>
      <w:pPr>
        <w:spacing w:after="0" w:line="189" w:lineRule="exact"/>
        <w:rPr>
          <w:sz w:val="20"/>
          <w:szCs w:val="20"/>
          <w:color w:val="auto"/>
        </w:rPr>
      </w:pPr>
    </w:p>
    <w:p>
      <w:pPr>
        <w:jc w:val="both"/>
        <w:ind w:right="20"/>
        <w:spacing w:after="0" w:line="347" w:lineRule="auto"/>
        <w:rPr>
          <w:sz w:val="20"/>
          <w:szCs w:val="20"/>
          <w:color w:val="auto"/>
        </w:rPr>
      </w:pPr>
      <w:r>
        <w:rPr>
          <w:rFonts w:ascii="Arial" w:cs="Arial" w:eastAsia="Arial" w:hAnsi="Arial"/>
          <w:sz w:val="18"/>
          <w:szCs w:val="18"/>
          <w:color w:val="auto"/>
        </w:rPr>
        <w:t>LivaNova calculates forward-looking non-GAAP financial measures based on internal forecasts that omit certain amounts that would be included in GAAP financial measures. For example, forward-looking net sales growth projections are estimated on a constant-currency basis and exclude the impact of foreign currency fluctuations. Forward-looking non-GAAP adjusted tax rate and adjusted diluted earnings per share guidance exclude other items such as, but not limited to, changes in fair value of contingent consideration arrangements, asset impairment charges and product remediation costs that would be included in comparable GAAP financial measures. The most directly comparable GAAP measure for constant-currency net sales, non-GAAP adjusted tax rate and adjusted diluted earnings per share are net sales, the effective tax rate, and earnings per share,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440"/>
          </w:cols>
          <w:pgMar w:left="240" w:top="626" w:right="219" w:bottom="1440" w:gutter="0" w:footer="0" w:header="0"/>
        </w:sectPr>
      </w:pPr>
    </w:p>
    <w:bookmarkStart w:id="7" w:name="page8"/>
    <w:bookmarkEnd w:id="7"/>
    <w:p>
      <w:pPr>
        <w:jc w:val="both"/>
        <w:spacing w:after="0" w:line="347" w:lineRule="auto"/>
        <w:rPr>
          <w:sz w:val="20"/>
          <w:szCs w:val="20"/>
          <w:color w:val="auto"/>
        </w:rPr>
      </w:pPr>
      <w:r>
        <w:rPr>
          <w:rFonts w:ascii="Arial" w:cs="Arial" w:eastAsia="Arial" w:hAnsi="Arial"/>
          <w:sz w:val="18"/>
          <w:szCs w:val="18"/>
          <w:color w:val="auto"/>
        </w:rPr>
        <w:t>However, non-GAAP financial adjustments on a forward-looking basis are subject to uncertainty and variability as they are dependent on many factors, including but not limited to, the effect of foreign currency exchange fluctuations, impacts from potential acquisitions or divestitures, gains or losses on the potential sale of businesses or other assets, restructuring costs, merger and integration activities, changes in fair value of contingent consideration arrangements, product remediation costs, asset impairment charges, and the tax impact of the aforementioned items, tax law changes or other tax matters. Accordingly, reconciliations to the most directly comparable forward-looking GAAP financial measures are not available without unreasonable effort.</w:t>
      </w:r>
    </w:p>
    <w:p>
      <w:pPr>
        <w:spacing w:after="0" w:line="296" w:lineRule="exact"/>
        <w:rPr>
          <w:sz w:val="20"/>
          <w:szCs w:val="20"/>
          <w:color w:val="auto"/>
        </w:rPr>
      </w:pPr>
    </w:p>
    <w:p>
      <w:pPr>
        <w:jc w:val="both"/>
        <w:spacing w:after="0" w:line="395" w:lineRule="auto"/>
        <w:rPr>
          <w:sz w:val="20"/>
          <w:szCs w:val="20"/>
          <w:color w:val="auto"/>
        </w:rPr>
      </w:pPr>
      <w:r>
        <w:rPr>
          <w:rFonts w:ascii="Arial" w:cs="Arial" w:eastAsia="Arial" w:hAnsi="Arial"/>
          <w:sz w:val="16"/>
          <w:szCs w:val="16"/>
          <w:color w:val="auto"/>
        </w:rPr>
        <w:t>The Company also believes adjusted financial measures such as adjusted gross profit percentage; adjusted selling, general and administrative expense; adjusted research and development expense; adjusted other operating expenses; adjusted operating income from continued operations; adjusted income tax expense; adjusted net income from continuing operations; and adjusted diluted earnings per share, are measures by which LivaNova generally uses to facilitate management review of the operational performance of the company, to serve as a basis for strategic planning, and to assist in the design of compensation incentive plans.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440"/>
          </w:cols>
          <w:pgMar w:left="240" w:top="626"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FF5C39"/>
        </w:rPr>
        <w:t>Safe Harbor Statement</w:t>
      </w:r>
    </w:p>
    <w:p>
      <w:pPr>
        <w:spacing w:after="0" w:line="104" w:lineRule="exact"/>
        <w:rPr>
          <w:sz w:val="20"/>
          <w:szCs w:val="20"/>
          <w:color w:val="auto"/>
        </w:rPr>
      </w:pPr>
    </w:p>
    <w:p>
      <w:pPr>
        <w:jc w:val="both"/>
        <w:spacing w:after="0" w:line="407" w:lineRule="auto"/>
        <w:rPr>
          <w:sz w:val="20"/>
          <w:szCs w:val="20"/>
          <w:color w:val="auto"/>
        </w:rPr>
      </w:pPr>
      <w:r>
        <w:rPr>
          <w:rFonts w:ascii="Arial" w:cs="Arial" w:eastAsia="Arial" w:hAnsi="Arial"/>
          <w:sz w:val="16"/>
          <w:szCs w:val="16"/>
          <w:color w:val="auto"/>
        </w:rPr>
        <w:t>Certain statements in this press release, other than purely historical information, are “forward-looking statements” within the meaning of the Private Securities Litigation Reform Act of 1995, Section 27A of the Securities Act of 1933 and Section 21E of the Securities Exchange Act of 1934, as amended.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Investors are cautioned that all such statements involve risks and uncertainties, including without limitation, statements concerning achieving a stronger future, driving sustainable growth and value to our shareholders, projected net sales, adjusted diluted earnings per share, cash flow from operations, capital expenditures, and depreciation and amortization for 2019, advancing our growth, driving product launches and funding our equity investments, executing on our synergy targets and retaining our focus, energy and discipline as a company, and serving the needs of our customers and patients. Important factors that may cause actual results to differ include, but are not limited to: (i) the inability of LivaNova to meet expectations regarding the timing, completion and accounting of tax treatments; (ii) organizational and governance structure; (iii) reductions in customer spending, a slowdown in customer payments and changes in customer demand for products and services; (iv) unanticipated changes relating to competitive factors in the industries in which LivaNova operates; (v) the ability to hire and retain key personnel; (vi) the ability to attract new customers and retain existing customers in the manner anticipated; (vii) changes in legislation or governmental regulations affecting LivaNova; (viii) international, national or local economic, social or political conditions that could adversely affect LivaNova, its partners or its customers; (ix) conditions in the credit markets; (x) business and other financial risks inherent to the industries in which LivaNova operates; (xi) risks associated with assumptions made in connection with critical accounting estimates and legal proceedings; (xii) LivaNova’s international operations, which are subject to the risks of currency fluctuations and foreign exchange controls; (xiii) and the potential for international unrest, economic downturn or effects of currencies, tax assessments, tax adjustments, anticipated tax rates, raw material costs or availability, benefit or retirement plan costs, or other regulatory compliance costs. The foregoing list of</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440"/>
          </w:cols>
          <w:pgMar w:left="240" w:top="638" w:right="219" w:bottom="1440" w:gutter="0" w:footer="0" w:header="0"/>
        </w:sectPr>
      </w:pPr>
    </w:p>
    <w:bookmarkStart w:id="9" w:name="page10"/>
    <w:bookmarkEnd w:id="9"/>
    <w:p>
      <w:pPr>
        <w:jc w:val="both"/>
        <w:ind w:right="20"/>
        <w:spacing w:after="0" w:line="362" w:lineRule="auto"/>
        <w:rPr>
          <w:sz w:val="20"/>
          <w:szCs w:val="20"/>
          <w:color w:val="auto"/>
        </w:rPr>
      </w:pPr>
      <w:r>
        <w:rPr>
          <w:rFonts w:ascii="Arial" w:cs="Arial" w:eastAsia="Arial" w:hAnsi="Arial"/>
          <w:sz w:val="18"/>
          <w:szCs w:val="18"/>
          <w:color w:val="auto"/>
        </w:rPr>
        <w:t>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and other documents filed from time to time with the United States Securities and Exchange Commission by LivaNova.</w:t>
      </w:r>
    </w:p>
    <w:p>
      <w:pPr>
        <w:spacing w:after="0" w:line="187"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Melissa Farina</w:t>
      </w:r>
    </w:p>
    <w:p>
      <w:pPr>
        <w:ind w:left="60"/>
        <w:spacing w:after="0" w:line="228" w:lineRule="auto"/>
        <w:rPr>
          <w:sz w:val="20"/>
          <w:szCs w:val="20"/>
          <w:color w:val="auto"/>
        </w:rPr>
      </w:pPr>
      <w:r>
        <w:rPr>
          <w:rFonts w:ascii="Arial" w:cs="Arial" w:eastAsia="Arial" w:hAnsi="Arial"/>
          <w:sz w:val="18"/>
          <w:szCs w:val="18"/>
          <w:color w:val="auto"/>
        </w:rPr>
        <w:t>Vice President, Investor Relations</w:t>
      </w:r>
    </w:p>
    <w:p>
      <w:pPr>
        <w:ind w:left="60"/>
        <w:spacing w:after="0" w:line="222" w:lineRule="auto"/>
        <w:rPr>
          <w:sz w:val="20"/>
          <w:szCs w:val="20"/>
          <w:color w:val="auto"/>
        </w:rPr>
      </w:pPr>
      <w:r>
        <w:rPr>
          <w:rFonts w:ascii="Arial" w:cs="Arial" w:eastAsia="Arial" w:hAnsi="Arial"/>
          <w:sz w:val="18"/>
          <w:szCs w:val="18"/>
          <w:color w:val="auto"/>
        </w:rPr>
        <w:t>Phone: +1 (281) 228 7262</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e-mail: investorrelations@LivaNova.com</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440"/>
          </w:cols>
          <w:pgMar w:left="240" w:top="638" w:right="2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20"/>
                <w:szCs w:val="20"/>
                <w:color w:val="auto"/>
              </w:rPr>
            </w:pPr>
            <w:r>
              <w:rPr>
                <w:rFonts w:ascii="Arial" w:cs="Arial" w:eastAsia="Arial" w:hAnsi="Arial"/>
                <w:sz w:val="14"/>
                <w:szCs w:val="14"/>
                <w:b w:val="1"/>
                <w:bCs w:val="1"/>
                <w:color w:val="auto"/>
              </w:rPr>
              <w:t>LIVANOVA PLC</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15"/>
        </w:trPr>
        <w:tc>
          <w:tcPr>
            <w:tcW w:w="4700" w:type="dxa"/>
            <w:vAlign w:val="bottom"/>
          </w:tcPr>
          <w:p>
            <w:pPr>
              <w:spacing w:after="0"/>
              <w:rPr>
                <w:sz w:val="20"/>
                <w:szCs w:val="20"/>
                <w:color w:val="auto"/>
              </w:rPr>
            </w:pPr>
            <w:r>
              <w:rPr>
                <w:rFonts w:ascii="Arial" w:cs="Arial" w:eastAsia="Arial" w:hAnsi="Arial"/>
                <w:sz w:val="14"/>
                <w:szCs w:val="14"/>
                <w:b w:val="1"/>
                <w:bCs w:val="1"/>
                <w:color w:val="auto"/>
              </w:rPr>
              <w:t>QUARTERLY SALES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5"/>
        </w:trPr>
        <w:tc>
          <w:tcPr>
            <w:tcW w:w="4700" w:type="dxa"/>
            <w:vAlign w:val="bottom"/>
          </w:tcPr>
          <w:p>
            <w:pPr>
              <w:spacing w:after="0"/>
              <w:rPr>
                <w:sz w:val="20"/>
                <w:szCs w:val="20"/>
                <w:color w:val="auto"/>
              </w:rPr>
            </w:pPr>
            <w:r>
              <w:rPr>
                <w:rFonts w:ascii="Arial" w:cs="Arial" w:eastAsia="Arial" w:hAnsi="Arial"/>
                <w:sz w:val="14"/>
                <w:szCs w:val="14"/>
                <w:b w:val="1"/>
                <w:bCs w:val="1"/>
                <w:color w:val="auto"/>
              </w:rPr>
              <w:t>(U.S. dollars in millions)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49"/>
        </w:trPr>
        <w:tc>
          <w:tcPr>
            <w:tcW w:w="470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Three Months Ended June 30,</w:t>
            </w:r>
          </w:p>
        </w:tc>
        <w:tc>
          <w:tcPr>
            <w:tcW w:w="1920" w:type="dxa"/>
            <w:vAlign w:val="bottom"/>
            <w:tcBorders>
              <w:bottom w:val="single" w:sz="8" w:color="auto"/>
            </w:tcBorders>
          </w:tcPr>
          <w:p>
            <w:pPr>
              <w:spacing w:after="0"/>
              <w:rPr>
                <w:sz w:val="21"/>
                <w:szCs w:val="21"/>
                <w:color w:val="auto"/>
              </w:rPr>
            </w:pPr>
          </w:p>
        </w:tc>
      </w:tr>
      <w:tr>
        <w:trPr>
          <w:trHeight w:val="175"/>
        </w:trPr>
        <w:tc>
          <w:tcPr>
            <w:tcW w:w="4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 at Actual</w:t>
            </w:r>
          </w:p>
        </w:tc>
        <w:tc>
          <w:tcPr>
            <w:tcW w:w="192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 at Constant-</w:t>
            </w:r>
          </w:p>
        </w:tc>
      </w:tr>
      <w:tr>
        <w:trPr>
          <w:trHeight w:val="208"/>
        </w:trPr>
        <w:tc>
          <w:tcPr>
            <w:tcW w:w="4700" w:type="dxa"/>
            <w:vAlign w:val="bottom"/>
          </w:tcPr>
          <w:p>
            <w:pPr>
              <w:spacing w:after="0"/>
              <w:rPr>
                <w:sz w:val="18"/>
                <w:szCs w:val="18"/>
                <w:color w:val="auto"/>
              </w:rPr>
            </w:pPr>
          </w:p>
        </w:tc>
        <w:tc>
          <w:tcPr>
            <w:tcW w:w="1340" w:type="dxa"/>
            <w:vAlign w:val="bottom"/>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360" w:type="dxa"/>
            <w:vAlign w:val="bottom"/>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1900" w:type="dxa"/>
            <w:vAlign w:val="bottom"/>
            <w:gridSpan w:val="2"/>
          </w:tcPr>
          <w:p>
            <w:pPr>
              <w:ind w:left="360"/>
              <w:spacing w:after="0"/>
              <w:rPr>
                <w:sz w:val="20"/>
                <w:szCs w:val="20"/>
                <w:color w:val="auto"/>
              </w:rPr>
            </w:pPr>
            <w:r>
              <w:rPr>
                <w:rFonts w:ascii="Arial" w:cs="Arial" w:eastAsia="Arial" w:hAnsi="Arial"/>
                <w:sz w:val="14"/>
                <w:szCs w:val="14"/>
                <w:b w:val="1"/>
                <w:bCs w:val="1"/>
                <w:color w:val="auto"/>
              </w:rPr>
              <w:t>Currency Rates</w:t>
            </w:r>
          </w:p>
        </w:tc>
        <w:tc>
          <w:tcPr>
            <w:tcW w:w="1920" w:type="dxa"/>
            <w:vAlign w:val="bottom"/>
          </w:tcPr>
          <w:p>
            <w:pPr>
              <w:jc w:val="right"/>
              <w:ind w:right="308"/>
              <w:spacing w:after="0" w:line="207" w:lineRule="exact"/>
              <w:rPr>
                <w:sz w:val="20"/>
                <w:szCs w:val="20"/>
                <w:color w:val="auto"/>
              </w:rPr>
            </w:pPr>
            <w:r>
              <w:rPr>
                <w:rFonts w:ascii="Arial" w:cs="Arial" w:eastAsia="Arial" w:hAnsi="Arial"/>
                <w:sz w:val="14"/>
                <w:szCs w:val="14"/>
                <w:b w:val="1"/>
                <w:bCs w:val="1"/>
                <w:color w:val="auto"/>
              </w:rPr>
              <w:t>Currency Rates</w:t>
            </w:r>
            <w:r>
              <w:rPr>
                <w:rFonts w:ascii="Arial" w:cs="Arial" w:eastAsia="Arial" w:hAnsi="Arial"/>
                <w:sz w:val="19"/>
                <w:szCs w:val="19"/>
                <w:color w:val="auto"/>
                <w:vertAlign w:val="superscript"/>
              </w:rPr>
              <w:t>(1)</w:t>
            </w:r>
          </w:p>
        </w:tc>
      </w:tr>
      <w:tr>
        <w:trPr>
          <w:trHeight w:val="213"/>
        </w:trPr>
        <w:tc>
          <w:tcPr>
            <w:tcW w:w="4700" w:type="dxa"/>
            <w:vAlign w:val="bottom"/>
          </w:tcPr>
          <w:p>
            <w:pPr>
              <w:spacing w:after="0"/>
              <w:rPr>
                <w:sz w:val="20"/>
                <w:szCs w:val="20"/>
                <w:color w:val="auto"/>
              </w:rPr>
            </w:pPr>
            <w:r>
              <w:rPr>
                <w:rFonts w:ascii="Arial" w:cs="Arial" w:eastAsia="Arial" w:hAnsi="Arial"/>
                <w:sz w:val="14"/>
                <w:szCs w:val="14"/>
                <w:b w:val="1"/>
                <w:bCs w:val="1"/>
                <w:color w:val="auto"/>
              </w:rPr>
              <w:t>Cardiopulmonary</w:t>
            </w: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US</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$42.1</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Europe</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35.9</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0"/>
                <w:szCs w:val="20"/>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1.2%</w:t>
            </w:r>
          </w:p>
        </w:tc>
      </w:tr>
      <w:tr>
        <w:trPr>
          <w:trHeight w:val="249"/>
        </w:trPr>
        <w:tc>
          <w:tcPr>
            <w:tcW w:w="4700" w:type="dxa"/>
            <w:vAlign w:val="bottom"/>
          </w:tcPr>
          <w:p>
            <w:pPr>
              <w:spacing w:after="0"/>
              <w:rPr>
                <w:sz w:val="20"/>
                <w:szCs w:val="20"/>
                <w:color w:val="auto"/>
              </w:rPr>
            </w:pPr>
            <w:r>
              <w:rPr>
                <w:rFonts w:ascii="Arial" w:cs="Arial" w:eastAsia="Arial" w:hAnsi="Arial"/>
                <w:sz w:val="14"/>
                <w:szCs w:val="14"/>
                <w:color w:val="auto"/>
              </w:rPr>
              <w:t>Rest of world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58.6</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19"/>
        </w:trPr>
        <w:tc>
          <w:tcPr>
            <w:tcW w:w="4700" w:type="dxa"/>
            <w:vAlign w:val="bottom"/>
          </w:tcPr>
          <w:p>
            <w:pPr>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130.6</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136.6</w:t>
            </w: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(4.4%)</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221"/>
        </w:trPr>
        <w:tc>
          <w:tcPr>
            <w:tcW w:w="4700" w:type="dxa"/>
            <w:vAlign w:val="bottom"/>
          </w:tcPr>
          <w:p>
            <w:pPr>
              <w:spacing w:after="0"/>
              <w:rPr>
                <w:sz w:val="20"/>
                <w:szCs w:val="20"/>
                <w:color w:val="auto"/>
              </w:rPr>
            </w:pPr>
            <w:r>
              <w:rPr>
                <w:rFonts w:ascii="Arial" w:cs="Arial" w:eastAsia="Arial" w:hAnsi="Arial"/>
                <w:sz w:val="14"/>
                <w:szCs w:val="14"/>
                <w:b w:val="1"/>
                <w:bCs w:val="1"/>
                <w:color w:val="auto"/>
              </w:rPr>
              <w:t>Heart Valves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US</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Europe</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49"/>
        </w:trPr>
        <w:tc>
          <w:tcPr>
            <w:tcW w:w="4700" w:type="dxa"/>
            <w:vAlign w:val="bottom"/>
          </w:tcPr>
          <w:p>
            <w:pPr>
              <w:spacing w:after="0"/>
              <w:rPr>
                <w:sz w:val="20"/>
                <w:szCs w:val="20"/>
                <w:color w:val="auto"/>
              </w:rPr>
            </w:pPr>
            <w:r>
              <w:rPr>
                <w:rFonts w:ascii="Arial" w:cs="Arial" w:eastAsia="Arial" w:hAnsi="Arial"/>
                <w:sz w:val="14"/>
                <w:szCs w:val="14"/>
                <w:color w:val="auto"/>
              </w:rPr>
              <w:t>Rest of world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15.8</w:t>
            </w:r>
          </w:p>
        </w:tc>
        <w:tc>
          <w:tcPr>
            <w:tcW w:w="1900" w:type="dxa"/>
            <w:vAlign w:val="bottom"/>
            <w:gridSpan w:val="2"/>
          </w:tcPr>
          <w:p>
            <w:pPr>
              <w:jc w:val="right"/>
              <w:ind w:right="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1"/>
                <w:szCs w:val="21"/>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22.9%</w:t>
            </w:r>
          </w:p>
        </w:tc>
      </w:tr>
      <w:tr>
        <w:trPr>
          <w:trHeight w:val="219"/>
        </w:trPr>
        <w:tc>
          <w:tcPr>
            <w:tcW w:w="4700" w:type="dxa"/>
            <w:vAlign w:val="bottom"/>
          </w:tcPr>
          <w:p>
            <w:pPr>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33.8</w:t>
            </w: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9"/>
                <w:szCs w:val="19"/>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b w:val="1"/>
                <w:bCs w:val="1"/>
                <w:color w:val="auto"/>
              </w:rPr>
              <w:t>4.6%</w:t>
            </w:r>
          </w:p>
        </w:tc>
      </w:tr>
      <w:tr>
        <w:trPr>
          <w:trHeight w:val="221"/>
        </w:trPr>
        <w:tc>
          <w:tcPr>
            <w:tcW w:w="4700" w:type="dxa"/>
            <w:vAlign w:val="bottom"/>
          </w:tcPr>
          <w:p>
            <w:pPr>
              <w:spacing w:after="0"/>
              <w:rPr>
                <w:sz w:val="20"/>
                <w:szCs w:val="20"/>
                <w:color w:val="auto"/>
              </w:rPr>
            </w:pPr>
            <w:r>
              <w:rPr>
                <w:rFonts w:ascii="Arial" w:cs="Arial" w:eastAsia="Arial" w:hAnsi="Arial"/>
                <w:sz w:val="14"/>
                <w:szCs w:val="14"/>
                <w:b w:val="1"/>
                <w:bCs w:val="1"/>
                <w:color w:val="auto"/>
              </w:rPr>
              <w:t>Advanced Circulatory Support</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US</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900" w:type="dxa"/>
            <w:vAlign w:val="bottom"/>
            <w:gridSpan w:val="2"/>
          </w:tcPr>
          <w:p>
            <w:pPr>
              <w:jc w:val="right"/>
              <w:ind w:right="8"/>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20"/>
                <w:szCs w:val="20"/>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45.3%</w:t>
            </w: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Europe</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(44.5%)</w:t>
            </w:r>
          </w:p>
        </w:tc>
      </w:tr>
      <w:tr>
        <w:trPr>
          <w:trHeight w:val="249"/>
        </w:trPr>
        <w:tc>
          <w:tcPr>
            <w:tcW w:w="4700" w:type="dxa"/>
            <w:vAlign w:val="bottom"/>
          </w:tcPr>
          <w:p>
            <w:pPr>
              <w:spacing w:after="0"/>
              <w:rPr>
                <w:sz w:val="20"/>
                <w:szCs w:val="20"/>
                <w:color w:val="auto"/>
              </w:rPr>
            </w:pPr>
            <w:r>
              <w:rPr>
                <w:rFonts w:ascii="Arial" w:cs="Arial" w:eastAsia="Arial" w:hAnsi="Arial"/>
                <w:sz w:val="14"/>
                <w:szCs w:val="14"/>
                <w:color w:val="auto"/>
              </w:rPr>
              <w:t>Rest of world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219"/>
        </w:trPr>
        <w:tc>
          <w:tcPr>
            <w:tcW w:w="4700" w:type="dxa"/>
            <w:vAlign w:val="bottom"/>
          </w:tcPr>
          <w:p>
            <w:pPr>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w:t>
            </w:r>
          </w:p>
        </w:tc>
        <w:tc>
          <w:tcPr>
            <w:tcW w:w="1900" w:type="dxa"/>
            <w:vAlign w:val="bottom"/>
            <w:gridSpan w:val="2"/>
          </w:tcPr>
          <w:p>
            <w:pPr>
              <w:jc w:val="right"/>
              <w:ind w:right="8"/>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9"/>
                <w:szCs w:val="19"/>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b w:val="1"/>
                <w:bCs w:val="1"/>
                <w:color w:val="auto"/>
              </w:rPr>
              <w:t>38.3%</w:t>
            </w:r>
          </w:p>
        </w:tc>
      </w:tr>
      <w:tr>
        <w:trPr>
          <w:trHeight w:val="221"/>
        </w:trPr>
        <w:tc>
          <w:tcPr>
            <w:tcW w:w="4700" w:type="dxa"/>
            <w:vAlign w:val="bottom"/>
          </w:tcPr>
          <w:p>
            <w:pPr>
              <w:spacing w:after="0"/>
              <w:rPr>
                <w:sz w:val="20"/>
                <w:szCs w:val="20"/>
                <w:color w:val="auto"/>
              </w:rPr>
            </w:pPr>
            <w:r>
              <w:rPr>
                <w:rFonts w:ascii="Arial" w:cs="Arial" w:eastAsia="Arial" w:hAnsi="Arial"/>
                <w:sz w:val="14"/>
                <w:szCs w:val="14"/>
                <w:b w:val="1"/>
                <w:bCs w:val="1"/>
                <w:color w:val="auto"/>
              </w:rPr>
              <w:t>Cardiovascular</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US</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53.8</w:t>
            </w:r>
          </w:p>
        </w:tc>
        <w:tc>
          <w:tcPr>
            <w:tcW w:w="1900" w:type="dxa"/>
            <w:vAlign w:val="bottom"/>
            <w:gridSpan w:val="2"/>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0"/>
                <w:szCs w:val="20"/>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0.5%</w:t>
            </w: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Europe</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48.1</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49"/>
        </w:trPr>
        <w:tc>
          <w:tcPr>
            <w:tcW w:w="4700" w:type="dxa"/>
            <w:vAlign w:val="bottom"/>
          </w:tcPr>
          <w:p>
            <w:pPr>
              <w:spacing w:after="0"/>
              <w:rPr>
                <w:sz w:val="20"/>
                <w:szCs w:val="20"/>
                <w:color w:val="auto"/>
              </w:rPr>
            </w:pPr>
            <w:r>
              <w:rPr>
                <w:rFonts w:ascii="Arial" w:cs="Arial" w:eastAsia="Arial" w:hAnsi="Arial"/>
                <w:sz w:val="14"/>
                <w:szCs w:val="14"/>
                <w:color w:val="auto"/>
              </w:rPr>
              <w:t>Rest of world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73.0</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74.6</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1"/>
                <w:szCs w:val="21"/>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2.8%</w:t>
            </w:r>
          </w:p>
        </w:tc>
      </w:tr>
      <w:tr>
        <w:trPr>
          <w:trHeight w:val="219"/>
        </w:trPr>
        <w:tc>
          <w:tcPr>
            <w:tcW w:w="4700" w:type="dxa"/>
            <w:vAlign w:val="bottom"/>
          </w:tcPr>
          <w:p>
            <w:pPr>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172.2</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176.5</w:t>
            </w: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9"/>
                <w:szCs w:val="19"/>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b w:val="1"/>
                <w:bCs w:val="1"/>
                <w:color w:val="auto"/>
              </w:rPr>
              <w:t>1.2%</w:t>
            </w:r>
          </w:p>
        </w:tc>
      </w:tr>
      <w:tr>
        <w:trPr>
          <w:trHeight w:val="221"/>
        </w:trPr>
        <w:tc>
          <w:tcPr>
            <w:tcW w:w="4700" w:type="dxa"/>
            <w:vAlign w:val="bottom"/>
          </w:tcPr>
          <w:p>
            <w:pPr>
              <w:spacing w:after="0"/>
              <w:rPr>
                <w:sz w:val="20"/>
                <w:szCs w:val="20"/>
                <w:color w:val="auto"/>
              </w:rPr>
            </w:pPr>
            <w:r>
              <w:rPr>
                <w:rFonts w:ascii="Arial" w:cs="Arial" w:eastAsia="Arial" w:hAnsi="Arial"/>
                <w:sz w:val="14"/>
                <w:szCs w:val="14"/>
                <w:b w:val="1"/>
                <w:bCs w:val="1"/>
                <w:color w:val="auto"/>
              </w:rPr>
              <w:t>Neuromodulation</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US</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89.4</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Europe</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900" w:type="dxa"/>
            <w:vAlign w:val="bottom"/>
            <w:gridSpan w:val="2"/>
          </w:tcPr>
          <w:p>
            <w:pPr>
              <w:jc w:val="right"/>
              <w:ind w:right="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0"/>
                <w:szCs w:val="20"/>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15.5%</w:t>
            </w:r>
          </w:p>
        </w:tc>
      </w:tr>
      <w:tr>
        <w:trPr>
          <w:trHeight w:val="249"/>
        </w:trPr>
        <w:tc>
          <w:tcPr>
            <w:tcW w:w="4700" w:type="dxa"/>
            <w:vAlign w:val="bottom"/>
          </w:tcPr>
          <w:p>
            <w:pPr>
              <w:spacing w:after="0"/>
              <w:rPr>
                <w:sz w:val="20"/>
                <w:szCs w:val="20"/>
                <w:color w:val="auto"/>
              </w:rPr>
            </w:pPr>
            <w:r>
              <w:rPr>
                <w:rFonts w:ascii="Arial" w:cs="Arial" w:eastAsia="Arial" w:hAnsi="Arial"/>
                <w:sz w:val="14"/>
                <w:szCs w:val="14"/>
                <w:color w:val="auto"/>
              </w:rPr>
              <w:t>Rest of world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w:t>
            </w:r>
          </w:p>
        </w:tc>
        <w:tc>
          <w:tcPr>
            <w:tcW w:w="1900" w:type="dxa"/>
            <w:vAlign w:val="bottom"/>
            <w:gridSpan w:val="2"/>
          </w:tcPr>
          <w:p>
            <w:pPr>
              <w:jc w:val="right"/>
              <w:ind w:right="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1"/>
                <w:szCs w:val="21"/>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18.5%</w:t>
            </w:r>
          </w:p>
        </w:tc>
      </w:tr>
      <w:tr>
        <w:trPr>
          <w:trHeight w:val="219"/>
        </w:trPr>
        <w:tc>
          <w:tcPr>
            <w:tcW w:w="4700" w:type="dxa"/>
            <w:vAlign w:val="bottom"/>
          </w:tcPr>
          <w:p>
            <w:pPr>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104.3</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110.7</w:t>
            </w: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(5.8%)</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(4.8%)</w:t>
            </w:r>
          </w:p>
        </w:tc>
      </w:tr>
      <w:tr>
        <w:trPr>
          <w:trHeight w:val="221"/>
        </w:trPr>
        <w:tc>
          <w:tcPr>
            <w:tcW w:w="4700" w:type="dxa"/>
            <w:vAlign w:val="bottom"/>
          </w:tcPr>
          <w:p>
            <w:pPr>
              <w:spacing w:after="0"/>
              <w:rPr>
                <w:sz w:val="20"/>
                <w:szCs w:val="20"/>
                <w:color w:val="auto"/>
              </w:rPr>
            </w:pPr>
            <w:r>
              <w:rPr>
                <w:rFonts w:ascii="Arial" w:cs="Arial" w:eastAsia="Arial" w:hAnsi="Arial"/>
                <w:sz w:val="14"/>
                <w:szCs w:val="14"/>
                <w:b w:val="1"/>
                <w:bCs w:val="1"/>
                <w:color w:val="auto"/>
              </w:rPr>
              <w:t>Other</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US</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900" w:type="dxa"/>
            <w:vAlign w:val="bottom"/>
            <w:gridSpan w:val="2"/>
          </w:tcPr>
          <w:p>
            <w:pPr>
              <w:ind w:left="1360"/>
              <w:spacing w:after="0"/>
              <w:rPr>
                <w:sz w:val="20"/>
                <w:szCs w:val="20"/>
                <w:color w:val="auto"/>
              </w:rPr>
            </w:pPr>
            <w:r>
              <w:rPr>
                <w:rFonts w:ascii="Arial" w:cs="Arial" w:eastAsia="Arial" w:hAnsi="Arial"/>
                <w:sz w:val="14"/>
                <w:szCs w:val="14"/>
                <w:color w:val="auto"/>
              </w:rPr>
              <w:t>N/A</w:t>
            </w:r>
          </w:p>
        </w:tc>
        <w:tc>
          <w:tcPr>
            <w:tcW w:w="1920" w:type="dxa"/>
            <w:vAlign w:val="bottom"/>
          </w:tcPr>
          <w:p>
            <w:pPr>
              <w:jc w:val="right"/>
              <w:ind w:right="148"/>
              <w:spacing w:after="0"/>
              <w:rPr>
                <w:sz w:val="20"/>
                <w:szCs w:val="20"/>
                <w:color w:val="auto"/>
              </w:rPr>
            </w:pPr>
            <w:r>
              <w:rPr>
                <w:rFonts w:ascii="Arial" w:cs="Arial" w:eastAsia="Arial" w:hAnsi="Arial"/>
                <w:sz w:val="14"/>
                <w:szCs w:val="14"/>
                <w:color w:val="auto"/>
              </w:rPr>
              <w:t>N/A</w:t>
            </w: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Europe</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900" w:type="dxa"/>
            <w:vAlign w:val="bottom"/>
            <w:gridSpan w:val="2"/>
          </w:tcPr>
          <w:p>
            <w:pPr>
              <w:ind w:left="1360"/>
              <w:spacing w:after="0"/>
              <w:rPr>
                <w:sz w:val="20"/>
                <w:szCs w:val="20"/>
                <w:color w:val="auto"/>
              </w:rPr>
            </w:pPr>
            <w:r>
              <w:rPr>
                <w:rFonts w:ascii="Arial" w:cs="Arial" w:eastAsia="Arial" w:hAnsi="Arial"/>
                <w:sz w:val="14"/>
                <w:szCs w:val="14"/>
                <w:color w:val="auto"/>
              </w:rPr>
              <w:t>N/A</w:t>
            </w:r>
          </w:p>
        </w:tc>
        <w:tc>
          <w:tcPr>
            <w:tcW w:w="1920" w:type="dxa"/>
            <w:vAlign w:val="bottom"/>
          </w:tcPr>
          <w:p>
            <w:pPr>
              <w:jc w:val="right"/>
              <w:ind w:right="148"/>
              <w:spacing w:after="0"/>
              <w:rPr>
                <w:sz w:val="20"/>
                <w:szCs w:val="20"/>
                <w:color w:val="auto"/>
              </w:rPr>
            </w:pPr>
            <w:r>
              <w:rPr>
                <w:rFonts w:ascii="Arial" w:cs="Arial" w:eastAsia="Arial" w:hAnsi="Arial"/>
                <w:sz w:val="14"/>
                <w:szCs w:val="14"/>
                <w:color w:val="auto"/>
              </w:rPr>
              <w:t>N/A</w:t>
            </w:r>
          </w:p>
        </w:tc>
      </w:tr>
      <w:tr>
        <w:trPr>
          <w:trHeight w:val="249"/>
        </w:trPr>
        <w:tc>
          <w:tcPr>
            <w:tcW w:w="4700" w:type="dxa"/>
            <w:vAlign w:val="bottom"/>
          </w:tcPr>
          <w:p>
            <w:pPr>
              <w:spacing w:after="0"/>
              <w:rPr>
                <w:sz w:val="20"/>
                <w:szCs w:val="20"/>
                <w:color w:val="auto"/>
              </w:rPr>
            </w:pPr>
            <w:r>
              <w:rPr>
                <w:rFonts w:ascii="Arial" w:cs="Arial" w:eastAsia="Arial" w:hAnsi="Arial"/>
                <w:sz w:val="14"/>
                <w:szCs w:val="14"/>
                <w:color w:val="auto"/>
              </w:rPr>
              <w:t>Rest of world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1"/>
                <w:szCs w:val="21"/>
                <w:color w:val="auto"/>
              </w:rPr>
            </w:pPr>
          </w:p>
        </w:tc>
        <w:tc>
          <w:tcPr>
            <w:tcW w:w="1900" w:type="dxa"/>
            <w:vAlign w:val="bottom"/>
            <w:gridSpan w:val="2"/>
          </w:tcPr>
          <w:p>
            <w:pPr>
              <w:ind w:left="1360"/>
              <w:spacing w:after="0"/>
              <w:rPr>
                <w:sz w:val="20"/>
                <w:szCs w:val="20"/>
                <w:color w:val="auto"/>
              </w:rPr>
            </w:pPr>
            <w:r>
              <w:rPr>
                <w:rFonts w:ascii="Arial" w:cs="Arial" w:eastAsia="Arial" w:hAnsi="Arial"/>
                <w:sz w:val="14"/>
                <w:szCs w:val="14"/>
                <w:color w:val="auto"/>
              </w:rPr>
              <w:t>N/A</w:t>
            </w:r>
          </w:p>
        </w:tc>
        <w:tc>
          <w:tcPr>
            <w:tcW w:w="1920" w:type="dxa"/>
            <w:vAlign w:val="bottom"/>
          </w:tcPr>
          <w:p>
            <w:pPr>
              <w:jc w:val="right"/>
              <w:ind w:right="148"/>
              <w:spacing w:after="0"/>
              <w:rPr>
                <w:sz w:val="20"/>
                <w:szCs w:val="20"/>
                <w:color w:val="auto"/>
              </w:rPr>
            </w:pPr>
            <w:r>
              <w:rPr>
                <w:rFonts w:ascii="Arial" w:cs="Arial" w:eastAsia="Arial" w:hAnsi="Arial"/>
                <w:sz w:val="14"/>
                <w:szCs w:val="14"/>
                <w:color w:val="auto"/>
              </w:rPr>
              <w:t>N/A</w:t>
            </w:r>
          </w:p>
        </w:tc>
      </w:tr>
      <w:tr>
        <w:trPr>
          <w:trHeight w:val="219"/>
        </w:trPr>
        <w:tc>
          <w:tcPr>
            <w:tcW w:w="4700" w:type="dxa"/>
            <w:vAlign w:val="bottom"/>
          </w:tcPr>
          <w:p>
            <w:pPr>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9"/>
                <w:szCs w:val="19"/>
                <w:color w:val="auto"/>
              </w:rPr>
            </w:pPr>
          </w:p>
        </w:tc>
        <w:tc>
          <w:tcPr>
            <w:tcW w:w="1900" w:type="dxa"/>
            <w:vAlign w:val="bottom"/>
            <w:gridSpan w:val="2"/>
          </w:tcPr>
          <w:p>
            <w:pPr>
              <w:ind w:left="1360"/>
              <w:spacing w:after="0"/>
              <w:rPr>
                <w:sz w:val="20"/>
                <w:szCs w:val="20"/>
                <w:color w:val="auto"/>
              </w:rPr>
            </w:pPr>
            <w:r>
              <w:rPr>
                <w:rFonts w:ascii="Arial" w:cs="Arial" w:eastAsia="Arial" w:hAnsi="Arial"/>
                <w:sz w:val="14"/>
                <w:szCs w:val="14"/>
                <w:color w:val="auto"/>
              </w:rPr>
              <w:t>N/A</w:t>
            </w:r>
          </w:p>
        </w:tc>
        <w:tc>
          <w:tcPr>
            <w:tcW w:w="1920" w:type="dxa"/>
            <w:vAlign w:val="bottom"/>
          </w:tcPr>
          <w:p>
            <w:pPr>
              <w:jc w:val="right"/>
              <w:ind w:right="148"/>
              <w:spacing w:after="0"/>
              <w:rPr>
                <w:sz w:val="20"/>
                <w:szCs w:val="20"/>
                <w:color w:val="auto"/>
              </w:rPr>
            </w:pPr>
            <w:r>
              <w:rPr>
                <w:rFonts w:ascii="Arial" w:cs="Arial" w:eastAsia="Arial" w:hAnsi="Arial"/>
                <w:sz w:val="14"/>
                <w:szCs w:val="14"/>
                <w:color w:val="auto"/>
              </w:rPr>
              <w:t>N/A</w:t>
            </w:r>
          </w:p>
        </w:tc>
      </w:tr>
      <w:tr>
        <w:trPr>
          <w:trHeight w:val="221"/>
        </w:trPr>
        <w:tc>
          <w:tcPr>
            <w:tcW w:w="4700" w:type="dxa"/>
            <w:vAlign w:val="bottom"/>
          </w:tcPr>
          <w:p>
            <w:pPr>
              <w:spacing w:after="0"/>
              <w:rPr>
                <w:sz w:val="20"/>
                <w:szCs w:val="20"/>
                <w:color w:val="auto"/>
              </w:rPr>
            </w:pPr>
            <w:r>
              <w:rPr>
                <w:rFonts w:ascii="Arial" w:cs="Arial" w:eastAsia="Arial" w:hAnsi="Arial"/>
                <w:sz w:val="14"/>
                <w:szCs w:val="14"/>
                <w:b w:val="1"/>
                <w:bCs w:val="1"/>
                <w:color w:val="auto"/>
              </w:rPr>
              <w:t>Totals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US</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134.6</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143.1</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Europe</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60.1</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0"/>
                <w:szCs w:val="20"/>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2.5%</w:t>
            </w:r>
          </w:p>
        </w:tc>
      </w:tr>
      <w:tr>
        <w:trPr>
          <w:trHeight w:val="249"/>
        </w:trPr>
        <w:tc>
          <w:tcPr>
            <w:tcW w:w="4700" w:type="dxa"/>
            <w:vAlign w:val="bottom"/>
          </w:tcPr>
          <w:p>
            <w:pPr>
              <w:spacing w:after="0"/>
              <w:rPr>
                <w:sz w:val="20"/>
                <w:szCs w:val="20"/>
                <w:color w:val="auto"/>
              </w:rPr>
            </w:pPr>
            <w:r>
              <w:rPr>
                <w:rFonts w:ascii="Arial" w:cs="Arial" w:eastAsia="Arial" w:hAnsi="Arial"/>
                <w:sz w:val="14"/>
                <w:szCs w:val="14"/>
                <w:color w:val="auto"/>
              </w:rPr>
              <w:t>Rest of world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84.4</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84.3</w:t>
            </w:r>
          </w:p>
        </w:tc>
        <w:tc>
          <w:tcPr>
            <w:tcW w:w="1900" w:type="dxa"/>
            <w:vAlign w:val="bottom"/>
            <w:gridSpan w:val="2"/>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1"/>
                <w:szCs w:val="21"/>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4.9%</w:t>
            </w:r>
          </w:p>
        </w:tc>
      </w:tr>
      <w:tr>
        <w:trPr>
          <w:trHeight w:val="236"/>
        </w:trPr>
        <w:tc>
          <w:tcPr>
            <w:tcW w:w="4700" w:type="dxa"/>
            <w:vAlign w:val="bottom"/>
          </w:tcPr>
          <w:p>
            <w:pPr>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$277.2</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$287.5</w:t>
            </w: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(3.6%)</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r>
        <w:trPr>
          <w:trHeight w:val="20"/>
        </w:trPr>
        <w:tc>
          <w:tcPr>
            <w:tcW w:w="47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91" w:lineRule="exact"/>
        <w:rPr>
          <w:sz w:val="20"/>
          <w:szCs w:val="20"/>
          <w:color w:val="auto"/>
        </w:rPr>
      </w:pPr>
    </w:p>
    <w:p>
      <w:pPr>
        <w:ind w:left="320" w:right="40" w:hanging="320"/>
        <w:spacing w:after="0" w:line="238" w:lineRule="auto"/>
        <w:tabs>
          <w:tab w:leader="none" w:pos="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Constant-currency growth, a non-GAAP financial measure, measures the change in sales between current and prior-year periods using average exchange rates in effect during the applicable prior-year period.</w:t>
      </w:r>
    </w:p>
    <w:p>
      <w:pPr>
        <w:spacing w:after="0" w:line="38" w:lineRule="exact"/>
        <w:rPr>
          <w:sz w:val="20"/>
          <w:szCs w:val="20"/>
          <w:color w:val="auto"/>
        </w:rPr>
      </w:pPr>
    </w:p>
    <w:p>
      <w:pPr>
        <w:ind w:left="320" w:hanging="320"/>
        <w:spacing w:after="0"/>
        <w:tabs>
          <w:tab w:leader="none" w:pos="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sales results presented are unaudited. Numbers may not add up precisely due to rounding.</w:t>
      </w: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420"/>
          </w:cols>
          <w:pgMar w:left="260" w:top="709" w:right="2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20"/>
                <w:szCs w:val="20"/>
                <w:color w:val="auto"/>
              </w:rPr>
            </w:pPr>
            <w:r>
              <w:rPr>
                <w:rFonts w:ascii="Arial" w:cs="Arial" w:eastAsia="Arial" w:hAnsi="Arial"/>
                <w:sz w:val="14"/>
                <w:szCs w:val="14"/>
                <w:b w:val="1"/>
                <w:bCs w:val="1"/>
                <w:color w:val="auto"/>
              </w:rPr>
              <w:t>LIVANOVA PLC</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15"/>
        </w:trPr>
        <w:tc>
          <w:tcPr>
            <w:tcW w:w="4700" w:type="dxa"/>
            <w:vAlign w:val="bottom"/>
          </w:tcPr>
          <w:p>
            <w:pPr>
              <w:spacing w:after="0"/>
              <w:rPr>
                <w:sz w:val="20"/>
                <w:szCs w:val="20"/>
                <w:color w:val="auto"/>
              </w:rPr>
            </w:pPr>
            <w:r>
              <w:rPr>
                <w:rFonts w:ascii="Arial" w:cs="Arial" w:eastAsia="Arial" w:hAnsi="Arial"/>
                <w:sz w:val="14"/>
                <w:szCs w:val="14"/>
                <w:b w:val="1"/>
                <w:bCs w:val="1"/>
                <w:color w:val="auto"/>
              </w:rPr>
              <w:t>SIX MONTH SALES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5"/>
        </w:trPr>
        <w:tc>
          <w:tcPr>
            <w:tcW w:w="4700" w:type="dxa"/>
            <w:vAlign w:val="bottom"/>
          </w:tcPr>
          <w:p>
            <w:pPr>
              <w:spacing w:after="0"/>
              <w:rPr>
                <w:sz w:val="20"/>
                <w:szCs w:val="20"/>
                <w:color w:val="auto"/>
              </w:rPr>
            </w:pPr>
            <w:r>
              <w:rPr>
                <w:rFonts w:ascii="Arial" w:cs="Arial" w:eastAsia="Arial" w:hAnsi="Arial"/>
                <w:sz w:val="14"/>
                <w:szCs w:val="14"/>
                <w:b w:val="1"/>
                <w:bCs w:val="1"/>
                <w:color w:val="auto"/>
              </w:rPr>
              <w:t>(U.S. dollars in millions)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49"/>
        </w:trPr>
        <w:tc>
          <w:tcPr>
            <w:tcW w:w="470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4"/>
          </w:tcPr>
          <w:p>
            <w:pPr>
              <w:ind w:left="1000"/>
              <w:spacing w:after="0"/>
              <w:rPr>
                <w:sz w:val="20"/>
                <w:szCs w:val="20"/>
                <w:color w:val="auto"/>
              </w:rPr>
            </w:pPr>
            <w:r>
              <w:rPr>
                <w:rFonts w:ascii="Arial" w:cs="Arial" w:eastAsia="Arial" w:hAnsi="Arial"/>
                <w:sz w:val="14"/>
                <w:szCs w:val="14"/>
                <w:b w:val="1"/>
                <w:bCs w:val="1"/>
                <w:color w:val="auto"/>
              </w:rPr>
              <w:t>Six Months Ended June 30,</w:t>
            </w:r>
          </w:p>
        </w:tc>
        <w:tc>
          <w:tcPr>
            <w:tcW w:w="1920" w:type="dxa"/>
            <w:vAlign w:val="bottom"/>
            <w:tcBorders>
              <w:bottom w:val="single" w:sz="8" w:color="auto"/>
            </w:tcBorders>
          </w:tcPr>
          <w:p>
            <w:pPr>
              <w:spacing w:after="0"/>
              <w:rPr>
                <w:sz w:val="21"/>
                <w:szCs w:val="21"/>
                <w:color w:val="auto"/>
              </w:rPr>
            </w:pPr>
          </w:p>
        </w:tc>
      </w:tr>
      <w:tr>
        <w:trPr>
          <w:trHeight w:val="175"/>
        </w:trPr>
        <w:tc>
          <w:tcPr>
            <w:tcW w:w="4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 at Actual</w:t>
            </w:r>
          </w:p>
        </w:tc>
        <w:tc>
          <w:tcPr>
            <w:tcW w:w="192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 at Constant-</w:t>
            </w:r>
          </w:p>
        </w:tc>
      </w:tr>
      <w:tr>
        <w:trPr>
          <w:trHeight w:val="208"/>
        </w:trPr>
        <w:tc>
          <w:tcPr>
            <w:tcW w:w="4700" w:type="dxa"/>
            <w:vAlign w:val="bottom"/>
          </w:tcPr>
          <w:p>
            <w:pPr>
              <w:spacing w:after="0"/>
              <w:rPr>
                <w:sz w:val="18"/>
                <w:szCs w:val="18"/>
                <w:color w:val="auto"/>
              </w:rPr>
            </w:pPr>
          </w:p>
        </w:tc>
        <w:tc>
          <w:tcPr>
            <w:tcW w:w="1340" w:type="dxa"/>
            <w:vAlign w:val="bottom"/>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360" w:type="dxa"/>
            <w:vAlign w:val="bottom"/>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1900" w:type="dxa"/>
            <w:vAlign w:val="bottom"/>
            <w:gridSpan w:val="2"/>
          </w:tcPr>
          <w:p>
            <w:pPr>
              <w:ind w:left="360"/>
              <w:spacing w:after="0"/>
              <w:rPr>
                <w:sz w:val="20"/>
                <w:szCs w:val="20"/>
                <w:color w:val="auto"/>
              </w:rPr>
            </w:pPr>
            <w:r>
              <w:rPr>
                <w:rFonts w:ascii="Arial" w:cs="Arial" w:eastAsia="Arial" w:hAnsi="Arial"/>
                <w:sz w:val="14"/>
                <w:szCs w:val="14"/>
                <w:b w:val="1"/>
                <w:bCs w:val="1"/>
                <w:color w:val="auto"/>
              </w:rPr>
              <w:t>Currency Rates</w:t>
            </w:r>
          </w:p>
        </w:tc>
        <w:tc>
          <w:tcPr>
            <w:tcW w:w="1920" w:type="dxa"/>
            <w:vAlign w:val="bottom"/>
          </w:tcPr>
          <w:p>
            <w:pPr>
              <w:jc w:val="right"/>
              <w:ind w:right="308"/>
              <w:spacing w:after="0" w:line="207" w:lineRule="exact"/>
              <w:rPr>
                <w:sz w:val="20"/>
                <w:szCs w:val="20"/>
                <w:color w:val="auto"/>
              </w:rPr>
            </w:pPr>
            <w:r>
              <w:rPr>
                <w:rFonts w:ascii="Arial" w:cs="Arial" w:eastAsia="Arial" w:hAnsi="Arial"/>
                <w:sz w:val="14"/>
                <w:szCs w:val="14"/>
                <w:b w:val="1"/>
                <w:bCs w:val="1"/>
                <w:color w:val="auto"/>
              </w:rPr>
              <w:t>Currency Rates</w:t>
            </w:r>
            <w:r>
              <w:rPr>
                <w:rFonts w:ascii="Arial" w:cs="Arial" w:eastAsia="Arial" w:hAnsi="Arial"/>
                <w:sz w:val="19"/>
                <w:szCs w:val="19"/>
                <w:color w:val="auto"/>
                <w:vertAlign w:val="superscript"/>
              </w:rPr>
              <w:t>(1)</w:t>
            </w:r>
          </w:p>
        </w:tc>
      </w:tr>
      <w:tr>
        <w:trPr>
          <w:trHeight w:val="213"/>
        </w:trPr>
        <w:tc>
          <w:tcPr>
            <w:tcW w:w="4700" w:type="dxa"/>
            <w:vAlign w:val="bottom"/>
          </w:tcPr>
          <w:p>
            <w:pPr>
              <w:spacing w:after="0"/>
              <w:rPr>
                <w:sz w:val="20"/>
                <w:szCs w:val="20"/>
                <w:color w:val="auto"/>
              </w:rPr>
            </w:pPr>
            <w:r>
              <w:rPr>
                <w:rFonts w:ascii="Arial" w:cs="Arial" w:eastAsia="Arial" w:hAnsi="Arial"/>
                <w:sz w:val="14"/>
                <w:szCs w:val="14"/>
                <w:b w:val="1"/>
                <w:bCs w:val="1"/>
                <w:color w:val="auto"/>
              </w:rPr>
              <w:t>Cardiopulmonary</w:t>
            </w: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US</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$80.6</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Europe</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69.9</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72.8</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0"/>
                <w:szCs w:val="20"/>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2.8%</w:t>
            </w:r>
          </w:p>
        </w:tc>
      </w:tr>
      <w:tr>
        <w:trPr>
          <w:trHeight w:val="249"/>
        </w:trPr>
        <w:tc>
          <w:tcPr>
            <w:tcW w:w="4700" w:type="dxa"/>
            <w:vAlign w:val="bottom"/>
          </w:tcPr>
          <w:p>
            <w:pPr>
              <w:spacing w:after="0"/>
              <w:rPr>
                <w:sz w:val="20"/>
                <w:szCs w:val="20"/>
                <w:color w:val="auto"/>
              </w:rPr>
            </w:pPr>
            <w:r>
              <w:rPr>
                <w:rFonts w:ascii="Arial" w:cs="Arial" w:eastAsia="Arial" w:hAnsi="Arial"/>
                <w:sz w:val="14"/>
                <w:szCs w:val="14"/>
                <w:color w:val="auto"/>
              </w:rPr>
              <w:t>Rest of world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101.7</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108.4</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19"/>
        </w:trPr>
        <w:tc>
          <w:tcPr>
            <w:tcW w:w="4700" w:type="dxa"/>
            <w:vAlign w:val="bottom"/>
          </w:tcPr>
          <w:p>
            <w:pPr>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252.1</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261.8</w:t>
            </w: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19"/>
                <w:szCs w:val="19"/>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b w:val="1"/>
                <w:bCs w:val="1"/>
                <w:color w:val="auto"/>
              </w:rPr>
              <w:t>0.5%</w:t>
            </w:r>
          </w:p>
        </w:tc>
      </w:tr>
      <w:tr>
        <w:trPr>
          <w:trHeight w:val="221"/>
        </w:trPr>
        <w:tc>
          <w:tcPr>
            <w:tcW w:w="4700" w:type="dxa"/>
            <w:vAlign w:val="bottom"/>
          </w:tcPr>
          <w:p>
            <w:pPr>
              <w:spacing w:after="0"/>
              <w:rPr>
                <w:sz w:val="20"/>
                <w:szCs w:val="20"/>
                <w:color w:val="auto"/>
              </w:rPr>
            </w:pPr>
            <w:r>
              <w:rPr>
                <w:rFonts w:ascii="Arial" w:cs="Arial" w:eastAsia="Arial" w:hAnsi="Arial"/>
                <w:sz w:val="14"/>
                <w:szCs w:val="14"/>
                <w:b w:val="1"/>
                <w:bCs w:val="1"/>
                <w:color w:val="auto"/>
              </w:rPr>
              <w:t>Heart Valves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US</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(28.8%)</w:t>
            </w: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Europe</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24.0</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49"/>
        </w:trPr>
        <w:tc>
          <w:tcPr>
            <w:tcW w:w="4700" w:type="dxa"/>
            <w:vAlign w:val="bottom"/>
          </w:tcPr>
          <w:p>
            <w:pPr>
              <w:spacing w:after="0"/>
              <w:rPr>
                <w:sz w:val="20"/>
                <w:szCs w:val="20"/>
                <w:color w:val="auto"/>
              </w:rPr>
            </w:pPr>
            <w:r>
              <w:rPr>
                <w:rFonts w:ascii="Arial" w:cs="Arial" w:eastAsia="Arial" w:hAnsi="Arial"/>
                <w:sz w:val="14"/>
                <w:szCs w:val="14"/>
                <w:color w:val="auto"/>
              </w:rPr>
              <w:t>Rest of world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28.2</w:t>
            </w:r>
          </w:p>
        </w:tc>
        <w:tc>
          <w:tcPr>
            <w:tcW w:w="1900" w:type="dxa"/>
            <w:vAlign w:val="bottom"/>
            <w:gridSpan w:val="2"/>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1"/>
                <w:szCs w:val="21"/>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10.9%</w:t>
            </w:r>
          </w:p>
        </w:tc>
      </w:tr>
      <w:tr>
        <w:trPr>
          <w:trHeight w:val="219"/>
        </w:trPr>
        <w:tc>
          <w:tcPr>
            <w:tcW w:w="4700" w:type="dxa"/>
            <w:vAlign w:val="bottom"/>
          </w:tcPr>
          <w:p>
            <w:pPr>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64.8</w:t>
            </w: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21"/>
        </w:trPr>
        <w:tc>
          <w:tcPr>
            <w:tcW w:w="4700" w:type="dxa"/>
            <w:vAlign w:val="bottom"/>
          </w:tcPr>
          <w:p>
            <w:pPr>
              <w:spacing w:after="0"/>
              <w:rPr>
                <w:sz w:val="20"/>
                <w:szCs w:val="20"/>
                <w:color w:val="auto"/>
              </w:rPr>
            </w:pPr>
            <w:r>
              <w:rPr>
                <w:rFonts w:ascii="Arial" w:cs="Arial" w:eastAsia="Arial" w:hAnsi="Arial"/>
                <w:sz w:val="14"/>
                <w:szCs w:val="14"/>
                <w:b w:val="1"/>
                <w:bCs w:val="1"/>
                <w:color w:val="auto"/>
              </w:rPr>
              <w:t>Advanced Circulatory Support</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US</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900" w:type="dxa"/>
            <w:vAlign w:val="bottom"/>
            <w:gridSpan w:val="2"/>
          </w:tcPr>
          <w:p>
            <w:pPr>
              <w:jc w:val="right"/>
              <w:ind w:right="8"/>
              <w:spacing w:after="0"/>
              <w:rPr>
                <w:sz w:val="20"/>
                <w:szCs w:val="20"/>
                <w:color w:val="auto"/>
              </w:rPr>
            </w:pPr>
            <w:r>
              <w:rPr>
                <w:rFonts w:ascii="Arial" w:cs="Arial" w:eastAsia="Arial" w:hAnsi="Arial"/>
                <w:sz w:val="14"/>
                <w:szCs w:val="14"/>
                <w:color w:val="auto"/>
              </w:rPr>
              <w:t>192.2%</w:t>
            </w:r>
          </w:p>
        </w:tc>
        <w:tc>
          <w:tcPr>
            <w:tcW w:w="100" w:type="dxa"/>
            <w:vAlign w:val="bottom"/>
          </w:tcPr>
          <w:p>
            <w:pPr>
              <w:spacing w:after="0"/>
              <w:rPr>
                <w:sz w:val="20"/>
                <w:szCs w:val="20"/>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192.2%</w:t>
            </w: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Europe</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49"/>
        </w:trPr>
        <w:tc>
          <w:tcPr>
            <w:tcW w:w="4700" w:type="dxa"/>
            <w:vAlign w:val="bottom"/>
          </w:tcPr>
          <w:p>
            <w:pPr>
              <w:spacing w:after="0"/>
              <w:rPr>
                <w:sz w:val="20"/>
                <w:szCs w:val="20"/>
                <w:color w:val="auto"/>
              </w:rPr>
            </w:pPr>
            <w:r>
              <w:rPr>
                <w:rFonts w:ascii="Arial" w:cs="Arial" w:eastAsia="Arial" w:hAnsi="Arial"/>
                <w:sz w:val="14"/>
                <w:szCs w:val="14"/>
                <w:color w:val="auto"/>
              </w:rPr>
              <w:t>Rest of world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1900" w:type="dxa"/>
            <w:vAlign w:val="bottom"/>
            <w:gridSpan w:val="2"/>
          </w:tcPr>
          <w:p>
            <w:pPr>
              <w:jc w:val="right"/>
              <w:ind w:right="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1"/>
                <w:szCs w:val="21"/>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41.9%</w:t>
            </w:r>
          </w:p>
        </w:tc>
      </w:tr>
      <w:tr>
        <w:trPr>
          <w:trHeight w:val="219"/>
        </w:trPr>
        <w:tc>
          <w:tcPr>
            <w:tcW w:w="4700" w:type="dxa"/>
            <w:vAlign w:val="bottom"/>
          </w:tcPr>
          <w:p>
            <w:pPr>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w:t>
            </w:r>
          </w:p>
        </w:tc>
        <w:tc>
          <w:tcPr>
            <w:tcW w:w="1900" w:type="dxa"/>
            <w:vAlign w:val="bottom"/>
            <w:gridSpan w:val="2"/>
          </w:tcPr>
          <w:p>
            <w:pPr>
              <w:jc w:val="right"/>
              <w:ind w:right="8"/>
              <w:spacing w:after="0"/>
              <w:rPr>
                <w:sz w:val="20"/>
                <w:szCs w:val="20"/>
                <w:color w:val="auto"/>
              </w:rPr>
            </w:pPr>
            <w:r>
              <w:rPr>
                <w:rFonts w:ascii="Arial" w:cs="Arial" w:eastAsia="Arial" w:hAnsi="Arial"/>
                <w:sz w:val="14"/>
                <w:szCs w:val="14"/>
                <w:color w:val="auto"/>
              </w:rPr>
              <w:t>175.3%</w:t>
            </w:r>
          </w:p>
        </w:tc>
        <w:tc>
          <w:tcPr>
            <w:tcW w:w="100" w:type="dxa"/>
            <w:vAlign w:val="bottom"/>
          </w:tcPr>
          <w:p>
            <w:pPr>
              <w:spacing w:after="0"/>
              <w:rPr>
                <w:sz w:val="19"/>
                <w:szCs w:val="19"/>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b w:val="1"/>
                <w:bCs w:val="1"/>
                <w:color w:val="auto"/>
              </w:rPr>
              <w:t>175.5%</w:t>
            </w:r>
          </w:p>
        </w:tc>
      </w:tr>
      <w:tr>
        <w:trPr>
          <w:trHeight w:val="221"/>
        </w:trPr>
        <w:tc>
          <w:tcPr>
            <w:tcW w:w="4700" w:type="dxa"/>
            <w:vAlign w:val="bottom"/>
          </w:tcPr>
          <w:p>
            <w:pPr>
              <w:spacing w:after="0"/>
              <w:rPr>
                <w:sz w:val="20"/>
                <w:szCs w:val="20"/>
                <w:color w:val="auto"/>
              </w:rPr>
            </w:pPr>
            <w:r>
              <w:rPr>
                <w:rFonts w:ascii="Arial" w:cs="Arial" w:eastAsia="Arial" w:hAnsi="Arial"/>
                <w:sz w:val="14"/>
                <w:szCs w:val="14"/>
                <w:b w:val="1"/>
                <w:bCs w:val="1"/>
                <w:color w:val="auto"/>
              </w:rPr>
              <w:t>Cardiovascular</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US</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105.5</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98.7</w:t>
            </w:r>
          </w:p>
        </w:tc>
        <w:tc>
          <w:tcPr>
            <w:tcW w:w="1900" w:type="dxa"/>
            <w:vAlign w:val="bottom"/>
            <w:gridSpan w:val="2"/>
          </w:tcPr>
          <w:p>
            <w:pPr>
              <w:jc w:val="right"/>
              <w:ind w:right="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0"/>
                <w:szCs w:val="20"/>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6.9%</w:t>
            </w: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Europe</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91.4</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97.1</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0"/>
                <w:szCs w:val="20"/>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0.7%</w:t>
            </w:r>
          </w:p>
        </w:tc>
      </w:tr>
      <w:tr>
        <w:trPr>
          <w:trHeight w:val="249"/>
        </w:trPr>
        <w:tc>
          <w:tcPr>
            <w:tcW w:w="4700" w:type="dxa"/>
            <w:vAlign w:val="bottom"/>
          </w:tcPr>
          <w:p>
            <w:pPr>
              <w:spacing w:after="0"/>
              <w:rPr>
                <w:sz w:val="20"/>
                <w:szCs w:val="20"/>
                <w:color w:val="auto"/>
              </w:rPr>
            </w:pPr>
            <w:r>
              <w:rPr>
                <w:rFonts w:ascii="Arial" w:cs="Arial" w:eastAsia="Arial" w:hAnsi="Arial"/>
                <w:sz w:val="14"/>
                <w:szCs w:val="14"/>
                <w:color w:val="auto"/>
              </w:rPr>
              <w:t>Rest of world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130.8</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136.8</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1"/>
                <w:szCs w:val="21"/>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1.9%</w:t>
            </w:r>
          </w:p>
        </w:tc>
      </w:tr>
      <w:tr>
        <w:trPr>
          <w:trHeight w:val="219"/>
        </w:trPr>
        <w:tc>
          <w:tcPr>
            <w:tcW w:w="4700" w:type="dxa"/>
            <w:vAlign w:val="bottom"/>
          </w:tcPr>
          <w:p>
            <w:pPr>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327.7</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332.6</w:t>
            </w: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9"/>
                <w:szCs w:val="19"/>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b w:val="1"/>
                <w:bCs w:val="1"/>
                <w:color w:val="auto"/>
              </w:rPr>
              <w:t>3.0%</w:t>
            </w:r>
          </w:p>
        </w:tc>
      </w:tr>
      <w:tr>
        <w:trPr>
          <w:trHeight w:val="221"/>
        </w:trPr>
        <w:tc>
          <w:tcPr>
            <w:tcW w:w="4700" w:type="dxa"/>
            <w:vAlign w:val="bottom"/>
          </w:tcPr>
          <w:p>
            <w:pPr>
              <w:spacing w:after="0"/>
              <w:rPr>
                <w:sz w:val="20"/>
                <w:szCs w:val="20"/>
                <w:color w:val="auto"/>
              </w:rPr>
            </w:pPr>
            <w:r>
              <w:rPr>
                <w:rFonts w:ascii="Arial" w:cs="Arial" w:eastAsia="Arial" w:hAnsi="Arial"/>
                <w:sz w:val="14"/>
                <w:szCs w:val="14"/>
                <w:b w:val="1"/>
                <w:bCs w:val="1"/>
                <w:color w:val="auto"/>
              </w:rPr>
              <w:t>Neuromodulation</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US</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157.4</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167.4</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Europe</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22.2</w:t>
            </w:r>
          </w:p>
        </w:tc>
        <w:tc>
          <w:tcPr>
            <w:tcW w:w="1900" w:type="dxa"/>
            <w:vAlign w:val="bottom"/>
            <w:gridSpan w:val="2"/>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0"/>
                <w:szCs w:val="20"/>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13.9%</w:t>
            </w:r>
          </w:p>
        </w:tc>
      </w:tr>
      <w:tr>
        <w:trPr>
          <w:trHeight w:val="249"/>
        </w:trPr>
        <w:tc>
          <w:tcPr>
            <w:tcW w:w="4700" w:type="dxa"/>
            <w:vAlign w:val="bottom"/>
          </w:tcPr>
          <w:p>
            <w:pPr>
              <w:spacing w:after="0"/>
              <w:rPr>
                <w:sz w:val="20"/>
                <w:szCs w:val="20"/>
                <w:color w:val="auto"/>
              </w:rPr>
            </w:pPr>
            <w:r>
              <w:rPr>
                <w:rFonts w:ascii="Arial" w:cs="Arial" w:eastAsia="Arial" w:hAnsi="Arial"/>
                <w:sz w:val="14"/>
                <w:szCs w:val="14"/>
                <w:color w:val="auto"/>
              </w:rPr>
              <w:t>Rest of world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w:t>
            </w:r>
          </w:p>
        </w:tc>
        <w:tc>
          <w:tcPr>
            <w:tcW w:w="1900" w:type="dxa"/>
            <w:vAlign w:val="bottom"/>
            <w:gridSpan w:val="2"/>
          </w:tcPr>
          <w:p>
            <w:pPr>
              <w:jc w:val="right"/>
              <w:ind w:right="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1"/>
                <w:szCs w:val="21"/>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25.1%</w:t>
            </w:r>
          </w:p>
        </w:tc>
      </w:tr>
      <w:tr>
        <w:trPr>
          <w:trHeight w:val="219"/>
        </w:trPr>
        <w:tc>
          <w:tcPr>
            <w:tcW w:w="4700" w:type="dxa"/>
            <w:vAlign w:val="bottom"/>
          </w:tcPr>
          <w:p>
            <w:pPr>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198.9</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204.5</w:t>
            </w: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r>
        <w:trPr>
          <w:trHeight w:val="221"/>
        </w:trPr>
        <w:tc>
          <w:tcPr>
            <w:tcW w:w="4700" w:type="dxa"/>
            <w:vAlign w:val="bottom"/>
          </w:tcPr>
          <w:p>
            <w:pPr>
              <w:spacing w:after="0"/>
              <w:rPr>
                <w:sz w:val="20"/>
                <w:szCs w:val="20"/>
                <w:color w:val="auto"/>
              </w:rPr>
            </w:pPr>
            <w:r>
              <w:rPr>
                <w:rFonts w:ascii="Arial" w:cs="Arial" w:eastAsia="Arial" w:hAnsi="Arial"/>
                <w:sz w:val="14"/>
                <w:szCs w:val="14"/>
                <w:b w:val="1"/>
                <w:bCs w:val="1"/>
                <w:color w:val="auto"/>
              </w:rPr>
              <w:t>Other</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US</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900" w:type="dxa"/>
            <w:vAlign w:val="bottom"/>
            <w:gridSpan w:val="2"/>
          </w:tcPr>
          <w:p>
            <w:pPr>
              <w:ind w:left="1360"/>
              <w:spacing w:after="0"/>
              <w:rPr>
                <w:sz w:val="20"/>
                <w:szCs w:val="20"/>
                <w:color w:val="auto"/>
              </w:rPr>
            </w:pPr>
            <w:r>
              <w:rPr>
                <w:rFonts w:ascii="Arial" w:cs="Arial" w:eastAsia="Arial" w:hAnsi="Arial"/>
                <w:sz w:val="14"/>
                <w:szCs w:val="14"/>
                <w:color w:val="auto"/>
              </w:rPr>
              <w:t>N/A</w:t>
            </w:r>
          </w:p>
        </w:tc>
        <w:tc>
          <w:tcPr>
            <w:tcW w:w="1920" w:type="dxa"/>
            <w:vAlign w:val="bottom"/>
          </w:tcPr>
          <w:p>
            <w:pPr>
              <w:jc w:val="right"/>
              <w:ind w:right="148"/>
              <w:spacing w:after="0"/>
              <w:rPr>
                <w:sz w:val="20"/>
                <w:szCs w:val="20"/>
                <w:color w:val="auto"/>
              </w:rPr>
            </w:pPr>
            <w:r>
              <w:rPr>
                <w:rFonts w:ascii="Arial" w:cs="Arial" w:eastAsia="Arial" w:hAnsi="Arial"/>
                <w:sz w:val="14"/>
                <w:szCs w:val="14"/>
                <w:color w:val="auto"/>
              </w:rPr>
              <w:t>N/A</w:t>
            </w: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Europe</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900" w:type="dxa"/>
            <w:vAlign w:val="bottom"/>
            <w:gridSpan w:val="2"/>
          </w:tcPr>
          <w:p>
            <w:pPr>
              <w:ind w:left="1360"/>
              <w:spacing w:after="0"/>
              <w:rPr>
                <w:sz w:val="20"/>
                <w:szCs w:val="20"/>
                <w:color w:val="auto"/>
              </w:rPr>
            </w:pPr>
            <w:r>
              <w:rPr>
                <w:rFonts w:ascii="Arial" w:cs="Arial" w:eastAsia="Arial" w:hAnsi="Arial"/>
                <w:sz w:val="14"/>
                <w:szCs w:val="14"/>
                <w:color w:val="auto"/>
              </w:rPr>
              <w:t>N/A</w:t>
            </w:r>
          </w:p>
        </w:tc>
        <w:tc>
          <w:tcPr>
            <w:tcW w:w="1920" w:type="dxa"/>
            <w:vAlign w:val="bottom"/>
          </w:tcPr>
          <w:p>
            <w:pPr>
              <w:jc w:val="right"/>
              <w:ind w:right="148"/>
              <w:spacing w:after="0"/>
              <w:rPr>
                <w:sz w:val="20"/>
                <w:szCs w:val="20"/>
                <w:color w:val="auto"/>
              </w:rPr>
            </w:pPr>
            <w:r>
              <w:rPr>
                <w:rFonts w:ascii="Arial" w:cs="Arial" w:eastAsia="Arial" w:hAnsi="Arial"/>
                <w:sz w:val="14"/>
                <w:szCs w:val="14"/>
                <w:color w:val="auto"/>
              </w:rPr>
              <w:t>N/A</w:t>
            </w:r>
          </w:p>
        </w:tc>
      </w:tr>
      <w:tr>
        <w:trPr>
          <w:trHeight w:val="249"/>
        </w:trPr>
        <w:tc>
          <w:tcPr>
            <w:tcW w:w="4700" w:type="dxa"/>
            <w:vAlign w:val="bottom"/>
          </w:tcPr>
          <w:p>
            <w:pPr>
              <w:spacing w:after="0"/>
              <w:rPr>
                <w:sz w:val="20"/>
                <w:szCs w:val="20"/>
                <w:color w:val="auto"/>
              </w:rPr>
            </w:pPr>
            <w:r>
              <w:rPr>
                <w:rFonts w:ascii="Arial" w:cs="Arial" w:eastAsia="Arial" w:hAnsi="Arial"/>
                <w:sz w:val="14"/>
                <w:szCs w:val="14"/>
                <w:color w:val="auto"/>
              </w:rPr>
              <w:t>Rest of world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1"/>
                <w:szCs w:val="21"/>
                <w:color w:val="auto"/>
              </w:rPr>
            </w:pPr>
          </w:p>
        </w:tc>
        <w:tc>
          <w:tcPr>
            <w:tcW w:w="1900" w:type="dxa"/>
            <w:vAlign w:val="bottom"/>
            <w:gridSpan w:val="2"/>
          </w:tcPr>
          <w:p>
            <w:pPr>
              <w:ind w:left="1360"/>
              <w:spacing w:after="0"/>
              <w:rPr>
                <w:sz w:val="20"/>
                <w:szCs w:val="20"/>
                <w:color w:val="auto"/>
              </w:rPr>
            </w:pPr>
            <w:r>
              <w:rPr>
                <w:rFonts w:ascii="Arial" w:cs="Arial" w:eastAsia="Arial" w:hAnsi="Arial"/>
                <w:sz w:val="14"/>
                <w:szCs w:val="14"/>
                <w:color w:val="auto"/>
              </w:rPr>
              <w:t>N/A</w:t>
            </w:r>
          </w:p>
        </w:tc>
        <w:tc>
          <w:tcPr>
            <w:tcW w:w="1920" w:type="dxa"/>
            <w:vAlign w:val="bottom"/>
          </w:tcPr>
          <w:p>
            <w:pPr>
              <w:jc w:val="right"/>
              <w:ind w:right="148"/>
              <w:spacing w:after="0"/>
              <w:rPr>
                <w:sz w:val="20"/>
                <w:szCs w:val="20"/>
                <w:color w:val="auto"/>
              </w:rPr>
            </w:pPr>
            <w:r>
              <w:rPr>
                <w:rFonts w:ascii="Arial" w:cs="Arial" w:eastAsia="Arial" w:hAnsi="Arial"/>
                <w:sz w:val="14"/>
                <w:szCs w:val="14"/>
                <w:color w:val="auto"/>
              </w:rPr>
              <w:t>N/A</w:t>
            </w:r>
          </w:p>
        </w:tc>
      </w:tr>
      <w:tr>
        <w:trPr>
          <w:trHeight w:val="219"/>
        </w:trPr>
        <w:tc>
          <w:tcPr>
            <w:tcW w:w="4700" w:type="dxa"/>
            <w:vAlign w:val="bottom"/>
          </w:tcPr>
          <w:p>
            <w:pPr>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9"/>
                <w:szCs w:val="19"/>
                <w:color w:val="auto"/>
              </w:rPr>
            </w:pPr>
          </w:p>
        </w:tc>
        <w:tc>
          <w:tcPr>
            <w:tcW w:w="1900" w:type="dxa"/>
            <w:vAlign w:val="bottom"/>
            <w:gridSpan w:val="2"/>
          </w:tcPr>
          <w:p>
            <w:pPr>
              <w:ind w:left="1360"/>
              <w:spacing w:after="0"/>
              <w:rPr>
                <w:sz w:val="20"/>
                <w:szCs w:val="20"/>
                <w:color w:val="auto"/>
              </w:rPr>
            </w:pPr>
            <w:r>
              <w:rPr>
                <w:rFonts w:ascii="Arial" w:cs="Arial" w:eastAsia="Arial" w:hAnsi="Arial"/>
                <w:sz w:val="14"/>
                <w:szCs w:val="14"/>
                <w:color w:val="auto"/>
              </w:rPr>
              <w:t>N/A</w:t>
            </w:r>
          </w:p>
        </w:tc>
        <w:tc>
          <w:tcPr>
            <w:tcW w:w="1920" w:type="dxa"/>
            <w:vAlign w:val="bottom"/>
          </w:tcPr>
          <w:p>
            <w:pPr>
              <w:jc w:val="right"/>
              <w:ind w:right="148"/>
              <w:spacing w:after="0"/>
              <w:rPr>
                <w:sz w:val="20"/>
                <w:szCs w:val="20"/>
                <w:color w:val="auto"/>
              </w:rPr>
            </w:pPr>
            <w:r>
              <w:rPr>
                <w:rFonts w:ascii="Arial" w:cs="Arial" w:eastAsia="Arial" w:hAnsi="Arial"/>
                <w:sz w:val="14"/>
                <w:szCs w:val="14"/>
                <w:color w:val="auto"/>
              </w:rPr>
              <w:t>N/A</w:t>
            </w:r>
          </w:p>
        </w:tc>
      </w:tr>
      <w:tr>
        <w:trPr>
          <w:trHeight w:val="221"/>
        </w:trPr>
        <w:tc>
          <w:tcPr>
            <w:tcW w:w="4700" w:type="dxa"/>
            <w:vAlign w:val="bottom"/>
          </w:tcPr>
          <w:p>
            <w:pPr>
              <w:spacing w:after="0"/>
              <w:rPr>
                <w:sz w:val="20"/>
                <w:szCs w:val="20"/>
                <w:color w:val="auto"/>
              </w:rPr>
            </w:pPr>
            <w:r>
              <w:rPr>
                <w:rFonts w:ascii="Arial" w:cs="Arial" w:eastAsia="Arial" w:hAnsi="Arial"/>
                <w:sz w:val="14"/>
                <w:szCs w:val="14"/>
                <w:b w:val="1"/>
                <w:bCs w:val="1"/>
                <w:color w:val="auto"/>
              </w:rPr>
              <w:t>Totals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US</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263.0</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266.1</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Europe</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115.0</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119.4</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0"/>
                <w:szCs w:val="20"/>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3.1%</w:t>
            </w:r>
          </w:p>
        </w:tc>
      </w:tr>
      <w:tr>
        <w:trPr>
          <w:trHeight w:val="249"/>
        </w:trPr>
        <w:tc>
          <w:tcPr>
            <w:tcW w:w="4700" w:type="dxa"/>
            <w:vAlign w:val="bottom"/>
          </w:tcPr>
          <w:p>
            <w:pPr>
              <w:spacing w:after="0"/>
              <w:rPr>
                <w:sz w:val="20"/>
                <w:szCs w:val="20"/>
                <w:color w:val="auto"/>
              </w:rPr>
            </w:pPr>
            <w:r>
              <w:rPr>
                <w:rFonts w:ascii="Arial" w:cs="Arial" w:eastAsia="Arial" w:hAnsi="Arial"/>
                <w:sz w:val="14"/>
                <w:szCs w:val="14"/>
                <w:color w:val="auto"/>
              </w:rPr>
              <w:t>Rest of world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152.4</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4.6%</w:t>
            </w:r>
          </w:p>
        </w:tc>
      </w:tr>
      <w:tr>
        <w:trPr>
          <w:trHeight w:val="236"/>
        </w:trPr>
        <w:tc>
          <w:tcPr>
            <w:tcW w:w="4700" w:type="dxa"/>
            <w:vAlign w:val="bottom"/>
          </w:tcPr>
          <w:p>
            <w:pPr>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$528.0</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$537.9</w:t>
            </w: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20"/>
                <w:szCs w:val="20"/>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b w:val="1"/>
                <w:bCs w:val="1"/>
                <w:color w:val="auto"/>
              </w:rPr>
              <w:t>1.4%</w:t>
            </w:r>
          </w:p>
        </w:tc>
      </w:tr>
      <w:tr>
        <w:trPr>
          <w:trHeight w:val="20"/>
        </w:trPr>
        <w:tc>
          <w:tcPr>
            <w:tcW w:w="47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91" w:lineRule="exact"/>
        <w:rPr>
          <w:sz w:val="20"/>
          <w:szCs w:val="20"/>
          <w:color w:val="auto"/>
        </w:rPr>
      </w:pPr>
    </w:p>
    <w:p>
      <w:pPr>
        <w:ind w:left="320" w:right="40" w:hanging="320"/>
        <w:spacing w:after="0" w:line="238" w:lineRule="auto"/>
        <w:tabs>
          <w:tab w:leader="none" w:pos="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Constant-currency growth, a non-GAAP financial measure, measures the change in sales between current and prior-year periods using average exchange rates in effect during the applicable prior-year period.</w:t>
      </w:r>
    </w:p>
    <w:p>
      <w:pPr>
        <w:spacing w:after="0" w:line="38" w:lineRule="exact"/>
        <w:rPr>
          <w:sz w:val="20"/>
          <w:szCs w:val="20"/>
          <w:color w:val="auto"/>
        </w:rPr>
      </w:pPr>
    </w:p>
    <w:p>
      <w:pPr>
        <w:ind w:left="320" w:hanging="320"/>
        <w:spacing w:after="0"/>
        <w:tabs>
          <w:tab w:leader="none" w:pos="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sales results presented are unaudited. Numbers may not add up precisely due to rounding.</w:t>
      </w: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420"/>
          </w:cols>
          <w:pgMar w:left="260" w:top="709" w:right="2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LIVANOVA PLC AND SUBSIDIARIES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CONSOLIDATED STATEMENTS OF INCOME - UNAUDITED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680" w:type="dxa"/>
            <w:vAlign w:val="bottom"/>
          </w:tcPr>
          <w:p>
            <w:pPr>
              <w:spacing w:after="0"/>
              <w:rPr>
                <w:sz w:val="17"/>
                <w:szCs w:val="17"/>
                <w:color w:val="auto"/>
              </w:rPr>
            </w:pPr>
          </w:p>
        </w:tc>
        <w:tc>
          <w:tcPr>
            <w:tcW w:w="306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1"/>
        </w:trPr>
        <w:tc>
          <w:tcPr>
            <w:tcW w:w="5680" w:type="dxa"/>
            <w:vAlign w:val="bottom"/>
          </w:tcPr>
          <w:p>
            <w:pPr>
              <w:spacing w:after="0"/>
              <w:rPr>
                <w:sz w:val="20"/>
                <w:szCs w:val="20"/>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 Change</w:t>
            </w:r>
          </w:p>
        </w:tc>
      </w:tr>
      <w:tr>
        <w:trPr>
          <w:trHeight w:val="221"/>
        </w:trPr>
        <w:tc>
          <w:tcPr>
            <w:tcW w:w="684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$277.2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$287.5</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9"/>
        </w:trPr>
        <w:tc>
          <w:tcPr>
            <w:tcW w:w="6840" w:type="dxa"/>
            <w:vAlign w:val="bottom"/>
            <w:gridSpan w:val="2"/>
          </w:tcPr>
          <w:p>
            <w:pPr>
              <w:spacing w:after="0"/>
              <w:rPr>
                <w:sz w:val="20"/>
                <w:szCs w:val="20"/>
                <w:color w:val="auto"/>
              </w:rPr>
            </w:pPr>
            <w:r>
              <w:rPr>
                <w:rFonts w:ascii="Arial" w:cs="Arial" w:eastAsia="Arial" w:hAnsi="Arial"/>
                <w:sz w:val="14"/>
                <w:szCs w:val="14"/>
                <w:color w:val="auto"/>
              </w:rPr>
              <w:t>Costs and expenses: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Cost of sales - exclusive of amortization</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92.0</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Product remediation</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Selling, general and administrative</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127.2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123.4</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Merger and integration expenses</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Restructuring expenses</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Impairment of intangible assets</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49"/>
        </w:trPr>
        <w:tc>
          <w:tcPr>
            <w:tcW w:w="5680" w:type="dxa"/>
            <w:vAlign w:val="bottom"/>
          </w:tcPr>
          <w:p>
            <w:pPr>
              <w:ind w:left="220"/>
              <w:spacing w:after="0"/>
              <w:rPr>
                <w:sz w:val="20"/>
                <w:szCs w:val="20"/>
                <w:color w:val="auto"/>
              </w:rPr>
            </w:pPr>
            <w:r>
              <w:rPr>
                <w:rFonts w:ascii="Arial" w:cs="Arial" w:eastAsia="Arial" w:hAnsi="Arial"/>
                <w:sz w:val="14"/>
                <w:szCs w:val="14"/>
                <w:color w:val="auto"/>
              </w:rPr>
              <w:t>Amortization of intangibles</w:t>
            </w: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r>
      <w:tr>
        <w:trPr>
          <w:trHeight w:val="219"/>
        </w:trPr>
        <w:tc>
          <w:tcPr>
            <w:tcW w:w="5680" w:type="dxa"/>
            <w:vAlign w:val="bottom"/>
          </w:tcPr>
          <w:p>
            <w:pPr>
              <w:spacing w:after="0"/>
              <w:rPr>
                <w:sz w:val="20"/>
                <w:szCs w:val="20"/>
                <w:color w:val="auto"/>
              </w:rPr>
            </w:pPr>
            <w:r>
              <w:rPr>
                <w:rFonts w:ascii="Arial" w:cs="Arial" w:eastAsia="Arial" w:hAnsi="Arial"/>
                <w:sz w:val="14"/>
                <w:szCs w:val="14"/>
                <w:color w:val="auto"/>
              </w:rPr>
              <w:t>Operating (loss) income from continuing operations</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(238.4%)</w:t>
            </w:r>
          </w:p>
        </w:tc>
      </w:tr>
      <w:tr>
        <w:trPr>
          <w:trHeight w:val="20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Interest expense, net</w:t>
            </w:r>
          </w:p>
        </w:tc>
        <w:tc>
          <w:tcPr>
            <w:tcW w:w="64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49"/>
        </w:trPr>
        <w:tc>
          <w:tcPr>
            <w:tcW w:w="5680" w:type="dxa"/>
            <w:vAlign w:val="bottom"/>
          </w:tcPr>
          <w:p>
            <w:pPr>
              <w:ind w:left="220"/>
              <w:spacing w:after="0"/>
              <w:rPr>
                <w:sz w:val="20"/>
                <w:szCs w:val="20"/>
                <w:color w:val="auto"/>
              </w:rPr>
            </w:pPr>
            <w:r>
              <w:rPr>
                <w:rFonts w:ascii="Arial" w:cs="Arial" w:eastAsia="Arial" w:hAnsi="Arial"/>
                <w:sz w:val="14"/>
                <w:szCs w:val="14"/>
                <w:color w:val="auto"/>
              </w:rPr>
              <w:t>Foreign exchange and other losses</w:t>
            </w: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r>
      <w:tr>
        <w:trPr>
          <w:trHeight w:val="219"/>
        </w:trPr>
        <w:tc>
          <w:tcPr>
            <w:tcW w:w="5680" w:type="dxa"/>
            <w:vAlign w:val="bottom"/>
          </w:tcPr>
          <w:p>
            <w:pPr>
              <w:spacing w:after="0"/>
              <w:rPr>
                <w:sz w:val="20"/>
                <w:szCs w:val="20"/>
                <w:color w:val="auto"/>
              </w:rPr>
            </w:pPr>
            <w:r>
              <w:rPr>
                <w:rFonts w:ascii="Arial" w:cs="Arial" w:eastAsia="Arial" w:hAnsi="Arial"/>
                <w:sz w:val="14"/>
                <w:szCs w:val="14"/>
                <w:color w:val="auto"/>
              </w:rPr>
              <w:t>(Loss) income from continuing operations before tax</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(289.4%)</w:t>
            </w:r>
          </w:p>
        </w:tc>
      </w:tr>
      <w:tr>
        <w:trPr>
          <w:trHeight w:val="20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Income tax benefit</w:t>
            </w:r>
          </w:p>
        </w:tc>
        <w:tc>
          <w:tcPr>
            <w:tcW w:w="64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49"/>
        </w:trPr>
        <w:tc>
          <w:tcPr>
            <w:tcW w:w="5680" w:type="dxa"/>
            <w:vAlign w:val="bottom"/>
          </w:tcPr>
          <w:p>
            <w:pPr>
              <w:ind w:left="220"/>
              <w:spacing w:after="0"/>
              <w:rPr>
                <w:sz w:val="20"/>
                <w:szCs w:val="20"/>
                <w:color w:val="auto"/>
              </w:rPr>
            </w:pPr>
            <w:r>
              <w:rPr>
                <w:rFonts w:ascii="Arial" w:cs="Arial" w:eastAsia="Arial" w:hAnsi="Arial"/>
                <w:sz w:val="14"/>
                <w:szCs w:val="14"/>
                <w:color w:val="auto"/>
              </w:rPr>
              <w:t>Losses from equity method investments</w:t>
            </w: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r>
      <w:tr>
        <w:trPr>
          <w:trHeight w:val="219"/>
        </w:trPr>
        <w:tc>
          <w:tcPr>
            <w:tcW w:w="5680" w:type="dxa"/>
            <w:vAlign w:val="bottom"/>
          </w:tcPr>
          <w:p>
            <w:pPr>
              <w:spacing w:after="0"/>
              <w:rPr>
                <w:sz w:val="20"/>
                <w:szCs w:val="20"/>
                <w:color w:val="auto"/>
              </w:rPr>
            </w:pPr>
            <w:r>
              <w:rPr>
                <w:rFonts w:ascii="Arial" w:cs="Arial" w:eastAsia="Arial" w:hAnsi="Arial"/>
                <w:sz w:val="14"/>
                <w:szCs w:val="14"/>
                <w:color w:val="auto"/>
              </w:rPr>
              <w:t>Net (loss) income from continuing operations</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(250.8%)</w:t>
            </w:r>
          </w:p>
        </w:tc>
      </w:tr>
      <w:tr>
        <w:trPr>
          <w:trHeight w:val="219"/>
        </w:trPr>
        <w:tc>
          <w:tcPr>
            <w:tcW w:w="5680" w:type="dxa"/>
            <w:vAlign w:val="bottom"/>
          </w:tcPr>
          <w:p>
            <w:pPr>
              <w:spacing w:after="0"/>
              <w:rPr>
                <w:sz w:val="20"/>
                <w:szCs w:val="20"/>
                <w:color w:val="auto"/>
              </w:rPr>
            </w:pPr>
            <w:r>
              <w:rPr>
                <w:rFonts w:ascii="Arial" w:cs="Arial" w:eastAsia="Arial" w:hAnsi="Arial"/>
                <w:sz w:val="14"/>
                <w:szCs w:val="14"/>
                <w:color w:val="auto"/>
              </w:rPr>
              <w:t>Net income (loss) from discontinued operations, net of tax</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r>
      <w:tr>
        <w:trPr>
          <w:trHeight w:val="276"/>
        </w:trPr>
        <w:tc>
          <w:tcPr>
            <w:tcW w:w="5680" w:type="dxa"/>
            <w:vAlign w:val="bottom"/>
          </w:tcPr>
          <w:p>
            <w:pPr>
              <w:spacing w:after="0"/>
              <w:rPr>
                <w:sz w:val="20"/>
                <w:szCs w:val="20"/>
                <w:color w:val="auto"/>
              </w:rPr>
            </w:pPr>
            <w:r>
              <w:rPr>
                <w:rFonts w:ascii="Arial" w:cs="Arial" w:eastAsia="Arial" w:hAnsi="Arial"/>
                <w:sz w:val="14"/>
                <w:szCs w:val="14"/>
                <w:color w:val="auto"/>
              </w:rPr>
              <w:t>Net (loss) income</w:t>
            </w:r>
          </w:p>
        </w:tc>
        <w:tc>
          <w:tcPr>
            <w:tcW w:w="1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(293.4%)</w:t>
            </w:r>
          </w:p>
        </w:tc>
      </w:tr>
      <w:tr>
        <w:trPr>
          <w:trHeight w:val="451"/>
        </w:trPr>
        <w:tc>
          <w:tcPr>
            <w:tcW w:w="6840" w:type="dxa"/>
            <w:vAlign w:val="bottom"/>
            <w:gridSpan w:val="2"/>
          </w:tcPr>
          <w:p>
            <w:pPr>
              <w:spacing w:after="0"/>
              <w:rPr>
                <w:sz w:val="20"/>
                <w:szCs w:val="20"/>
                <w:color w:val="auto"/>
              </w:rPr>
            </w:pPr>
            <w:r>
              <w:rPr>
                <w:rFonts w:ascii="Arial" w:cs="Arial" w:eastAsia="Arial" w:hAnsi="Arial"/>
                <w:sz w:val="14"/>
                <w:szCs w:val="14"/>
                <w:color w:val="auto"/>
              </w:rPr>
              <w:t>Basic (loss) income per share: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Continuing operations</w:t>
            </w:r>
          </w:p>
        </w:tc>
        <w:tc>
          <w:tcPr>
            <w:tcW w:w="640" w:type="dxa"/>
            <w:vAlign w:val="bottom"/>
          </w:tcPr>
          <w:p>
            <w:pPr>
              <w:jc w:val="right"/>
              <w:spacing w:after="0"/>
              <w:rPr>
                <w:sz w:val="20"/>
                <w:szCs w:val="20"/>
                <w:color w:val="auto"/>
              </w:rPr>
            </w:pPr>
            <w:r>
              <w:rPr>
                <w:rFonts w:ascii="Arial" w:cs="Arial" w:eastAsia="Arial" w:hAnsi="Arial"/>
                <w:sz w:val="14"/>
                <w:szCs w:val="14"/>
                <w:color w:val="auto"/>
              </w:rPr>
              <w:t>($0.61)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$0.40</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4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Discontinued operations</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31"/>
        </w:trPr>
        <w:tc>
          <w:tcPr>
            <w:tcW w:w="5680" w:type="dxa"/>
            <w:vAlign w:val="bottom"/>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($0.60)</w:t>
            </w:r>
          </w:p>
        </w:tc>
        <w:tc>
          <w:tcPr>
            <w:tcW w:w="100" w:type="dxa"/>
            <w:vAlign w:val="bottom"/>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0"/>
        </w:trPr>
        <w:tc>
          <w:tcPr>
            <w:tcW w:w="5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56"/>
        </w:trPr>
        <w:tc>
          <w:tcPr>
            <w:tcW w:w="6840" w:type="dxa"/>
            <w:vAlign w:val="bottom"/>
            <w:gridSpan w:val="2"/>
          </w:tcPr>
          <w:p>
            <w:pPr>
              <w:spacing w:after="0"/>
              <w:rPr>
                <w:sz w:val="20"/>
                <w:szCs w:val="20"/>
                <w:color w:val="auto"/>
              </w:rPr>
            </w:pPr>
            <w:r>
              <w:rPr>
                <w:rFonts w:ascii="Arial" w:cs="Arial" w:eastAsia="Arial" w:hAnsi="Arial"/>
                <w:sz w:val="14"/>
                <w:szCs w:val="14"/>
                <w:color w:val="auto"/>
              </w:rPr>
              <w:t>Diluted (loss) income per share: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Continuing operations</w:t>
            </w:r>
          </w:p>
        </w:tc>
        <w:tc>
          <w:tcPr>
            <w:tcW w:w="640" w:type="dxa"/>
            <w:vAlign w:val="bottom"/>
          </w:tcPr>
          <w:p>
            <w:pPr>
              <w:jc w:val="right"/>
              <w:spacing w:after="0"/>
              <w:rPr>
                <w:sz w:val="20"/>
                <w:szCs w:val="20"/>
                <w:color w:val="auto"/>
              </w:rPr>
            </w:pPr>
            <w:r>
              <w:rPr>
                <w:rFonts w:ascii="Arial" w:cs="Arial" w:eastAsia="Arial" w:hAnsi="Arial"/>
                <w:sz w:val="14"/>
                <w:szCs w:val="14"/>
                <w:color w:val="auto"/>
              </w:rPr>
              <w:t>($0.61)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$0.40</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4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Discontinued operations</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31"/>
        </w:trPr>
        <w:tc>
          <w:tcPr>
            <w:tcW w:w="5680" w:type="dxa"/>
            <w:vAlign w:val="bottom"/>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($0.60)</w:t>
            </w:r>
          </w:p>
        </w:tc>
        <w:tc>
          <w:tcPr>
            <w:tcW w:w="100" w:type="dxa"/>
            <w:vAlign w:val="bottom"/>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0"/>
        </w:trPr>
        <w:tc>
          <w:tcPr>
            <w:tcW w:w="5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56"/>
        </w:trPr>
        <w:tc>
          <w:tcPr>
            <w:tcW w:w="6840" w:type="dxa"/>
            <w:vAlign w:val="bottom"/>
            <w:gridSpan w:val="2"/>
          </w:tcPr>
          <w:p>
            <w:pPr>
              <w:spacing w:after="0"/>
              <w:rPr>
                <w:sz w:val="20"/>
                <w:szCs w:val="20"/>
                <w:color w:val="auto"/>
              </w:rPr>
            </w:pPr>
            <w:r>
              <w:rPr>
                <w:rFonts w:ascii="Arial" w:cs="Arial" w:eastAsia="Arial" w:hAnsi="Arial"/>
                <w:sz w:val="14"/>
                <w:szCs w:val="14"/>
                <w:color w:val="auto"/>
              </w:rPr>
              <w:t>Weighted average common shares outstanding</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Basic</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Diluted</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309" w:lineRule="exact"/>
        <w:rPr>
          <w:sz w:val="20"/>
          <w:szCs w:val="20"/>
          <w:color w:val="auto"/>
        </w:rPr>
      </w:pPr>
    </w:p>
    <w:p>
      <w:pPr>
        <w:ind w:left="220" w:hanging="220"/>
        <w:spacing w:after="0"/>
        <w:tabs>
          <w:tab w:leader="none" w:pos="220" w:val="left"/>
        </w:tabs>
        <w:numPr>
          <w:ilvl w:val="0"/>
          <w:numId w:val="6"/>
        </w:numPr>
        <w:rPr>
          <w:rFonts w:ascii="Arial" w:cs="Arial" w:eastAsia="Arial" w:hAnsi="Arial"/>
          <w:sz w:val="13"/>
          <w:szCs w:val="13"/>
          <w:color w:val="auto"/>
        </w:rPr>
      </w:pPr>
      <w:r>
        <w:rPr>
          <w:rFonts w:ascii="Arial" w:cs="Arial" w:eastAsia="Arial" w:hAnsi="Arial"/>
          <w:sz w:val="13"/>
          <w:szCs w:val="13"/>
          <w:color w:val="auto"/>
        </w:rPr>
        <w:t>Numbers may not add up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420"/>
          </w:cols>
          <w:pgMar w:left="260" w:top="733" w:right="21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Adjusted Financial Measures (U.S. dollars in millions, except per share amounts)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680" w:type="dxa"/>
            <w:vAlign w:val="bottom"/>
          </w:tcPr>
          <w:p>
            <w:pPr>
              <w:spacing w:after="0"/>
              <w:rPr>
                <w:sz w:val="17"/>
                <w:szCs w:val="17"/>
                <w:color w:val="auto"/>
              </w:rPr>
            </w:pPr>
          </w:p>
        </w:tc>
        <w:tc>
          <w:tcPr>
            <w:tcW w:w="306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9"/>
        </w:trPr>
        <w:tc>
          <w:tcPr>
            <w:tcW w:w="5680" w:type="dxa"/>
            <w:vAlign w:val="bottom"/>
          </w:tcPr>
          <w:p>
            <w:pPr>
              <w:spacing w:after="0"/>
              <w:rPr>
                <w:sz w:val="20"/>
                <w:szCs w:val="20"/>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9"/>
                <w:szCs w:val="19"/>
                <w:b w:val="1"/>
                <w:bCs w:val="1"/>
                <w:color w:val="auto"/>
                <w:vertAlign w:val="superscript"/>
              </w:rPr>
              <w:t>(1)</w:t>
            </w:r>
          </w:p>
        </w:tc>
      </w:tr>
      <w:tr>
        <w:trPr>
          <w:trHeight w:val="276"/>
        </w:trPr>
        <w:tc>
          <w:tcPr>
            <w:tcW w:w="6840" w:type="dxa"/>
            <w:vAlign w:val="bottom"/>
            <w:gridSpan w:val="2"/>
          </w:tcPr>
          <w:p>
            <w:pPr>
              <w:spacing w:after="0"/>
              <w:rPr>
                <w:sz w:val="20"/>
                <w:szCs w:val="20"/>
                <w:color w:val="auto"/>
              </w:rPr>
            </w:pPr>
            <w:r>
              <w:rPr>
                <w:rFonts w:ascii="Arial" w:cs="Arial" w:eastAsia="Arial" w:hAnsi="Arial"/>
                <w:sz w:val="14"/>
                <w:szCs w:val="14"/>
                <w:color w:val="auto"/>
              </w:rPr>
              <w:t xml:space="preserve">Adjusted SG&amp;A </w:t>
            </w:r>
            <w:r>
              <w:rPr>
                <w:rFonts w:ascii="Arial" w:cs="Arial" w:eastAsia="Arial" w:hAnsi="Arial"/>
                <w:sz w:val="19"/>
                <w:szCs w:val="19"/>
                <w:color w:val="auto"/>
                <w:vertAlign w:val="superscript"/>
              </w:rPr>
              <w:t>(1)</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$108.1</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$104.1</w:t>
            </w:r>
          </w:p>
        </w:tc>
        <w:tc>
          <w:tcPr>
            <w:tcW w:w="100" w:type="dxa"/>
            <w:vAlign w:val="bottom"/>
          </w:tcPr>
          <w:p>
            <w:pPr>
              <w:spacing w:after="0"/>
              <w:rPr>
                <w:sz w:val="23"/>
                <w:szCs w:val="23"/>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3.8%</w:t>
            </w:r>
          </w:p>
        </w:tc>
      </w:tr>
      <w:tr>
        <w:trPr>
          <w:trHeight w:val="239"/>
        </w:trPr>
        <w:tc>
          <w:tcPr>
            <w:tcW w:w="6840" w:type="dxa"/>
            <w:vAlign w:val="bottom"/>
            <w:gridSpan w:val="2"/>
          </w:tcPr>
          <w:p>
            <w:pPr>
              <w:spacing w:after="0"/>
              <w:rPr>
                <w:sz w:val="20"/>
                <w:szCs w:val="20"/>
                <w:color w:val="auto"/>
              </w:rPr>
            </w:pPr>
            <w:r>
              <w:rPr>
                <w:rFonts w:ascii="Arial" w:cs="Arial" w:eastAsia="Arial" w:hAnsi="Arial"/>
                <w:sz w:val="14"/>
                <w:szCs w:val="14"/>
                <w:color w:val="auto"/>
              </w:rPr>
              <w:t xml:space="preserve">Adjusted R&amp;D </w:t>
            </w:r>
            <w:r>
              <w:rPr>
                <w:rFonts w:ascii="Arial" w:cs="Arial" w:eastAsia="Arial" w:hAnsi="Arial"/>
                <w:sz w:val="19"/>
                <w:szCs w:val="19"/>
                <w:color w:val="auto"/>
                <w:vertAlign w:val="superscript"/>
              </w:rPr>
              <w:t>(1)</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20"/>
                <w:szCs w:val="20"/>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22.2%</w:t>
            </w:r>
          </w:p>
        </w:tc>
      </w:tr>
      <w:tr>
        <w:trPr>
          <w:trHeight w:val="239"/>
        </w:trPr>
        <w:tc>
          <w:tcPr>
            <w:tcW w:w="6840" w:type="dxa"/>
            <w:vAlign w:val="bottom"/>
            <w:gridSpan w:val="2"/>
          </w:tcPr>
          <w:p>
            <w:pPr>
              <w:spacing w:after="0"/>
              <w:rPr>
                <w:sz w:val="20"/>
                <w:szCs w:val="20"/>
                <w:color w:val="auto"/>
              </w:rPr>
            </w:pPr>
            <w:r>
              <w:rPr>
                <w:rFonts w:ascii="Arial" w:cs="Arial" w:eastAsia="Arial" w:hAnsi="Arial"/>
                <w:sz w:val="14"/>
                <w:szCs w:val="14"/>
                <w:color w:val="auto"/>
              </w:rPr>
              <w:t xml:space="preserve">Adjusted operating income from continuing operations </w:t>
            </w:r>
            <w:r>
              <w:rPr>
                <w:rFonts w:ascii="Arial" w:cs="Arial" w:eastAsia="Arial" w:hAnsi="Arial"/>
                <w:sz w:val="19"/>
                <w:szCs w:val="19"/>
                <w:color w:val="auto"/>
                <w:vertAlign w:val="superscript"/>
              </w:rPr>
              <w:t>(1)</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59.9</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(26.2%)</w:t>
            </w:r>
          </w:p>
        </w:tc>
      </w:tr>
      <w:tr>
        <w:trPr>
          <w:trHeight w:val="239"/>
        </w:trPr>
        <w:tc>
          <w:tcPr>
            <w:tcW w:w="6840" w:type="dxa"/>
            <w:vAlign w:val="bottom"/>
            <w:gridSpan w:val="2"/>
          </w:tcPr>
          <w:p>
            <w:pPr>
              <w:spacing w:after="0"/>
              <w:rPr>
                <w:sz w:val="20"/>
                <w:szCs w:val="20"/>
                <w:color w:val="auto"/>
              </w:rPr>
            </w:pPr>
            <w:r>
              <w:rPr>
                <w:rFonts w:ascii="Arial" w:cs="Arial" w:eastAsia="Arial" w:hAnsi="Arial"/>
                <w:sz w:val="14"/>
                <w:szCs w:val="14"/>
                <w:color w:val="auto"/>
              </w:rPr>
              <w:t xml:space="preserve">Adjusted income from continuing operations, net of tax </w:t>
            </w:r>
            <w:r>
              <w:rPr>
                <w:rFonts w:ascii="Arial" w:cs="Arial" w:eastAsia="Arial" w:hAnsi="Arial"/>
                <w:sz w:val="19"/>
                <w:szCs w:val="19"/>
                <w:color w:val="auto"/>
                <w:vertAlign w:val="superscript"/>
              </w:rPr>
              <w:t>(1)</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(27.8%)</w:t>
            </w:r>
          </w:p>
        </w:tc>
      </w:tr>
      <w:tr>
        <w:trPr>
          <w:trHeight w:val="244"/>
        </w:trPr>
        <w:tc>
          <w:tcPr>
            <w:tcW w:w="6840" w:type="dxa"/>
            <w:vAlign w:val="bottom"/>
            <w:gridSpan w:val="2"/>
          </w:tcPr>
          <w:p>
            <w:pPr>
              <w:spacing w:after="0"/>
              <w:rPr>
                <w:sz w:val="20"/>
                <w:szCs w:val="20"/>
                <w:color w:val="auto"/>
              </w:rPr>
            </w:pPr>
            <w:r>
              <w:rPr>
                <w:rFonts w:ascii="Arial" w:cs="Arial" w:eastAsia="Arial" w:hAnsi="Arial"/>
                <w:sz w:val="14"/>
                <w:szCs w:val="14"/>
                <w:color w:val="auto"/>
              </w:rPr>
              <w:t xml:space="preserve">Adjusted diluted earnings per share from continuing operations </w:t>
            </w:r>
            <w:r>
              <w:rPr>
                <w:rFonts w:ascii="Arial" w:cs="Arial" w:eastAsia="Arial" w:hAnsi="Arial"/>
                <w:sz w:val="19"/>
                <w:szCs w:val="19"/>
                <w:color w:val="auto"/>
                <w:vertAlign w:val="superscript"/>
              </w:rPr>
              <w:t>(1)</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$0.96</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(27.1%)</w:t>
            </w:r>
          </w:p>
        </w:tc>
      </w:tr>
    </w:tbl>
    <w:p>
      <w:pPr>
        <w:spacing w:after="0" w:line="229" w:lineRule="exact"/>
        <w:rPr>
          <w:sz w:val="20"/>
          <w:szCs w:val="20"/>
          <w:color w:val="auto"/>
        </w:rPr>
      </w:pPr>
    </w:p>
    <w:p>
      <w:pPr>
        <w:ind w:left="220" w:right="40" w:hanging="209"/>
        <w:spacing w:after="0" w:line="238" w:lineRule="auto"/>
        <w:tabs>
          <w:tab w:leader="none" w:pos="220" w:val="left"/>
        </w:tabs>
        <w:numPr>
          <w:ilvl w:val="0"/>
          <w:numId w:val="7"/>
        </w:numPr>
        <w:rPr>
          <w:rFonts w:ascii="Arial" w:cs="Arial" w:eastAsia="Arial" w:hAnsi="Arial"/>
          <w:sz w:val="13"/>
          <w:szCs w:val="13"/>
          <w:color w:val="auto"/>
        </w:rPr>
      </w:pPr>
      <w:r>
        <w:rPr>
          <w:rFonts w:ascii="Arial" w:cs="Arial" w:eastAsia="Arial" w:hAnsi="Arial"/>
          <w:sz w:val="13"/>
          <w:szCs w:val="13"/>
          <w:color w:val="auto"/>
        </w:rPr>
        <w:t>Adjusted financial measures are non-GAAP measures and exclude specified items as described and reconciled in the "Reconciliation of GAAP to non-GAAP Financial Measures" contained in the press release.</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Statistics (as a % of net sales, except for income tax rate)</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20" w:type="dxa"/>
            <w:vAlign w:val="bottom"/>
          </w:tcPr>
          <w:p>
            <w:pPr>
              <w:spacing w:after="0"/>
              <w:rPr>
                <w:sz w:val="18"/>
                <w:szCs w:val="18"/>
                <w:color w:val="auto"/>
              </w:rPr>
            </w:pPr>
          </w:p>
        </w:tc>
        <w:tc>
          <w:tcPr>
            <w:tcW w:w="382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GAAP Three Months Ended June 30,</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6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b w:val="1"/>
                <w:bCs w:val="1"/>
                <w:color w:val="auto"/>
              </w:rPr>
              <w:t xml:space="preserve">Adjusted </w:t>
            </w:r>
            <w:r>
              <w:rPr>
                <w:rFonts w:ascii="Arial" w:cs="Arial" w:eastAsia="Arial" w:hAnsi="Arial"/>
                <w:sz w:val="19"/>
                <w:szCs w:val="19"/>
                <w:b w:val="1"/>
                <w:bCs w:val="1"/>
                <w:color w:val="auto"/>
                <w:vertAlign w:val="superscript"/>
              </w:rPr>
              <w:t>(1)</w:t>
            </w:r>
            <w:r>
              <w:rPr>
                <w:rFonts w:ascii="Arial" w:cs="Arial" w:eastAsia="Arial" w:hAnsi="Arial"/>
                <w:sz w:val="14"/>
                <w:szCs w:val="14"/>
                <w:b w:val="1"/>
                <w:bCs w:val="1"/>
                <w:color w:val="auto"/>
              </w:rPr>
              <w:t xml:space="preserve"> Three Months Ended June 30,</w:t>
            </w:r>
          </w:p>
        </w:tc>
      </w:tr>
      <w:tr>
        <w:trPr>
          <w:trHeight w:val="223"/>
        </w:trPr>
        <w:tc>
          <w:tcPr>
            <w:tcW w:w="2320" w:type="dxa"/>
            <w:vAlign w:val="bottom"/>
          </w:tcPr>
          <w:p>
            <w:pPr>
              <w:spacing w:after="0"/>
              <w:rPr>
                <w:sz w:val="19"/>
                <w:szCs w:val="19"/>
                <w:color w:val="auto"/>
              </w:rPr>
            </w:pPr>
          </w:p>
        </w:tc>
        <w:tc>
          <w:tcPr>
            <w:tcW w:w="1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218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2018</w:t>
            </w:r>
          </w:p>
        </w:tc>
      </w:tr>
      <w:tr>
        <w:trPr>
          <w:trHeight w:val="209"/>
        </w:trPr>
        <w:tc>
          <w:tcPr>
            <w:tcW w:w="380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720" w:type="dxa"/>
            <w:vAlign w:val="bottom"/>
          </w:tcPr>
          <w:p>
            <w:pPr>
              <w:jc w:val="right"/>
              <w:spacing w:after="0"/>
              <w:rPr>
                <w:sz w:val="20"/>
                <w:szCs w:val="20"/>
                <w:color w:val="auto"/>
              </w:rPr>
            </w:pPr>
            <w:r>
              <w:rPr>
                <w:rFonts w:ascii="Arial" w:cs="Arial" w:eastAsia="Arial" w:hAnsi="Arial"/>
                <w:sz w:val="14"/>
                <w:szCs w:val="14"/>
                <w:color w:val="auto"/>
              </w:rPr>
              <w:t>71.1%</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67.5%</w:t>
            </w:r>
          </w:p>
        </w:tc>
        <w:tc>
          <w:tcPr>
            <w:tcW w:w="1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69.3%</w:t>
            </w:r>
          </w:p>
        </w:tc>
        <w:tc>
          <w:tcPr>
            <w:tcW w:w="12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68.3%</w:t>
            </w:r>
          </w:p>
        </w:tc>
      </w:tr>
      <w:tr>
        <w:trPr>
          <w:trHeight w:val="239"/>
        </w:trPr>
        <w:tc>
          <w:tcPr>
            <w:tcW w:w="3800" w:type="dxa"/>
            <w:vAlign w:val="bottom"/>
            <w:gridSpan w:val="2"/>
          </w:tcPr>
          <w:p>
            <w:pPr>
              <w:spacing w:after="0"/>
              <w:rPr>
                <w:sz w:val="20"/>
                <w:szCs w:val="20"/>
                <w:color w:val="auto"/>
              </w:rPr>
            </w:pPr>
            <w:r>
              <w:rPr>
                <w:rFonts w:ascii="Arial" w:cs="Arial" w:eastAsia="Arial" w:hAnsi="Arial"/>
                <w:sz w:val="14"/>
                <w:szCs w:val="14"/>
                <w:color w:val="auto"/>
              </w:rPr>
              <w:t>SG&amp;A</w:t>
            </w:r>
          </w:p>
        </w:tc>
        <w:tc>
          <w:tcPr>
            <w:tcW w:w="720" w:type="dxa"/>
            <w:vAlign w:val="bottom"/>
          </w:tcPr>
          <w:p>
            <w:pPr>
              <w:jc w:val="right"/>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36.2%</w:t>
            </w:r>
          </w:p>
        </w:tc>
      </w:tr>
      <w:tr>
        <w:trPr>
          <w:trHeight w:val="239"/>
        </w:trPr>
        <w:tc>
          <w:tcPr>
            <w:tcW w:w="3800" w:type="dxa"/>
            <w:vAlign w:val="bottom"/>
            <w:gridSpan w:val="2"/>
          </w:tcPr>
          <w:p>
            <w:pPr>
              <w:spacing w:after="0"/>
              <w:rPr>
                <w:sz w:val="20"/>
                <w:szCs w:val="20"/>
                <w:color w:val="auto"/>
              </w:rPr>
            </w:pPr>
            <w:r>
              <w:rPr>
                <w:rFonts w:ascii="Arial" w:cs="Arial" w:eastAsia="Arial" w:hAnsi="Arial"/>
                <w:sz w:val="14"/>
                <w:szCs w:val="14"/>
                <w:color w:val="auto"/>
              </w:rPr>
              <w:t>R&amp;D</w:t>
            </w:r>
          </w:p>
        </w:tc>
        <w:tc>
          <w:tcPr>
            <w:tcW w:w="72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211"/>
        </w:trPr>
        <w:tc>
          <w:tcPr>
            <w:tcW w:w="3800" w:type="dxa"/>
            <w:vAlign w:val="bottom"/>
            <w:gridSpan w:val="2"/>
          </w:tcPr>
          <w:p>
            <w:pPr>
              <w:spacing w:after="0"/>
              <w:rPr>
                <w:sz w:val="20"/>
                <w:szCs w:val="20"/>
                <w:color w:val="auto"/>
              </w:rPr>
            </w:pPr>
            <w:r>
              <w:rPr>
                <w:rFonts w:ascii="Arial" w:cs="Arial" w:eastAsia="Arial" w:hAnsi="Arial"/>
                <w:sz w:val="14"/>
                <w:szCs w:val="14"/>
                <w:color w:val="auto"/>
              </w:rPr>
              <w:t>Operating (loss) income from</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72"/>
        </w:trPr>
        <w:tc>
          <w:tcPr>
            <w:tcW w:w="3800" w:type="dxa"/>
            <w:vAlign w:val="bottom"/>
            <w:gridSpan w:val="2"/>
          </w:tcPr>
          <w:p>
            <w:pPr>
              <w:spacing w:after="0"/>
              <w:rPr>
                <w:sz w:val="20"/>
                <w:szCs w:val="20"/>
                <w:color w:val="auto"/>
              </w:rPr>
            </w:pPr>
            <w:r>
              <w:rPr>
                <w:rFonts w:ascii="Arial" w:cs="Arial" w:eastAsia="Arial" w:hAnsi="Arial"/>
                <w:sz w:val="14"/>
                <w:szCs w:val="14"/>
                <w:color w:val="auto"/>
              </w:rPr>
              <w:t>continuing operations</w:t>
            </w:r>
          </w:p>
        </w:tc>
        <w:tc>
          <w:tcPr>
            <w:tcW w:w="72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20.8%</w:t>
            </w:r>
          </w:p>
        </w:tc>
      </w:tr>
      <w:tr>
        <w:trPr>
          <w:trHeight w:val="211"/>
        </w:trPr>
        <w:tc>
          <w:tcPr>
            <w:tcW w:w="3800" w:type="dxa"/>
            <w:vAlign w:val="bottom"/>
            <w:gridSpan w:val="2"/>
          </w:tcPr>
          <w:p>
            <w:pPr>
              <w:spacing w:after="0"/>
              <w:rPr>
                <w:sz w:val="20"/>
                <w:szCs w:val="20"/>
                <w:color w:val="auto"/>
              </w:rPr>
            </w:pPr>
            <w:r>
              <w:rPr>
                <w:rFonts w:ascii="Arial" w:cs="Arial" w:eastAsia="Arial" w:hAnsi="Arial"/>
                <w:sz w:val="14"/>
                <w:szCs w:val="14"/>
                <w:color w:val="auto"/>
              </w:rPr>
              <w:t>Net (loss) income from continuing</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72"/>
        </w:trPr>
        <w:tc>
          <w:tcPr>
            <w:tcW w:w="3800" w:type="dxa"/>
            <w:vAlign w:val="bottom"/>
            <w:gridSpan w:val="2"/>
          </w:tcPr>
          <w:p>
            <w:pPr>
              <w:spacing w:after="0"/>
              <w:rPr>
                <w:sz w:val="20"/>
                <w:szCs w:val="20"/>
                <w:color w:val="auto"/>
              </w:rPr>
            </w:pPr>
            <w:r>
              <w:rPr>
                <w:rFonts w:ascii="Arial" w:cs="Arial" w:eastAsia="Arial" w:hAnsi="Arial"/>
                <w:sz w:val="14"/>
                <w:szCs w:val="14"/>
                <w:color w:val="auto"/>
              </w:rPr>
              <w:t>operations, net of tax</w:t>
            </w:r>
          </w:p>
        </w:tc>
        <w:tc>
          <w:tcPr>
            <w:tcW w:w="72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239"/>
        </w:trPr>
        <w:tc>
          <w:tcPr>
            <w:tcW w:w="3800" w:type="dxa"/>
            <w:vAlign w:val="bottom"/>
            <w:gridSpan w:val="2"/>
          </w:tcPr>
          <w:p>
            <w:pPr>
              <w:spacing w:after="0"/>
              <w:rPr>
                <w:sz w:val="20"/>
                <w:szCs w:val="20"/>
                <w:color w:val="auto"/>
              </w:rPr>
            </w:pPr>
            <w:r>
              <w:rPr>
                <w:rFonts w:ascii="Arial" w:cs="Arial" w:eastAsia="Arial" w:hAnsi="Arial"/>
                <w:sz w:val="14"/>
                <w:szCs w:val="14"/>
                <w:color w:val="auto"/>
              </w:rPr>
              <w:t>Income tax rate</w:t>
            </w:r>
          </w:p>
        </w:tc>
        <w:tc>
          <w:tcPr>
            <w:tcW w:w="720" w:type="dxa"/>
            <w:vAlign w:val="bottom"/>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17.4%</w:t>
            </w:r>
          </w:p>
        </w:tc>
      </w:tr>
    </w:tbl>
    <w:p>
      <w:pPr>
        <w:spacing w:after="0" w:line="309" w:lineRule="exact"/>
        <w:rPr>
          <w:sz w:val="20"/>
          <w:szCs w:val="20"/>
          <w:color w:val="auto"/>
        </w:rPr>
      </w:pPr>
    </w:p>
    <w:p>
      <w:pPr>
        <w:ind w:left="440" w:right="40" w:hanging="321"/>
        <w:spacing w:after="0" w:line="238" w:lineRule="auto"/>
        <w:tabs>
          <w:tab w:leader="none" w:pos="440" w:val="left"/>
        </w:tabs>
        <w:numPr>
          <w:ilvl w:val="0"/>
          <w:numId w:val="8"/>
        </w:numPr>
        <w:rPr>
          <w:rFonts w:ascii="Arial" w:cs="Arial" w:eastAsia="Arial" w:hAnsi="Arial"/>
          <w:sz w:val="13"/>
          <w:szCs w:val="13"/>
          <w:color w:val="auto"/>
        </w:rPr>
      </w:pPr>
      <w:r>
        <w:rPr>
          <w:rFonts w:ascii="Arial" w:cs="Arial" w:eastAsia="Arial" w:hAnsi="Arial"/>
          <w:sz w:val="13"/>
          <w:szCs w:val="13"/>
          <w:color w:val="auto"/>
        </w:rPr>
        <w:t>Adjusted financial measures are non-GAAP measures and exclude specified items as described and reconciled in the "Reconciliation of GAAP to non-GAAP Financial Measures" contained in the press release.</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420"/>
          </w:cols>
          <w:pgMar w:left="260" w:top="704" w:right="21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LIVANOVA PLC AND SUBSIDIARIES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CONSOLIDATED STATEMENTS OF INCOME - UNAUDITED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680" w:type="dxa"/>
            <w:vAlign w:val="bottom"/>
          </w:tcPr>
          <w:p>
            <w:pPr>
              <w:spacing w:after="0"/>
              <w:rPr>
                <w:sz w:val="17"/>
                <w:szCs w:val="17"/>
                <w:color w:val="auto"/>
              </w:rPr>
            </w:pPr>
          </w:p>
        </w:tc>
        <w:tc>
          <w:tcPr>
            <w:tcW w:w="306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1"/>
        </w:trPr>
        <w:tc>
          <w:tcPr>
            <w:tcW w:w="5680" w:type="dxa"/>
            <w:vAlign w:val="bottom"/>
          </w:tcPr>
          <w:p>
            <w:pPr>
              <w:spacing w:after="0"/>
              <w:rPr>
                <w:sz w:val="20"/>
                <w:szCs w:val="20"/>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 Change</w:t>
            </w:r>
          </w:p>
        </w:tc>
      </w:tr>
      <w:tr>
        <w:trPr>
          <w:trHeight w:val="221"/>
        </w:trPr>
        <w:tc>
          <w:tcPr>
            <w:tcW w:w="684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$528.0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$537.9</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9"/>
        </w:trPr>
        <w:tc>
          <w:tcPr>
            <w:tcW w:w="6840" w:type="dxa"/>
            <w:vAlign w:val="bottom"/>
            <w:gridSpan w:val="2"/>
          </w:tcPr>
          <w:p>
            <w:pPr>
              <w:spacing w:after="0"/>
              <w:rPr>
                <w:sz w:val="20"/>
                <w:szCs w:val="20"/>
                <w:color w:val="auto"/>
              </w:rPr>
            </w:pPr>
            <w:r>
              <w:rPr>
                <w:rFonts w:ascii="Arial" w:cs="Arial" w:eastAsia="Arial" w:hAnsi="Arial"/>
                <w:sz w:val="14"/>
                <w:szCs w:val="14"/>
                <w:color w:val="auto"/>
              </w:rPr>
              <w:t>Costs and expenses: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Cost of sales - exclusive of amortization</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159.2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176.6</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Product remediation</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Selling, general and administrative</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252.9</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227.6</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66.0</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Merger and integration expenses</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Restructuring expenses</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Impairment of intangible assets</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49"/>
        </w:trPr>
        <w:tc>
          <w:tcPr>
            <w:tcW w:w="5680" w:type="dxa"/>
            <w:vAlign w:val="bottom"/>
          </w:tcPr>
          <w:p>
            <w:pPr>
              <w:ind w:left="220"/>
              <w:spacing w:after="0"/>
              <w:rPr>
                <w:sz w:val="20"/>
                <w:szCs w:val="20"/>
                <w:color w:val="auto"/>
              </w:rPr>
            </w:pPr>
            <w:r>
              <w:rPr>
                <w:rFonts w:ascii="Arial" w:cs="Arial" w:eastAsia="Arial" w:hAnsi="Arial"/>
                <w:sz w:val="14"/>
                <w:szCs w:val="14"/>
                <w:color w:val="auto"/>
              </w:rPr>
              <w:t>Amortization of intangibles</w:t>
            </w: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r>
      <w:tr>
        <w:trPr>
          <w:trHeight w:val="219"/>
        </w:trPr>
        <w:tc>
          <w:tcPr>
            <w:tcW w:w="5680" w:type="dxa"/>
            <w:vAlign w:val="bottom"/>
          </w:tcPr>
          <w:p>
            <w:pPr>
              <w:spacing w:after="0"/>
              <w:rPr>
                <w:sz w:val="20"/>
                <w:szCs w:val="20"/>
                <w:color w:val="auto"/>
              </w:rPr>
            </w:pPr>
            <w:r>
              <w:rPr>
                <w:rFonts w:ascii="Arial" w:cs="Arial" w:eastAsia="Arial" w:hAnsi="Arial"/>
                <w:sz w:val="14"/>
                <w:szCs w:val="14"/>
                <w:color w:val="auto"/>
              </w:rPr>
              <w:t>Operating (loss) income from continuing operations</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(248.7%)</w:t>
            </w:r>
          </w:p>
        </w:tc>
      </w:tr>
      <w:tr>
        <w:trPr>
          <w:trHeight w:val="20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Interest expense, net</w:t>
            </w:r>
          </w:p>
        </w:tc>
        <w:tc>
          <w:tcPr>
            <w:tcW w:w="64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Gain on acquisition</w:t>
            </w:r>
          </w:p>
        </w:tc>
        <w:tc>
          <w:tcPr>
            <w:tcW w:w="1900" w:type="dxa"/>
            <w:vAlign w:val="bottom"/>
            <w:gridSpan w:val="3"/>
          </w:tcPr>
          <w:p>
            <w:pPr>
              <w:jc w:val="right"/>
              <w:ind w:right="12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49"/>
        </w:trPr>
        <w:tc>
          <w:tcPr>
            <w:tcW w:w="5680" w:type="dxa"/>
            <w:vAlign w:val="bottom"/>
          </w:tcPr>
          <w:p>
            <w:pPr>
              <w:ind w:left="220"/>
              <w:spacing w:after="0"/>
              <w:rPr>
                <w:sz w:val="20"/>
                <w:szCs w:val="20"/>
                <w:color w:val="auto"/>
              </w:rPr>
            </w:pPr>
            <w:r>
              <w:rPr>
                <w:rFonts w:ascii="Arial" w:cs="Arial" w:eastAsia="Arial" w:hAnsi="Arial"/>
                <w:sz w:val="14"/>
                <w:szCs w:val="14"/>
                <w:color w:val="auto"/>
              </w:rPr>
              <w:t>Foreign exchange and other losses</w:t>
            </w: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r>
      <w:tr>
        <w:trPr>
          <w:trHeight w:val="219"/>
        </w:trPr>
        <w:tc>
          <w:tcPr>
            <w:tcW w:w="5680" w:type="dxa"/>
            <w:vAlign w:val="bottom"/>
          </w:tcPr>
          <w:p>
            <w:pPr>
              <w:spacing w:after="0"/>
              <w:rPr>
                <w:sz w:val="20"/>
                <w:szCs w:val="20"/>
                <w:color w:val="auto"/>
              </w:rPr>
            </w:pPr>
            <w:r>
              <w:rPr>
                <w:rFonts w:ascii="Arial" w:cs="Arial" w:eastAsia="Arial" w:hAnsi="Arial"/>
                <w:sz w:val="14"/>
                <w:szCs w:val="14"/>
                <w:color w:val="auto"/>
              </w:rPr>
              <w:t>(Loss) income from continuing operations before tax</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(239.7%)</w:t>
            </w:r>
          </w:p>
        </w:tc>
      </w:tr>
      <w:tr>
        <w:trPr>
          <w:trHeight w:val="20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Income tax (benefit) expense</w:t>
            </w:r>
          </w:p>
        </w:tc>
        <w:tc>
          <w:tcPr>
            <w:tcW w:w="64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49"/>
        </w:trPr>
        <w:tc>
          <w:tcPr>
            <w:tcW w:w="5680" w:type="dxa"/>
            <w:vAlign w:val="bottom"/>
          </w:tcPr>
          <w:p>
            <w:pPr>
              <w:ind w:left="220"/>
              <w:spacing w:after="0"/>
              <w:rPr>
                <w:sz w:val="20"/>
                <w:szCs w:val="20"/>
                <w:color w:val="auto"/>
              </w:rPr>
            </w:pPr>
            <w:r>
              <w:rPr>
                <w:rFonts w:ascii="Arial" w:cs="Arial" w:eastAsia="Arial" w:hAnsi="Arial"/>
                <w:sz w:val="14"/>
                <w:szCs w:val="14"/>
                <w:color w:val="auto"/>
              </w:rPr>
              <w:t>Losses from equity method investments</w:t>
            </w: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r>
      <w:tr>
        <w:trPr>
          <w:trHeight w:val="219"/>
        </w:trPr>
        <w:tc>
          <w:tcPr>
            <w:tcW w:w="5680" w:type="dxa"/>
            <w:vAlign w:val="bottom"/>
          </w:tcPr>
          <w:p>
            <w:pPr>
              <w:spacing w:after="0"/>
              <w:rPr>
                <w:sz w:val="20"/>
                <w:szCs w:val="20"/>
                <w:color w:val="auto"/>
              </w:rPr>
            </w:pPr>
            <w:r>
              <w:rPr>
                <w:rFonts w:ascii="Arial" w:cs="Arial" w:eastAsia="Arial" w:hAnsi="Arial"/>
                <w:sz w:val="14"/>
                <w:szCs w:val="14"/>
                <w:color w:val="auto"/>
              </w:rPr>
              <w:t>Net (loss) income from continuing operations</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(218.2%)</w:t>
            </w:r>
          </w:p>
        </w:tc>
      </w:tr>
      <w:tr>
        <w:trPr>
          <w:trHeight w:val="219"/>
        </w:trPr>
        <w:tc>
          <w:tcPr>
            <w:tcW w:w="5680" w:type="dxa"/>
            <w:vAlign w:val="bottom"/>
          </w:tcPr>
          <w:p>
            <w:pPr>
              <w:spacing w:after="0"/>
              <w:rPr>
                <w:sz w:val="20"/>
                <w:szCs w:val="20"/>
                <w:color w:val="auto"/>
              </w:rPr>
            </w:pPr>
            <w:r>
              <w:rPr>
                <w:rFonts w:ascii="Arial" w:cs="Arial" w:eastAsia="Arial" w:hAnsi="Arial"/>
                <w:sz w:val="14"/>
                <w:szCs w:val="14"/>
                <w:color w:val="auto"/>
              </w:rPr>
              <w:t>Net income (loss) from discontinued operations, net of tax</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r>
      <w:tr>
        <w:trPr>
          <w:trHeight w:val="276"/>
        </w:trPr>
        <w:tc>
          <w:tcPr>
            <w:tcW w:w="5680" w:type="dxa"/>
            <w:vAlign w:val="bottom"/>
          </w:tcPr>
          <w:p>
            <w:pPr>
              <w:spacing w:after="0"/>
              <w:rPr>
                <w:sz w:val="20"/>
                <w:szCs w:val="20"/>
                <w:color w:val="auto"/>
              </w:rPr>
            </w:pPr>
            <w:r>
              <w:rPr>
                <w:rFonts w:ascii="Arial" w:cs="Arial" w:eastAsia="Arial" w:hAnsi="Arial"/>
                <w:sz w:val="14"/>
                <w:szCs w:val="14"/>
                <w:color w:val="auto"/>
              </w:rPr>
              <w:t>Net (loss) income</w:t>
            </w:r>
          </w:p>
        </w:tc>
        <w:tc>
          <w:tcPr>
            <w:tcW w:w="1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(255.8%)</w:t>
            </w:r>
          </w:p>
        </w:tc>
      </w:tr>
      <w:tr>
        <w:trPr>
          <w:trHeight w:val="451"/>
        </w:trPr>
        <w:tc>
          <w:tcPr>
            <w:tcW w:w="6840" w:type="dxa"/>
            <w:vAlign w:val="bottom"/>
            <w:gridSpan w:val="2"/>
          </w:tcPr>
          <w:p>
            <w:pPr>
              <w:spacing w:after="0"/>
              <w:rPr>
                <w:sz w:val="20"/>
                <w:szCs w:val="20"/>
                <w:color w:val="auto"/>
              </w:rPr>
            </w:pPr>
            <w:r>
              <w:rPr>
                <w:rFonts w:ascii="Arial" w:cs="Arial" w:eastAsia="Arial" w:hAnsi="Arial"/>
                <w:sz w:val="14"/>
                <w:szCs w:val="14"/>
                <w:color w:val="auto"/>
              </w:rPr>
              <w:t>Basic (loss) income per share: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Continuing operations</w:t>
            </w:r>
          </w:p>
        </w:tc>
        <w:tc>
          <w:tcPr>
            <w:tcW w:w="640" w:type="dxa"/>
            <w:vAlign w:val="bottom"/>
          </w:tcPr>
          <w:p>
            <w:pPr>
              <w:jc w:val="right"/>
              <w:spacing w:after="0"/>
              <w:rPr>
                <w:sz w:val="20"/>
                <w:szCs w:val="20"/>
                <w:color w:val="auto"/>
              </w:rPr>
            </w:pPr>
            <w:r>
              <w:rPr>
                <w:rFonts w:ascii="Arial" w:cs="Arial" w:eastAsia="Arial" w:hAnsi="Arial"/>
                <w:sz w:val="14"/>
                <w:szCs w:val="14"/>
                <w:color w:val="auto"/>
              </w:rPr>
              <w:t>($0.92)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$0.77</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4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Discontinued operations</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31"/>
        </w:trPr>
        <w:tc>
          <w:tcPr>
            <w:tcW w:w="5680" w:type="dxa"/>
            <w:vAlign w:val="bottom"/>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($0.91)</w:t>
            </w:r>
          </w:p>
        </w:tc>
        <w:tc>
          <w:tcPr>
            <w:tcW w:w="100" w:type="dxa"/>
            <w:vAlign w:val="bottom"/>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$0.59</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0"/>
        </w:trPr>
        <w:tc>
          <w:tcPr>
            <w:tcW w:w="5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56"/>
        </w:trPr>
        <w:tc>
          <w:tcPr>
            <w:tcW w:w="6840" w:type="dxa"/>
            <w:vAlign w:val="bottom"/>
            <w:gridSpan w:val="2"/>
          </w:tcPr>
          <w:p>
            <w:pPr>
              <w:spacing w:after="0"/>
              <w:rPr>
                <w:sz w:val="20"/>
                <w:szCs w:val="20"/>
                <w:color w:val="auto"/>
              </w:rPr>
            </w:pPr>
            <w:r>
              <w:rPr>
                <w:rFonts w:ascii="Arial" w:cs="Arial" w:eastAsia="Arial" w:hAnsi="Arial"/>
                <w:sz w:val="14"/>
                <w:szCs w:val="14"/>
                <w:color w:val="auto"/>
              </w:rPr>
              <w:t>Diluted (loss) income per share: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Continuing operations</w:t>
            </w:r>
          </w:p>
        </w:tc>
        <w:tc>
          <w:tcPr>
            <w:tcW w:w="640" w:type="dxa"/>
            <w:vAlign w:val="bottom"/>
          </w:tcPr>
          <w:p>
            <w:pPr>
              <w:jc w:val="right"/>
              <w:spacing w:after="0"/>
              <w:rPr>
                <w:sz w:val="20"/>
                <w:szCs w:val="20"/>
                <w:color w:val="auto"/>
              </w:rPr>
            </w:pPr>
            <w:r>
              <w:rPr>
                <w:rFonts w:ascii="Arial" w:cs="Arial" w:eastAsia="Arial" w:hAnsi="Arial"/>
                <w:sz w:val="14"/>
                <w:szCs w:val="14"/>
                <w:color w:val="auto"/>
              </w:rPr>
              <w:t>($0.92)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$0.76</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4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Discontinued operations</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31"/>
        </w:trPr>
        <w:tc>
          <w:tcPr>
            <w:tcW w:w="5680" w:type="dxa"/>
            <w:vAlign w:val="bottom"/>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($0.91)</w:t>
            </w:r>
          </w:p>
        </w:tc>
        <w:tc>
          <w:tcPr>
            <w:tcW w:w="100" w:type="dxa"/>
            <w:vAlign w:val="bottom"/>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$0.58</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0"/>
        </w:trPr>
        <w:tc>
          <w:tcPr>
            <w:tcW w:w="5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56"/>
        </w:trPr>
        <w:tc>
          <w:tcPr>
            <w:tcW w:w="6840" w:type="dxa"/>
            <w:vAlign w:val="bottom"/>
            <w:gridSpan w:val="2"/>
          </w:tcPr>
          <w:p>
            <w:pPr>
              <w:spacing w:after="0"/>
              <w:rPr>
                <w:sz w:val="20"/>
                <w:szCs w:val="20"/>
                <w:color w:val="auto"/>
              </w:rPr>
            </w:pPr>
            <w:r>
              <w:rPr>
                <w:rFonts w:ascii="Arial" w:cs="Arial" w:eastAsia="Arial" w:hAnsi="Arial"/>
                <w:sz w:val="14"/>
                <w:szCs w:val="14"/>
                <w:color w:val="auto"/>
              </w:rPr>
              <w:t>Weighted average common shares outstanding</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Basic</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48.4</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Diluted</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309" w:lineRule="exact"/>
        <w:rPr>
          <w:sz w:val="20"/>
          <w:szCs w:val="20"/>
          <w:color w:val="auto"/>
        </w:rPr>
      </w:pPr>
    </w:p>
    <w:p>
      <w:pPr>
        <w:ind w:left="220" w:hanging="220"/>
        <w:spacing w:after="0"/>
        <w:tabs>
          <w:tab w:leader="none" w:pos="220" w:val="left"/>
        </w:tabs>
        <w:numPr>
          <w:ilvl w:val="0"/>
          <w:numId w:val="9"/>
        </w:numPr>
        <w:rPr>
          <w:rFonts w:ascii="Arial" w:cs="Arial" w:eastAsia="Arial" w:hAnsi="Arial"/>
          <w:sz w:val="13"/>
          <w:szCs w:val="13"/>
          <w:color w:val="auto"/>
        </w:rPr>
      </w:pPr>
      <w:r>
        <w:rPr>
          <w:rFonts w:ascii="Arial" w:cs="Arial" w:eastAsia="Arial" w:hAnsi="Arial"/>
          <w:sz w:val="13"/>
          <w:szCs w:val="13"/>
          <w:color w:val="auto"/>
        </w:rPr>
        <w:t>Numbers may not add up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420"/>
          </w:cols>
          <w:pgMar w:left="260" w:top="733" w:right="21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Adjusted Financial Measures (U.S. dollars in millions, except per share amounts)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680" w:type="dxa"/>
            <w:vAlign w:val="bottom"/>
          </w:tcPr>
          <w:p>
            <w:pPr>
              <w:spacing w:after="0"/>
              <w:rPr>
                <w:sz w:val="17"/>
                <w:szCs w:val="17"/>
                <w:color w:val="auto"/>
              </w:rPr>
            </w:pPr>
          </w:p>
        </w:tc>
        <w:tc>
          <w:tcPr>
            <w:tcW w:w="306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9"/>
        </w:trPr>
        <w:tc>
          <w:tcPr>
            <w:tcW w:w="5680" w:type="dxa"/>
            <w:vAlign w:val="bottom"/>
          </w:tcPr>
          <w:p>
            <w:pPr>
              <w:spacing w:after="0"/>
              <w:rPr>
                <w:sz w:val="20"/>
                <w:szCs w:val="20"/>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9"/>
                <w:szCs w:val="19"/>
                <w:b w:val="1"/>
                <w:bCs w:val="1"/>
                <w:color w:val="auto"/>
                <w:vertAlign w:val="superscript"/>
              </w:rPr>
              <w:t>(1)</w:t>
            </w:r>
          </w:p>
        </w:tc>
      </w:tr>
      <w:tr>
        <w:trPr>
          <w:trHeight w:val="276"/>
        </w:trPr>
        <w:tc>
          <w:tcPr>
            <w:tcW w:w="6840" w:type="dxa"/>
            <w:vAlign w:val="bottom"/>
            <w:gridSpan w:val="2"/>
          </w:tcPr>
          <w:p>
            <w:pPr>
              <w:spacing w:after="0"/>
              <w:rPr>
                <w:sz w:val="20"/>
                <w:szCs w:val="20"/>
                <w:color w:val="auto"/>
              </w:rPr>
            </w:pPr>
            <w:r>
              <w:rPr>
                <w:rFonts w:ascii="Arial" w:cs="Arial" w:eastAsia="Arial" w:hAnsi="Arial"/>
                <w:sz w:val="14"/>
                <w:szCs w:val="14"/>
                <w:color w:val="auto"/>
              </w:rPr>
              <w:t xml:space="preserve">Adjusted SG&amp;A </w:t>
            </w:r>
            <w:r>
              <w:rPr>
                <w:rFonts w:ascii="Arial" w:cs="Arial" w:eastAsia="Arial" w:hAnsi="Arial"/>
                <w:sz w:val="19"/>
                <w:szCs w:val="19"/>
                <w:color w:val="auto"/>
                <w:vertAlign w:val="superscript"/>
              </w:rPr>
              <w:t>(1)</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$212.6</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23"/>
                <w:szCs w:val="23"/>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5.8%</w:t>
            </w:r>
          </w:p>
        </w:tc>
      </w:tr>
      <w:tr>
        <w:trPr>
          <w:trHeight w:val="239"/>
        </w:trPr>
        <w:tc>
          <w:tcPr>
            <w:tcW w:w="6840" w:type="dxa"/>
            <w:vAlign w:val="bottom"/>
            <w:gridSpan w:val="2"/>
          </w:tcPr>
          <w:p>
            <w:pPr>
              <w:spacing w:after="0"/>
              <w:rPr>
                <w:sz w:val="20"/>
                <w:szCs w:val="20"/>
                <w:color w:val="auto"/>
              </w:rPr>
            </w:pPr>
            <w:r>
              <w:rPr>
                <w:rFonts w:ascii="Arial" w:cs="Arial" w:eastAsia="Arial" w:hAnsi="Arial"/>
                <w:sz w:val="14"/>
                <w:szCs w:val="14"/>
                <w:color w:val="auto"/>
              </w:rPr>
              <w:t xml:space="preserve">Adjusted R&amp;D </w:t>
            </w:r>
            <w:r>
              <w:rPr>
                <w:rFonts w:ascii="Arial" w:cs="Arial" w:eastAsia="Arial" w:hAnsi="Arial"/>
                <w:sz w:val="19"/>
                <w:szCs w:val="19"/>
                <w:color w:val="auto"/>
                <w:vertAlign w:val="superscript"/>
              </w:rPr>
              <w:t>(1)</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76.5</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20"/>
                <w:szCs w:val="20"/>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24.2%</w:t>
            </w:r>
          </w:p>
        </w:tc>
      </w:tr>
      <w:tr>
        <w:trPr>
          <w:trHeight w:val="239"/>
        </w:trPr>
        <w:tc>
          <w:tcPr>
            <w:tcW w:w="6840" w:type="dxa"/>
            <w:vAlign w:val="bottom"/>
            <w:gridSpan w:val="2"/>
          </w:tcPr>
          <w:p>
            <w:pPr>
              <w:spacing w:after="0"/>
              <w:rPr>
                <w:sz w:val="20"/>
                <w:szCs w:val="20"/>
                <w:color w:val="auto"/>
              </w:rPr>
            </w:pPr>
            <w:r>
              <w:rPr>
                <w:rFonts w:ascii="Arial" w:cs="Arial" w:eastAsia="Arial" w:hAnsi="Arial"/>
                <w:sz w:val="14"/>
                <w:szCs w:val="14"/>
                <w:color w:val="auto"/>
              </w:rPr>
              <w:t xml:space="preserve">Adjusted operating income from continuing operations </w:t>
            </w:r>
            <w:r>
              <w:rPr>
                <w:rFonts w:ascii="Arial" w:cs="Arial" w:eastAsia="Arial" w:hAnsi="Arial"/>
                <w:sz w:val="19"/>
                <w:szCs w:val="19"/>
                <w:color w:val="auto"/>
                <w:vertAlign w:val="superscript"/>
              </w:rPr>
              <w:t>(1)</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101.4</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(24.5%)</w:t>
            </w:r>
          </w:p>
        </w:tc>
      </w:tr>
      <w:tr>
        <w:trPr>
          <w:trHeight w:val="239"/>
        </w:trPr>
        <w:tc>
          <w:tcPr>
            <w:tcW w:w="6840" w:type="dxa"/>
            <w:vAlign w:val="bottom"/>
            <w:gridSpan w:val="2"/>
          </w:tcPr>
          <w:p>
            <w:pPr>
              <w:spacing w:after="0"/>
              <w:rPr>
                <w:sz w:val="20"/>
                <w:szCs w:val="20"/>
                <w:color w:val="auto"/>
              </w:rPr>
            </w:pPr>
            <w:r>
              <w:rPr>
                <w:rFonts w:ascii="Arial" w:cs="Arial" w:eastAsia="Arial" w:hAnsi="Arial"/>
                <w:sz w:val="14"/>
                <w:szCs w:val="14"/>
                <w:color w:val="auto"/>
              </w:rPr>
              <w:t xml:space="preserve">Adjusted income from continuing operations, net of tax </w:t>
            </w:r>
            <w:r>
              <w:rPr>
                <w:rFonts w:ascii="Arial" w:cs="Arial" w:eastAsia="Arial" w:hAnsi="Arial"/>
                <w:sz w:val="19"/>
                <w:szCs w:val="19"/>
                <w:color w:val="auto"/>
                <w:vertAlign w:val="superscript"/>
              </w:rPr>
              <w:t>(1)</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60.9</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81.1</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(24.9%)</w:t>
            </w:r>
          </w:p>
        </w:tc>
      </w:tr>
      <w:tr>
        <w:trPr>
          <w:trHeight w:val="244"/>
        </w:trPr>
        <w:tc>
          <w:tcPr>
            <w:tcW w:w="6840" w:type="dxa"/>
            <w:vAlign w:val="bottom"/>
            <w:gridSpan w:val="2"/>
          </w:tcPr>
          <w:p>
            <w:pPr>
              <w:spacing w:after="0"/>
              <w:rPr>
                <w:sz w:val="20"/>
                <w:szCs w:val="20"/>
                <w:color w:val="auto"/>
              </w:rPr>
            </w:pPr>
            <w:r>
              <w:rPr>
                <w:rFonts w:ascii="Arial" w:cs="Arial" w:eastAsia="Arial" w:hAnsi="Arial"/>
                <w:sz w:val="14"/>
                <w:szCs w:val="14"/>
                <w:color w:val="auto"/>
              </w:rPr>
              <w:t xml:space="preserve">Adjusted diluted earnings per share from continuing operations </w:t>
            </w:r>
            <w:r>
              <w:rPr>
                <w:rFonts w:ascii="Arial" w:cs="Arial" w:eastAsia="Arial" w:hAnsi="Arial"/>
                <w:sz w:val="19"/>
                <w:szCs w:val="19"/>
                <w:color w:val="auto"/>
                <w:vertAlign w:val="superscript"/>
              </w:rPr>
              <w:t>(1)</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(24.2%)</w:t>
            </w:r>
          </w:p>
        </w:tc>
      </w:tr>
    </w:tbl>
    <w:p>
      <w:pPr>
        <w:spacing w:after="0" w:line="229" w:lineRule="exact"/>
        <w:rPr>
          <w:sz w:val="20"/>
          <w:szCs w:val="20"/>
          <w:color w:val="auto"/>
        </w:rPr>
      </w:pPr>
    </w:p>
    <w:p>
      <w:pPr>
        <w:ind w:left="220" w:right="40" w:hanging="209"/>
        <w:spacing w:after="0" w:line="238" w:lineRule="auto"/>
        <w:tabs>
          <w:tab w:leader="none" w:pos="2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Adjusted financial measures are non-GAAP measures and exclude specified items as described and reconciled in the "Reconciliation of GAAP to non-GAAP Financial Measures" contained in the press release.</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Statistics (as a % of net sales, except for income tax rate)</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20" w:type="dxa"/>
            <w:vAlign w:val="bottom"/>
          </w:tcPr>
          <w:p>
            <w:pPr>
              <w:spacing w:after="0"/>
              <w:rPr>
                <w:sz w:val="18"/>
                <w:szCs w:val="18"/>
                <w:color w:val="auto"/>
              </w:rPr>
            </w:pPr>
          </w:p>
        </w:tc>
        <w:tc>
          <w:tcPr>
            <w:tcW w:w="384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GAAP Six Months Ended June 30,</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80" w:type="dxa"/>
            <w:vAlign w:val="bottom"/>
            <w:tcBorders>
              <w:bottom w:val="single" w:sz="8" w:color="auto"/>
            </w:tcBorders>
            <w:gridSpan w:val="3"/>
          </w:tcPr>
          <w:p>
            <w:pPr>
              <w:jc w:val="right"/>
              <w:ind w:right="828"/>
              <w:spacing w:after="0"/>
              <w:rPr>
                <w:sz w:val="20"/>
                <w:szCs w:val="20"/>
                <w:color w:val="auto"/>
              </w:rPr>
            </w:pPr>
            <w:r>
              <w:rPr>
                <w:rFonts w:ascii="Arial" w:cs="Arial" w:eastAsia="Arial" w:hAnsi="Arial"/>
                <w:sz w:val="14"/>
                <w:szCs w:val="14"/>
                <w:b w:val="1"/>
                <w:bCs w:val="1"/>
                <w:color w:val="auto"/>
              </w:rPr>
              <w:t xml:space="preserve">Adjusted </w:t>
            </w:r>
            <w:r>
              <w:rPr>
                <w:rFonts w:ascii="Arial" w:cs="Arial" w:eastAsia="Arial" w:hAnsi="Arial"/>
                <w:sz w:val="19"/>
                <w:szCs w:val="19"/>
                <w:b w:val="1"/>
                <w:bCs w:val="1"/>
                <w:color w:val="auto"/>
                <w:vertAlign w:val="superscript"/>
              </w:rPr>
              <w:t>(1)</w:t>
            </w:r>
            <w:r>
              <w:rPr>
                <w:rFonts w:ascii="Arial" w:cs="Arial" w:eastAsia="Arial" w:hAnsi="Arial"/>
                <w:sz w:val="14"/>
                <w:szCs w:val="14"/>
                <w:b w:val="1"/>
                <w:bCs w:val="1"/>
                <w:color w:val="auto"/>
              </w:rPr>
              <w:t xml:space="preserve"> Six Months Ended June 30,</w:t>
            </w:r>
          </w:p>
        </w:tc>
      </w:tr>
      <w:tr>
        <w:trPr>
          <w:trHeight w:val="223"/>
        </w:trPr>
        <w:tc>
          <w:tcPr>
            <w:tcW w:w="2320" w:type="dxa"/>
            <w:vAlign w:val="bottom"/>
          </w:tcPr>
          <w:p>
            <w:pPr>
              <w:spacing w:after="0"/>
              <w:rPr>
                <w:sz w:val="19"/>
                <w:szCs w:val="19"/>
                <w:color w:val="auto"/>
              </w:rPr>
            </w:pPr>
          </w:p>
        </w:tc>
        <w:tc>
          <w:tcPr>
            <w:tcW w:w="15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220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2018</w:t>
            </w:r>
          </w:p>
        </w:tc>
      </w:tr>
      <w:tr>
        <w:trPr>
          <w:trHeight w:val="209"/>
        </w:trPr>
        <w:tc>
          <w:tcPr>
            <w:tcW w:w="384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68.3%</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66.2%</w:t>
            </w:r>
          </w:p>
        </w:tc>
        <w:tc>
          <w:tcPr>
            <w:tcW w:w="1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67.7%</w:t>
            </w:r>
          </w:p>
        </w:tc>
      </w:tr>
      <w:tr>
        <w:trPr>
          <w:trHeight w:val="239"/>
        </w:trPr>
        <w:tc>
          <w:tcPr>
            <w:tcW w:w="3840" w:type="dxa"/>
            <w:vAlign w:val="bottom"/>
            <w:gridSpan w:val="2"/>
          </w:tcPr>
          <w:p>
            <w:pPr>
              <w:spacing w:after="0"/>
              <w:rPr>
                <w:sz w:val="20"/>
                <w:szCs w:val="20"/>
                <w:color w:val="auto"/>
              </w:rPr>
            </w:pPr>
            <w:r>
              <w:rPr>
                <w:rFonts w:ascii="Arial" w:cs="Arial" w:eastAsia="Arial" w:hAnsi="Arial"/>
                <w:sz w:val="14"/>
                <w:szCs w:val="14"/>
                <w:color w:val="auto"/>
              </w:rPr>
              <w:t>SG&amp;A</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47.9%</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37.4%</w:t>
            </w:r>
          </w:p>
        </w:tc>
      </w:tr>
      <w:tr>
        <w:trPr>
          <w:trHeight w:val="239"/>
        </w:trPr>
        <w:tc>
          <w:tcPr>
            <w:tcW w:w="3840" w:type="dxa"/>
            <w:vAlign w:val="bottom"/>
            <w:gridSpan w:val="2"/>
          </w:tcPr>
          <w:p>
            <w:pPr>
              <w:spacing w:after="0"/>
              <w:rPr>
                <w:sz w:val="20"/>
                <w:szCs w:val="20"/>
                <w:color w:val="auto"/>
              </w:rPr>
            </w:pPr>
            <w:r>
              <w:rPr>
                <w:rFonts w:ascii="Arial" w:cs="Arial" w:eastAsia="Arial" w:hAnsi="Arial"/>
                <w:sz w:val="14"/>
                <w:szCs w:val="14"/>
                <w:color w:val="auto"/>
              </w:rPr>
              <w:t>R&amp;D</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211"/>
        </w:trPr>
        <w:tc>
          <w:tcPr>
            <w:tcW w:w="3840" w:type="dxa"/>
            <w:vAlign w:val="bottom"/>
            <w:gridSpan w:val="2"/>
          </w:tcPr>
          <w:p>
            <w:pPr>
              <w:spacing w:after="0"/>
              <w:rPr>
                <w:sz w:val="20"/>
                <w:szCs w:val="20"/>
                <w:color w:val="auto"/>
              </w:rPr>
            </w:pPr>
            <w:r>
              <w:rPr>
                <w:rFonts w:ascii="Arial" w:cs="Arial" w:eastAsia="Arial" w:hAnsi="Arial"/>
                <w:sz w:val="14"/>
                <w:szCs w:val="14"/>
                <w:color w:val="auto"/>
              </w:rPr>
              <w:t>Operating (loss) income from</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72"/>
        </w:trPr>
        <w:tc>
          <w:tcPr>
            <w:tcW w:w="3840" w:type="dxa"/>
            <w:vAlign w:val="bottom"/>
            <w:gridSpan w:val="2"/>
          </w:tcPr>
          <w:p>
            <w:pPr>
              <w:spacing w:after="0"/>
              <w:rPr>
                <w:sz w:val="20"/>
                <w:szCs w:val="20"/>
                <w:color w:val="auto"/>
              </w:rPr>
            </w:pPr>
            <w:r>
              <w:rPr>
                <w:rFonts w:ascii="Arial" w:cs="Arial" w:eastAsia="Arial" w:hAnsi="Arial"/>
                <w:sz w:val="14"/>
                <w:szCs w:val="14"/>
                <w:color w:val="auto"/>
              </w:rPr>
              <w:t>continuing operations</w:t>
            </w:r>
          </w:p>
        </w:tc>
        <w:tc>
          <w:tcPr>
            <w:tcW w:w="72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18.8%</w:t>
            </w:r>
          </w:p>
        </w:tc>
      </w:tr>
      <w:tr>
        <w:trPr>
          <w:trHeight w:val="211"/>
        </w:trPr>
        <w:tc>
          <w:tcPr>
            <w:tcW w:w="3840" w:type="dxa"/>
            <w:vAlign w:val="bottom"/>
            <w:gridSpan w:val="2"/>
          </w:tcPr>
          <w:p>
            <w:pPr>
              <w:spacing w:after="0"/>
              <w:rPr>
                <w:sz w:val="20"/>
                <w:szCs w:val="20"/>
                <w:color w:val="auto"/>
              </w:rPr>
            </w:pPr>
            <w:r>
              <w:rPr>
                <w:rFonts w:ascii="Arial" w:cs="Arial" w:eastAsia="Arial" w:hAnsi="Arial"/>
                <w:sz w:val="14"/>
                <w:szCs w:val="14"/>
                <w:color w:val="auto"/>
              </w:rPr>
              <w:t>Net (loss) income from continuing</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72"/>
        </w:trPr>
        <w:tc>
          <w:tcPr>
            <w:tcW w:w="3840" w:type="dxa"/>
            <w:vAlign w:val="bottom"/>
            <w:gridSpan w:val="2"/>
          </w:tcPr>
          <w:p>
            <w:pPr>
              <w:spacing w:after="0"/>
              <w:rPr>
                <w:sz w:val="20"/>
                <w:szCs w:val="20"/>
                <w:color w:val="auto"/>
              </w:rPr>
            </w:pPr>
            <w:r>
              <w:rPr>
                <w:rFonts w:ascii="Arial" w:cs="Arial" w:eastAsia="Arial" w:hAnsi="Arial"/>
                <w:sz w:val="14"/>
                <w:szCs w:val="14"/>
                <w:color w:val="auto"/>
              </w:rPr>
              <w:t>operations, net of tax</w:t>
            </w:r>
          </w:p>
        </w:tc>
        <w:tc>
          <w:tcPr>
            <w:tcW w:w="72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39"/>
        </w:trPr>
        <w:tc>
          <w:tcPr>
            <w:tcW w:w="3840" w:type="dxa"/>
            <w:vAlign w:val="bottom"/>
            <w:gridSpan w:val="2"/>
          </w:tcPr>
          <w:p>
            <w:pPr>
              <w:spacing w:after="0"/>
              <w:rPr>
                <w:sz w:val="20"/>
                <w:szCs w:val="20"/>
                <w:color w:val="auto"/>
              </w:rPr>
            </w:pPr>
            <w:r>
              <w:rPr>
                <w:rFonts w:ascii="Arial" w:cs="Arial" w:eastAsia="Arial" w:hAnsi="Arial"/>
                <w:sz w:val="14"/>
                <w:szCs w:val="14"/>
                <w:color w:val="auto"/>
              </w:rPr>
              <w:t>Income tax rate</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16.7%</w:t>
            </w:r>
          </w:p>
        </w:tc>
      </w:tr>
    </w:tbl>
    <w:p>
      <w:pPr>
        <w:spacing w:after="0" w:line="309" w:lineRule="exact"/>
        <w:rPr>
          <w:sz w:val="20"/>
          <w:szCs w:val="20"/>
          <w:color w:val="auto"/>
        </w:rPr>
      </w:pPr>
    </w:p>
    <w:p>
      <w:pPr>
        <w:ind w:left="440" w:right="40" w:hanging="321"/>
        <w:spacing w:after="0" w:line="238" w:lineRule="auto"/>
        <w:tabs>
          <w:tab w:leader="none" w:pos="4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Adjusted financial measures are non-GAAP measures and exclude specified items as described and reconciled in the "Reconciliation of GAAP to non-GAAP Financial Measures" contained in the press release.</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420"/>
          </w:cols>
          <w:pgMar w:left="260" w:top="704" w:right="219" w:bottom="1440" w:gutter="0" w:footer="0" w:header="0"/>
        </w:sectPr>
      </w:pPr>
    </w:p>
    <w:bookmarkStart w:id="16" w:name="page17"/>
    <w:bookmarkEnd w:id="16"/>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2853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5355" cy="762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right"/>
              <w:ind w:right="198"/>
              <w:spacing w:after="0"/>
              <w:rPr>
                <w:sz w:val="20"/>
                <w:szCs w:val="20"/>
                <w:color w:val="auto"/>
              </w:rPr>
            </w:pPr>
            <w:r>
              <w:rPr>
                <w:rFonts w:ascii="Arial" w:cs="Arial" w:eastAsia="Arial" w:hAnsi="Arial"/>
                <w:sz w:val="11"/>
                <w:szCs w:val="11"/>
                <w:b w:val="1"/>
                <w:bCs w:val="1"/>
                <w:color w:val="auto"/>
              </w:rPr>
              <w:t>Specified Items</w:t>
            </w:r>
          </w:p>
        </w:tc>
        <w:tc>
          <w:tcPr>
            <w:tcW w:w="10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Depreciation</w:t>
            </w: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Non-recurring</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Merger and</w:t>
            </w:r>
          </w:p>
        </w:tc>
        <w:tc>
          <w:tcPr>
            <w:tcW w:w="880" w:type="dxa"/>
            <w:vAlign w:val="bottom"/>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and</w:t>
            </w:r>
          </w:p>
        </w:tc>
        <w:tc>
          <w:tcPr>
            <w:tcW w:w="840" w:type="dxa"/>
            <w:vAlign w:val="bottom"/>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Product</w:t>
            </w:r>
          </w:p>
        </w:tc>
        <w:tc>
          <w:tcPr>
            <w:tcW w:w="780" w:type="dxa"/>
            <w:vAlign w:val="bottom"/>
          </w:tcPr>
          <w:p>
            <w:pPr>
              <w:spacing w:after="0"/>
              <w:rPr>
                <w:sz w:val="10"/>
                <w:szCs w:val="10"/>
                <w:color w:val="auto"/>
              </w:rPr>
            </w:pPr>
          </w:p>
        </w:tc>
        <w:tc>
          <w:tcPr>
            <w:tcW w:w="10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Legal, Contingent</w:t>
            </w:r>
          </w:p>
        </w:tc>
        <w:tc>
          <w:tcPr>
            <w:tcW w:w="9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Stock-based</w:t>
            </w:r>
          </w:p>
        </w:tc>
        <w:tc>
          <w:tcPr>
            <w:tcW w:w="820" w:type="dxa"/>
            <w:vAlign w:val="bottom"/>
          </w:tcPr>
          <w:p>
            <w:pPr>
              <w:spacing w:after="0"/>
              <w:rPr>
                <w:sz w:val="10"/>
                <w:szCs w:val="10"/>
                <w:color w:val="auto"/>
              </w:rPr>
            </w:pPr>
          </w:p>
        </w:tc>
        <w:tc>
          <w:tcPr>
            <w:tcW w:w="8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Certain</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Three Months Ended</w:t>
            </w:r>
          </w:p>
        </w:tc>
        <w:tc>
          <w:tcPr>
            <w:tcW w:w="6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GAAP</w:t>
            </w:r>
          </w:p>
        </w:tc>
        <w:tc>
          <w:tcPr>
            <w:tcW w:w="8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8"/>
              </w:rPr>
              <w:t>Integration</w:t>
            </w:r>
          </w:p>
        </w:tc>
        <w:tc>
          <w:tcPr>
            <w:tcW w:w="8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9"/>
              </w:rPr>
              <w:t>Restructuring</w:t>
            </w: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Amortization</w:t>
            </w:r>
          </w:p>
        </w:tc>
        <w:tc>
          <w:tcPr>
            <w:tcW w:w="840" w:type="dxa"/>
            <w:vAlign w:val="bottom"/>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9"/>
              </w:rPr>
              <w:t>Remediation</w:t>
            </w:r>
          </w:p>
        </w:tc>
        <w:tc>
          <w:tcPr>
            <w:tcW w:w="7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Acquisition</w:t>
            </w:r>
          </w:p>
        </w:tc>
        <w:tc>
          <w:tcPr>
            <w:tcW w:w="10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Consideration and</w:t>
            </w:r>
          </w:p>
        </w:tc>
        <w:tc>
          <w:tcPr>
            <w:tcW w:w="9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9"/>
              </w:rPr>
              <w:t>Compensation</w:t>
            </w: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Certain Tax</w:t>
            </w:r>
          </w:p>
        </w:tc>
        <w:tc>
          <w:tcPr>
            <w:tcW w:w="8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Interest</w:t>
            </w:r>
          </w:p>
        </w:tc>
        <w:tc>
          <w:tcPr>
            <w:tcW w:w="6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Adjusted</w:t>
            </w:r>
          </w:p>
        </w:tc>
        <w:tc>
          <w:tcPr>
            <w:tcW w:w="0" w:type="dxa"/>
            <w:vAlign w:val="bottom"/>
          </w:tcPr>
          <w:p>
            <w:pPr>
              <w:spacing w:after="0"/>
              <w:rPr>
                <w:sz w:val="1"/>
                <w:szCs w:val="1"/>
                <w:color w:val="auto"/>
              </w:rPr>
            </w:pPr>
          </w:p>
        </w:tc>
      </w:tr>
      <w:tr>
        <w:trPr>
          <w:trHeight w:val="115"/>
        </w:trPr>
        <w:tc>
          <w:tcPr>
            <w:tcW w:w="1600" w:type="dxa"/>
            <w:vAlign w:val="bottom"/>
            <w:gridSpan w:val="2"/>
            <w:vMerge w:val="continue"/>
          </w:tcPr>
          <w:p>
            <w:pPr>
              <w:spacing w:after="0"/>
              <w:rPr>
                <w:sz w:val="9"/>
                <w:szCs w:val="9"/>
                <w:color w:val="auto"/>
              </w:rPr>
            </w:pPr>
          </w:p>
        </w:tc>
        <w:tc>
          <w:tcPr>
            <w:tcW w:w="6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8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80" w:type="dxa"/>
            <w:vAlign w:val="bottom"/>
          </w:tcPr>
          <w:p>
            <w:pPr>
              <w:jc w:val="center"/>
              <w:ind w:right="18"/>
              <w:spacing w:after="0" w:line="115" w:lineRule="exact"/>
              <w:rPr>
                <w:sz w:val="20"/>
                <w:szCs w:val="20"/>
                <w:color w:val="auto"/>
              </w:rPr>
            </w:pPr>
            <w:r>
              <w:rPr>
                <w:rFonts w:ascii="Arial" w:cs="Arial" w:eastAsia="Arial" w:hAnsi="Arial"/>
                <w:sz w:val="11"/>
                <w:szCs w:val="11"/>
                <w:b w:val="1"/>
                <w:bCs w:val="1"/>
                <w:color w:val="auto"/>
              </w:rPr>
              <w:t>Expenses</w:t>
            </w:r>
          </w:p>
        </w:tc>
        <w:tc>
          <w:tcPr>
            <w:tcW w:w="8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40" w:type="dxa"/>
            <w:vAlign w:val="bottom"/>
          </w:tcPr>
          <w:p>
            <w:pPr>
              <w:jc w:val="right"/>
              <w:ind w:right="38"/>
              <w:spacing w:after="0" w:line="115" w:lineRule="exact"/>
              <w:rPr>
                <w:sz w:val="20"/>
                <w:szCs w:val="20"/>
                <w:color w:val="auto"/>
              </w:rPr>
            </w:pPr>
            <w:r>
              <w:rPr>
                <w:rFonts w:ascii="Arial" w:cs="Arial" w:eastAsia="Arial" w:hAnsi="Arial"/>
                <w:sz w:val="11"/>
                <w:szCs w:val="11"/>
                <w:b w:val="1"/>
                <w:bCs w:val="1"/>
                <w:color w:val="auto"/>
              </w:rPr>
              <w:t>Impairments</w:t>
            </w:r>
          </w:p>
        </w:tc>
        <w:tc>
          <w:tcPr>
            <w:tcW w:w="8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7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Costs</w:t>
            </w:r>
          </w:p>
        </w:tc>
        <w:tc>
          <w:tcPr>
            <w:tcW w:w="10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Other Reserves</w:t>
            </w:r>
          </w:p>
        </w:tc>
        <w:tc>
          <w:tcPr>
            <w:tcW w:w="9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8"/>
              </w:rPr>
              <w:t>Costs</w:t>
            </w:r>
          </w:p>
        </w:tc>
        <w:tc>
          <w:tcPr>
            <w:tcW w:w="8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Adjustments</w:t>
            </w:r>
          </w:p>
        </w:tc>
        <w:tc>
          <w:tcPr>
            <w:tcW w:w="8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Adjustments</w:t>
            </w:r>
          </w:p>
        </w:tc>
        <w:tc>
          <w:tcPr>
            <w:tcW w:w="6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0" w:type="dxa"/>
            <w:vAlign w:val="bottom"/>
          </w:tcPr>
          <w:p>
            <w:pPr>
              <w:spacing w:after="0"/>
              <w:rPr>
                <w:sz w:val="1"/>
                <w:szCs w:val="1"/>
                <w:color w:val="auto"/>
              </w:rPr>
            </w:pPr>
          </w:p>
        </w:tc>
      </w:tr>
      <w:tr>
        <w:trPr>
          <w:trHeight w:val="167"/>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June 30, 2019</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Measures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(B)</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w:t>
            </w: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1"/>
                <w:szCs w:val="11"/>
                <w:b w:val="1"/>
                <w:bCs w:val="1"/>
                <w:color w:val="auto"/>
              </w:rPr>
              <w:t>(D)</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(F)</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(G)</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(H)</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(J)</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Measures</w:t>
            </w:r>
          </w:p>
        </w:tc>
        <w:tc>
          <w:tcPr>
            <w:tcW w:w="0" w:type="dxa"/>
            <w:vAlign w:val="bottom"/>
          </w:tcPr>
          <w:p>
            <w:pPr>
              <w:spacing w:after="0"/>
              <w:rPr>
                <w:sz w:val="1"/>
                <w:szCs w:val="1"/>
                <w:color w:val="auto"/>
              </w:rPr>
            </w:pPr>
          </w:p>
        </w:tc>
      </w:tr>
      <w:tr>
        <w:trPr>
          <w:trHeight w:val="163"/>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Cost of sales - exclusive</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of amortization</w:t>
            </w:r>
          </w:p>
        </w:tc>
        <w:tc>
          <w:tcPr>
            <w:tcW w:w="660" w:type="dxa"/>
            <w:vAlign w:val="bottom"/>
          </w:tcPr>
          <w:p>
            <w:pPr>
              <w:jc w:val="right"/>
              <w:ind w:right="78"/>
              <w:spacing w:after="0"/>
              <w:rPr>
                <w:sz w:val="20"/>
                <w:szCs w:val="20"/>
                <w:color w:val="auto"/>
              </w:rPr>
            </w:pPr>
            <w:r>
              <w:rPr>
                <w:rFonts w:ascii="Arial" w:cs="Arial" w:eastAsia="Arial" w:hAnsi="Arial"/>
                <w:sz w:val="13"/>
                <w:szCs w:val="13"/>
                <w:color w:val="auto"/>
              </w:rPr>
              <w:t>$74.9</w:t>
            </w:r>
          </w:p>
        </w:tc>
        <w:tc>
          <w:tcPr>
            <w:tcW w:w="80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9"/>
              <w:spacing w:after="0"/>
              <w:rPr>
                <w:sz w:val="20"/>
                <w:szCs w:val="20"/>
                <w:color w:val="auto"/>
              </w:rPr>
            </w:pPr>
            <w:r>
              <w:rPr>
                <w:rFonts w:ascii="Arial" w:cs="Arial" w:eastAsia="Arial" w:hAnsi="Arial"/>
                <w:sz w:val="13"/>
                <w:szCs w:val="13"/>
                <w:color w:val="auto"/>
              </w:rPr>
              <w:t>($0.7)</w:t>
            </w:r>
          </w:p>
        </w:tc>
        <w:tc>
          <w:tcPr>
            <w:tcW w:w="84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19"/>
              <w:spacing w:after="0"/>
              <w:rPr>
                <w:sz w:val="20"/>
                <w:szCs w:val="20"/>
                <w:color w:val="auto"/>
              </w:rPr>
            </w:pPr>
            <w:r>
              <w:rPr>
                <w:rFonts w:ascii="Arial" w:cs="Arial" w:eastAsia="Arial" w:hAnsi="Arial"/>
                <w:sz w:val="13"/>
                <w:szCs w:val="13"/>
                <w:color w:val="auto"/>
              </w:rPr>
              <w:t>$11.7</w:t>
            </w: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($0.7)</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8"/>
              <w:spacing w:after="0"/>
              <w:rPr>
                <w:sz w:val="20"/>
                <w:szCs w:val="20"/>
                <w:color w:val="auto"/>
              </w:rPr>
            </w:pPr>
            <w:r>
              <w:rPr>
                <w:rFonts w:ascii="Arial" w:cs="Arial" w:eastAsia="Arial" w:hAnsi="Arial"/>
                <w:sz w:val="13"/>
                <w:szCs w:val="13"/>
                <w:color w:val="auto"/>
              </w:rPr>
              <w:t>$85.2</w:t>
            </w:r>
          </w:p>
        </w:tc>
        <w:tc>
          <w:tcPr>
            <w:tcW w:w="0" w:type="dxa"/>
            <w:vAlign w:val="bottom"/>
          </w:tcPr>
          <w:p>
            <w:pPr>
              <w:spacing w:after="0"/>
              <w:rPr>
                <w:sz w:val="1"/>
                <w:szCs w:val="1"/>
                <w:color w:val="auto"/>
              </w:rPr>
            </w:pPr>
          </w:p>
        </w:tc>
      </w:tr>
      <w:tr>
        <w:trPr>
          <w:trHeight w:val="239"/>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Product remediation</w:t>
            </w:r>
          </w:p>
        </w:tc>
        <w:tc>
          <w:tcPr>
            <w:tcW w:w="660" w:type="dxa"/>
            <w:vAlign w:val="bottom"/>
          </w:tcPr>
          <w:p>
            <w:pPr>
              <w:jc w:val="right"/>
              <w:ind w:right="78"/>
              <w:spacing w:after="0"/>
              <w:rPr>
                <w:sz w:val="20"/>
                <w:szCs w:val="20"/>
                <w:color w:val="auto"/>
              </w:rPr>
            </w:pPr>
            <w:r>
              <w:rPr>
                <w:rFonts w:ascii="Arial" w:cs="Arial" w:eastAsia="Arial" w:hAnsi="Arial"/>
                <w:sz w:val="13"/>
                <w:szCs w:val="13"/>
                <w:color w:val="auto"/>
              </w:rPr>
              <w:t>5.1</w:t>
            </w:r>
          </w:p>
        </w:tc>
        <w:tc>
          <w:tcPr>
            <w:tcW w:w="80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9"/>
              <w:spacing w:after="0"/>
              <w:rPr>
                <w:sz w:val="20"/>
                <w:szCs w:val="20"/>
                <w:color w:val="auto"/>
              </w:rPr>
            </w:pPr>
            <w:r>
              <w:rPr>
                <w:rFonts w:ascii="Arial" w:cs="Arial" w:eastAsia="Arial" w:hAnsi="Arial"/>
                <w:sz w:val="13"/>
                <w:szCs w:val="13"/>
                <w:color w:val="auto"/>
              </w:rPr>
              <w:t>(5.1)</w:t>
            </w:r>
          </w:p>
        </w:tc>
        <w:tc>
          <w:tcPr>
            <w:tcW w:w="78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1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9"/>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Gross profit percent</w:t>
            </w:r>
          </w:p>
        </w:tc>
        <w:tc>
          <w:tcPr>
            <w:tcW w:w="660" w:type="dxa"/>
            <w:vAlign w:val="bottom"/>
          </w:tcPr>
          <w:p>
            <w:pPr>
              <w:jc w:val="right"/>
              <w:spacing w:after="0"/>
              <w:rPr>
                <w:sz w:val="20"/>
                <w:szCs w:val="20"/>
                <w:color w:val="auto"/>
              </w:rPr>
            </w:pPr>
            <w:r>
              <w:rPr>
                <w:rFonts w:ascii="Arial" w:cs="Arial" w:eastAsia="Arial" w:hAnsi="Arial"/>
                <w:sz w:val="13"/>
                <w:szCs w:val="13"/>
                <w:color w:val="auto"/>
              </w:rPr>
              <w:t>71.1%</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9"/>
              <w:spacing w:after="0"/>
              <w:rPr>
                <w:sz w:val="20"/>
                <w:szCs w:val="20"/>
                <w:color w:val="auto"/>
              </w:rPr>
            </w:pPr>
            <w:r>
              <w:rPr>
                <w:rFonts w:ascii="Arial" w:cs="Arial" w:eastAsia="Arial" w:hAnsi="Arial"/>
                <w:sz w:val="13"/>
                <w:szCs w:val="13"/>
                <w:color w:val="auto"/>
              </w:rPr>
              <w:t>0.3%</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1.8%</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9"/>
              <w:spacing w:after="0"/>
              <w:rPr>
                <w:sz w:val="20"/>
                <w:szCs w:val="20"/>
                <w:color w:val="auto"/>
              </w:rPr>
            </w:pPr>
            <w:r>
              <w:rPr>
                <w:rFonts w:ascii="Arial" w:cs="Arial" w:eastAsia="Arial" w:hAnsi="Arial"/>
                <w:sz w:val="13"/>
                <w:szCs w:val="13"/>
                <w:color w:val="auto"/>
              </w:rPr>
              <w:t>(4.2)%</w:t>
            </w:r>
          </w:p>
        </w:tc>
        <w:tc>
          <w:tcPr>
            <w:tcW w:w="900" w:type="dxa"/>
            <w:vAlign w:val="bottom"/>
          </w:tcPr>
          <w:p>
            <w:pPr>
              <w:jc w:val="right"/>
              <w:spacing w:after="0"/>
              <w:rPr>
                <w:sz w:val="20"/>
                <w:szCs w:val="20"/>
                <w:color w:val="auto"/>
              </w:rPr>
            </w:pPr>
            <w:r>
              <w:rPr>
                <w:rFonts w:ascii="Arial" w:cs="Arial" w:eastAsia="Arial" w:hAnsi="Arial"/>
                <w:sz w:val="13"/>
                <w:szCs w:val="13"/>
                <w:color w:val="auto"/>
              </w:rPr>
              <w:t>0.3%</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69.3%</w:t>
            </w:r>
          </w:p>
        </w:tc>
        <w:tc>
          <w:tcPr>
            <w:tcW w:w="0" w:type="dxa"/>
            <w:vAlign w:val="bottom"/>
          </w:tcPr>
          <w:p>
            <w:pPr>
              <w:spacing w:after="0"/>
              <w:rPr>
                <w:sz w:val="1"/>
                <w:szCs w:val="1"/>
                <w:color w:val="auto"/>
              </w:rPr>
            </w:pPr>
          </w:p>
        </w:tc>
      </w:tr>
      <w:tr>
        <w:trPr>
          <w:trHeight w:val="181"/>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Selling, general and</w:t>
            </w: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administrative</w:t>
            </w:r>
          </w:p>
        </w:tc>
        <w:tc>
          <w:tcPr>
            <w:tcW w:w="660" w:type="dxa"/>
            <w:vAlign w:val="bottom"/>
          </w:tcPr>
          <w:p>
            <w:pPr>
              <w:jc w:val="right"/>
              <w:ind w:right="78"/>
              <w:spacing w:after="0"/>
              <w:rPr>
                <w:sz w:val="20"/>
                <w:szCs w:val="20"/>
                <w:color w:val="auto"/>
              </w:rPr>
            </w:pPr>
            <w:r>
              <w:rPr>
                <w:rFonts w:ascii="Arial" w:cs="Arial" w:eastAsia="Arial" w:hAnsi="Arial"/>
                <w:sz w:val="13"/>
                <w:szCs w:val="13"/>
                <w:color w:val="auto"/>
              </w:rPr>
              <w:t>$127.2</w:t>
            </w:r>
          </w:p>
        </w:tc>
        <w:tc>
          <w:tcPr>
            <w:tcW w:w="80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9"/>
              <w:spacing w:after="0"/>
              <w:rPr>
                <w:sz w:val="20"/>
                <w:szCs w:val="20"/>
                <w:color w:val="auto"/>
              </w:rPr>
            </w:pPr>
            <w:r>
              <w:rPr>
                <w:rFonts w:ascii="Arial" w:cs="Arial" w:eastAsia="Arial" w:hAnsi="Arial"/>
                <w:sz w:val="13"/>
                <w:szCs w:val="13"/>
                <w:color w:val="auto"/>
              </w:rPr>
              <w:t>($0.1)</w:t>
            </w:r>
          </w:p>
        </w:tc>
        <w:tc>
          <w:tcPr>
            <w:tcW w:w="84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($0.3)</w:t>
            </w:r>
          </w:p>
        </w:tc>
        <w:tc>
          <w:tcPr>
            <w:tcW w:w="1060" w:type="dxa"/>
            <w:vAlign w:val="bottom"/>
          </w:tcPr>
          <w:p>
            <w:pPr>
              <w:jc w:val="right"/>
              <w:ind w:right="279"/>
              <w:spacing w:after="0"/>
              <w:rPr>
                <w:sz w:val="20"/>
                <w:szCs w:val="20"/>
                <w:color w:val="auto"/>
              </w:rPr>
            </w:pPr>
            <w:r>
              <w:rPr>
                <w:rFonts w:ascii="Arial" w:cs="Arial" w:eastAsia="Arial" w:hAnsi="Arial"/>
                <w:sz w:val="13"/>
                <w:szCs w:val="13"/>
                <w:color w:val="auto"/>
              </w:rPr>
              <w:t>($12.4)</w:t>
            </w: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($6.3)</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8"/>
              <w:spacing w:after="0"/>
              <w:rPr>
                <w:sz w:val="20"/>
                <w:szCs w:val="20"/>
                <w:color w:val="auto"/>
              </w:rPr>
            </w:pPr>
            <w:r>
              <w:rPr>
                <w:rFonts w:ascii="Arial" w:cs="Arial" w:eastAsia="Arial" w:hAnsi="Arial"/>
                <w:sz w:val="13"/>
                <w:szCs w:val="13"/>
                <w:color w:val="auto"/>
              </w:rPr>
              <w:t>$108.1</w:t>
            </w:r>
          </w:p>
        </w:tc>
        <w:tc>
          <w:tcPr>
            <w:tcW w:w="0" w:type="dxa"/>
            <w:vAlign w:val="bottom"/>
          </w:tcPr>
          <w:p>
            <w:pPr>
              <w:spacing w:after="0"/>
              <w:rPr>
                <w:sz w:val="1"/>
                <w:szCs w:val="1"/>
                <w:color w:val="auto"/>
              </w:rPr>
            </w:pPr>
          </w:p>
        </w:tc>
      </w:tr>
      <w:tr>
        <w:trPr>
          <w:trHeight w:val="181"/>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Research and</w:t>
            </w: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development</w:t>
            </w:r>
          </w:p>
        </w:tc>
        <w:tc>
          <w:tcPr>
            <w:tcW w:w="660" w:type="dxa"/>
            <w:vAlign w:val="bottom"/>
          </w:tcPr>
          <w:p>
            <w:pPr>
              <w:jc w:val="right"/>
              <w:ind w:right="78"/>
              <w:spacing w:after="0"/>
              <w:rPr>
                <w:sz w:val="20"/>
                <w:szCs w:val="20"/>
                <w:color w:val="auto"/>
              </w:rPr>
            </w:pPr>
            <w:r>
              <w:rPr>
                <w:rFonts w:ascii="Arial" w:cs="Arial" w:eastAsia="Arial" w:hAnsi="Arial"/>
                <w:sz w:val="13"/>
                <w:szCs w:val="13"/>
                <w:color w:val="auto"/>
              </w:rPr>
              <w:t>34.5</w:t>
            </w:r>
          </w:p>
        </w:tc>
        <w:tc>
          <w:tcPr>
            <w:tcW w:w="80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9"/>
              <w:spacing w:after="0"/>
              <w:rPr>
                <w:sz w:val="20"/>
                <w:szCs w:val="20"/>
                <w:color w:val="auto"/>
              </w:rPr>
            </w:pPr>
            <w:r>
              <w:rPr>
                <w:rFonts w:ascii="Arial" w:cs="Arial" w:eastAsia="Arial" w:hAnsi="Arial"/>
                <w:sz w:val="13"/>
                <w:szCs w:val="13"/>
                <w:color w:val="auto"/>
              </w:rPr>
              <w:t>(0.1)</w:t>
            </w:r>
          </w:p>
        </w:tc>
        <w:tc>
          <w:tcPr>
            <w:tcW w:w="840" w:type="dxa"/>
            <w:vAlign w:val="bottom"/>
          </w:tcPr>
          <w:p>
            <w:pPr>
              <w:jc w:val="right"/>
              <w:ind w:right="58"/>
              <w:spacing w:after="0"/>
              <w:rPr>
                <w:sz w:val="20"/>
                <w:szCs w:val="20"/>
                <w:color w:val="auto"/>
              </w:rPr>
            </w:pPr>
            <w:r>
              <w:rPr>
                <w:rFonts w:ascii="Arial" w:cs="Arial" w:eastAsia="Arial" w:hAnsi="Arial"/>
                <w:sz w:val="13"/>
                <w:szCs w:val="13"/>
                <w:color w:val="auto"/>
              </w:rPr>
              <w:t>(0.9)</w:t>
            </w:r>
          </w:p>
        </w:tc>
        <w:tc>
          <w:tcPr>
            <w:tcW w:w="82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(0.2)</w:t>
            </w:r>
          </w:p>
        </w:tc>
        <w:tc>
          <w:tcPr>
            <w:tcW w:w="1060" w:type="dxa"/>
            <w:vAlign w:val="bottom"/>
          </w:tcPr>
          <w:p>
            <w:pPr>
              <w:jc w:val="right"/>
              <w:ind w:right="319"/>
              <w:spacing w:after="0"/>
              <w:rPr>
                <w:sz w:val="20"/>
                <w:szCs w:val="20"/>
                <w:color w:val="auto"/>
              </w:rPr>
            </w:pPr>
            <w:r>
              <w:rPr>
                <w:rFonts w:ascii="Arial" w:cs="Arial" w:eastAsia="Arial" w:hAnsi="Arial"/>
                <w:sz w:val="13"/>
                <w:szCs w:val="13"/>
                <w:color w:val="auto"/>
              </w:rPr>
              <w:t>7.9</w:t>
            </w: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(1.7)</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8"/>
              <w:spacing w:after="0"/>
              <w:rPr>
                <w:sz w:val="20"/>
                <w:szCs w:val="20"/>
                <w:color w:val="auto"/>
              </w:rPr>
            </w:pPr>
            <w:r>
              <w:rPr>
                <w:rFonts w:ascii="Arial" w:cs="Arial" w:eastAsia="Arial" w:hAnsi="Arial"/>
                <w:sz w:val="13"/>
                <w:szCs w:val="13"/>
                <w:color w:val="auto"/>
              </w:rPr>
              <w:t>39.7</w:t>
            </w:r>
          </w:p>
        </w:tc>
        <w:tc>
          <w:tcPr>
            <w:tcW w:w="0" w:type="dxa"/>
            <w:vAlign w:val="bottom"/>
          </w:tcPr>
          <w:p>
            <w:pPr>
              <w:spacing w:after="0"/>
              <w:rPr>
                <w:sz w:val="1"/>
                <w:szCs w:val="1"/>
                <w:color w:val="auto"/>
              </w:rPr>
            </w:pPr>
          </w:p>
        </w:tc>
      </w:tr>
      <w:tr>
        <w:trPr>
          <w:trHeight w:val="181"/>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Other operating</w:t>
            </w: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expenses</w:t>
            </w:r>
          </w:p>
        </w:tc>
        <w:tc>
          <w:tcPr>
            <w:tcW w:w="660" w:type="dxa"/>
            <w:vAlign w:val="bottom"/>
          </w:tcPr>
          <w:p>
            <w:pPr>
              <w:jc w:val="right"/>
              <w:ind w:right="78"/>
              <w:spacing w:after="0"/>
              <w:rPr>
                <w:sz w:val="20"/>
                <w:szCs w:val="20"/>
                <w:color w:val="auto"/>
              </w:rPr>
            </w:pPr>
            <w:r>
              <w:rPr>
                <w:rFonts w:ascii="Arial" w:cs="Arial" w:eastAsia="Arial" w:hAnsi="Arial"/>
                <w:sz w:val="13"/>
                <w:szCs w:val="13"/>
                <w:color w:val="auto"/>
              </w:rPr>
              <w:t>65.2</w:t>
            </w:r>
          </w:p>
        </w:tc>
        <w:tc>
          <w:tcPr>
            <w:tcW w:w="800" w:type="dxa"/>
            <w:vAlign w:val="bottom"/>
          </w:tcPr>
          <w:p>
            <w:pPr>
              <w:jc w:val="right"/>
              <w:ind w:right="59"/>
              <w:spacing w:after="0"/>
              <w:rPr>
                <w:sz w:val="20"/>
                <w:szCs w:val="20"/>
                <w:color w:val="auto"/>
              </w:rPr>
            </w:pPr>
            <w:r>
              <w:rPr>
                <w:rFonts w:ascii="Arial" w:cs="Arial" w:eastAsia="Arial" w:hAnsi="Arial"/>
                <w:sz w:val="13"/>
                <w:szCs w:val="13"/>
                <w:color w:val="auto"/>
              </w:rPr>
              <w:t>(4.4)</w:t>
            </w:r>
          </w:p>
        </w:tc>
        <w:tc>
          <w:tcPr>
            <w:tcW w:w="880" w:type="dxa"/>
            <w:vAlign w:val="bottom"/>
          </w:tcPr>
          <w:p>
            <w:pPr>
              <w:jc w:val="right"/>
              <w:ind w:right="78"/>
              <w:spacing w:after="0"/>
              <w:rPr>
                <w:sz w:val="20"/>
                <w:szCs w:val="20"/>
                <w:color w:val="auto"/>
              </w:rPr>
            </w:pPr>
            <w:r>
              <w:rPr>
                <w:rFonts w:ascii="Arial" w:cs="Arial" w:eastAsia="Arial" w:hAnsi="Arial"/>
                <w:sz w:val="13"/>
                <w:szCs w:val="13"/>
                <w:color w:val="auto"/>
              </w:rPr>
              <w:t>(1.3)</w:t>
            </w:r>
          </w:p>
        </w:tc>
        <w:tc>
          <w:tcPr>
            <w:tcW w:w="820" w:type="dxa"/>
            <w:vAlign w:val="bottom"/>
          </w:tcPr>
          <w:p>
            <w:pPr>
              <w:jc w:val="right"/>
              <w:ind w:right="79"/>
              <w:spacing w:after="0"/>
              <w:rPr>
                <w:sz w:val="20"/>
                <w:szCs w:val="20"/>
                <w:color w:val="auto"/>
              </w:rPr>
            </w:pPr>
            <w:r>
              <w:rPr>
                <w:rFonts w:ascii="Arial" w:cs="Arial" w:eastAsia="Arial" w:hAnsi="Arial"/>
                <w:sz w:val="13"/>
                <w:szCs w:val="13"/>
                <w:color w:val="auto"/>
              </w:rPr>
              <w:t>(9.2)</w:t>
            </w:r>
          </w:p>
        </w:tc>
        <w:tc>
          <w:tcPr>
            <w:tcW w:w="840" w:type="dxa"/>
            <w:vAlign w:val="bottom"/>
          </w:tcPr>
          <w:p>
            <w:pPr>
              <w:jc w:val="right"/>
              <w:ind w:right="58"/>
              <w:spacing w:after="0"/>
              <w:rPr>
                <w:sz w:val="20"/>
                <w:szCs w:val="20"/>
                <w:color w:val="auto"/>
              </w:rPr>
            </w:pPr>
            <w:r>
              <w:rPr>
                <w:rFonts w:ascii="Arial" w:cs="Arial" w:eastAsia="Arial" w:hAnsi="Arial"/>
                <w:sz w:val="13"/>
                <w:szCs w:val="13"/>
                <w:color w:val="auto"/>
              </w:rPr>
              <w:t>(50.3)</w:t>
            </w:r>
          </w:p>
        </w:tc>
        <w:tc>
          <w:tcPr>
            <w:tcW w:w="82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1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Operating (loss) income</w:t>
            </w: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60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from continuing</w:t>
            </w: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operations</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(29.9)</w:t>
            </w:r>
          </w:p>
        </w:tc>
        <w:tc>
          <w:tcPr>
            <w:tcW w:w="800" w:type="dxa"/>
            <w:vAlign w:val="bottom"/>
          </w:tcPr>
          <w:p>
            <w:pPr>
              <w:jc w:val="right"/>
              <w:ind w:right="119"/>
              <w:spacing w:after="0"/>
              <w:rPr>
                <w:sz w:val="20"/>
                <w:szCs w:val="20"/>
                <w:color w:val="auto"/>
              </w:rPr>
            </w:pPr>
            <w:r>
              <w:rPr>
                <w:rFonts w:ascii="Arial" w:cs="Arial" w:eastAsia="Arial" w:hAnsi="Arial"/>
                <w:sz w:val="13"/>
                <w:szCs w:val="13"/>
                <w:color w:val="auto"/>
              </w:rPr>
              <w:t>4.4</w:t>
            </w:r>
          </w:p>
        </w:tc>
        <w:tc>
          <w:tcPr>
            <w:tcW w:w="880" w:type="dxa"/>
            <w:vAlign w:val="bottom"/>
          </w:tcPr>
          <w:p>
            <w:pPr>
              <w:jc w:val="right"/>
              <w:ind w:right="118"/>
              <w:spacing w:after="0"/>
              <w:rPr>
                <w:sz w:val="20"/>
                <w:szCs w:val="20"/>
                <w:color w:val="auto"/>
              </w:rPr>
            </w:pPr>
            <w:r>
              <w:rPr>
                <w:rFonts w:ascii="Arial" w:cs="Arial" w:eastAsia="Arial" w:hAnsi="Arial"/>
                <w:sz w:val="13"/>
                <w:szCs w:val="13"/>
                <w:color w:val="auto"/>
              </w:rPr>
              <w:t>1.3</w:t>
            </w:r>
          </w:p>
        </w:tc>
        <w:tc>
          <w:tcPr>
            <w:tcW w:w="820" w:type="dxa"/>
            <w:vAlign w:val="bottom"/>
          </w:tcPr>
          <w:p>
            <w:pPr>
              <w:jc w:val="right"/>
              <w:ind w:right="119"/>
              <w:spacing w:after="0"/>
              <w:rPr>
                <w:sz w:val="20"/>
                <w:szCs w:val="20"/>
                <w:color w:val="auto"/>
              </w:rPr>
            </w:pPr>
            <w:r>
              <w:rPr>
                <w:rFonts w:ascii="Arial" w:cs="Arial" w:eastAsia="Arial" w:hAnsi="Arial"/>
                <w:sz w:val="13"/>
                <w:szCs w:val="13"/>
                <w:color w:val="auto"/>
              </w:rPr>
              <w:t>10.1</w:t>
            </w:r>
          </w:p>
        </w:tc>
        <w:tc>
          <w:tcPr>
            <w:tcW w:w="840" w:type="dxa"/>
            <w:vAlign w:val="bottom"/>
          </w:tcPr>
          <w:p>
            <w:pPr>
              <w:jc w:val="right"/>
              <w:ind w:right="98"/>
              <w:spacing w:after="0"/>
              <w:rPr>
                <w:sz w:val="20"/>
                <w:szCs w:val="20"/>
                <w:color w:val="auto"/>
              </w:rPr>
            </w:pPr>
            <w:r>
              <w:rPr>
                <w:rFonts w:ascii="Arial" w:cs="Arial" w:eastAsia="Arial" w:hAnsi="Arial"/>
                <w:sz w:val="13"/>
                <w:szCs w:val="13"/>
                <w:color w:val="auto"/>
              </w:rPr>
              <w:t>51.2</w:t>
            </w:r>
          </w:p>
        </w:tc>
        <w:tc>
          <w:tcPr>
            <w:tcW w:w="820" w:type="dxa"/>
            <w:vAlign w:val="bottom"/>
          </w:tcPr>
          <w:p>
            <w:pPr>
              <w:jc w:val="right"/>
              <w:ind w:right="119"/>
              <w:spacing w:after="0"/>
              <w:rPr>
                <w:sz w:val="20"/>
                <w:szCs w:val="20"/>
                <w:color w:val="auto"/>
              </w:rPr>
            </w:pPr>
            <w:r>
              <w:rPr>
                <w:rFonts w:ascii="Arial" w:cs="Arial" w:eastAsia="Arial" w:hAnsi="Arial"/>
                <w:sz w:val="13"/>
                <w:szCs w:val="13"/>
                <w:color w:val="auto"/>
              </w:rPr>
              <w:t>5.1</w:t>
            </w:r>
          </w:p>
        </w:tc>
        <w:tc>
          <w:tcPr>
            <w:tcW w:w="780" w:type="dxa"/>
            <w:vAlign w:val="bottom"/>
          </w:tcPr>
          <w:p>
            <w:pPr>
              <w:jc w:val="right"/>
              <w:ind w:right="98"/>
              <w:spacing w:after="0"/>
              <w:rPr>
                <w:sz w:val="20"/>
                <w:szCs w:val="20"/>
                <w:color w:val="auto"/>
              </w:rPr>
            </w:pPr>
            <w:r>
              <w:rPr>
                <w:rFonts w:ascii="Arial" w:cs="Arial" w:eastAsia="Arial" w:hAnsi="Arial"/>
                <w:sz w:val="13"/>
                <w:szCs w:val="13"/>
                <w:color w:val="auto"/>
              </w:rPr>
              <w:t>0.5</w:t>
            </w:r>
          </w:p>
        </w:tc>
        <w:tc>
          <w:tcPr>
            <w:tcW w:w="1060" w:type="dxa"/>
            <w:vAlign w:val="bottom"/>
          </w:tcPr>
          <w:p>
            <w:pPr>
              <w:jc w:val="right"/>
              <w:ind w:right="279"/>
              <w:spacing w:after="0"/>
              <w:rPr>
                <w:sz w:val="20"/>
                <w:szCs w:val="20"/>
                <w:color w:val="auto"/>
              </w:rPr>
            </w:pPr>
            <w:r>
              <w:rPr>
                <w:rFonts w:ascii="Arial" w:cs="Arial" w:eastAsia="Arial" w:hAnsi="Arial"/>
                <w:sz w:val="13"/>
                <w:szCs w:val="13"/>
                <w:color w:val="auto"/>
              </w:rPr>
              <w:t>(7.3)</w:t>
            </w:r>
          </w:p>
        </w:tc>
        <w:tc>
          <w:tcPr>
            <w:tcW w:w="900" w:type="dxa"/>
            <w:vAlign w:val="bottom"/>
          </w:tcPr>
          <w:p>
            <w:pPr>
              <w:jc w:val="right"/>
              <w:ind w:right="99"/>
              <w:spacing w:after="0"/>
              <w:rPr>
                <w:sz w:val="20"/>
                <w:szCs w:val="20"/>
                <w:color w:val="auto"/>
              </w:rPr>
            </w:pPr>
            <w:r>
              <w:rPr>
                <w:rFonts w:ascii="Arial" w:cs="Arial" w:eastAsia="Arial" w:hAnsi="Arial"/>
                <w:sz w:val="13"/>
                <w:szCs w:val="13"/>
                <w:color w:val="auto"/>
              </w:rPr>
              <w:t>8.7</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8"/>
              <w:spacing w:after="0"/>
              <w:rPr>
                <w:sz w:val="20"/>
                <w:szCs w:val="20"/>
                <w:color w:val="auto"/>
              </w:rPr>
            </w:pPr>
            <w:r>
              <w:rPr>
                <w:rFonts w:ascii="Arial" w:cs="Arial" w:eastAsia="Arial" w:hAnsi="Arial"/>
                <w:sz w:val="13"/>
                <w:szCs w:val="13"/>
                <w:color w:val="auto"/>
              </w:rPr>
              <w:t>44.2</w:t>
            </w:r>
          </w:p>
        </w:tc>
        <w:tc>
          <w:tcPr>
            <w:tcW w:w="0" w:type="dxa"/>
            <w:vAlign w:val="bottom"/>
          </w:tcPr>
          <w:p>
            <w:pPr>
              <w:spacing w:after="0"/>
              <w:rPr>
                <w:sz w:val="1"/>
                <w:szCs w:val="1"/>
                <w:color w:val="auto"/>
              </w:rPr>
            </w:pPr>
          </w:p>
        </w:tc>
      </w:tr>
      <w:tr>
        <w:trPr>
          <w:trHeight w:val="181"/>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Income tax (benefit)</w:t>
            </w: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expense</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(6.2)</w:t>
            </w:r>
          </w:p>
        </w:tc>
        <w:tc>
          <w:tcPr>
            <w:tcW w:w="800" w:type="dxa"/>
            <w:vAlign w:val="bottom"/>
          </w:tcPr>
          <w:p>
            <w:pPr>
              <w:jc w:val="right"/>
              <w:ind w:right="119"/>
              <w:spacing w:after="0"/>
              <w:rPr>
                <w:sz w:val="20"/>
                <w:szCs w:val="20"/>
                <w:color w:val="auto"/>
              </w:rPr>
            </w:pPr>
            <w:r>
              <w:rPr>
                <w:rFonts w:ascii="Arial" w:cs="Arial" w:eastAsia="Arial" w:hAnsi="Arial"/>
                <w:sz w:val="13"/>
                <w:szCs w:val="13"/>
                <w:color w:val="auto"/>
              </w:rPr>
              <w:t>1.1</w:t>
            </w:r>
          </w:p>
        </w:tc>
        <w:tc>
          <w:tcPr>
            <w:tcW w:w="880" w:type="dxa"/>
            <w:vAlign w:val="bottom"/>
          </w:tcPr>
          <w:p>
            <w:pPr>
              <w:jc w:val="right"/>
              <w:ind w:right="118"/>
              <w:spacing w:after="0"/>
              <w:rPr>
                <w:sz w:val="20"/>
                <w:szCs w:val="20"/>
                <w:color w:val="auto"/>
              </w:rPr>
            </w:pPr>
            <w:r>
              <w:rPr>
                <w:rFonts w:ascii="Arial" w:cs="Arial" w:eastAsia="Arial" w:hAnsi="Arial"/>
                <w:sz w:val="13"/>
                <w:szCs w:val="13"/>
                <w:color w:val="auto"/>
              </w:rPr>
              <w:t>0.4</w:t>
            </w:r>
          </w:p>
        </w:tc>
        <w:tc>
          <w:tcPr>
            <w:tcW w:w="820" w:type="dxa"/>
            <w:vAlign w:val="bottom"/>
          </w:tcPr>
          <w:p>
            <w:pPr>
              <w:jc w:val="right"/>
              <w:ind w:right="119"/>
              <w:spacing w:after="0"/>
              <w:rPr>
                <w:sz w:val="20"/>
                <w:szCs w:val="20"/>
                <w:color w:val="auto"/>
              </w:rPr>
            </w:pPr>
            <w:r>
              <w:rPr>
                <w:rFonts w:ascii="Arial" w:cs="Arial" w:eastAsia="Arial" w:hAnsi="Arial"/>
                <w:sz w:val="13"/>
                <w:szCs w:val="13"/>
                <w:color w:val="auto"/>
              </w:rPr>
              <w:t>2.6</w:t>
            </w:r>
          </w:p>
        </w:tc>
        <w:tc>
          <w:tcPr>
            <w:tcW w:w="840" w:type="dxa"/>
            <w:vAlign w:val="bottom"/>
          </w:tcPr>
          <w:p>
            <w:pPr>
              <w:jc w:val="right"/>
              <w:ind w:right="98"/>
              <w:spacing w:after="0"/>
              <w:rPr>
                <w:sz w:val="20"/>
                <w:szCs w:val="20"/>
                <w:color w:val="auto"/>
              </w:rPr>
            </w:pPr>
            <w:r>
              <w:rPr>
                <w:rFonts w:ascii="Arial" w:cs="Arial" w:eastAsia="Arial" w:hAnsi="Arial"/>
                <w:sz w:val="13"/>
                <w:szCs w:val="13"/>
                <w:color w:val="auto"/>
              </w:rPr>
              <w:t>12.4</w:t>
            </w:r>
          </w:p>
        </w:tc>
        <w:tc>
          <w:tcPr>
            <w:tcW w:w="820" w:type="dxa"/>
            <w:vAlign w:val="bottom"/>
          </w:tcPr>
          <w:p>
            <w:pPr>
              <w:jc w:val="right"/>
              <w:ind w:right="119"/>
              <w:spacing w:after="0"/>
              <w:rPr>
                <w:sz w:val="20"/>
                <w:szCs w:val="20"/>
                <w:color w:val="auto"/>
              </w:rPr>
            </w:pPr>
            <w:r>
              <w:rPr>
                <w:rFonts w:ascii="Arial" w:cs="Arial" w:eastAsia="Arial" w:hAnsi="Arial"/>
                <w:sz w:val="13"/>
                <w:szCs w:val="13"/>
                <w:color w:val="auto"/>
              </w:rPr>
              <w:t>1.7</w:t>
            </w:r>
          </w:p>
        </w:tc>
        <w:tc>
          <w:tcPr>
            <w:tcW w:w="780" w:type="dxa"/>
            <w:vAlign w:val="bottom"/>
          </w:tcPr>
          <w:p>
            <w:pPr>
              <w:jc w:val="right"/>
              <w:ind w:right="98"/>
              <w:spacing w:after="0"/>
              <w:rPr>
                <w:sz w:val="20"/>
                <w:szCs w:val="20"/>
                <w:color w:val="auto"/>
              </w:rPr>
            </w:pPr>
            <w:r>
              <w:rPr>
                <w:rFonts w:ascii="Arial" w:cs="Arial" w:eastAsia="Arial" w:hAnsi="Arial"/>
                <w:sz w:val="13"/>
                <w:szCs w:val="13"/>
                <w:color w:val="auto"/>
              </w:rPr>
              <w:t>0.1</w:t>
            </w:r>
          </w:p>
        </w:tc>
        <w:tc>
          <w:tcPr>
            <w:tcW w:w="1060" w:type="dxa"/>
            <w:vAlign w:val="bottom"/>
          </w:tcPr>
          <w:p>
            <w:pPr>
              <w:jc w:val="right"/>
              <w:ind w:right="319"/>
              <w:spacing w:after="0"/>
              <w:rPr>
                <w:sz w:val="20"/>
                <w:szCs w:val="20"/>
                <w:color w:val="auto"/>
              </w:rPr>
            </w:pPr>
            <w:r>
              <w:rPr>
                <w:rFonts w:ascii="Arial" w:cs="Arial" w:eastAsia="Arial" w:hAnsi="Arial"/>
                <w:sz w:val="13"/>
                <w:szCs w:val="13"/>
                <w:color w:val="auto"/>
              </w:rPr>
              <w:t>2.3</w:t>
            </w:r>
          </w:p>
        </w:tc>
        <w:tc>
          <w:tcPr>
            <w:tcW w:w="900" w:type="dxa"/>
            <w:vAlign w:val="bottom"/>
          </w:tcPr>
          <w:p>
            <w:pPr>
              <w:jc w:val="right"/>
              <w:ind w:right="99"/>
              <w:spacing w:after="0"/>
              <w:rPr>
                <w:sz w:val="20"/>
                <w:szCs w:val="20"/>
                <w:color w:val="auto"/>
              </w:rPr>
            </w:pPr>
            <w:r>
              <w:rPr>
                <w:rFonts w:ascii="Arial" w:cs="Arial" w:eastAsia="Arial" w:hAnsi="Arial"/>
                <w:sz w:val="13"/>
                <w:szCs w:val="13"/>
                <w:color w:val="auto"/>
              </w:rPr>
              <w:t>2.0</w:t>
            </w:r>
          </w:p>
        </w:tc>
        <w:tc>
          <w:tcPr>
            <w:tcW w:w="820" w:type="dxa"/>
            <w:vAlign w:val="bottom"/>
          </w:tcPr>
          <w:p>
            <w:pPr>
              <w:jc w:val="right"/>
              <w:ind w:right="58"/>
              <w:spacing w:after="0"/>
              <w:rPr>
                <w:sz w:val="20"/>
                <w:szCs w:val="20"/>
                <w:color w:val="auto"/>
              </w:rPr>
            </w:pPr>
            <w:r>
              <w:rPr>
                <w:rFonts w:ascii="Arial" w:cs="Arial" w:eastAsia="Arial" w:hAnsi="Arial"/>
                <w:sz w:val="13"/>
                <w:szCs w:val="13"/>
                <w:color w:val="auto"/>
              </w:rPr>
              <w:t>(10.6)</w:t>
            </w:r>
          </w:p>
        </w:tc>
        <w:tc>
          <w:tcPr>
            <w:tcW w:w="800" w:type="dxa"/>
            <w:vAlign w:val="bottom"/>
          </w:tcPr>
          <w:p>
            <w:pPr>
              <w:jc w:val="right"/>
              <w:ind w:right="79"/>
              <w:spacing w:after="0"/>
              <w:rPr>
                <w:sz w:val="20"/>
                <w:szCs w:val="20"/>
                <w:color w:val="auto"/>
              </w:rPr>
            </w:pPr>
            <w:r>
              <w:rPr>
                <w:rFonts w:ascii="Arial" w:cs="Arial" w:eastAsia="Arial" w:hAnsi="Arial"/>
                <w:sz w:val="13"/>
                <w:szCs w:val="13"/>
                <w:color w:val="auto"/>
              </w:rPr>
              <w:t>0.4</w:t>
            </w:r>
          </w:p>
        </w:tc>
        <w:tc>
          <w:tcPr>
            <w:tcW w:w="680" w:type="dxa"/>
            <w:vAlign w:val="bottom"/>
          </w:tcPr>
          <w:p>
            <w:pPr>
              <w:jc w:val="right"/>
              <w:ind w:right="78"/>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81"/>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Net (loss) income from</w:t>
            </w: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continuing operations</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(29.4)</w:t>
            </w:r>
          </w:p>
        </w:tc>
        <w:tc>
          <w:tcPr>
            <w:tcW w:w="800" w:type="dxa"/>
            <w:vAlign w:val="bottom"/>
          </w:tcPr>
          <w:p>
            <w:pPr>
              <w:jc w:val="right"/>
              <w:ind w:right="119"/>
              <w:spacing w:after="0"/>
              <w:rPr>
                <w:sz w:val="20"/>
                <w:szCs w:val="20"/>
                <w:color w:val="auto"/>
              </w:rPr>
            </w:pPr>
            <w:r>
              <w:rPr>
                <w:rFonts w:ascii="Arial" w:cs="Arial" w:eastAsia="Arial" w:hAnsi="Arial"/>
                <w:sz w:val="13"/>
                <w:szCs w:val="13"/>
                <w:color w:val="auto"/>
              </w:rPr>
              <w:t>3.3</w:t>
            </w:r>
          </w:p>
        </w:tc>
        <w:tc>
          <w:tcPr>
            <w:tcW w:w="880" w:type="dxa"/>
            <w:vAlign w:val="bottom"/>
          </w:tcPr>
          <w:p>
            <w:pPr>
              <w:jc w:val="right"/>
              <w:ind w:right="118"/>
              <w:spacing w:after="0"/>
              <w:rPr>
                <w:sz w:val="20"/>
                <w:szCs w:val="20"/>
                <w:color w:val="auto"/>
              </w:rPr>
            </w:pPr>
            <w:r>
              <w:rPr>
                <w:rFonts w:ascii="Arial" w:cs="Arial" w:eastAsia="Arial" w:hAnsi="Arial"/>
                <w:sz w:val="13"/>
                <w:szCs w:val="13"/>
                <w:color w:val="auto"/>
              </w:rPr>
              <w:t>1.0</w:t>
            </w:r>
          </w:p>
        </w:tc>
        <w:tc>
          <w:tcPr>
            <w:tcW w:w="820" w:type="dxa"/>
            <w:vAlign w:val="bottom"/>
          </w:tcPr>
          <w:p>
            <w:pPr>
              <w:jc w:val="right"/>
              <w:ind w:right="119"/>
              <w:spacing w:after="0"/>
              <w:rPr>
                <w:sz w:val="20"/>
                <w:szCs w:val="20"/>
                <w:color w:val="auto"/>
              </w:rPr>
            </w:pPr>
            <w:r>
              <w:rPr>
                <w:rFonts w:ascii="Arial" w:cs="Arial" w:eastAsia="Arial" w:hAnsi="Arial"/>
                <w:sz w:val="13"/>
                <w:szCs w:val="13"/>
                <w:color w:val="auto"/>
              </w:rPr>
              <w:t>7.5</w:t>
            </w:r>
          </w:p>
        </w:tc>
        <w:tc>
          <w:tcPr>
            <w:tcW w:w="840" w:type="dxa"/>
            <w:vAlign w:val="bottom"/>
          </w:tcPr>
          <w:p>
            <w:pPr>
              <w:jc w:val="right"/>
              <w:ind w:right="98"/>
              <w:spacing w:after="0"/>
              <w:rPr>
                <w:sz w:val="20"/>
                <w:szCs w:val="20"/>
                <w:color w:val="auto"/>
              </w:rPr>
            </w:pPr>
            <w:r>
              <w:rPr>
                <w:rFonts w:ascii="Arial" w:cs="Arial" w:eastAsia="Arial" w:hAnsi="Arial"/>
                <w:sz w:val="13"/>
                <w:szCs w:val="13"/>
                <w:color w:val="auto"/>
              </w:rPr>
              <w:t>38.8</w:t>
            </w:r>
          </w:p>
        </w:tc>
        <w:tc>
          <w:tcPr>
            <w:tcW w:w="820" w:type="dxa"/>
            <w:vAlign w:val="bottom"/>
          </w:tcPr>
          <w:p>
            <w:pPr>
              <w:jc w:val="right"/>
              <w:ind w:right="119"/>
              <w:spacing w:after="0"/>
              <w:rPr>
                <w:sz w:val="20"/>
                <w:szCs w:val="20"/>
                <w:color w:val="auto"/>
              </w:rPr>
            </w:pPr>
            <w:r>
              <w:rPr>
                <w:rFonts w:ascii="Arial" w:cs="Arial" w:eastAsia="Arial" w:hAnsi="Arial"/>
                <w:sz w:val="13"/>
                <w:szCs w:val="13"/>
                <w:color w:val="auto"/>
              </w:rPr>
              <w:t>3.4</w:t>
            </w:r>
          </w:p>
        </w:tc>
        <w:tc>
          <w:tcPr>
            <w:tcW w:w="780" w:type="dxa"/>
            <w:vAlign w:val="bottom"/>
          </w:tcPr>
          <w:p>
            <w:pPr>
              <w:jc w:val="right"/>
              <w:ind w:right="98"/>
              <w:spacing w:after="0"/>
              <w:rPr>
                <w:sz w:val="20"/>
                <w:szCs w:val="20"/>
                <w:color w:val="auto"/>
              </w:rPr>
            </w:pPr>
            <w:r>
              <w:rPr>
                <w:rFonts w:ascii="Arial" w:cs="Arial" w:eastAsia="Arial" w:hAnsi="Arial"/>
                <w:sz w:val="13"/>
                <w:szCs w:val="13"/>
                <w:color w:val="auto"/>
              </w:rPr>
              <w:t>0.4</w:t>
            </w:r>
          </w:p>
        </w:tc>
        <w:tc>
          <w:tcPr>
            <w:tcW w:w="1060" w:type="dxa"/>
            <w:vAlign w:val="bottom"/>
          </w:tcPr>
          <w:p>
            <w:pPr>
              <w:jc w:val="right"/>
              <w:ind w:right="279"/>
              <w:spacing w:after="0"/>
              <w:rPr>
                <w:sz w:val="20"/>
                <w:szCs w:val="20"/>
                <w:color w:val="auto"/>
              </w:rPr>
            </w:pPr>
            <w:r>
              <w:rPr>
                <w:rFonts w:ascii="Arial" w:cs="Arial" w:eastAsia="Arial" w:hAnsi="Arial"/>
                <w:sz w:val="13"/>
                <w:szCs w:val="13"/>
                <w:color w:val="auto"/>
              </w:rPr>
              <w:t>(9.6)</w:t>
            </w:r>
          </w:p>
        </w:tc>
        <w:tc>
          <w:tcPr>
            <w:tcW w:w="900" w:type="dxa"/>
            <w:vAlign w:val="bottom"/>
          </w:tcPr>
          <w:p>
            <w:pPr>
              <w:jc w:val="right"/>
              <w:ind w:right="99"/>
              <w:spacing w:after="0"/>
              <w:rPr>
                <w:sz w:val="20"/>
                <w:szCs w:val="20"/>
                <w:color w:val="auto"/>
              </w:rPr>
            </w:pPr>
            <w:r>
              <w:rPr>
                <w:rFonts w:ascii="Arial" w:cs="Arial" w:eastAsia="Arial" w:hAnsi="Arial"/>
                <w:sz w:val="13"/>
                <w:szCs w:val="13"/>
                <w:color w:val="auto"/>
              </w:rPr>
              <w:t>6.7</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10.6</w:t>
            </w:r>
          </w:p>
        </w:tc>
        <w:tc>
          <w:tcPr>
            <w:tcW w:w="800" w:type="dxa"/>
            <w:vAlign w:val="bottom"/>
          </w:tcPr>
          <w:p>
            <w:pPr>
              <w:jc w:val="right"/>
              <w:ind w:right="79"/>
              <w:spacing w:after="0"/>
              <w:rPr>
                <w:sz w:val="20"/>
                <w:szCs w:val="20"/>
                <w:color w:val="auto"/>
              </w:rPr>
            </w:pPr>
            <w:r>
              <w:rPr>
                <w:rFonts w:ascii="Arial" w:cs="Arial" w:eastAsia="Arial" w:hAnsi="Arial"/>
                <w:sz w:val="13"/>
                <w:szCs w:val="13"/>
                <w:color w:val="auto"/>
              </w:rPr>
              <w:t>1.6</w:t>
            </w:r>
          </w:p>
        </w:tc>
        <w:tc>
          <w:tcPr>
            <w:tcW w:w="680" w:type="dxa"/>
            <w:vAlign w:val="bottom"/>
          </w:tcPr>
          <w:p>
            <w:pPr>
              <w:jc w:val="right"/>
              <w:ind w:right="78"/>
              <w:spacing w:after="0"/>
              <w:rPr>
                <w:sz w:val="20"/>
                <w:szCs w:val="20"/>
                <w:color w:val="auto"/>
              </w:rPr>
            </w:pPr>
            <w:r>
              <w:rPr>
                <w:rFonts w:ascii="Arial" w:cs="Arial" w:eastAsia="Arial" w:hAnsi="Arial"/>
                <w:sz w:val="13"/>
                <w:szCs w:val="13"/>
                <w:color w:val="auto"/>
              </w:rPr>
              <w:t>34.3</w:t>
            </w:r>
          </w:p>
        </w:tc>
        <w:tc>
          <w:tcPr>
            <w:tcW w:w="0" w:type="dxa"/>
            <w:vAlign w:val="bottom"/>
          </w:tcPr>
          <w:p>
            <w:pPr>
              <w:spacing w:after="0"/>
              <w:rPr>
                <w:sz w:val="1"/>
                <w:szCs w:val="1"/>
                <w:color w:val="auto"/>
              </w:rPr>
            </w:pPr>
          </w:p>
        </w:tc>
      </w:tr>
      <w:tr>
        <w:trPr>
          <w:trHeight w:val="181"/>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Diluted EPS - Continuing</w:t>
            </w: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600" w:type="dxa"/>
            <w:vAlign w:val="bottom"/>
            <w:gridSpan w:val="2"/>
          </w:tcPr>
          <w:p>
            <w:pPr>
              <w:ind w:left="20"/>
              <w:spacing w:after="0"/>
              <w:rPr>
                <w:sz w:val="20"/>
                <w:szCs w:val="20"/>
                <w:color w:val="auto"/>
              </w:rPr>
            </w:pPr>
            <w:r>
              <w:rPr>
                <w:rFonts w:ascii="Arial" w:cs="Arial" w:eastAsia="Arial" w:hAnsi="Arial"/>
                <w:sz w:val="13"/>
                <w:szCs w:val="13"/>
                <w:color w:val="auto"/>
              </w:rPr>
              <w:t>Operations</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($0.61)</w:t>
            </w:r>
          </w:p>
        </w:tc>
        <w:tc>
          <w:tcPr>
            <w:tcW w:w="800" w:type="dxa"/>
            <w:vAlign w:val="bottom"/>
          </w:tcPr>
          <w:p>
            <w:pPr>
              <w:jc w:val="right"/>
              <w:ind w:right="119"/>
              <w:spacing w:after="0"/>
              <w:rPr>
                <w:sz w:val="20"/>
                <w:szCs w:val="20"/>
                <w:color w:val="auto"/>
              </w:rPr>
            </w:pPr>
            <w:r>
              <w:rPr>
                <w:rFonts w:ascii="Arial" w:cs="Arial" w:eastAsia="Arial" w:hAnsi="Arial"/>
                <w:sz w:val="13"/>
                <w:szCs w:val="13"/>
                <w:color w:val="auto"/>
              </w:rPr>
              <w:t>$0.07</w:t>
            </w:r>
          </w:p>
        </w:tc>
        <w:tc>
          <w:tcPr>
            <w:tcW w:w="880" w:type="dxa"/>
            <w:vAlign w:val="bottom"/>
          </w:tcPr>
          <w:p>
            <w:pPr>
              <w:jc w:val="right"/>
              <w:ind w:right="118"/>
              <w:spacing w:after="0"/>
              <w:rPr>
                <w:sz w:val="20"/>
                <w:szCs w:val="20"/>
                <w:color w:val="auto"/>
              </w:rPr>
            </w:pPr>
            <w:r>
              <w:rPr>
                <w:rFonts w:ascii="Arial" w:cs="Arial" w:eastAsia="Arial" w:hAnsi="Arial"/>
                <w:sz w:val="13"/>
                <w:szCs w:val="13"/>
                <w:color w:val="auto"/>
              </w:rPr>
              <w:t>$0.02</w:t>
            </w:r>
          </w:p>
        </w:tc>
        <w:tc>
          <w:tcPr>
            <w:tcW w:w="820" w:type="dxa"/>
            <w:vAlign w:val="bottom"/>
          </w:tcPr>
          <w:p>
            <w:pPr>
              <w:jc w:val="right"/>
              <w:ind w:right="119"/>
              <w:spacing w:after="0"/>
              <w:rPr>
                <w:sz w:val="20"/>
                <w:szCs w:val="20"/>
                <w:color w:val="auto"/>
              </w:rPr>
            </w:pPr>
            <w:r>
              <w:rPr>
                <w:rFonts w:ascii="Arial" w:cs="Arial" w:eastAsia="Arial" w:hAnsi="Arial"/>
                <w:sz w:val="13"/>
                <w:szCs w:val="13"/>
                <w:color w:val="auto"/>
              </w:rPr>
              <w:t>$0.15</w:t>
            </w:r>
          </w:p>
        </w:tc>
        <w:tc>
          <w:tcPr>
            <w:tcW w:w="840" w:type="dxa"/>
            <w:vAlign w:val="bottom"/>
          </w:tcPr>
          <w:p>
            <w:pPr>
              <w:jc w:val="right"/>
              <w:ind w:right="98"/>
              <w:spacing w:after="0"/>
              <w:rPr>
                <w:sz w:val="20"/>
                <w:szCs w:val="20"/>
                <w:color w:val="auto"/>
              </w:rPr>
            </w:pPr>
            <w:r>
              <w:rPr>
                <w:rFonts w:ascii="Arial" w:cs="Arial" w:eastAsia="Arial" w:hAnsi="Arial"/>
                <w:sz w:val="13"/>
                <w:szCs w:val="13"/>
                <w:color w:val="auto"/>
              </w:rPr>
              <w:t>$0.80</w:t>
            </w:r>
          </w:p>
        </w:tc>
        <w:tc>
          <w:tcPr>
            <w:tcW w:w="820" w:type="dxa"/>
            <w:vAlign w:val="bottom"/>
          </w:tcPr>
          <w:p>
            <w:pPr>
              <w:jc w:val="right"/>
              <w:ind w:right="119"/>
              <w:spacing w:after="0"/>
              <w:rPr>
                <w:sz w:val="20"/>
                <w:szCs w:val="20"/>
                <w:color w:val="auto"/>
              </w:rPr>
            </w:pPr>
            <w:r>
              <w:rPr>
                <w:rFonts w:ascii="Arial" w:cs="Arial" w:eastAsia="Arial" w:hAnsi="Arial"/>
                <w:sz w:val="13"/>
                <w:szCs w:val="13"/>
                <w:color w:val="auto"/>
              </w:rPr>
              <w:t>$0.07</w:t>
            </w:r>
          </w:p>
        </w:tc>
        <w:tc>
          <w:tcPr>
            <w:tcW w:w="780" w:type="dxa"/>
            <w:vAlign w:val="bottom"/>
          </w:tcPr>
          <w:p>
            <w:pPr>
              <w:jc w:val="right"/>
              <w:ind w:right="98"/>
              <w:spacing w:after="0"/>
              <w:rPr>
                <w:sz w:val="20"/>
                <w:szCs w:val="20"/>
                <w:color w:val="auto"/>
              </w:rPr>
            </w:pPr>
            <w:r>
              <w:rPr>
                <w:rFonts w:ascii="Arial" w:cs="Arial" w:eastAsia="Arial" w:hAnsi="Arial"/>
                <w:sz w:val="13"/>
                <w:szCs w:val="13"/>
                <w:color w:val="auto"/>
              </w:rPr>
              <w:t>$0.01</w:t>
            </w:r>
          </w:p>
        </w:tc>
        <w:tc>
          <w:tcPr>
            <w:tcW w:w="1060" w:type="dxa"/>
            <w:vAlign w:val="bottom"/>
          </w:tcPr>
          <w:p>
            <w:pPr>
              <w:jc w:val="right"/>
              <w:ind w:right="279"/>
              <w:spacing w:after="0"/>
              <w:rPr>
                <w:sz w:val="20"/>
                <w:szCs w:val="20"/>
                <w:color w:val="auto"/>
              </w:rPr>
            </w:pPr>
            <w:r>
              <w:rPr>
                <w:rFonts w:ascii="Arial" w:cs="Arial" w:eastAsia="Arial" w:hAnsi="Arial"/>
                <w:sz w:val="13"/>
                <w:szCs w:val="13"/>
                <w:color w:val="auto"/>
              </w:rPr>
              <w:t>($0.20)</w:t>
            </w:r>
          </w:p>
        </w:tc>
        <w:tc>
          <w:tcPr>
            <w:tcW w:w="900" w:type="dxa"/>
            <w:vAlign w:val="bottom"/>
          </w:tcPr>
          <w:p>
            <w:pPr>
              <w:jc w:val="right"/>
              <w:ind w:right="99"/>
              <w:spacing w:after="0"/>
              <w:rPr>
                <w:sz w:val="20"/>
                <w:szCs w:val="20"/>
                <w:color w:val="auto"/>
              </w:rPr>
            </w:pPr>
            <w:r>
              <w:rPr>
                <w:rFonts w:ascii="Arial" w:cs="Arial" w:eastAsia="Arial" w:hAnsi="Arial"/>
                <w:sz w:val="13"/>
                <w:szCs w:val="13"/>
                <w:color w:val="auto"/>
              </w:rPr>
              <w:t>$0.14</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$0.22</w:t>
            </w:r>
          </w:p>
        </w:tc>
        <w:tc>
          <w:tcPr>
            <w:tcW w:w="800" w:type="dxa"/>
            <w:vAlign w:val="bottom"/>
          </w:tcPr>
          <w:p>
            <w:pPr>
              <w:jc w:val="right"/>
              <w:ind w:right="79"/>
              <w:spacing w:after="0"/>
              <w:rPr>
                <w:sz w:val="20"/>
                <w:szCs w:val="20"/>
                <w:color w:val="auto"/>
              </w:rPr>
            </w:pPr>
            <w:r>
              <w:rPr>
                <w:rFonts w:ascii="Arial" w:cs="Arial" w:eastAsia="Arial" w:hAnsi="Arial"/>
                <w:sz w:val="13"/>
                <w:szCs w:val="13"/>
                <w:color w:val="auto"/>
              </w:rPr>
              <w:t>$0.03</w:t>
            </w:r>
          </w:p>
        </w:tc>
        <w:tc>
          <w:tcPr>
            <w:tcW w:w="680" w:type="dxa"/>
            <w:vAlign w:val="bottom"/>
          </w:tcPr>
          <w:p>
            <w:pPr>
              <w:jc w:val="right"/>
              <w:ind w:right="78"/>
              <w:spacing w:after="0"/>
              <w:rPr>
                <w:sz w:val="20"/>
                <w:szCs w:val="20"/>
                <w:color w:val="auto"/>
              </w:rPr>
            </w:pPr>
            <w:r>
              <w:rPr>
                <w:rFonts w:ascii="Arial" w:cs="Arial" w:eastAsia="Arial" w:hAnsi="Arial"/>
                <w:sz w:val="13"/>
                <w:szCs w:val="13"/>
                <w:color w:val="auto"/>
              </w:rPr>
              <w:t>$0.70</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GAAP results for the three months ended June 30, 2019 include:</w:t>
      </w:r>
    </w:p>
    <w:p>
      <w:pPr>
        <w:spacing w:after="0" w:line="58" w:lineRule="exact"/>
        <w:rPr>
          <w:sz w:val="20"/>
          <w:szCs w:val="20"/>
          <w:color w:val="auto"/>
        </w:rPr>
      </w:pPr>
    </w:p>
    <w:p>
      <w:pPr>
        <w:ind w:left="340" w:hanging="320"/>
        <w:spacing w:after="0"/>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Merger and integration expenses related to our legacy companies and recent acquisitions</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Restructuring expenses related to organizational changes</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depreciation and amortization associated with purchase price accounting</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Impairment of ImThera intangible assets and other long-lived assets</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Costs related to the 3T Heater-Cooler remediation plan</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Costs related to acquisitions</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Contingent consideration related to acquisitions and legal expenses primarily related to 3T Heater-Cooler defense and other matters</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Non-cash expenses associated with stock-based compensation costs</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Primarily relates to discrete tax items and the tax impact of intercompany transactions</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Primarily relates to intellectual property migration and other non-recurring impacts to interest expense</w:t>
      </w:r>
    </w:p>
    <w:p>
      <w:pPr>
        <w:spacing w:after="0" w:line="42" w:lineRule="exact"/>
        <w:rPr>
          <w:sz w:val="20"/>
          <w:szCs w:val="20"/>
          <w:color w:val="auto"/>
        </w:rPr>
      </w:pPr>
    </w:p>
    <w:p>
      <w:pPr>
        <w:ind w:left="340" w:hanging="320"/>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Numbers may not add up precisely due to rounding.</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460"/>
          </w:cols>
          <w:pgMar w:left="240" w:top="709" w:right="199" w:bottom="1440" w:gutter="0" w:footer="0" w:header="0"/>
        </w:sectPr>
      </w:pPr>
    </w:p>
    <w:bookmarkStart w:id="17" w:name="page18"/>
    <w:bookmarkEnd w:id="17"/>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2701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0115" cy="762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1"/>
                <w:szCs w:val="11"/>
                <w:b w:val="1"/>
                <w:bCs w:val="1"/>
                <w:color w:val="auto"/>
              </w:rPr>
              <w:t>Specified Items</w:t>
            </w:r>
          </w:p>
        </w:tc>
        <w:tc>
          <w:tcPr>
            <w:tcW w:w="9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Depreciation</w:t>
            </w: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Non-recurring</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Merger and</w:t>
            </w:r>
          </w:p>
        </w:tc>
        <w:tc>
          <w:tcPr>
            <w:tcW w:w="900" w:type="dxa"/>
            <w:vAlign w:val="bottom"/>
          </w:tcPr>
          <w:p>
            <w:pPr>
              <w:spacing w:after="0"/>
              <w:rPr>
                <w:sz w:val="10"/>
                <w:szCs w:val="10"/>
                <w:color w:val="auto"/>
              </w:rPr>
            </w:pPr>
          </w:p>
        </w:tc>
        <w:tc>
          <w:tcPr>
            <w:tcW w:w="8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and</w:t>
            </w:r>
          </w:p>
        </w:tc>
        <w:tc>
          <w:tcPr>
            <w:tcW w:w="8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Product</w:t>
            </w:r>
          </w:p>
        </w:tc>
        <w:tc>
          <w:tcPr>
            <w:tcW w:w="780" w:type="dxa"/>
            <w:vAlign w:val="bottom"/>
          </w:tcPr>
          <w:p>
            <w:pPr>
              <w:spacing w:after="0"/>
              <w:rPr>
                <w:sz w:val="10"/>
                <w:szCs w:val="10"/>
                <w:color w:val="auto"/>
              </w:rPr>
            </w:pPr>
          </w:p>
        </w:tc>
        <w:tc>
          <w:tcPr>
            <w:tcW w:w="6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CRM</w:t>
            </w:r>
          </w:p>
        </w:tc>
        <w:tc>
          <w:tcPr>
            <w:tcW w:w="9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Legal and</w:t>
            </w:r>
          </w:p>
        </w:tc>
        <w:tc>
          <w:tcPr>
            <w:tcW w:w="9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Stock-based</w:t>
            </w:r>
          </w:p>
        </w:tc>
        <w:tc>
          <w:tcPr>
            <w:tcW w:w="820" w:type="dxa"/>
            <w:vAlign w:val="bottom"/>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Certain</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Three Months Ended</w:t>
            </w:r>
          </w:p>
        </w:tc>
        <w:tc>
          <w:tcPr>
            <w:tcW w:w="6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GAAP</w:t>
            </w:r>
          </w:p>
        </w:tc>
        <w:tc>
          <w:tcPr>
            <w:tcW w:w="7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8"/>
              </w:rPr>
              <w:t>Integration</w:t>
            </w:r>
          </w:p>
        </w:tc>
        <w:tc>
          <w:tcPr>
            <w:tcW w:w="9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9"/>
              </w:rPr>
              <w:t>Restructuring</w:t>
            </w:r>
          </w:p>
        </w:tc>
        <w:tc>
          <w:tcPr>
            <w:tcW w:w="8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Amortization</w:t>
            </w:r>
          </w:p>
        </w:tc>
        <w:tc>
          <w:tcPr>
            <w:tcW w:w="8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Remediation</w:t>
            </w:r>
          </w:p>
        </w:tc>
        <w:tc>
          <w:tcPr>
            <w:tcW w:w="7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Acquisition</w:t>
            </w:r>
          </w:p>
        </w:tc>
        <w:tc>
          <w:tcPr>
            <w:tcW w:w="6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Disposal</w:t>
            </w:r>
          </w:p>
        </w:tc>
        <w:tc>
          <w:tcPr>
            <w:tcW w:w="9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9"/>
              </w:rPr>
              <w:t>Contingent</w:t>
            </w:r>
          </w:p>
        </w:tc>
        <w:tc>
          <w:tcPr>
            <w:tcW w:w="9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9"/>
              </w:rPr>
              <w:t>Compensation</w:t>
            </w: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Certain Tax</w:t>
            </w: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Interest</w:t>
            </w:r>
          </w:p>
        </w:tc>
        <w:tc>
          <w:tcPr>
            <w:tcW w:w="7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Adjusted</w:t>
            </w:r>
          </w:p>
        </w:tc>
        <w:tc>
          <w:tcPr>
            <w:tcW w:w="0" w:type="dxa"/>
            <w:vAlign w:val="bottom"/>
          </w:tcPr>
          <w:p>
            <w:pPr>
              <w:spacing w:after="0"/>
              <w:rPr>
                <w:sz w:val="1"/>
                <w:szCs w:val="1"/>
                <w:color w:val="auto"/>
              </w:rPr>
            </w:pPr>
          </w:p>
        </w:tc>
      </w:tr>
      <w:tr>
        <w:trPr>
          <w:trHeight w:val="115"/>
        </w:trPr>
        <w:tc>
          <w:tcPr>
            <w:tcW w:w="1640" w:type="dxa"/>
            <w:vAlign w:val="bottom"/>
            <w:gridSpan w:val="2"/>
            <w:vMerge w:val="continue"/>
          </w:tcPr>
          <w:p>
            <w:pPr>
              <w:spacing w:after="0"/>
              <w:rPr>
                <w:sz w:val="9"/>
                <w:szCs w:val="9"/>
                <w:color w:val="auto"/>
              </w:rPr>
            </w:pPr>
          </w:p>
        </w:tc>
        <w:tc>
          <w:tcPr>
            <w:tcW w:w="6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7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9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7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8"/>
              </w:rPr>
              <w:t>Costs</w:t>
            </w:r>
          </w:p>
        </w:tc>
        <w:tc>
          <w:tcPr>
            <w:tcW w:w="640" w:type="dxa"/>
            <w:vAlign w:val="bottom"/>
          </w:tcPr>
          <w:p>
            <w:pPr>
              <w:jc w:val="center"/>
              <w:ind w:right="39"/>
              <w:spacing w:after="0" w:line="115" w:lineRule="exact"/>
              <w:rPr>
                <w:sz w:val="20"/>
                <w:szCs w:val="20"/>
                <w:color w:val="auto"/>
              </w:rPr>
            </w:pPr>
            <w:r>
              <w:rPr>
                <w:rFonts w:ascii="Arial" w:cs="Arial" w:eastAsia="Arial" w:hAnsi="Arial"/>
                <w:sz w:val="11"/>
                <w:szCs w:val="11"/>
                <w:b w:val="1"/>
                <w:bCs w:val="1"/>
                <w:color w:val="auto"/>
                <w:w w:val="98"/>
              </w:rPr>
              <w:t>Costs</w:t>
            </w:r>
          </w:p>
        </w:tc>
        <w:tc>
          <w:tcPr>
            <w:tcW w:w="9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9"/>
              </w:rPr>
              <w:t>Consideration</w:t>
            </w:r>
          </w:p>
        </w:tc>
        <w:tc>
          <w:tcPr>
            <w:tcW w:w="9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Costs</w:t>
            </w:r>
          </w:p>
        </w:tc>
        <w:tc>
          <w:tcPr>
            <w:tcW w:w="8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8"/>
              </w:rPr>
              <w:t>Adjustments</w:t>
            </w:r>
          </w:p>
        </w:tc>
        <w:tc>
          <w:tcPr>
            <w:tcW w:w="8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8"/>
              </w:rPr>
              <w:t>Adjustments</w:t>
            </w:r>
          </w:p>
        </w:tc>
        <w:tc>
          <w:tcPr>
            <w:tcW w:w="7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0" w:type="dxa"/>
            <w:vAlign w:val="bottom"/>
          </w:tcPr>
          <w:p>
            <w:pPr>
              <w:spacing w:after="0"/>
              <w:rPr>
                <w:sz w:val="1"/>
                <w:szCs w:val="1"/>
                <w:color w:val="auto"/>
              </w:rPr>
            </w:pPr>
          </w:p>
        </w:tc>
      </w:tr>
      <w:tr>
        <w:trPr>
          <w:trHeight w:val="167"/>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June 30, 2018</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Measures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(B)</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(E)</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(F)</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(G)</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(H)</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(J)</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Measures</w:t>
            </w:r>
          </w:p>
        </w:tc>
        <w:tc>
          <w:tcPr>
            <w:tcW w:w="0" w:type="dxa"/>
            <w:vAlign w:val="bottom"/>
          </w:tcPr>
          <w:p>
            <w:pPr>
              <w:spacing w:after="0"/>
              <w:rPr>
                <w:sz w:val="1"/>
                <w:szCs w:val="1"/>
                <w:color w:val="auto"/>
              </w:rPr>
            </w:pPr>
          </w:p>
        </w:tc>
      </w:tr>
      <w:tr>
        <w:trPr>
          <w:trHeight w:val="163"/>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Cost of sales - exclusive</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of amortization</w:t>
            </w:r>
          </w:p>
        </w:tc>
        <w:tc>
          <w:tcPr>
            <w:tcW w:w="680" w:type="dxa"/>
            <w:vAlign w:val="bottom"/>
          </w:tcPr>
          <w:p>
            <w:pPr>
              <w:jc w:val="right"/>
              <w:ind w:right="118"/>
              <w:spacing w:after="0"/>
              <w:rPr>
                <w:sz w:val="20"/>
                <w:szCs w:val="20"/>
                <w:color w:val="auto"/>
              </w:rPr>
            </w:pPr>
            <w:r>
              <w:rPr>
                <w:rFonts w:ascii="Arial" w:cs="Arial" w:eastAsia="Arial" w:hAnsi="Arial"/>
                <w:sz w:val="13"/>
                <w:szCs w:val="13"/>
                <w:color w:val="auto"/>
              </w:rPr>
              <w:t>$92.0</w:t>
            </w:r>
          </w:p>
        </w:tc>
        <w:tc>
          <w:tcPr>
            <w:tcW w:w="78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9"/>
              <w:spacing w:after="0"/>
              <w:rPr>
                <w:sz w:val="20"/>
                <w:szCs w:val="20"/>
                <w:color w:val="auto"/>
              </w:rPr>
            </w:pPr>
            <w:r>
              <w:rPr>
                <w:rFonts w:ascii="Arial" w:cs="Arial" w:eastAsia="Arial" w:hAnsi="Arial"/>
                <w:sz w:val="13"/>
                <w:szCs w:val="13"/>
                <w:color w:val="auto"/>
              </w:rPr>
              <w:t>($4.9)</w:t>
            </w:r>
          </w:p>
        </w:tc>
        <w:tc>
          <w:tcPr>
            <w:tcW w:w="86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9"/>
              <w:spacing w:after="0"/>
              <w:rPr>
                <w:sz w:val="20"/>
                <w:szCs w:val="20"/>
                <w:color w:val="auto"/>
              </w:rPr>
            </w:pPr>
            <w:r>
              <w:rPr>
                <w:rFonts w:ascii="Arial" w:cs="Arial" w:eastAsia="Arial" w:hAnsi="Arial"/>
                <w:sz w:val="13"/>
                <w:szCs w:val="13"/>
                <w:color w:val="auto"/>
              </w:rPr>
              <w:t>($0.1)</w:t>
            </w:r>
          </w:p>
        </w:tc>
        <w:tc>
          <w:tcPr>
            <w:tcW w:w="64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9"/>
              <w:spacing w:after="0"/>
              <w:rPr>
                <w:sz w:val="20"/>
                <w:szCs w:val="20"/>
                <w:color w:val="auto"/>
              </w:rPr>
            </w:pPr>
            <w:r>
              <w:rPr>
                <w:rFonts w:ascii="Arial" w:cs="Arial" w:eastAsia="Arial" w:hAnsi="Arial"/>
                <w:sz w:val="13"/>
                <w:szCs w:val="13"/>
                <w:color w:val="auto"/>
              </w:rPr>
              <w:t>$4.2</w:t>
            </w:r>
          </w:p>
        </w:tc>
        <w:tc>
          <w:tcPr>
            <w:tcW w:w="960" w:type="dxa"/>
            <w:vAlign w:val="bottom"/>
          </w:tcPr>
          <w:p>
            <w:pPr>
              <w:jc w:val="right"/>
              <w:ind w:right="79"/>
              <w:spacing w:after="0"/>
              <w:rPr>
                <w:sz w:val="20"/>
                <w:szCs w:val="20"/>
                <w:color w:val="auto"/>
              </w:rPr>
            </w:pPr>
            <w:r>
              <w:rPr>
                <w:rFonts w:ascii="Arial" w:cs="Arial" w:eastAsia="Arial" w:hAnsi="Arial"/>
                <w:sz w:val="13"/>
                <w:szCs w:val="13"/>
                <w:color w:val="auto"/>
              </w:rPr>
              <w:t>($0.2)</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58"/>
              <w:spacing w:after="0"/>
              <w:rPr>
                <w:sz w:val="20"/>
                <w:szCs w:val="20"/>
                <w:color w:val="auto"/>
              </w:rPr>
            </w:pPr>
            <w:r>
              <w:rPr>
                <w:rFonts w:ascii="Arial" w:cs="Arial" w:eastAsia="Arial" w:hAnsi="Arial"/>
                <w:sz w:val="13"/>
                <w:szCs w:val="13"/>
                <w:color w:val="auto"/>
              </w:rPr>
              <w:t>$91.0</w:t>
            </w:r>
          </w:p>
        </w:tc>
        <w:tc>
          <w:tcPr>
            <w:tcW w:w="0" w:type="dxa"/>
            <w:vAlign w:val="bottom"/>
          </w:tcPr>
          <w:p>
            <w:pPr>
              <w:spacing w:after="0"/>
              <w:rPr>
                <w:sz w:val="1"/>
                <w:szCs w:val="1"/>
                <w:color w:val="auto"/>
              </w:rPr>
            </w:pPr>
          </w:p>
        </w:tc>
      </w:tr>
      <w:tr>
        <w:trPr>
          <w:trHeight w:val="239"/>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Product remediation</w:t>
            </w:r>
          </w:p>
        </w:tc>
        <w:tc>
          <w:tcPr>
            <w:tcW w:w="680" w:type="dxa"/>
            <w:vAlign w:val="bottom"/>
          </w:tcPr>
          <w:p>
            <w:pPr>
              <w:jc w:val="right"/>
              <w:ind w:right="118"/>
              <w:spacing w:after="0"/>
              <w:rPr>
                <w:sz w:val="20"/>
                <w:szCs w:val="20"/>
                <w:color w:val="auto"/>
              </w:rPr>
            </w:pPr>
            <w:r>
              <w:rPr>
                <w:rFonts w:ascii="Arial" w:cs="Arial" w:eastAsia="Arial" w:hAnsi="Arial"/>
                <w:sz w:val="13"/>
                <w:szCs w:val="13"/>
                <w:color w:val="auto"/>
              </w:rPr>
              <w:t>1.5</w:t>
            </w:r>
          </w:p>
        </w:tc>
        <w:tc>
          <w:tcPr>
            <w:tcW w:w="78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9"/>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9"/>
              <w:spacing w:after="0"/>
              <w:rPr>
                <w:sz w:val="20"/>
                <w:szCs w:val="20"/>
                <w:color w:val="auto"/>
              </w:rPr>
            </w:pPr>
            <w:r>
              <w:rPr>
                <w:rFonts w:ascii="Arial" w:cs="Arial" w:eastAsia="Arial" w:hAnsi="Arial"/>
                <w:sz w:val="13"/>
                <w:szCs w:val="13"/>
                <w:color w:val="auto"/>
              </w:rPr>
              <w:t>(1.5)</w:t>
            </w:r>
          </w:p>
        </w:tc>
        <w:tc>
          <w:tcPr>
            <w:tcW w:w="78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9"/>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9"/>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Gross profit percent</w:t>
            </w:r>
          </w:p>
        </w:tc>
        <w:tc>
          <w:tcPr>
            <w:tcW w:w="680" w:type="dxa"/>
            <w:vAlign w:val="bottom"/>
          </w:tcPr>
          <w:p>
            <w:pPr>
              <w:jc w:val="right"/>
              <w:spacing w:after="0"/>
              <w:rPr>
                <w:sz w:val="20"/>
                <w:szCs w:val="20"/>
                <w:color w:val="auto"/>
              </w:rPr>
            </w:pPr>
            <w:r>
              <w:rPr>
                <w:rFonts w:ascii="Arial" w:cs="Arial" w:eastAsia="Arial" w:hAnsi="Arial"/>
                <w:sz w:val="13"/>
                <w:szCs w:val="13"/>
                <w:color w:val="auto"/>
              </w:rPr>
              <w:t>67.5%</w:t>
            </w:r>
          </w:p>
        </w:tc>
        <w:tc>
          <w:tcPr>
            <w:tcW w:w="78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9"/>
              <w:spacing w:after="0"/>
              <w:rPr>
                <w:sz w:val="20"/>
                <w:szCs w:val="20"/>
                <w:color w:val="auto"/>
              </w:rPr>
            </w:pPr>
            <w:r>
              <w:rPr>
                <w:rFonts w:ascii="Arial" w:cs="Arial" w:eastAsia="Arial" w:hAnsi="Arial"/>
                <w:sz w:val="13"/>
                <w:szCs w:val="13"/>
                <w:color w:val="auto"/>
              </w:rPr>
              <w:t>1.7%</w:t>
            </w:r>
          </w:p>
        </w:tc>
        <w:tc>
          <w:tcPr>
            <w:tcW w:w="860" w:type="dxa"/>
            <w:vAlign w:val="bottom"/>
          </w:tcPr>
          <w:p>
            <w:pPr>
              <w:jc w:val="right"/>
              <w:spacing w:after="0"/>
              <w:rPr>
                <w:sz w:val="20"/>
                <w:szCs w:val="20"/>
                <w:color w:val="auto"/>
              </w:rPr>
            </w:pPr>
            <w:r>
              <w:rPr>
                <w:rFonts w:ascii="Arial" w:cs="Arial" w:eastAsia="Arial" w:hAnsi="Arial"/>
                <w:sz w:val="13"/>
                <w:szCs w:val="13"/>
                <w:color w:val="auto"/>
              </w:rPr>
              <w:t>0.5%</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9"/>
              <w:spacing w:after="0"/>
              <w:rPr>
                <w:sz w:val="20"/>
                <w:szCs w:val="20"/>
                <w:color w:val="auto"/>
              </w:rPr>
            </w:pPr>
            <w:r>
              <w:rPr>
                <w:rFonts w:ascii="Arial" w:cs="Arial" w:eastAsia="Arial" w:hAnsi="Arial"/>
                <w:sz w:val="13"/>
                <w:szCs w:val="13"/>
                <w:color w:val="auto"/>
              </w:rPr>
              <w:t>— %</w:t>
            </w:r>
          </w:p>
        </w:tc>
        <w:tc>
          <w:tcPr>
            <w:tcW w:w="960" w:type="dxa"/>
            <w:vAlign w:val="bottom"/>
          </w:tcPr>
          <w:p>
            <w:pPr>
              <w:jc w:val="right"/>
              <w:ind w:right="99"/>
              <w:spacing w:after="0"/>
              <w:rPr>
                <w:sz w:val="20"/>
                <w:szCs w:val="20"/>
                <w:color w:val="auto"/>
              </w:rPr>
            </w:pPr>
            <w:r>
              <w:rPr>
                <w:rFonts w:ascii="Arial" w:cs="Arial" w:eastAsia="Arial" w:hAnsi="Arial"/>
                <w:sz w:val="13"/>
                <w:szCs w:val="13"/>
                <w:color w:val="auto"/>
              </w:rPr>
              <w:t>(1.5)%</w:t>
            </w:r>
          </w:p>
        </w:tc>
        <w:tc>
          <w:tcPr>
            <w:tcW w:w="960" w:type="dxa"/>
            <w:vAlign w:val="bottom"/>
          </w:tcPr>
          <w:p>
            <w:pPr>
              <w:jc w:val="right"/>
              <w:spacing w:after="0"/>
              <w:rPr>
                <w:sz w:val="20"/>
                <w:szCs w:val="20"/>
                <w:color w:val="auto"/>
              </w:rPr>
            </w:pPr>
            <w:r>
              <w:rPr>
                <w:rFonts w:ascii="Arial" w:cs="Arial" w:eastAsia="Arial" w:hAnsi="Arial"/>
                <w:sz w:val="13"/>
                <w:szCs w:val="13"/>
                <w:color w:val="auto"/>
              </w:rPr>
              <w:t>0.1%</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68.3%</w:t>
            </w:r>
          </w:p>
        </w:tc>
        <w:tc>
          <w:tcPr>
            <w:tcW w:w="0" w:type="dxa"/>
            <w:vAlign w:val="bottom"/>
          </w:tcPr>
          <w:p>
            <w:pPr>
              <w:spacing w:after="0"/>
              <w:rPr>
                <w:sz w:val="1"/>
                <w:szCs w:val="1"/>
                <w:color w:val="auto"/>
              </w:rPr>
            </w:pPr>
          </w:p>
        </w:tc>
      </w:tr>
      <w:tr>
        <w:trPr>
          <w:trHeight w:val="181"/>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Selling, general and</w:t>
            </w: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administrative</w:t>
            </w:r>
          </w:p>
        </w:tc>
        <w:tc>
          <w:tcPr>
            <w:tcW w:w="680" w:type="dxa"/>
            <w:vAlign w:val="bottom"/>
          </w:tcPr>
          <w:p>
            <w:pPr>
              <w:jc w:val="right"/>
              <w:ind w:right="118"/>
              <w:spacing w:after="0"/>
              <w:rPr>
                <w:sz w:val="20"/>
                <w:szCs w:val="20"/>
                <w:color w:val="auto"/>
              </w:rPr>
            </w:pPr>
            <w:r>
              <w:rPr>
                <w:rFonts w:ascii="Arial" w:cs="Arial" w:eastAsia="Arial" w:hAnsi="Arial"/>
                <w:sz w:val="13"/>
                <w:szCs w:val="13"/>
                <w:color w:val="auto"/>
              </w:rPr>
              <w:t>$123.4</w:t>
            </w:r>
          </w:p>
        </w:tc>
        <w:tc>
          <w:tcPr>
            <w:tcW w:w="78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9"/>
              <w:spacing w:after="0"/>
              <w:rPr>
                <w:sz w:val="20"/>
                <w:szCs w:val="20"/>
                <w:color w:val="auto"/>
              </w:rPr>
            </w:pPr>
            <w:r>
              <w:rPr>
                <w:rFonts w:ascii="Arial" w:cs="Arial" w:eastAsia="Arial" w:hAnsi="Arial"/>
                <w:sz w:val="13"/>
                <w:szCs w:val="13"/>
                <w:color w:val="auto"/>
              </w:rPr>
              <w:t>($0.1)</w:t>
            </w:r>
          </w:p>
        </w:tc>
        <w:tc>
          <w:tcPr>
            <w:tcW w:w="86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9"/>
              <w:spacing w:after="0"/>
              <w:rPr>
                <w:sz w:val="20"/>
                <w:szCs w:val="20"/>
                <w:color w:val="auto"/>
              </w:rPr>
            </w:pPr>
            <w:r>
              <w:rPr>
                <w:rFonts w:ascii="Arial" w:cs="Arial" w:eastAsia="Arial" w:hAnsi="Arial"/>
                <w:sz w:val="13"/>
                <w:szCs w:val="13"/>
                <w:color w:val="auto"/>
              </w:rPr>
              <w:t>($3.4)</w:t>
            </w:r>
          </w:p>
        </w:tc>
        <w:tc>
          <w:tcPr>
            <w:tcW w:w="640" w:type="dxa"/>
            <w:vAlign w:val="bottom"/>
          </w:tcPr>
          <w:p>
            <w:pPr>
              <w:jc w:val="right"/>
              <w:ind w:right="139"/>
              <w:spacing w:after="0"/>
              <w:rPr>
                <w:sz w:val="20"/>
                <w:szCs w:val="20"/>
                <w:color w:val="auto"/>
              </w:rPr>
            </w:pPr>
            <w:r>
              <w:rPr>
                <w:rFonts w:ascii="Arial" w:cs="Arial" w:eastAsia="Arial" w:hAnsi="Arial"/>
                <w:sz w:val="13"/>
                <w:szCs w:val="13"/>
                <w:color w:val="auto"/>
              </w:rPr>
              <w:t>($1.2)</w:t>
            </w:r>
          </w:p>
        </w:tc>
        <w:tc>
          <w:tcPr>
            <w:tcW w:w="960" w:type="dxa"/>
            <w:vAlign w:val="bottom"/>
          </w:tcPr>
          <w:p>
            <w:pPr>
              <w:jc w:val="right"/>
              <w:ind w:right="219"/>
              <w:spacing w:after="0"/>
              <w:rPr>
                <w:sz w:val="20"/>
                <w:szCs w:val="20"/>
                <w:color w:val="auto"/>
              </w:rPr>
            </w:pPr>
            <w:r>
              <w:rPr>
                <w:rFonts w:ascii="Arial" w:cs="Arial" w:eastAsia="Arial" w:hAnsi="Arial"/>
                <w:sz w:val="13"/>
                <w:szCs w:val="13"/>
                <w:color w:val="auto"/>
              </w:rPr>
              <w:t>($8.6)</w:t>
            </w:r>
          </w:p>
        </w:tc>
        <w:tc>
          <w:tcPr>
            <w:tcW w:w="960" w:type="dxa"/>
            <w:vAlign w:val="bottom"/>
          </w:tcPr>
          <w:p>
            <w:pPr>
              <w:jc w:val="right"/>
              <w:ind w:right="79"/>
              <w:spacing w:after="0"/>
              <w:rPr>
                <w:sz w:val="20"/>
                <w:szCs w:val="20"/>
                <w:color w:val="auto"/>
              </w:rPr>
            </w:pPr>
            <w:r>
              <w:rPr>
                <w:rFonts w:ascii="Arial" w:cs="Arial" w:eastAsia="Arial" w:hAnsi="Arial"/>
                <w:sz w:val="13"/>
                <w:szCs w:val="13"/>
                <w:color w:val="auto"/>
              </w:rPr>
              <w:t>($6.0)</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58"/>
              <w:spacing w:after="0"/>
              <w:rPr>
                <w:sz w:val="20"/>
                <w:szCs w:val="20"/>
                <w:color w:val="auto"/>
              </w:rPr>
            </w:pPr>
            <w:r>
              <w:rPr>
                <w:rFonts w:ascii="Arial" w:cs="Arial" w:eastAsia="Arial" w:hAnsi="Arial"/>
                <w:sz w:val="13"/>
                <w:szCs w:val="13"/>
                <w:color w:val="auto"/>
              </w:rPr>
              <w:t>$104.1</w:t>
            </w:r>
          </w:p>
        </w:tc>
        <w:tc>
          <w:tcPr>
            <w:tcW w:w="0" w:type="dxa"/>
            <w:vAlign w:val="bottom"/>
          </w:tcPr>
          <w:p>
            <w:pPr>
              <w:spacing w:after="0"/>
              <w:rPr>
                <w:sz w:val="1"/>
                <w:szCs w:val="1"/>
                <w:color w:val="auto"/>
              </w:rPr>
            </w:pPr>
          </w:p>
        </w:tc>
      </w:tr>
      <w:tr>
        <w:trPr>
          <w:trHeight w:val="181"/>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Research and</w:t>
            </w: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development</w:t>
            </w:r>
          </w:p>
        </w:tc>
        <w:tc>
          <w:tcPr>
            <w:tcW w:w="680" w:type="dxa"/>
            <w:vAlign w:val="bottom"/>
          </w:tcPr>
          <w:p>
            <w:pPr>
              <w:jc w:val="right"/>
              <w:ind w:right="118"/>
              <w:spacing w:after="0"/>
              <w:rPr>
                <w:sz w:val="20"/>
                <w:szCs w:val="20"/>
                <w:color w:val="auto"/>
              </w:rPr>
            </w:pPr>
            <w:r>
              <w:rPr>
                <w:rFonts w:ascii="Arial" w:cs="Arial" w:eastAsia="Arial" w:hAnsi="Arial"/>
                <w:sz w:val="13"/>
                <w:szCs w:val="13"/>
                <w:color w:val="auto"/>
              </w:rPr>
              <w:t>34.2</w:t>
            </w:r>
          </w:p>
        </w:tc>
        <w:tc>
          <w:tcPr>
            <w:tcW w:w="78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9"/>
              <w:spacing w:after="0"/>
              <w:rPr>
                <w:sz w:val="20"/>
                <w:szCs w:val="20"/>
                <w:color w:val="auto"/>
              </w:rPr>
            </w:pPr>
            <w:r>
              <w:rPr>
                <w:rFonts w:ascii="Arial" w:cs="Arial" w:eastAsia="Arial" w:hAnsi="Arial"/>
                <w:sz w:val="13"/>
                <w:szCs w:val="13"/>
                <w:color w:val="auto"/>
              </w:rPr>
              <w:t>(0.1)</w:t>
            </w:r>
          </w:p>
        </w:tc>
        <w:tc>
          <w:tcPr>
            <w:tcW w:w="86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9"/>
              <w:spacing w:after="0"/>
              <w:rPr>
                <w:sz w:val="20"/>
                <w:szCs w:val="20"/>
                <w:color w:val="auto"/>
              </w:rPr>
            </w:pPr>
            <w:r>
              <w:rPr>
                <w:rFonts w:ascii="Arial" w:cs="Arial" w:eastAsia="Arial" w:hAnsi="Arial"/>
                <w:sz w:val="13"/>
                <w:szCs w:val="13"/>
                <w:color w:val="auto"/>
              </w:rPr>
              <w:t>(2.4)</w:t>
            </w:r>
          </w:p>
        </w:tc>
        <w:tc>
          <w:tcPr>
            <w:tcW w:w="64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9"/>
              <w:spacing w:after="0"/>
              <w:rPr>
                <w:sz w:val="20"/>
                <w:szCs w:val="20"/>
                <w:color w:val="auto"/>
              </w:rPr>
            </w:pPr>
            <w:r>
              <w:rPr>
                <w:rFonts w:ascii="Arial" w:cs="Arial" w:eastAsia="Arial" w:hAnsi="Arial"/>
                <w:sz w:val="13"/>
                <w:szCs w:val="13"/>
                <w:color w:val="auto"/>
              </w:rPr>
              <w:t>2.1</w:t>
            </w:r>
          </w:p>
        </w:tc>
        <w:tc>
          <w:tcPr>
            <w:tcW w:w="960" w:type="dxa"/>
            <w:vAlign w:val="bottom"/>
          </w:tcPr>
          <w:p>
            <w:pPr>
              <w:jc w:val="right"/>
              <w:ind w:right="79"/>
              <w:spacing w:after="0"/>
              <w:rPr>
                <w:sz w:val="20"/>
                <w:szCs w:val="20"/>
                <w:color w:val="auto"/>
              </w:rPr>
            </w:pPr>
            <w:r>
              <w:rPr>
                <w:rFonts w:ascii="Arial" w:cs="Arial" w:eastAsia="Arial" w:hAnsi="Arial"/>
                <w:sz w:val="13"/>
                <w:szCs w:val="13"/>
                <w:color w:val="auto"/>
              </w:rPr>
              <w:t>(1.3)</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58"/>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239"/>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Other operating expenses</w:t>
            </w:r>
          </w:p>
        </w:tc>
        <w:tc>
          <w:tcPr>
            <w:tcW w:w="680" w:type="dxa"/>
            <w:vAlign w:val="bottom"/>
          </w:tcPr>
          <w:p>
            <w:pPr>
              <w:jc w:val="right"/>
              <w:ind w:right="118"/>
              <w:spacing w:after="0"/>
              <w:rPr>
                <w:sz w:val="20"/>
                <w:szCs w:val="20"/>
                <w:color w:val="auto"/>
              </w:rPr>
            </w:pPr>
            <w:r>
              <w:rPr>
                <w:rFonts w:ascii="Arial" w:cs="Arial" w:eastAsia="Arial" w:hAnsi="Arial"/>
                <w:sz w:val="13"/>
                <w:szCs w:val="13"/>
                <w:color w:val="auto"/>
              </w:rPr>
              <w:t>14.7</w:t>
            </w:r>
          </w:p>
        </w:tc>
        <w:tc>
          <w:tcPr>
            <w:tcW w:w="780" w:type="dxa"/>
            <w:vAlign w:val="bottom"/>
          </w:tcPr>
          <w:p>
            <w:pPr>
              <w:jc w:val="right"/>
              <w:ind w:right="99"/>
              <w:spacing w:after="0"/>
              <w:rPr>
                <w:sz w:val="20"/>
                <w:szCs w:val="20"/>
                <w:color w:val="auto"/>
              </w:rPr>
            </w:pPr>
            <w:r>
              <w:rPr>
                <w:rFonts w:ascii="Arial" w:cs="Arial" w:eastAsia="Arial" w:hAnsi="Arial"/>
                <w:sz w:val="13"/>
                <w:szCs w:val="13"/>
                <w:color w:val="auto"/>
              </w:rPr>
              <w:t>(4.4)</w:t>
            </w:r>
          </w:p>
        </w:tc>
        <w:tc>
          <w:tcPr>
            <w:tcW w:w="900" w:type="dxa"/>
            <w:vAlign w:val="bottom"/>
          </w:tcPr>
          <w:p>
            <w:pPr>
              <w:jc w:val="right"/>
              <w:ind w:right="78"/>
              <w:spacing w:after="0"/>
              <w:rPr>
                <w:sz w:val="20"/>
                <w:szCs w:val="20"/>
                <w:color w:val="auto"/>
              </w:rPr>
            </w:pPr>
            <w:r>
              <w:rPr>
                <w:rFonts w:ascii="Arial" w:cs="Arial" w:eastAsia="Arial" w:hAnsi="Arial"/>
                <w:sz w:val="13"/>
                <w:szCs w:val="13"/>
                <w:color w:val="auto"/>
              </w:rPr>
              <w:t>(0.5)</w:t>
            </w:r>
          </w:p>
        </w:tc>
        <w:tc>
          <w:tcPr>
            <w:tcW w:w="860" w:type="dxa"/>
            <w:vAlign w:val="bottom"/>
          </w:tcPr>
          <w:p>
            <w:pPr>
              <w:jc w:val="right"/>
              <w:ind w:right="119"/>
              <w:spacing w:after="0"/>
              <w:rPr>
                <w:sz w:val="20"/>
                <w:szCs w:val="20"/>
                <w:color w:val="auto"/>
              </w:rPr>
            </w:pPr>
            <w:r>
              <w:rPr>
                <w:rFonts w:ascii="Arial" w:cs="Arial" w:eastAsia="Arial" w:hAnsi="Arial"/>
                <w:sz w:val="13"/>
                <w:szCs w:val="13"/>
                <w:color w:val="auto"/>
              </w:rPr>
              <w:t>(9.8)</w:t>
            </w:r>
          </w:p>
        </w:tc>
        <w:tc>
          <w:tcPr>
            <w:tcW w:w="86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9"/>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Operating income from</w:t>
            </w: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continuing operations</w:t>
            </w:r>
          </w:p>
        </w:tc>
        <w:tc>
          <w:tcPr>
            <w:tcW w:w="680" w:type="dxa"/>
            <w:vAlign w:val="bottom"/>
          </w:tcPr>
          <w:p>
            <w:pPr>
              <w:jc w:val="right"/>
              <w:ind w:right="118"/>
              <w:spacing w:after="0"/>
              <w:rPr>
                <w:sz w:val="20"/>
                <w:szCs w:val="20"/>
                <w:color w:val="auto"/>
              </w:rPr>
            </w:pPr>
            <w:r>
              <w:rPr>
                <w:rFonts w:ascii="Arial" w:cs="Arial" w:eastAsia="Arial" w:hAnsi="Arial"/>
                <w:sz w:val="13"/>
                <w:szCs w:val="13"/>
                <w:color w:val="auto"/>
              </w:rPr>
              <w:t>21.6</w:t>
            </w:r>
          </w:p>
        </w:tc>
        <w:tc>
          <w:tcPr>
            <w:tcW w:w="780" w:type="dxa"/>
            <w:vAlign w:val="bottom"/>
          </w:tcPr>
          <w:p>
            <w:pPr>
              <w:jc w:val="right"/>
              <w:ind w:right="139"/>
              <w:spacing w:after="0"/>
              <w:rPr>
                <w:sz w:val="20"/>
                <w:szCs w:val="20"/>
                <w:color w:val="auto"/>
              </w:rPr>
            </w:pPr>
            <w:r>
              <w:rPr>
                <w:rFonts w:ascii="Arial" w:cs="Arial" w:eastAsia="Arial" w:hAnsi="Arial"/>
                <w:sz w:val="13"/>
                <w:szCs w:val="13"/>
                <w:color w:val="auto"/>
              </w:rPr>
              <w:t>4.4</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0.5</w:t>
            </w:r>
          </w:p>
        </w:tc>
        <w:tc>
          <w:tcPr>
            <w:tcW w:w="860" w:type="dxa"/>
            <w:vAlign w:val="bottom"/>
          </w:tcPr>
          <w:p>
            <w:pPr>
              <w:jc w:val="right"/>
              <w:ind w:right="159"/>
              <w:spacing w:after="0"/>
              <w:rPr>
                <w:sz w:val="20"/>
                <w:szCs w:val="20"/>
                <w:color w:val="auto"/>
              </w:rPr>
            </w:pPr>
            <w:r>
              <w:rPr>
                <w:rFonts w:ascii="Arial" w:cs="Arial" w:eastAsia="Arial" w:hAnsi="Arial"/>
                <w:sz w:val="13"/>
                <w:szCs w:val="13"/>
                <w:color w:val="auto"/>
              </w:rPr>
              <w:t>14.9</w:t>
            </w:r>
          </w:p>
        </w:tc>
        <w:tc>
          <w:tcPr>
            <w:tcW w:w="860" w:type="dxa"/>
            <w:vAlign w:val="bottom"/>
          </w:tcPr>
          <w:p>
            <w:pPr>
              <w:jc w:val="right"/>
              <w:ind w:right="119"/>
              <w:spacing w:after="0"/>
              <w:rPr>
                <w:sz w:val="20"/>
                <w:szCs w:val="20"/>
                <w:color w:val="auto"/>
              </w:rPr>
            </w:pPr>
            <w:r>
              <w:rPr>
                <w:rFonts w:ascii="Arial" w:cs="Arial" w:eastAsia="Arial" w:hAnsi="Arial"/>
                <w:sz w:val="13"/>
                <w:szCs w:val="13"/>
                <w:color w:val="auto"/>
              </w:rPr>
              <w:t>1.5</w:t>
            </w:r>
          </w:p>
        </w:tc>
        <w:tc>
          <w:tcPr>
            <w:tcW w:w="780" w:type="dxa"/>
            <w:vAlign w:val="bottom"/>
          </w:tcPr>
          <w:p>
            <w:pPr>
              <w:jc w:val="right"/>
              <w:ind w:right="119"/>
              <w:spacing w:after="0"/>
              <w:rPr>
                <w:sz w:val="20"/>
                <w:szCs w:val="20"/>
                <w:color w:val="auto"/>
              </w:rPr>
            </w:pPr>
            <w:r>
              <w:rPr>
                <w:rFonts w:ascii="Arial" w:cs="Arial" w:eastAsia="Arial" w:hAnsi="Arial"/>
                <w:sz w:val="13"/>
                <w:szCs w:val="13"/>
                <w:color w:val="auto"/>
              </w:rPr>
              <w:t>5.9</w:t>
            </w:r>
          </w:p>
        </w:tc>
        <w:tc>
          <w:tcPr>
            <w:tcW w:w="640" w:type="dxa"/>
            <w:vAlign w:val="bottom"/>
          </w:tcPr>
          <w:p>
            <w:pPr>
              <w:jc w:val="right"/>
              <w:ind w:right="179"/>
              <w:spacing w:after="0"/>
              <w:rPr>
                <w:sz w:val="20"/>
                <w:szCs w:val="20"/>
                <w:color w:val="auto"/>
              </w:rPr>
            </w:pPr>
            <w:r>
              <w:rPr>
                <w:rFonts w:ascii="Arial" w:cs="Arial" w:eastAsia="Arial" w:hAnsi="Arial"/>
                <w:sz w:val="13"/>
                <w:szCs w:val="13"/>
                <w:color w:val="auto"/>
              </w:rPr>
              <w:t>1.2</w:t>
            </w:r>
          </w:p>
        </w:tc>
        <w:tc>
          <w:tcPr>
            <w:tcW w:w="960" w:type="dxa"/>
            <w:vAlign w:val="bottom"/>
          </w:tcPr>
          <w:p>
            <w:pPr>
              <w:jc w:val="right"/>
              <w:ind w:right="259"/>
              <w:spacing w:after="0"/>
              <w:rPr>
                <w:sz w:val="20"/>
                <w:szCs w:val="20"/>
                <w:color w:val="auto"/>
              </w:rPr>
            </w:pPr>
            <w:r>
              <w:rPr>
                <w:rFonts w:ascii="Arial" w:cs="Arial" w:eastAsia="Arial" w:hAnsi="Arial"/>
                <w:sz w:val="13"/>
                <w:szCs w:val="13"/>
                <w:color w:val="auto"/>
              </w:rPr>
              <w:t>2.3</w:t>
            </w:r>
          </w:p>
        </w:tc>
        <w:tc>
          <w:tcPr>
            <w:tcW w:w="960" w:type="dxa"/>
            <w:vAlign w:val="bottom"/>
          </w:tcPr>
          <w:p>
            <w:pPr>
              <w:jc w:val="right"/>
              <w:ind w:right="119"/>
              <w:spacing w:after="0"/>
              <w:rPr>
                <w:sz w:val="20"/>
                <w:szCs w:val="20"/>
                <w:color w:val="auto"/>
              </w:rPr>
            </w:pPr>
            <w:r>
              <w:rPr>
                <w:rFonts w:ascii="Arial" w:cs="Arial" w:eastAsia="Arial" w:hAnsi="Arial"/>
                <w:sz w:val="13"/>
                <w:szCs w:val="13"/>
                <w:color w:val="auto"/>
              </w:rPr>
              <w:t>7.5</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58"/>
              <w:spacing w:after="0"/>
              <w:rPr>
                <w:sz w:val="20"/>
                <w:szCs w:val="20"/>
                <w:color w:val="auto"/>
              </w:rPr>
            </w:pPr>
            <w:r>
              <w:rPr>
                <w:rFonts w:ascii="Arial" w:cs="Arial" w:eastAsia="Arial" w:hAnsi="Arial"/>
                <w:sz w:val="13"/>
                <w:szCs w:val="13"/>
                <w:color w:val="auto"/>
              </w:rPr>
              <w:t>59.9</w:t>
            </w:r>
          </w:p>
        </w:tc>
        <w:tc>
          <w:tcPr>
            <w:tcW w:w="0" w:type="dxa"/>
            <w:vAlign w:val="bottom"/>
          </w:tcPr>
          <w:p>
            <w:pPr>
              <w:spacing w:after="0"/>
              <w:rPr>
                <w:sz w:val="1"/>
                <w:szCs w:val="1"/>
                <w:color w:val="auto"/>
              </w:rPr>
            </w:pPr>
          </w:p>
        </w:tc>
      </w:tr>
      <w:tr>
        <w:trPr>
          <w:trHeight w:val="181"/>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Income tax (benefit)</w:t>
            </w: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expense</w:t>
            </w:r>
          </w:p>
        </w:tc>
        <w:tc>
          <w:tcPr>
            <w:tcW w:w="680" w:type="dxa"/>
            <w:vAlign w:val="bottom"/>
          </w:tcPr>
          <w:p>
            <w:pPr>
              <w:jc w:val="right"/>
              <w:ind w:right="78"/>
              <w:spacing w:after="0"/>
              <w:rPr>
                <w:sz w:val="20"/>
                <w:szCs w:val="20"/>
                <w:color w:val="auto"/>
              </w:rPr>
            </w:pPr>
            <w:r>
              <w:rPr>
                <w:rFonts w:ascii="Arial" w:cs="Arial" w:eastAsia="Arial" w:hAnsi="Arial"/>
                <w:sz w:val="13"/>
                <w:szCs w:val="13"/>
                <w:color w:val="auto"/>
              </w:rPr>
              <w:t>(1.0)</w:t>
            </w:r>
          </w:p>
        </w:tc>
        <w:tc>
          <w:tcPr>
            <w:tcW w:w="780" w:type="dxa"/>
            <w:vAlign w:val="bottom"/>
          </w:tcPr>
          <w:p>
            <w:pPr>
              <w:jc w:val="right"/>
              <w:ind w:right="139"/>
              <w:spacing w:after="0"/>
              <w:rPr>
                <w:sz w:val="20"/>
                <w:szCs w:val="20"/>
                <w:color w:val="auto"/>
              </w:rPr>
            </w:pPr>
            <w:r>
              <w:rPr>
                <w:rFonts w:ascii="Arial" w:cs="Arial" w:eastAsia="Arial" w:hAnsi="Arial"/>
                <w:sz w:val="13"/>
                <w:szCs w:val="13"/>
                <w:color w:val="auto"/>
              </w:rPr>
              <w:t>1.1</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0.1</w:t>
            </w:r>
          </w:p>
        </w:tc>
        <w:tc>
          <w:tcPr>
            <w:tcW w:w="860" w:type="dxa"/>
            <w:vAlign w:val="bottom"/>
          </w:tcPr>
          <w:p>
            <w:pPr>
              <w:jc w:val="right"/>
              <w:ind w:right="159"/>
              <w:spacing w:after="0"/>
              <w:rPr>
                <w:sz w:val="20"/>
                <w:szCs w:val="20"/>
                <w:color w:val="auto"/>
              </w:rPr>
            </w:pPr>
            <w:r>
              <w:rPr>
                <w:rFonts w:ascii="Arial" w:cs="Arial" w:eastAsia="Arial" w:hAnsi="Arial"/>
                <w:sz w:val="13"/>
                <w:szCs w:val="13"/>
                <w:color w:val="auto"/>
              </w:rPr>
              <w:t>3.3</w:t>
            </w:r>
          </w:p>
        </w:tc>
        <w:tc>
          <w:tcPr>
            <w:tcW w:w="860" w:type="dxa"/>
            <w:vAlign w:val="bottom"/>
          </w:tcPr>
          <w:p>
            <w:pPr>
              <w:jc w:val="right"/>
              <w:ind w:right="119"/>
              <w:spacing w:after="0"/>
              <w:rPr>
                <w:sz w:val="20"/>
                <w:szCs w:val="20"/>
                <w:color w:val="auto"/>
              </w:rPr>
            </w:pPr>
            <w:r>
              <w:rPr>
                <w:rFonts w:ascii="Arial" w:cs="Arial" w:eastAsia="Arial" w:hAnsi="Arial"/>
                <w:sz w:val="13"/>
                <w:szCs w:val="13"/>
                <w:color w:val="auto"/>
              </w:rPr>
              <w:t>0.4</w:t>
            </w:r>
          </w:p>
        </w:tc>
        <w:tc>
          <w:tcPr>
            <w:tcW w:w="780" w:type="dxa"/>
            <w:vAlign w:val="bottom"/>
          </w:tcPr>
          <w:p>
            <w:pPr>
              <w:jc w:val="right"/>
              <w:ind w:right="119"/>
              <w:spacing w:after="0"/>
              <w:rPr>
                <w:sz w:val="20"/>
                <w:szCs w:val="20"/>
                <w:color w:val="auto"/>
              </w:rPr>
            </w:pPr>
            <w:r>
              <w:rPr>
                <w:rFonts w:ascii="Arial" w:cs="Arial" w:eastAsia="Arial" w:hAnsi="Arial"/>
                <w:sz w:val="13"/>
                <w:szCs w:val="13"/>
                <w:color w:val="auto"/>
              </w:rPr>
              <w:t>1.4</w:t>
            </w:r>
          </w:p>
        </w:tc>
        <w:tc>
          <w:tcPr>
            <w:tcW w:w="640" w:type="dxa"/>
            <w:vAlign w:val="bottom"/>
          </w:tcPr>
          <w:p>
            <w:pPr>
              <w:jc w:val="right"/>
              <w:ind w:right="179"/>
              <w:spacing w:after="0"/>
              <w:rPr>
                <w:sz w:val="20"/>
                <w:szCs w:val="20"/>
                <w:color w:val="auto"/>
              </w:rPr>
            </w:pPr>
            <w:r>
              <w:rPr>
                <w:rFonts w:ascii="Arial" w:cs="Arial" w:eastAsia="Arial" w:hAnsi="Arial"/>
                <w:sz w:val="13"/>
                <w:szCs w:val="13"/>
                <w:color w:val="auto"/>
              </w:rPr>
              <w:t>0.4</w:t>
            </w:r>
          </w:p>
        </w:tc>
        <w:tc>
          <w:tcPr>
            <w:tcW w:w="960" w:type="dxa"/>
            <w:vAlign w:val="bottom"/>
          </w:tcPr>
          <w:p>
            <w:pPr>
              <w:jc w:val="right"/>
              <w:ind w:right="259"/>
              <w:spacing w:after="0"/>
              <w:rPr>
                <w:sz w:val="20"/>
                <w:szCs w:val="20"/>
                <w:color w:val="auto"/>
              </w:rPr>
            </w:pPr>
            <w:r>
              <w:rPr>
                <w:rFonts w:ascii="Arial" w:cs="Arial" w:eastAsia="Arial" w:hAnsi="Arial"/>
                <w:sz w:val="13"/>
                <w:szCs w:val="13"/>
                <w:color w:val="auto"/>
              </w:rPr>
              <w:t>2.6</w:t>
            </w:r>
          </w:p>
        </w:tc>
        <w:tc>
          <w:tcPr>
            <w:tcW w:w="960" w:type="dxa"/>
            <w:vAlign w:val="bottom"/>
          </w:tcPr>
          <w:p>
            <w:pPr>
              <w:jc w:val="right"/>
              <w:ind w:right="119"/>
              <w:spacing w:after="0"/>
              <w:rPr>
                <w:sz w:val="20"/>
                <w:szCs w:val="20"/>
                <w:color w:val="auto"/>
              </w:rPr>
            </w:pPr>
            <w:r>
              <w:rPr>
                <w:rFonts w:ascii="Arial" w:cs="Arial" w:eastAsia="Arial" w:hAnsi="Arial"/>
                <w:sz w:val="13"/>
                <w:szCs w:val="13"/>
                <w:color w:val="auto"/>
              </w:rPr>
              <w:t>1.5</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0.4</w:t>
            </w:r>
          </w:p>
        </w:tc>
        <w:tc>
          <w:tcPr>
            <w:tcW w:w="820" w:type="dxa"/>
            <w:vAlign w:val="bottom"/>
          </w:tcPr>
          <w:p>
            <w:pPr>
              <w:jc w:val="right"/>
              <w:ind w:right="119"/>
              <w:spacing w:after="0"/>
              <w:rPr>
                <w:sz w:val="20"/>
                <w:szCs w:val="20"/>
                <w:color w:val="auto"/>
              </w:rPr>
            </w:pPr>
            <w:r>
              <w:rPr>
                <w:rFonts w:ascii="Arial" w:cs="Arial" w:eastAsia="Arial" w:hAnsi="Arial"/>
                <w:sz w:val="13"/>
                <w:szCs w:val="13"/>
                <w:color w:val="auto"/>
              </w:rPr>
              <w:t>0.2</w:t>
            </w:r>
          </w:p>
        </w:tc>
        <w:tc>
          <w:tcPr>
            <w:tcW w:w="740" w:type="dxa"/>
            <w:vAlign w:val="bottom"/>
          </w:tcPr>
          <w:p>
            <w:pPr>
              <w:jc w:val="right"/>
              <w:ind w:right="158"/>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81"/>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Net income from</w:t>
            </w: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continuing operations</w:t>
            </w:r>
          </w:p>
        </w:tc>
        <w:tc>
          <w:tcPr>
            <w:tcW w:w="680" w:type="dxa"/>
            <w:vAlign w:val="bottom"/>
          </w:tcPr>
          <w:p>
            <w:pPr>
              <w:jc w:val="right"/>
              <w:ind w:right="118"/>
              <w:spacing w:after="0"/>
              <w:rPr>
                <w:sz w:val="20"/>
                <w:szCs w:val="20"/>
                <w:color w:val="auto"/>
              </w:rPr>
            </w:pPr>
            <w:r>
              <w:rPr>
                <w:rFonts w:ascii="Arial" w:cs="Arial" w:eastAsia="Arial" w:hAnsi="Arial"/>
                <w:sz w:val="13"/>
                <w:szCs w:val="13"/>
                <w:color w:val="auto"/>
              </w:rPr>
              <w:t>19.5</w:t>
            </w:r>
          </w:p>
        </w:tc>
        <w:tc>
          <w:tcPr>
            <w:tcW w:w="780" w:type="dxa"/>
            <w:vAlign w:val="bottom"/>
          </w:tcPr>
          <w:p>
            <w:pPr>
              <w:jc w:val="right"/>
              <w:ind w:right="139"/>
              <w:spacing w:after="0"/>
              <w:rPr>
                <w:sz w:val="20"/>
                <w:szCs w:val="20"/>
                <w:color w:val="auto"/>
              </w:rPr>
            </w:pPr>
            <w:r>
              <w:rPr>
                <w:rFonts w:ascii="Arial" w:cs="Arial" w:eastAsia="Arial" w:hAnsi="Arial"/>
                <w:sz w:val="13"/>
                <w:szCs w:val="13"/>
                <w:color w:val="auto"/>
              </w:rPr>
              <w:t>3.3</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0.4</w:t>
            </w:r>
          </w:p>
        </w:tc>
        <w:tc>
          <w:tcPr>
            <w:tcW w:w="860" w:type="dxa"/>
            <w:vAlign w:val="bottom"/>
          </w:tcPr>
          <w:p>
            <w:pPr>
              <w:jc w:val="right"/>
              <w:ind w:right="159"/>
              <w:spacing w:after="0"/>
              <w:rPr>
                <w:sz w:val="20"/>
                <w:szCs w:val="20"/>
                <w:color w:val="auto"/>
              </w:rPr>
            </w:pPr>
            <w:r>
              <w:rPr>
                <w:rFonts w:ascii="Arial" w:cs="Arial" w:eastAsia="Arial" w:hAnsi="Arial"/>
                <w:sz w:val="13"/>
                <w:szCs w:val="13"/>
                <w:color w:val="auto"/>
              </w:rPr>
              <w:t>11.6</w:t>
            </w:r>
          </w:p>
        </w:tc>
        <w:tc>
          <w:tcPr>
            <w:tcW w:w="860" w:type="dxa"/>
            <w:vAlign w:val="bottom"/>
          </w:tcPr>
          <w:p>
            <w:pPr>
              <w:jc w:val="right"/>
              <w:ind w:right="119"/>
              <w:spacing w:after="0"/>
              <w:rPr>
                <w:sz w:val="20"/>
                <w:szCs w:val="20"/>
                <w:color w:val="auto"/>
              </w:rPr>
            </w:pPr>
            <w:r>
              <w:rPr>
                <w:rFonts w:ascii="Arial" w:cs="Arial" w:eastAsia="Arial" w:hAnsi="Arial"/>
                <w:sz w:val="13"/>
                <w:szCs w:val="13"/>
                <w:color w:val="auto"/>
              </w:rPr>
              <w:t>1.2</w:t>
            </w:r>
          </w:p>
        </w:tc>
        <w:tc>
          <w:tcPr>
            <w:tcW w:w="780" w:type="dxa"/>
            <w:vAlign w:val="bottom"/>
          </w:tcPr>
          <w:p>
            <w:pPr>
              <w:jc w:val="right"/>
              <w:ind w:right="119"/>
              <w:spacing w:after="0"/>
              <w:rPr>
                <w:sz w:val="20"/>
                <w:szCs w:val="20"/>
                <w:color w:val="auto"/>
              </w:rPr>
            </w:pPr>
            <w:r>
              <w:rPr>
                <w:rFonts w:ascii="Arial" w:cs="Arial" w:eastAsia="Arial" w:hAnsi="Arial"/>
                <w:sz w:val="13"/>
                <w:szCs w:val="13"/>
                <w:color w:val="auto"/>
              </w:rPr>
              <w:t>4.5</w:t>
            </w:r>
          </w:p>
        </w:tc>
        <w:tc>
          <w:tcPr>
            <w:tcW w:w="640" w:type="dxa"/>
            <w:vAlign w:val="bottom"/>
          </w:tcPr>
          <w:p>
            <w:pPr>
              <w:jc w:val="right"/>
              <w:ind w:right="179"/>
              <w:spacing w:after="0"/>
              <w:rPr>
                <w:sz w:val="20"/>
                <w:szCs w:val="20"/>
                <w:color w:val="auto"/>
              </w:rPr>
            </w:pPr>
            <w:r>
              <w:rPr>
                <w:rFonts w:ascii="Arial" w:cs="Arial" w:eastAsia="Arial" w:hAnsi="Arial"/>
                <w:sz w:val="13"/>
                <w:szCs w:val="13"/>
                <w:color w:val="auto"/>
              </w:rPr>
              <w:t>0.9</w:t>
            </w:r>
          </w:p>
        </w:tc>
        <w:tc>
          <w:tcPr>
            <w:tcW w:w="960" w:type="dxa"/>
            <w:vAlign w:val="bottom"/>
          </w:tcPr>
          <w:p>
            <w:pPr>
              <w:jc w:val="right"/>
              <w:ind w:right="219"/>
              <w:spacing w:after="0"/>
              <w:rPr>
                <w:sz w:val="20"/>
                <w:szCs w:val="20"/>
                <w:color w:val="auto"/>
              </w:rPr>
            </w:pPr>
            <w:r>
              <w:rPr>
                <w:rFonts w:ascii="Arial" w:cs="Arial" w:eastAsia="Arial" w:hAnsi="Arial"/>
                <w:sz w:val="13"/>
                <w:szCs w:val="13"/>
                <w:color w:val="auto"/>
              </w:rPr>
              <w:t>(0.2)</w:t>
            </w:r>
          </w:p>
        </w:tc>
        <w:tc>
          <w:tcPr>
            <w:tcW w:w="960" w:type="dxa"/>
            <w:vAlign w:val="bottom"/>
          </w:tcPr>
          <w:p>
            <w:pPr>
              <w:jc w:val="right"/>
              <w:ind w:right="119"/>
              <w:spacing w:after="0"/>
              <w:rPr>
                <w:sz w:val="20"/>
                <w:szCs w:val="20"/>
                <w:color w:val="auto"/>
              </w:rPr>
            </w:pPr>
            <w:r>
              <w:rPr>
                <w:rFonts w:ascii="Arial" w:cs="Arial" w:eastAsia="Arial" w:hAnsi="Arial"/>
                <w:sz w:val="13"/>
                <w:szCs w:val="13"/>
                <w:color w:val="auto"/>
              </w:rPr>
              <w:t>6.0</w:t>
            </w:r>
          </w:p>
        </w:tc>
        <w:tc>
          <w:tcPr>
            <w:tcW w:w="820" w:type="dxa"/>
            <w:vAlign w:val="bottom"/>
          </w:tcPr>
          <w:p>
            <w:pPr>
              <w:jc w:val="right"/>
              <w:ind w:right="58"/>
              <w:spacing w:after="0"/>
              <w:rPr>
                <w:sz w:val="20"/>
                <w:szCs w:val="20"/>
                <w:color w:val="auto"/>
              </w:rPr>
            </w:pPr>
            <w:r>
              <w:rPr>
                <w:rFonts w:ascii="Arial" w:cs="Arial" w:eastAsia="Arial" w:hAnsi="Arial"/>
                <w:sz w:val="13"/>
                <w:szCs w:val="13"/>
                <w:color w:val="auto"/>
              </w:rPr>
              <w:t>(0.4)</w:t>
            </w:r>
          </w:p>
        </w:tc>
        <w:tc>
          <w:tcPr>
            <w:tcW w:w="820" w:type="dxa"/>
            <w:vAlign w:val="bottom"/>
          </w:tcPr>
          <w:p>
            <w:pPr>
              <w:jc w:val="right"/>
              <w:ind w:right="119"/>
              <w:spacing w:after="0"/>
              <w:rPr>
                <w:sz w:val="20"/>
                <w:szCs w:val="20"/>
                <w:color w:val="auto"/>
              </w:rPr>
            </w:pPr>
            <w:r>
              <w:rPr>
                <w:rFonts w:ascii="Arial" w:cs="Arial" w:eastAsia="Arial" w:hAnsi="Arial"/>
                <w:sz w:val="13"/>
                <w:szCs w:val="13"/>
                <w:color w:val="auto"/>
              </w:rPr>
              <w:t>0.6</w:t>
            </w:r>
          </w:p>
        </w:tc>
        <w:tc>
          <w:tcPr>
            <w:tcW w:w="740" w:type="dxa"/>
            <w:vAlign w:val="bottom"/>
          </w:tcPr>
          <w:p>
            <w:pPr>
              <w:jc w:val="right"/>
              <w:ind w:right="158"/>
              <w:spacing w:after="0"/>
              <w:rPr>
                <w:sz w:val="20"/>
                <w:szCs w:val="20"/>
                <w:color w:val="auto"/>
              </w:rPr>
            </w:pPr>
            <w:r>
              <w:rPr>
                <w:rFonts w:ascii="Arial" w:cs="Arial" w:eastAsia="Arial" w:hAnsi="Arial"/>
                <w:sz w:val="13"/>
                <w:szCs w:val="13"/>
                <w:color w:val="auto"/>
              </w:rPr>
              <w:t>47.5</w:t>
            </w:r>
          </w:p>
        </w:tc>
        <w:tc>
          <w:tcPr>
            <w:tcW w:w="0" w:type="dxa"/>
            <w:vAlign w:val="bottom"/>
          </w:tcPr>
          <w:p>
            <w:pPr>
              <w:spacing w:after="0"/>
              <w:rPr>
                <w:sz w:val="1"/>
                <w:szCs w:val="1"/>
                <w:color w:val="auto"/>
              </w:rPr>
            </w:pPr>
          </w:p>
        </w:tc>
      </w:tr>
      <w:tr>
        <w:trPr>
          <w:trHeight w:val="181"/>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Diluted EPS - Continuing</w:t>
            </w: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Operations</w:t>
            </w:r>
          </w:p>
        </w:tc>
        <w:tc>
          <w:tcPr>
            <w:tcW w:w="680" w:type="dxa"/>
            <w:vAlign w:val="bottom"/>
          </w:tcPr>
          <w:p>
            <w:pPr>
              <w:jc w:val="right"/>
              <w:ind w:right="118"/>
              <w:spacing w:after="0"/>
              <w:rPr>
                <w:sz w:val="20"/>
                <w:szCs w:val="20"/>
                <w:color w:val="auto"/>
              </w:rPr>
            </w:pPr>
            <w:r>
              <w:rPr>
                <w:rFonts w:ascii="Arial" w:cs="Arial" w:eastAsia="Arial" w:hAnsi="Arial"/>
                <w:sz w:val="13"/>
                <w:szCs w:val="13"/>
                <w:color w:val="auto"/>
              </w:rPr>
              <w:t>$0.40</w:t>
            </w:r>
          </w:p>
        </w:tc>
        <w:tc>
          <w:tcPr>
            <w:tcW w:w="780" w:type="dxa"/>
            <w:vAlign w:val="bottom"/>
          </w:tcPr>
          <w:p>
            <w:pPr>
              <w:jc w:val="right"/>
              <w:ind w:right="139"/>
              <w:spacing w:after="0"/>
              <w:rPr>
                <w:sz w:val="20"/>
                <w:szCs w:val="20"/>
                <w:color w:val="auto"/>
              </w:rPr>
            </w:pPr>
            <w:r>
              <w:rPr>
                <w:rFonts w:ascii="Arial" w:cs="Arial" w:eastAsia="Arial" w:hAnsi="Arial"/>
                <w:sz w:val="13"/>
                <w:szCs w:val="13"/>
                <w:color w:val="auto"/>
              </w:rPr>
              <w:t>$0.07</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$0.01</w:t>
            </w:r>
          </w:p>
        </w:tc>
        <w:tc>
          <w:tcPr>
            <w:tcW w:w="860" w:type="dxa"/>
            <w:vAlign w:val="bottom"/>
          </w:tcPr>
          <w:p>
            <w:pPr>
              <w:jc w:val="right"/>
              <w:ind w:right="159"/>
              <w:spacing w:after="0"/>
              <w:rPr>
                <w:sz w:val="20"/>
                <w:szCs w:val="20"/>
                <w:color w:val="auto"/>
              </w:rPr>
            </w:pPr>
            <w:r>
              <w:rPr>
                <w:rFonts w:ascii="Arial" w:cs="Arial" w:eastAsia="Arial" w:hAnsi="Arial"/>
                <w:sz w:val="13"/>
                <w:szCs w:val="13"/>
                <w:color w:val="auto"/>
              </w:rPr>
              <w:t>$0.24</w:t>
            </w:r>
          </w:p>
        </w:tc>
        <w:tc>
          <w:tcPr>
            <w:tcW w:w="860" w:type="dxa"/>
            <w:vAlign w:val="bottom"/>
          </w:tcPr>
          <w:p>
            <w:pPr>
              <w:jc w:val="right"/>
              <w:ind w:right="119"/>
              <w:spacing w:after="0"/>
              <w:rPr>
                <w:sz w:val="20"/>
                <w:szCs w:val="20"/>
                <w:color w:val="auto"/>
              </w:rPr>
            </w:pPr>
            <w:r>
              <w:rPr>
                <w:rFonts w:ascii="Arial" w:cs="Arial" w:eastAsia="Arial" w:hAnsi="Arial"/>
                <w:sz w:val="13"/>
                <w:szCs w:val="13"/>
                <w:color w:val="auto"/>
              </w:rPr>
              <w:t>$0.02</w:t>
            </w:r>
          </w:p>
        </w:tc>
        <w:tc>
          <w:tcPr>
            <w:tcW w:w="780" w:type="dxa"/>
            <w:vAlign w:val="bottom"/>
          </w:tcPr>
          <w:p>
            <w:pPr>
              <w:jc w:val="right"/>
              <w:ind w:right="119"/>
              <w:spacing w:after="0"/>
              <w:rPr>
                <w:sz w:val="20"/>
                <w:szCs w:val="20"/>
                <w:color w:val="auto"/>
              </w:rPr>
            </w:pPr>
            <w:r>
              <w:rPr>
                <w:rFonts w:ascii="Arial" w:cs="Arial" w:eastAsia="Arial" w:hAnsi="Arial"/>
                <w:sz w:val="13"/>
                <w:szCs w:val="13"/>
                <w:color w:val="auto"/>
              </w:rPr>
              <w:t>$0.09</w:t>
            </w:r>
          </w:p>
        </w:tc>
        <w:tc>
          <w:tcPr>
            <w:tcW w:w="640" w:type="dxa"/>
            <w:vAlign w:val="bottom"/>
          </w:tcPr>
          <w:p>
            <w:pPr>
              <w:jc w:val="right"/>
              <w:ind w:right="179"/>
              <w:spacing w:after="0"/>
              <w:rPr>
                <w:sz w:val="20"/>
                <w:szCs w:val="20"/>
                <w:color w:val="auto"/>
              </w:rPr>
            </w:pPr>
            <w:r>
              <w:rPr>
                <w:rFonts w:ascii="Arial" w:cs="Arial" w:eastAsia="Arial" w:hAnsi="Arial"/>
                <w:sz w:val="13"/>
                <w:szCs w:val="13"/>
                <w:color w:val="auto"/>
              </w:rPr>
              <w:t>$0.02</w:t>
            </w:r>
          </w:p>
        </w:tc>
        <w:tc>
          <w:tcPr>
            <w:tcW w:w="960" w:type="dxa"/>
            <w:vAlign w:val="bottom"/>
          </w:tcPr>
          <w:p>
            <w:pPr>
              <w:jc w:val="right"/>
              <w:ind w:right="259"/>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9"/>
              <w:spacing w:after="0"/>
              <w:rPr>
                <w:sz w:val="20"/>
                <w:szCs w:val="20"/>
                <w:color w:val="auto"/>
              </w:rPr>
            </w:pPr>
            <w:r>
              <w:rPr>
                <w:rFonts w:ascii="Arial" w:cs="Arial" w:eastAsia="Arial" w:hAnsi="Arial"/>
                <w:sz w:val="13"/>
                <w:szCs w:val="13"/>
                <w:color w:val="auto"/>
              </w:rPr>
              <w:t>$0.12</w:t>
            </w:r>
          </w:p>
        </w:tc>
        <w:tc>
          <w:tcPr>
            <w:tcW w:w="820" w:type="dxa"/>
            <w:vAlign w:val="bottom"/>
          </w:tcPr>
          <w:p>
            <w:pPr>
              <w:jc w:val="right"/>
              <w:ind w:right="58"/>
              <w:spacing w:after="0"/>
              <w:rPr>
                <w:sz w:val="20"/>
                <w:szCs w:val="20"/>
                <w:color w:val="auto"/>
              </w:rPr>
            </w:pPr>
            <w:r>
              <w:rPr>
                <w:rFonts w:ascii="Arial" w:cs="Arial" w:eastAsia="Arial" w:hAnsi="Arial"/>
                <w:sz w:val="13"/>
                <w:szCs w:val="13"/>
                <w:color w:val="auto"/>
              </w:rPr>
              <w:t>($0.01)</w:t>
            </w:r>
          </w:p>
        </w:tc>
        <w:tc>
          <w:tcPr>
            <w:tcW w:w="820" w:type="dxa"/>
            <w:vAlign w:val="bottom"/>
          </w:tcPr>
          <w:p>
            <w:pPr>
              <w:jc w:val="right"/>
              <w:ind w:right="119"/>
              <w:spacing w:after="0"/>
              <w:rPr>
                <w:sz w:val="20"/>
                <w:szCs w:val="20"/>
                <w:color w:val="auto"/>
              </w:rPr>
            </w:pPr>
            <w:r>
              <w:rPr>
                <w:rFonts w:ascii="Arial" w:cs="Arial" w:eastAsia="Arial" w:hAnsi="Arial"/>
                <w:sz w:val="13"/>
                <w:szCs w:val="13"/>
                <w:color w:val="auto"/>
              </w:rPr>
              <w:t>$0.01</w:t>
            </w:r>
          </w:p>
        </w:tc>
        <w:tc>
          <w:tcPr>
            <w:tcW w:w="740" w:type="dxa"/>
            <w:vAlign w:val="bottom"/>
          </w:tcPr>
          <w:p>
            <w:pPr>
              <w:jc w:val="right"/>
              <w:ind w:right="158"/>
              <w:spacing w:after="0"/>
              <w:rPr>
                <w:sz w:val="20"/>
                <w:szCs w:val="20"/>
                <w:color w:val="auto"/>
              </w:rPr>
            </w:pPr>
            <w:r>
              <w:rPr>
                <w:rFonts w:ascii="Arial" w:cs="Arial" w:eastAsia="Arial" w:hAnsi="Arial"/>
                <w:sz w:val="13"/>
                <w:szCs w:val="13"/>
                <w:color w:val="auto"/>
              </w:rPr>
              <w:t>$0.96</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GAAP results for the three months ended June 30, 2018 include:</w:t>
      </w:r>
    </w:p>
    <w:p>
      <w:pPr>
        <w:spacing w:after="0" w:line="58" w:lineRule="exact"/>
        <w:rPr>
          <w:sz w:val="20"/>
          <w:szCs w:val="20"/>
          <w:color w:val="auto"/>
        </w:rPr>
      </w:pPr>
    </w:p>
    <w:p>
      <w:pPr>
        <w:ind w:left="360" w:hanging="340"/>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Merger and integration expenses related to our legacy companies</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Restructuring expenses related to organizational changes</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Includes depreciation and amortization associated with purchase price accounting</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Costs related to the 3T Heater-Cooler remediation plan</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Costs related to acquisitions</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Corporate costs incurred to divest the CRM business not attributable to discontinued operations</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Contingent consideration related to acquisitions and legal expenses primarily related to 3T Heater-Cooler defense and other matters</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Non-cash expenses associated with stock-based compensation costs</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Primarily related to discrete tax items and the tax impact of intercompany transactions</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Primarily related to intellectual property migration and other non-recurring impacts to interest expense</w:t>
      </w:r>
    </w:p>
    <w:p>
      <w:pPr>
        <w:spacing w:after="0" w:line="42" w:lineRule="exact"/>
        <w:rPr>
          <w:sz w:val="20"/>
          <w:szCs w:val="20"/>
          <w:color w:val="auto"/>
        </w:rPr>
      </w:pPr>
    </w:p>
    <w:p>
      <w:pPr>
        <w:ind w:left="360" w:hanging="340"/>
        <w:spacing w:after="0"/>
        <w:tabs>
          <w:tab w:leader="none" w:pos="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Numbers may not add up precisely due to rounding.</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440"/>
          </w:cols>
          <w:pgMar w:left="240" w:top="709" w:right="219" w:bottom="1440" w:gutter="0" w:footer="0" w:header="0"/>
        </w:sectPr>
      </w:pPr>
    </w:p>
    <w:bookmarkStart w:id="18" w:name="page19"/>
    <w:bookmarkEnd w:id="18"/>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27011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0115" cy="762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ind w:right="78"/>
              <w:spacing w:after="0"/>
              <w:rPr>
                <w:sz w:val="20"/>
                <w:szCs w:val="20"/>
                <w:color w:val="auto"/>
              </w:rPr>
            </w:pPr>
            <w:r>
              <w:rPr>
                <w:rFonts w:ascii="Arial" w:cs="Arial" w:eastAsia="Arial" w:hAnsi="Arial"/>
                <w:sz w:val="11"/>
                <w:szCs w:val="11"/>
                <w:b w:val="1"/>
                <w:bCs w:val="1"/>
                <w:color w:val="auto"/>
              </w:rPr>
              <w:t>Specified Items</w:t>
            </w:r>
          </w:p>
        </w:tc>
        <w:tc>
          <w:tcPr>
            <w:tcW w:w="1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Depreciation</w:t>
            </w: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Non-recurring Legal,</w:t>
            </w:r>
          </w:p>
        </w:tc>
        <w:tc>
          <w:tcPr>
            <w:tcW w:w="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Merger and</w:t>
            </w:r>
          </w:p>
        </w:tc>
        <w:tc>
          <w:tcPr>
            <w:tcW w:w="880" w:type="dxa"/>
            <w:vAlign w:val="bottom"/>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and</w:t>
            </w:r>
          </w:p>
        </w:tc>
        <w:tc>
          <w:tcPr>
            <w:tcW w:w="800" w:type="dxa"/>
            <w:vAlign w:val="bottom"/>
          </w:tcPr>
          <w:p>
            <w:pPr>
              <w:spacing w:after="0"/>
              <w:rPr>
                <w:sz w:val="10"/>
                <w:szCs w:val="10"/>
                <w:color w:val="auto"/>
              </w:rPr>
            </w:pPr>
          </w:p>
        </w:tc>
        <w:tc>
          <w:tcPr>
            <w:tcW w:w="8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Product</w:t>
            </w:r>
          </w:p>
        </w:tc>
        <w:tc>
          <w:tcPr>
            <w:tcW w:w="740" w:type="dxa"/>
            <w:vAlign w:val="bottom"/>
          </w:tcPr>
          <w:p>
            <w:pPr>
              <w:spacing w:after="0"/>
              <w:rPr>
                <w:sz w:val="10"/>
                <w:szCs w:val="10"/>
                <w:color w:val="auto"/>
              </w:rPr>
            </w:pPr>
          </w:p>
        </w:tc>
        <w:tc>
          <w:tcPr>
            <w:tcW w:w="12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9"/>
              </w:rPr>
              <w:t>Contingent</w:t>
            </w:r>
          </w:p>
        </w:tc>
        <w:tc>
          <w:tcPr>
            <w:tcW w:w="9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Stock-based</w:t>
            </w:r>
          </w:p>
        </w:tc>
        <w:tc>
          <w:tcPr>
            <w:tcW w:w="800" w:type="dxa"/>
            <w:vAlign w:val="bottom"/>
          </w:tcPr>
          <w:p>
            <w:pPr>
              <w:spacing w:after="0"/>
              <w:rPr>
                <w:sz w:val="10"/>
                <w:szCs w:val="10"/>
                <w:color w:val="auto"/>
              </w:rPr>
            </w:pPr>
          </w:p>
        </w:tc>
        <w:tc>
          <w:tcPr>
            <w:tcW w:w="7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Certain</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4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Six Months Ended</w:t>
            </w:r>
          </w:p>
        </w:tc>
        <w:tc>
          <w:tcPr>
            <w:tcW w:w="7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GAAP</w:t>
            </w:r>
          </w:p>
        </w:tc>
        <w:tc>
          <w:tcPr>
            <w:tcW w:w="7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Integration</w:t>
            </w:r>
          </w:p>
        </w:tc>
        <w:tc>
          <w:tcPr>
            <w:tcW w:w="8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Restructuring</w:t>
            </w: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Amortization</w:t>
            </w:r>
          </w:p>
        </w:tc>
        <w:tc>
          <w:tcPr>
            <w:tcW w:w="800" w:type="dxa"/>
            <w:vAlign w:val="bottom"/>
          </w:tcPr>
          <w:p>
            <w:pPr>
              <w:spacing w:after="0"/>
              <w:rPr>
                <w:sz w:val="10"/>
                <w:szCs w:val="10"/>
                <w:color w:val="auto"/>
              </w:rPr>
            </w:pPr>
          </w:p>
        </w:tc>
        <w:tc>
          <w:tcPr>
            <w:tcW w:w="8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9"/>
              </w:rPr>
              <w:t>Remediation</w:t>
            </w:r>
          </w:p>
        </w:tc>
        <w:tc>
          <w:tcPr>
            <w:tcW w:w="7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Acquisition</w:t>
            </w:r>
          </w:p>
        </w:tc>
        <w:tc>
          <w:tcPr>
            <w:tcW w:w="12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Consideration and</w:t>
            </w:r>
          </w:p>
        </w:tc>
        <w:tc>
          <w:tcPr>
            <w:tcW w:w="9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Compensation</w:t>
            </w:r>
          </w:p>
        </w:tc>
        <w:tc>
          <w:tcPr>
            <w:tcW w:w="8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Certain Tax</w:t>
            </w:r>
          </w:p>
        </w:tc>
        <w:tc>
          <w:tcPr>
            <w:tcW w:w="7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Interest</w:t>
            </w:r>
          </w:p>
        </w:tc>
        <w:tc>
          <w:tcPr>
            <w:tcW w:w="7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Adjusted</w:t>
            </w:r>
          </w:p>
        </w:tc>
        <w:tc>
          <w:tcPr>
            <w:tcW w:w="0" w:type="dxa"/>
            <w:vAlign w:val="bottom"/>
          </w:tcPr>
          <w:p>
            <w:pPr>
              <w:spacing w:after="0"/>
              <w:rPr>
                <w:sz w:val="1"/>
                <w:szCs w:val="1"/>
                <w:color w:val="auto"/>
              </w:rPr>
            </w:pPr>
          </w:p>
        </w:tc>
      </w:tr>
      <w:tr>
        <w:trPr>
          <w:trHeight w:val="115"/>
        </w:trPr>
        <w:tc>
          <w:tcPr>
            <w:tcW w:w="1480" w:type="dxa"/>
            <w:vAlign w:val="bottom"/>
            <w:gridSpan w:val="2"/>
            <w:vMerge w:val="continue"/>
          </w:tcPr>
          <w:p>
            <w:pPr>
              <w:spacing w:after="0"/>
              <w:rPr>
                <w:sz w:val="9"/>
                <w:szCs w:val="9"/>
                <w:color w:val="auto"/>
              </w:rPr>
            </w:pPr>
          </w:p>
        </w:tc>
        <w:tc>
          <w:tcPr>
            <w:tcW w:w="7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7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00" w:type="dxa"/>
            <w:vAlign w:val="bottom"/>
          </w:tcPr>
          <w:p>
            <w:pPr>
              <w:jc w:val="right"/>
              <w:ind w:right="18"/>
              <w:spacing w:after="0" w:line="115" w:lineRule="exact"/>
              <w:rPr>
                <w:sz w:val="20"/>
                <w:szCs w:val="20"/>
                <w:color w:val="auto"/>
              </w:rPr>
            </w:pPr>
            <w:r>
              <w:rPr>
                <w:rFonts w:ascii="Arial" w:cs="Arial" w:eastAsia="Arial" w:hAnsi="Arial"/>
                <w:sz w:val="11"/>
                <w:szCs w:val="11"/>
                <w:b w:val="1"/>
                <w:bCs w:val="1"/>
                <w:color w:val="auto"/>
              </w:rPr>
              <w:t>Impairments</w:t>
            </w:r>
          </w:p>
        </w:tc>
        <w:tc>
          <w:tcPr>
            <w:tcW w:w="8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7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Costs</w:t>
            </w:r>
          </w:p>
        </w:tc>
        <w:tc>
          <w:tcPr>
            <w:tcW w:w="12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Other Reserves</w:t>
            </w:r>
          </w:p>
        </w:tc>
        <w:tc>
          <w:tcPr>
            <w:tcW w:w="9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Costs</w:t>
            </w:r>
          </w:p>
        </w:tc>
        <w:tc>
          <w:tcPr>
            <w:tcW w:w="800" w:type="dxa"/>
            <w:vAlign w:val="bottom"/>
          </w:tcPr>
          <w:p>
            <w:pPr>
              <w:jc w:val="center"/>
              <w:ind w:right="18"/>
              <w:spacing w:after="0" w:line="115" w:lineRule="exact"/>
              <w:rPr>
                <w:sz w:val="20"/>
                <w:szCs w:val="20"/>
                <w:color w:val="auto"/>
              </w:rPr>
            </w:pPr>
            <w:r>
              <w:rPr>
                <w:rFonts w:ascii="Arial" w:cs="Arial" w:eastAsia="Arial" w:hAnsi="Arial"/>
                <w:sz w:val="11"/>
                <w:szCs w:val="11"/>
                <w:b w:val="1"/>
                <w:bCs w:val="1"/>
                <w:color w:val="auto"/>
              </w:rPr>
              <w:t>Adjustments</w:t>
            </w:r>
          </w:p>
        </w:tc>
        <w:tc>
          <w:tcPr>
            <w:tcW w:w="7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8"/>
              </w:rPr>
              <w:t>Adjustments</w:t>
            </w:r>
          </w:p>
        </w:tc>
        <w:tc>
          <w:tcPr>
            <w:tcW w:w="7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0" w:type="dxa"/>
            <w:vAlign w:val="bottom"/>
          </w:tcPr>
          <w:p>
            <w:pPr>
              <w:spacing w:after="0"/>
              <w:rPr>
                <w:sz w:val="1"/>
                <w:szCs w:val="1"/>
                <w:color w:val="auto"/>
              </w:rPr>
            </w:pPr>
          </w:p>
        </w:tc>
      </w:tr>
      <w:tr>
        <w:trPr>
          <w:trHeight w:val="167"/>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June 30, 2019</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Measures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(B)</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w:t>
            </w: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1"/>
                <w:szCs w:val="11"/>
                <w:b w:val="1"/>
                <w:bCs w:val="1"/>
                <w:color w:val="auto"/>
              </w:rPr>
              <w:t>(D)</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(E)</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(G)</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(H)</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(J)</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Measures</w:t>
            </w:r>
          </w:p>
        </w:tc>
        <w:tc>
          <w:tcPr>
            <w:tcW w:w="0" w:type="dxa"/>
            <w:vAlign w:val="bottom"/>
          </w:tcPr>
          <w:p>
            <w:pPr>
              <w:spacing w:after="0"/>
              <w:rPr>
                <w:sz w:val="1"/>
                <w:szCs w:val="1"/>
                <w:color w:val="auto"/>
              </w:rPr>
            </w:pPr>
          </w:p>
        </w:tc>
      </w:tr>
      <w:tr>
        <w:trPr>
          <w:trHeight w:val="163"/>
        </w:trPr>
        <w:tc>
          <w:tcPr>
            <w:tcW w:w="1480" w:type="dxa"/>
            <w:vAlign w:val="bottom"/>
            <w:gridSpan w:val="2"/>
          </w:tcPr>
          <w:p>
            <w:pPr>
              <w:ind w:left="20"/>
              <w:spacing w:after="0"/>
              <w:rPr>
                <w:sz w:val="20"/>
                <w:szCs w:val="20"/>
                <w:color w:val="auto"/>
              </w:rPr>
            </w:pPr>
            <w:r>
              <w:rPr>
                <w:rFonts w:ascii="Arial" w:cs="Arial" w:eastAsia="Arial" w:hAnsi="Arial"/>
                <w:sz w:val="13"/>
                <w:szCs w:val="13"/>
                <w:color w:val="auto"/>
              </w:rPr>
              <w:t>Cost of sales -</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48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exclusive of</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80" w:type="dxa"/>
            <w:vAlign w:val="bottom"/>
            <w:gridSpan w:val="2"/>
          </w:tcPr>
          <w:p>
            <w:pPr>
              <w:ind w:left="20"/>
              <w:spacing w:after="0"/>
              <w:rPr>
                <w:sz w:val="20"/>
                <w:szCs w:val="20"/>
                <w:color w:val="auto"/>
              </w:rPr>
            </w:pPr>
            <w:r>
              <w:rPr>
                <w:rFonts w:ascii="Arial" w:cs="Arial" w:eastAsia="Arial" w:hAnsi="Arial"/>
                <w:sz w:val="13"/>
                <w:szCs w:val="13"/>
                <w:color w:val="auto"/>
              </w:rPr>
              <w:t>amortization</w:t>
            </w: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$159.2</w:t>
            </w:r>
          </w:p>
        </w:tc>
        <w:tc>
          <w:tcPr>
            <w:tcW w:w="74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9"/>
              <w:spacing w:after="0"/>
              <w:rPr>
                <w:sz w:val="20"/>
                <w:szCs w:val="20"/>
                <w:color w:val="auto"/>
              </w:rPr>
            </w:pPr>
            <w:r>
              <w:rPr>
                <w:rFonts w:ascii="Arial" w:cs="Arial" w:eastAsia="Arial" w:hAnsi="Arial"/>
                <w:sz w:val="13"/>
                <w:szCs w:val="13"/>
                <w:color w:val="auto"/>
              </w:rPr>
              <w:t>($1.4)</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9"/>
              <w:spacing w:after="0"/>
              <w:rPr>
                <w:sz w:val="20"/>
                <w:szCs w:val="20"/>
                <w:color w:val="auto"/>
              </w:rPr>
            </w:pPr>
            <w:r>
              <w:rPr>
                <w:rFonts w:ascii="Arial" w:cs="Arial" w:eastAsia="Arial" w:hAnsi="Arial"/>
                <w:sz w:val="13"/>
                <w:szCs w:val="13"/>
                <w:color w:val="auto"/>
              </w:rPr>
              <w:t>$5.5</w:t>
            </w: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($1.0)</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$162.3</w:t>
            </w:r>
          </w:p>
        </w:tc>
        <w:tc>
          <w:tcPr>
            <w:tcW w:w="0" w:type="dxa"/>
            <w:vAlign w:val="bottom"/>
          </w:tcPr>
          <w:p>
            <w:pPr>
              <w:spacing w:after="0"/>
              <w:rPr>
                <w:sz w:val="1"/>
                <w:szCs w:val="1"/>
                <w:color w:val="auto"/>
              </w:rPr>
            </w:pPr>
          </w:p>
        </w:tc>
      </w:tr>
      <w:tr>
        <w:trPr>
          <w:trHeight w:val="239"/>
        </w:trPr>
        <w:tc>
          <w:tcPr>
            <w:tcW w:w="1480" w:type="dxa"/>
            <w:vAlign w:val="bottom"/>
            <w:gridSpan w:val="2"/>
          </w:tcPr>
          <w:p>
            <w:pPr>
              <w:ind w:left="20"/>
              <w:spacing w:after="0"/>
              <w:rPr>
                <w:sz w:val="20"/>
                <w:szCs w:val="20"/>
                <w:color w:val="auto"/>
              </w:rPr>
            </w:pPr>
            <w:r>
              <w:rPr>
                <w:rFonts w:ascii="Arial" w:cs="Arial" w:eastAsia="Arial" w:hAnsi="Arial"/>
                <w:sz w:val="13"/>
                <w:szCs w:val="13"/>
                <w:color w:val="auto"/>
              </w:rPr>
              <w:t>Product remediation</w:t>
            </w: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8.1</w:t>
            </w:r>
          </w:p>
        </w:tc>
        <w:tc>
          <w:tcPr>
            <w:tcW w:w="74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9"/>
              <w:spacing w:after="0"/>
              <w:rPr>
                <w:sz w:val="20"/>
                <w:szCs w:val="20"/>
                <w:color w:val="auto"/>
              </w:rPr>
            </w:pPr>
            <w:r>
              <w:rPr>
                <w:rFonts w:ascii="Arial" w:cs="Arial" w:eastAsia="Arial" w:hAnsi="Arial"/>
                <w:sz w:val="13"/>
                <w:szCs w:val="13"/>
                <w:color w:val="auto"/>
              </w:rPr>
              <w:t>(8.1)</w:t>
            </w:r>
          </w:p>
        </w:tc>
        <w:tc>
          <w:tcPr>
            <w:tcW w:w="74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9"/>
        </w:trPr>
        <w:tc>
          <w:tcPr>
            <w:tcW w:w="1480" w:type="dxa"/>
            <w:vAlign w:val="bottom"/>
            <w:gridSpan w:val="2"/>
          </w:tcPr>
          <w:p>
            <w:pPr>
              <w:ind w:left="20"/>
              <w:spacing w:after="0"/>
              <w:rPr>
                <w:sz w:val="20"/>
                <w:szCs w:val="20"/>
                <w:color w:val="auto"/>
              </w:rPr>
            </w:pPr>
            <w:r>
              <w:rPr>
                <w:rFonts w:ascii="Arial" w:cs="Arial" w:eastAsia="Arial" w:hAnsi="Arial"/>
                <w:sz w:val="13"/>
                <w:szCs w:val="13"/>
                <w:color w:val="auto"/>
              </w:rPr>
              <w:t>Gross profit percent</w:t>
            </w:r>
          </w:p>
        </w:tc>
        <w:tc>
          <w:tcPr>
            <w:tcW w:w="760" w:type="dxa"/>
            <w:vAlign w:val="bottom"/>
          </w:tcPr>
          <w:p>
            <w:pPr>
              <w:jc w:val="right"/>
              <w:spacing w:after="0"/>
              <w:rPr>
                <w:sz w:val="20"/>
                <w:szCs w:val="20"/>
                <w:color w:val="auto"/>
              </w:rPr>
            </w:pPr>
            <w:r>
              <w:rPr>
                <w:rFonts w:ascii="Arial" w:cs="Arial" w:eastAsia="Arial" w:hAnsi="Arial"/>
                <w:sz w:val="13"/>
                <w:szCs w:val="13"/>
                <w:color w:val="auto"/>
              </w:rPr>
              <w:t>68.3%</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9"/>
              <w:spacing w:after="0"/>
              <w:rPr>
                <w:sz w:val="20"/>
                <w:szCs w:val="20"/>
                <w:color w:val="auto"/>
              </w:rPr>
            </w:pPr>
            <w:r>
              <w:rPr>
                <w:rFonts w:ascii="Arial" w:cs="Arial" w:eastAsia="Arial" w:hAnsi="Arial"/>
                <w:sz w:val="13"/>
                <w:szCs w:val="13"/>
                <w:color w:val="auto"/>
              </w:rPr>
              <w:t>0.3%</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59"/>
              <w:spacing w:after="0"/>
              <w:rPr>
                <w:sz w:val="20"/>
                <w:szCs w:val="20"/>
                <w:color w:val="auto"/>
              </w:rPr>
            </w:pPr>
            <w:r>
              <w:rPr>
                <w:rFonts w:ascii="Arial" w:cs="Arial" w:eastAsia="Arial" w:hAnsi="Arial"/>
                <w:sz w:val="13"/>
                <w:szCs w:val="13"/>
                <w:color w:val="auto"/>
              </w:rPr>
              <w:t>(1.0)%</w:t>
            </w:r>
          </w:p>
        </w:tc>
        <w:tc>
          <w:tcPr>
            <w:tcW w:w="900" w:type="dxa"/>
            <w:vAlign w:val="bottom"/>
          </w:tcPr>
          <w:p>
            <w:pPr>
              <w:jc w:val="right"/>
              <w:spacing w:after="0"/>
              <w:rPr>
                <w:sz w:val="20"/>
                <w:szCs w:val="20"/>
                <w:color w:val="auto"/>
              </w:rPr>
            </w:pPr>
            <w:r>
              <w:rPr>
                <w:rFonts w:ascii="Arial" w:cs="Arial" w:eastAsia="Arial" w:hAnsi="Arial"/>
                <w:sz w:val="13"/>
                <w:szCs w:val="13"/>
                <w:color w:val="auto"/>
              </w:rPr>
              <w:t>0.2%</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69.3%</w:t>
            </w:r>
          </w:p>
        </w:tc>
        <w:tc>
          <w:tcPr>
            <w:tcW w:w="0" w:type="dxa"/>
            <w:vAlign w:val="bottom"/>
          </w:tcPr>
          <w:p>
            <w:pPr>
              <w:spacing w:after="0"/>
              <w:rPr>
                <w:sz w:val="1"/>
                <w:szCs w:val="1"/>
                <w:color w:val="auto"/>
              </w:rPr>
            </w:pPr>
          </w:p>
        </w:tc>
      </w:tr>
      <w:tr>
        <w:trPr>
          <w:trHeight w:val="181"/>
        </w:trPr>
        <w:tc>
          <w:tcPr>
            <w:tcW w:w="1480" w:type="dxa"/>
            <w:vAlign w:val="bottom"/>
            <w:gridSpan w:val="2"/>
          </w:tcPr>
          <w:p>
            <w:pPr>
              <w:ind w:left="20"/>
              <w:spacing w:after="0"/>
              <w:rPr>
                <w:sz w:val="20"/>
                <w:szCs w:val="20"/>
                <w:color w:val="auto"/>
              </w:rPr>
            </w:pPr>
            <w:r>
              <w:rPr>
                <w:rFonts w:ascii="Arial" w:cs="Arial" w:eastAsia="Arial" w:hAnsi="Arial"/>
                <w:sz w:val="13"/>
                <w:szCs w:val="13"/>
                <w:color w:val="auto"/>
              </w:rPr>
              <w:t>Selling, general and</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480" w:type="dxa"/>
            <w:vAlign w:val="bottom"/>
            <w:gridSpan w:val="2"/>
          </w:tcPr>
          <w:p>
            <w:pPr>
              <w:ind w:left="20"/>
              <w:spacing w:after="0"/>
              <w:rPr>
                <w:sz w:val="20"/>
                <w:szCs w:val="20"/>
                <w:color w:val="auto"/>
              </w:rPr>
            </w:pPr>
            <w:r>
              <w:rPr>
                <w:rFonts w:ascii="Arial" w:cs="Arial" w:eastAsia="Arial" w:hAnsi="Arial"/>
                <w:sz w:val="13"/>
                <w:szCs w:val="13"/>
                <w:color w:val="auto"/>
              </w:rPr>
              <w:t>administrative</w:t>
            </w: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$252.9</w:t>
            </w:r>
          </w:p>
        </w:tc>
        <w:tc>
          <w:tcPr>
            <w:tcW w:w="74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9"/>
              <w:spacing w:after="0"/>
              <w:rPr>
                <w:sz w:val="20"/>
                <w:szCs w:val="20"/>
                <w:color w:val="auto"/>
              </w:rPr>
            </w:pPr>
            <w:r>
              <w:rPr>
                <w:rFonts w:ascii="Arial" w:cs="Arial" w:eastAsia="Arial" w:hAnsi="Arial"/>
                <w:sz w:val="13"/>
                <w:szCs w:val="13"/>
                <w:color w:val="auto"/>
              </w:rPr>
              <w:t>($0.3)</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($0.7)</w:t>
            </w:r>
          </w:p>
        </w:tc>
        <w:tc>
          <w:tcPr>
            <w:tcW w:w="1200" w:type="dxa"/>
            <w:vAlign w:val="bottom"/>
          </w:tcPr>
          <w:p>
            <w:pPr>
              <w:jc w:val="right"/>
              <w:ind w:right="179"/>
              <w:spacing w:after="0"/>
              <w:rPr>
                <w:sz w:val="20"/>
                <w:szCs w:val="20"/>
                <w:color w:val="auto"/>
              </w:rPr>
            </w:pPr>
            <w:r>
              <w:rPr>
                <w:rFonts w:ascii="Arial" w:cs="Arial" w:eastAsia="Arial" w:hAnsi="Arial"/>
                <w:sz w:val="13"/>
                <w:szCs w:val="13"/>
                <w:color w:val="auto"/>
              </w:rPr>
              <w:t>($27.8)</w:t>
            </w: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($11.6)</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$212.6</w:t>
            </w:r>
          </w:p>
        </w:tc>
        <w:tc>
          <w:tcPr>
            <w:tcW w:w="0" w:type="dxa"/>
            <w:vAlign w:val="bottom"/>
          </w:tcPr>
          <w:p>
            <w:pPr>
              <w:spacing w:after="0"/>
              <w:rPr>
                <w:sz w:val="1"/>
                <w:szCs w:val="1"/>
                <w:color w:val="auto"/>
              </w:rPr>
            </w:pPr>
          </w:p>
        </w:tc>
      </w:tr>
      <w:tr>
        <w:trPr>
          <w:trHeight w:val="181"/>
        </w:trPr>
        <w:tc>
          <w:tcPr>
            <w:tcW w:w="1480" w:type="dxa"/>
            <w:vAlign w:val="bottom"/>
            <w:gridSpan w:val="2"/>
          </w:tcPr>
          <w:p>
            <w:pPr>
              <w:ind w:left="20"/>
              <w:spacing w:after="0"/>
              <w:rPr>
                <w:sz w:val="20"/>
                <w:szCs w:val="20"/>
                <w:color w:val="auto"/>
              </w:rPr>
            </w:pPr>
            <w:r>
              <w:rPr>
                <w:rFonts w:ascii="Arial" w:cs="Arial" w:eastAsia="Arial" w:hAnsi="Arial"/>
                <w:sz w:val="13"/>
                <w:szCs w:val="13"/>
                <w:color w:val="auto"/>
              </w:rPr>
              <w:t>Research and</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480" w:type="dxa"/>
            <w:vAlign w:val="bottom"/>
            <w:gridSpan w:val="2"/>
          </w:tcPr>
          <w:p>
            <w:pPr>
              <w:ind w:left="20"/>
              <w:spacing w:after="0"/>
              <w:rPr>
                <w:sz w:val="20"/>
                <w:szCs w:val="20"/>
                <w:color w:val="auto"/>
              </w:rPr>
            </w:pPr>
            <w:r>
              <w:rPr>
                <w:rFonts w:ascii="Arial" w:cs="Arial" w:eastAsia="Arial" w:hAnsi="Arial"/>
                <w:sz w:val="13"/>
                <w:szCs w:val="13"/>
                <w:color w:val="auto"/>
              </w:rPr>
              <w:t>development</w:t>
            </w: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78.1</w:t>
            </w:r>
          </w:p>
        </w:tc>
        <w:tc>
          <w:tcPr>
            <w:tcW w:w="74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9"/>
              <w:spacing w:after="0"/>
              <w:rPr>
                <w:sz w:val="20"/>
                <w:szCs w:val="20"/>
                <w:color w:val="auto"/>
              </w:rPr>
            </w:pPr>
            <w:r>
              <w:rPr>
                <w:rFonts w:ascii="Arial" w:cs="Arial" w:eastAsia="Arial" w:hAnsi="Arial"/>
                <w:sz w:val="13"/>
                <w:szCs w:val="13"/>
                <w:color w:val="auto"/>
              </w:rPr>
              <w:t>(0.1)</w:t>
            </w: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(0.9)</w:t>
            </w:r>
          </w:p>
        </w:tc>
        <w:tc>
          <w:tcPr>
            <w:tcW w:w="80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(1.9)</w:t>
            </w:r>
          </w:p>
        </w:tc>
        <w:tc>
          <w:tcPr>
            <w:tcW w:w="1200" w:type="dxa"/>
            <w:vAlign w:val="bottom"/>
          </w:tcPr>
          <w:p>
            <w:pPr>
              <w:jc w:val="right"/>
              <w:ind w:right="219"/>
              <w:spacing w:after="0"/>
              <w:rPr>
                <w:sz w:val="20"/>
                <w:szCs w:val="20"/>
                <w:color w:val="auto"/>
              </w:rPr>
            </w:pPr>
            <w:r>
              <w:rPr>
                <w:rFonts w:ascii="Arial" w:cs="Arial" w:eastAsia="Arial" w:hAnsi="Arial"/>
                <w:sz w:val="13"/>
                <w:szCs w:val="13"/>
                <w:color w:val="auto"/>
              </w:rPr>
              <w:t>4.2</w:t>
            </w: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(2.9)</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76.5</w:t>
            </w:r>
          </w:p>
        </w:tc>
        <w:tc>
          <w:tcPr>
            <w:tcW w:w="0" w:type="dxa"/>
            <w:vAlign w:val="bottom"/>
          </w:tcPr>
          <w:p>
            <w:pPr>
              <w:spacing w:after="0"/>
              <w:rPr>
                <w:sz w:val="1"/>
                <w:szCs w:val="1"/>
                <w:color w:val="auto"/>
              </w:rPr>
            </w:pPr>
          </w:p>
        </w:tc>
      </w:tr>
      <w:tr>
        <w:trPr>
          <w:trHeight w:val="181"/>
        </w:trPr>
        <w:tc>
          <w:tcPr>
            <w:tcW w:w="1480" w:type="dxa"/>
            <w:vAlign w:val="bottom"/>
            <w:gridSpan w:val="2"/>
          </w:tcPr>
          <w:p>
            <w:pPr>
              <w:ind w:left="20"/>
              <w:spacing w:after="0"/>
              <w:rPr>
                <w:sz w:val="20"/>
                <w:szCs w:val="20"/>
                <w:color w:val="auto"/>
              </w:rPr>
            </w:pPr>
            <w:r>
              <w:rPr>
                <w:rFonts w:ascii="Arial" w:cs="Arial" w:eastAsia="Arial" w:hAnsi="Arial"/>
                <w:sz w:val="13"/>
                <w:szCs w:val="13"/>
                <w:color w:val="auto"/>
              </w:rPr>
              <w:t>Other operating</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480" w:type="dxa"/>
            <w:vAlign w:val="bottom"/>
            <w:gridSpan w:val="2"/>
          </w:tcPr>
          <w:p>
            <w:pPr>
              <w:ind w:left="20"/>
              <w:spacing w:after="0"/>
              <w:rPr>
                <w:sz w:val="20"/>
                <w:szCs w:val="20"/>
                <w:color w:val="auto"/>
              </w:rPr>
            </w:pPr>
            <w:r>
              <w:rPr>
                <w:rFonts w:ascii="Arial" w:cs="Arial" w:eastAsia="Arial" w:hAnsi="Arial"/>
                <w:sz w:val="13"/>
                <w:szCs w:val="13"/>
                <w:color w:val="auto"/>
              </w:rPr>
              <w:t>expenses</w:t>
            </w: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80.3</w:t>
            </w:r>
          </w:p>
        </w:tc>
        <w:tc>
          <w:tcPr>
            <w:tcW w:w="740" w:type="dxa"/>
            <w:vAlign w:val="bottom"/>
          </w:tcPr>
          <w:p>
            <w:pPr>
              <w:jc w:val="right"/>
              <w:ind w:right="79"/>
              <w:spacing w:after="0"/>
              <w:rPr>
                <w:sz w:val="20"/>
                <w:szCs w:val="20"/>
                <w:color w:val="auto"/>
              </w:rPr>
            </w:pPr>
            <w:r>
              <w:rPr>
                <w:rFonts w:ascii="Arial" w:cs="Arial" w:eastAsia="Arial" w:hAnsi="Arial"/>
                <w:sz w:val="13"/>
                <w:szCs w:val="13"/>
                <w:color w:val="auto"/>
              </w:rPr>
              <w:t>(7.6)</w:t>
            </w: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(3.9)</w:t>
            </w:r>
          </w:p>
        </w:tc>
        <w:tc>
          <w:tcPr>
            <w:tcW w:w="820" w:type="dxa"/>
            <w:vAlign w:val="bottom"/>
          </w:tcPr>
          <w:p>
            <w:pPr>
              <w:jc w:val="right"/>
              <w:ind w:right="79"/>
              <w:spacing w:after="0"/>
              <w:rPr>
                <w:sz w:val="20"/>
                <w:szCs w:val="20"/>
                <w:color w:val="auto"/>
              </w:rPr>
            </w:pPr>
            <w:r>
              <w:rPr>
                <w:rFonts w:ascii="Arial" w:cs="Arial" w:eastAsia="Arial" w:hAnsi="Arial"/>
                <w:sz w:val="13"/>
                <w:szCs w:val="13"/>
                <w:color w:val="auto"/>
              </w:rPr>
              <w:t>(18.5)</w:t>
            </w: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(50.3)</w:t>
            </w:r>
          </w:p>
        </w:tc>
        <w:tc>
          <w:tcPr>
            <w:tcW w:w="80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1480" w:type="dxa"/>
            <w:vAlign w:val="bottom"/>
            <w:gridSpan w:val="2"/>
          </w:tcPr>
          <w:p>
            <w:pPr>
              <w:ind w:left="20"/>
              <w:spacing w:after="0"/>
              <w:rPr>
                <w:sz w:val="20"/>
                <w:szCs w:val="20"/>
                <w:color w:val="auto"/>
              </w:rPr>
            </w:pPr>
            <w:r>
              <w:rPr>
                <w:rFonts w:ascii="Arial" w:cs="Arial" w:eastAsia="Arial" w:hAnsi="Arial"/>
                <w:sz w:val="13"/>
                <w:szCs w:val="13"/>
                <w:color w:val="auto"/>
              </w:rPr>
              <w:t>Operating (loss)</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8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income from continuing</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80" w:type="dxa"/>
            <w:vAlign w:val="bottom"/>
            <w:gridSpan w:val="2"/>
          </w:tcPr>
          <w:p>
            <w:pPr>
              <w:ind w:left="20"/>
              <w:spacing w:after="0"/>
              <w:rPr>
                <w:sz w:val="20"/>
                <w:szCs w:val="20"/>
                <w:color w:val="auto"/>
              </w:rPr>
            </w:pPr>
            <w:r>
              <w:rPr>
                <w:rFonts w:ascii="Arial" w:cs="Arial" w:eastAsia="Arial" w:hAnsi="Arial"/>
                <w:sz w:val="13"/>
                <w:szCs w:val="13"/>
                <w:color w:val="auto"/>
              </w:rPr>
              <w:t>operations</w:t>
            </w:r>
          </w:p>
        </w:tc>
        <w:tc>
          <w:tcPr>
            <w:tcW w:w="760" w:type="dxa"/>
            <w:vAlign w:val="bottom"/>
          </w:tcPr>
          <w:p>
            <w:pPr>
              <w:jc w:val="right"/>
              <w:ind w:right="58"/>
              <w:spacing w:after="0"/>
              <w:rPr>
                <w:sz w:val="20"/>
                <w:szCs w:val="20"/>
                <w:color w:val="auto"/>
              </w:rPr>
            </w:pPr>
            <w:r>
              <w:rPr>
                <w:rFonts w:ascii="Arial" w:cs="Arial" w:eastAsia="Arial" w:hAnsi="Arial"/>
                <w:sz w:val="13"/>
                <w:szCs w:val="13"/>
                <w:color w:val="auto"/>
              </w:rPr>
              <w:t>(50.7)</w:t>
            </w:r>
          </w:p>
        </w:tc>
        <w:tc>
          <w:tcPr>
            <w:tcW w:w="740" w:type="dxa"/>
            <w:vAlign w:val="bottom"/>
          </w:tcPr>
          <w:p>
            <w:pPr>
              <w:jc w:val="right"/>
              <w:ind w:right="119"/>
              <w:spacing w:after="0"/>
              <w:rPr>
                <w:sz w:val="20"/>
                <w:szCs w:val="20"/>
                <w:color w:val="auto"/>
              </w:rPr>
            </w:pPr>
            <w:r>
              <w:rPr>
                <w:rFonts w:ascii="Arial" w:cs="Arial" w:eastAsia="Arial" w:hAnsi="Arial"/>
                <w:sz w:val="13"/>
                <w:szCs w:val="13"/>
                <w:color w:val="auto"/>
              </w:rPr>
              <w:t>7.6</w:t>
            </w:r>
          </w:p>
        </w:tc>
        <w:tc>
          <w:tcPr>
            <w:tcW w:w="880" w:type="dxa"/>
            <w:vAlign w:val="bottom"/>
          </w:tcPr>
          <w:p>
            <w:pPr>
              <w:jc w:val="right"/>
              <w:ind w:right="118"/>
              <w:spacing w:after="0"/>
              <w:rPr>
                <w:sz w:val="20"/>
                <w:szCs w:val="20"/>
                <w:color w:val="auto"/>
              </w:rPr>
            </w:pPr>
            <w:r>
              <w:rPr>
                <w:rFonts w:ascii="Arial" w:cs="Arial" w:eastAsia="Arial" w:hAnsi="Arial"/>
                <w:sz w:val="13"/>
                <w:szCs w:val="13"/>
                <w:color w:val="auto"/>
              </w:rPr>
              <w:t>3.9</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20.3</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51.2</w:t>
            </w:r>
          </w:p>
        </w:tc>
        <w:tc>
          <w:tcPr>
            <w:tcW w:w="800" w:type="dxa"/>
            <w:vAlign w:val="bottom"/>
          </w:tcPr>
          <w:p>
            <w:pPr>
              <w:jc w:val="right"/>
              <w:ind w:right="99"/>
              <w:spacing w:after="0"/>
              <w:rPr>
                <w:sz w:val="20"/>
                <w:szCs w:val="20"/>
                <w:color w:val="auto"/>
              </w:rPr>
            </w:pPr>
            <w:r>
              <w:rPr>
                <w:rFonts w:ascii="Arial" w:cs="Arial" w:eastAsia="Arial" w:hAnsi="Arial"/>
                <w:sz w:val="13"/>
                <w:szCs w:val="13"/>
                <w:color w:val="auto"/>
              </w:rPr>
              <w:t>8.1</w:t>
            </w:r>
          </w:p>
        </w:tc>
        <w:tc>
          <w:tcPr>
            <w:tcW w:w="740" w:type="dxa"/>
            <w:vAlign w:val="bottom"/>
          </w:tcPr>
          <w:p>
            <w:pPr>
              <w:jc w:val="right"/>
              <w:ind w:right="98"/>
              <w:spacing w:after="0"/>
              <w:rPr>
                <w:sz w:val="20"/>
                <w:szCs w:val="20"/>
                <w:color w:val="auto"/>
              </w:rPr>
            </w:pPr>
            <w:r>
              <w:rPr>
                <w:rFonts w:ascii="Arial" w:cs="Arial" w:eastAsia="Arial" w:hAnsi="Arial"/>
                <w:sz w:val="13"/>
                <w:szCs w:val="13"/>
                <w:color w:val="auto"/>
              </w:rPr>
              <w:t>2.6</w:t>
            </w:r>
          </w:p>
        </w:tc>
        <w:tc>
          <w:tcPr>
            <w:tcW w:w="1200" w:type="dxa"/>
            <w:vAlign w:val="bottom"/>
          </w:tcPr>
          <w:p>
            <w:pPr>
              <w:jc w:val="right"/>
              <w:ind w:right="219"/>
              <w:spacing w:after="0"/>
              <w:rPr>
                <w:sz w:val="20"/>
                <w:szCs w:val="20"/>
                <w:color w:val="auto"/>
              </w:rPr>
            </w:pPr>
            <w:r>
              <w:rPr>
                <w:rFonts w:ascii="Arial" w:cs="Arial" w:eastAsia="Arial" w:hAnsi="Arial"/>
                <w:sz w:val="13"/>
                <w:szCs w:val="13"/>
                <w:color w:val="auto"/>
              </w:rPr>
              <w:t>18.0</w:t>
            </w:r>
          </w:p>
        </w:tc>
        <w:tc>
          <w:tcPr>
            <w:tcW w:w="900" w:type="dxa"/>
            <w:vAlign w:val="bottom"/>
          </w:tcPr>
          <w:p>
            <w:pPr>
              <w:jc w:val="right"/>
              <w:ind w:right="99"/>
              <w:spacing w:after="0"/>
              <w:rPr>
                <w:sz w:val="20"/>
                <w:szCs w:val="20"/>
                <w:color w:val="auto"/>
              </w:rPr>
            </w:pPr>
            <w:r>
              <w:rPr>
                <w:rFonts w:ascii="Arial" w:cs="Arial" w:eastAsia="Arial" w:hAnsi="Arial"/>
                <w:sz w:val="13"/>
                <w:szCs w:val="13"/>
                <w:color w:val="auto"/>
              </w:rPr>
              <w:t>15.6</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76.6</w:t>
            </w:r>
          </w:p>
        </w:tc>
        <w:tc>
          <w:tcPr>
            <w:tcW w:w="0" w:type="dxa"/>
            <w:vAlign w:val="bottom"/>
          </w:tcPr>
          <w:p>
            <w:pPr>
              <w:spacing w:after="0"/>
              <w:rPr>
                <w:sz w:val="1"/>
                <w:szCs w:val="1"/>
                <w:color w:val="auto"/>
              </w:rPr>
            </w:pPr>
          </w:p>
        </w:tc>
      </w:tr>
      <w:tr>
        <w:trPr>
          <w:trHeight w:val="181"/>
        </w:trPr>
        <w:tc>
          <w:tcPr>
            <w:tcW w:w="1480" w:type="dxa"/>
            <w:vAlign w:val="bottom"/>
            <w:gridSpan w:val="2"/>
          </w:tcPr>
          <w:p>
            <w:pPr>
              <w:ind w:left="20"/>
              <w:spacing w:after="0"/>
              <w:rPr>
                <w:sz w:val="20"/>
                <w:szCs w:val="20"/>
                <w:color w:val="auto"/>
              </w:rPr>
            </w:pPr>
            <w:r>
              <w:rPr>
                <w:rFonts w:ascii="Arial" w:cs="Arial" w:eastAsia="Arial" w:hAnsi="Arial"/>
                <w:sz w:val="13"/>
                <w:szCs w:val="13"/>
                <w:color w:val="auto"/>
              </w:rPr>
              <w:t>Income tax (benefit)</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480" w:type="dxa"/>
            <w:vAlign w:val="bottom"/>
            <w:gridSpan w:val="2"/>
          </w:tcPr>
          <w:p>
            <w:pPr>
              <w:ind w:left="20"/>
              <w:spacing w:after="0"/>
              <w:rPr>
                <w:sz w:val="20"/>
                <w:szCs w:val="20"/>
                <w:color w:val="auto"/>
              </w:rPr>
            </w:pPr>
            <w:r>
              <w:rPr>
                <w:rFonts w:ascii="Arial" w:cs="Arial" w:eastAsia="Arial" w:hAnsi="Arial"/>
                <w:sz w:val="13"/>
                <w:szCs w:val="13"/>
                <w:color w:val="auto"/>
              </w:rPr>
              <w:t>expense</w:t>
            </w:r>
          </w:p>
        </w:tc>
        <w:tc>
          <w:tcPr>
            <w:tcW w:w="760" w:type="dxa"/>
            <w:vAlign w:val="bottom"/>
          </w:tcPr>
          <w:p>
            <w:pPr>
              <w:jc w:val="right"/>
              <w:ind w:right="58"/>
              <w:spacing w:after="0"/>
              <w:rPr>
                <w:sz w:val="20"/>
                <w:szCs w:val="20"/>
                <w:color w:val="auto"/>
              </w:rPr>
            </w:pPr>
            <w:r>
              <w:rPr>
                <w:rFonts w:ascii="Arial" w:cs="Arial" w:eastAsia="Arial" w:hAnsi="Arial"/>
                <w:sz w:val="13"/>
                <w:szCs w:val="13"/>
                <w:color w:val="auto"/>
              </w:rPr>
              <w:t>(12.8)</w:t>
            </w:r>
          </w:p>
        </w:tc>
        <w:tc>
          <w:tcPr>
            <w:tcW w:w="740" w:type="dxa"/>
            <w:vAlign w:val="bottom"/>
          </w:tcPr>
          <w:p>
            <w:pPr>
              <w:jc w:val="right"/>
              <w:ind w:right="119"/>
              <w:spacing w:after="0"/>
              <w:rPr>
                <w:sz w:val="20"/>
                <w:szCs w:val="20"/>
                <w:color w:val="auto"/>
              </w:rPr>
            </w:pPr>
            <w:r>
              <w:rPr>
                <w:rFonts w:ascii="Arial" w:cs="Arial" w:eastAsia="Arial" w:hAnsi="Arial"/>
                <w:sz w:val="13"/>
                <w:szCs w:val="13"/>
                <w:color w:val="auto"/>
              </w:rPr>
              <w:t>1.7</w:t>
            </w:r>
          </w:p>
        </w:tc>
        <w:tc>
          <w:tcPr>
            <w:tcW w:w="880" w:type="dxa"/>
            <w:vAlign w:val="bottom"/>
          </w:tcPr>
          <w:p>
            <w:pPr>
              <w:jc w:val="right"/>
              <w:ind w:right="118"/>
              <w:spacing w:after="0"/>
              <w:rPr>
                <w:sz w:val="20"/>
                <w:szCs w:val="20"/>
                <w:color w:val="auto"/>
              </w:rPr>
            </w:pPr>
            <w:r>
              <w:rPr>
                <w:rFonts w:ascii="Arial" w:cs="Arial" w:eastAsia="Arial" w:hAnsi="Arial"/>
                <w:sz w:val="13"/>
                <w:szCs w:val="13"/>
                <w:color w:val="auto"/>
              </w:rPr>
              <w:t>0.9</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5.2</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12.4</w:t>
            </w:r>
          </w:p>
        </w:tc>
        <w:tc>
          <w:tcPr>
            <w:tcW w:w="800" w:type="dxa"/>
            <w:vAlign w:val="bottom"/>
          </w:tcPr>
          <w:p>
            <w:pPr>
              <w:jc w:val="right"/>
              <w:ind w:right="99"/>
              <w:spacing w:after="0"/>
              <w:rPr>
                <w:sz w:val="20"/>
                <w:szCs w:val="20"/>
                <w:color w:val="auto"/>
              </w:rPr>
            </w:pPr>
            <w:r>
              <w:rPr>
                <w:rFonts w:ascii="Arial" w:cs="Arial" w:eastAsia="Arial" w:hAnsi="Arial"/>
                <w:sz w:val="13"/>
                <w:szCs w:val="13"/>
                <w:color w:val="auto"/>
              </w:rPr>
              <w:t>2.6</w:t>
            </w:r>
          </w:p>
        </w:tc>
        <w:tc>
          <w:tcPr>
            <w:tcW w:w="740" w:type="dxa"/>
            <w:vAlign w:val="bottom"/>
          </w:tcPr>
          <w:p>
            <w:pPr>
              <w:jc w:val="right"/>
              <w:ind w:right="98"/>
              <w:spacing w:after="0"/>
              <w:rPr>
                <w:sz w:val="20"/>
                <w:szCs w:val="20"/>
                <w:color w:val="auto"/>
              </w:rPr>
            </w:pPr>
            <w:r>
              <w:rPr>
                <w:rFonts w:ascii="Arial" w:cs="Arial" w:eastAsia="Arial" w:hAnsi="Arial"/>
                <w:sz w:val="13"/>
                <w:szCs w:val="13"/>
                <w:color w:val="auto"/>
              </w:rPr>
              <w:t>0.6</w:t>
            </w:r>
          </w:p>
        </w:tc>
        <w:tc>
          <w:tcPr>
            <w:tcW w:w="1200" w:type="dxa"/>
            <w:vAlign w:val="bottom"/>
          </w:tcPr>
          <w:p>
            <w:pPr>
              <w:jc w:val="right"/>
              <w:ind w:right="219"/>
              <w:spacing w:after="0"/>
              <w:rPr>
                <w:sz w:val="20"/>
                <w:szCs w:val="20"/>
                <w:color w:val="auto"/>
              </w:rPr>
            </w:pPr>
            <w:r>
              <w:rPr>
                <w:rFonts w:ascii="Arial" w:cs="Arial" w:eastAsia="Arial" w:hAnsi="Arial"/>
                <w:sz w:val="13"/>
                <w:szCs w:val="13"/>
                <w:color w:val="auto"/>
              </w:rPr>
              <w:t>9.5</w:t>
            </w:r>
          </w:p>
        </w:tc>
        <w:tc>
          <w:tcPr>
            <w:tcW w:w="900" w:type="dxa"/>
            <w:vAlign w:val="bottom"/>
          </w:tcPr>
          <w:p>
            <w:pPr>
              <w:jc w:val="right"/>
              <w:ind w:right="99"/>
              <w:spacing w:after="0"/>
              <w:rPr>
                <w:sz w:val="20"/>
                <w:szCs w:val="20"/>
                <w:color w:val="auto"/>
              </w:rPr>
            </w:pPr>
            <w:r>
              <w:rPr>
                <w:rFonts w:ascii="Arial" w:cs="Arial" w:eastAsia="Arial" w:hAnsi="Arial"/>
                <w:sz w:val="13"/>
                <w:szCs w:val="13"/>
                <w:color w:val="auto"/>
              </w:rPr>
              <w:t>3.6</w:t>
            </w: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(13.0)</w:t>
            </w:r>
          </w:p>
        </w:tc>
        <w:tc>
          <w:tcPr>
            <w:tcW w:w="780" w:type="dxa"/>
            <w:vAlign w:val="bottom"/>
          </w:tcPr>
          <w:p>
            <w:pPr>
              <w:jc w:val="right"/>
              <w:ind w:right="79"/>
              <w:spacing w:after="0"/>
              <w:rPr>
                <w:sz w:val="20"/>
                <w:szCs w:val="20"/>
                <w:color w:val="auto"/>
              </w:rPr>
            </w:pPr>
            <w:r>
              <w:rPr>
                <w:rFonts w:ascii="Arial" w:cs="Arial" w:eastAsia="Arial" w:hAnsi="Arial"/>
                <w:sz w:val="13"/>
                <w:szCs w:val="13"/>
                <w:color w:val="auto"/>
              </w:rPr>
              <w:t>0.3</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81"/>
        </w:trPr>
        <w:tc>
          <w:tcPr>
            <w:tcW w:w="1480" w:type="dxa"/>
            <w:vAlign w:val="bottom"/>
            <w:gridSpan w:val="2"/>
          </w:tcPr>
          <w:p>
            <w:pPr>
              <w:ind w:left="20"/>
              <w:spacing w:after="0"/>
              <w:rPr>
                <w:sz w:val="20"/>
                <w:szCs w:val="20"/>
                <w:color w:val="auto"/>
              </w:rPr>
            </w:pPr>
            <w:r>
              <w:rPr>
                <w:rFonts w:ascii="Arial" w:cs="Arial" w:eastAsia="Arial" w:hAnsi="Arial"/>
                <w:sz w:val="13"/>
                <w:szCs w:val="13"/>
                <w:color w:val="auto"/>
              </w:rPr>
              <w:t>Net (loss) income from</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480" w:type="dxa"/>
            <w:vAlign w:val="bottom"/>
            <w:gridSpan w:val="2"/>
          </w:tcPr>
          <w:p>
            <w:pPr>
              <w:ind w:left="20"/>
              <w:spacing w:after="0"/>
              <w:rPr>
                <w:sz w:val="20"/>
                <w:szCs w:val="20"/>
                <w:color w:val="auto"/>
              </w:rPr>
            </w:pPr>
            <w:r>
              <w:rPr>
                <w:rFonts w:ascii="Arial" w:cs="Arial" w:eastAsia="Arial" w:hAnsi="Arial"/>
                <w:sz w:val="13"/>
                <w:szCs w:val="13"/>
                <w:color w:val="auto"/>
              </w:rPr>
              <w:t>continuing operations</w:t>
            </w:r>
          </w:p>
        </w:tc>
        <w:tc>
          <w:tcPr>
            <w:tcW w:w="760" w:type="dxa"/>
            <w:vAlign w:val="bottom"/>
          </w:tcPr>
          <w:p>
            <w:pPr>
              <w:jc w:val="right"/>
              <w:ind w:right="58"/>
              <w:spacing w:after="0"/>
              <w:rPr>
                <w:sz w:val="20"/>
                <w:szCs w:val="20"/>
                <w:color w:val="auto"/>
              </w:rPr>
            </w:pPr>
            <w:r>
              <w:rPr>
                <w:rFonts w:ascii="Arial" w:cs="Arial" w:eastAsia="Arial" w:hAnsi="Arial"/>
                <w:sz w:val="13"/>
                <w:szCs w:val="13"/>
                <w:color w:val="auto"/>
              </w:rPr>
              <w:t>(44.2)</w:t>
            </w:r>
          </w:p>
        </w:tc>
        <w:tc>
          <w:tcPr>
            <w:tcW w:w="740" w:type="dxa"/>
            <w:vAlign w:val="bottom"/>
          </w:tcPr>
          <w:p>
            <w:pPr>
              <w:jc w:val="right"/>
              <w:ind w:right="119"/>
              <w:spacing w:after="0"/>
              <w:rPr>
                <w:sz w:val="20"/>
                <w:szCs w:val="20"/>
                <w:color w:val="auto"/>
              </w:rPr>
            </w:pPr>
            <w:r>
              <w:rPr>
                <w:rFonts w:ascii="Arial" w:cs="Arial" w:eastAsia="Arial" w:hAnsi="Arial"/>
                <w:sz w:val="13"/>
                <w:szCs w:val="13"/>
                <w:color w:val="auto"/>
              </w:rPr>
              <w:t>5.9</w:t>
            </w:r>
          </w:p>
        </w:tc>
        <w:tc>
          <w:tcPr>
            <w:tcW w:w="880" w:type="dxa"/>
            <w:vAlign w:val="bottom"/>
          </w:tcPr>
          <w:p>
            <w:pPr>
              <w:jc w:val="right"/>
              <w:ind w:right="118"/>
              <w:spacing w:after="0"/>
              <w:rPr>
                <w:sz w:val="20"/>
                <w:szCs w:val="20"/>
                <w:color w:val="auto"/>
              </w:rPr>
            </w:pPr>
            <w:r>
              <w:rPr>
                <w:rFonts w:ascii="Arial" w:cs="Arial" w:eastAsia="Arial" w:hAnsi="Arial"/>
                <w:sz w:val="13"/>
                <w:szCs w:val="13"/>
                <w:color w:val="auto"/>
              </w:rPr>
              <w:t>2.9</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15.2</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38.8</w:t>
            </w:r>
          </w:p>
        </w:tc>
        <w:tc>
          <w:tcPr>
            <w:tcW w:w="800" w:type="dxa"/>
            <w:vAlign w:val="bottom"/>
          </w:tcPr>
          <w:p>
            <w:pPr>
              <w:jc w:val="right"/>
              <w:ind w:right="99"/>
              <w:spacing w:after="0"/>
              <w:rPr>
                <w:sz w:val="20"/>
                <w:szCs w:val="20"/>
                <w:color w:val="auto"/>
              </w:rPr>
            </w:pPr>
            <w:r>
              <w:rPr>
                <w:rFonts w:ascii="Arial" w:cs="Arial" w:eastAsia="Arial" w:hAnsi="Arial"/>
                <w:sz w:val="13"/>
                <w:szCs w:val="13"/>
                <w:color w:val="auto"/>
              </w:rPr>
              <w:t>5.4</w:t>
            </w:r>
          </w:p>
        </w:tc>
        <w:tc>
          <w:tcPr>
            <w:tcW w:w="740" w:type="dxa"/>
            <w:vAlign w:val="bottom"/>
          </w:tcPr>
          <w:p>
            <w:pPr>
              <w:jc w:val="right"/>
              <w:ind w:right="98"/>
              <w:spacing w:after="0"/>
              <w:rPr>
                <w:sz w:val="20"/>
                <w:szCs w:val="20"/>
                <w:color w:val="auto"/>
              </w:rPr>
            </w:pPr>
            <w:r>
              <w:rPr>
                <w:rFonts w:ascii="Arial" w:cs="Arial" w:eastAsia="Arial" w:hAnsi="Arial"/>
                <w:sz w:val="13"/>
                <w:szCs w:val="13"/>
                <w:color w:val="auto"/>
              </w:rPr>
              <w:t>2.0</w:t>
            </w:r>
          </w:p>
        </w:tc>
        <w:tc>
          <w:tcPr>
            <w:tcW w:w="1200" w:type="dxa"/>
            <w:vAlign w:val="bottom"/>
          </w:tcPr>
          <w:p>
            <w:pPr>
              <w:jc w:val="right"/>
              <w:ind w:right="219"/>
              <w:spacing w:after="0"/>
              <w:rPr>
                <w:sz w:val="20"/>
                <w:szCs w:val="20"/>
                <w:color w:val="auto"/>
              </w:rPr>
            </w:pPr>
            <w:r>
              <w:rPr>
                <w:rFonts w:ascii="Arial" w:cs="Arial" w:eastAsia="Arial" w:hAnsi="Arial"/>
                <w:sz w:val="13"/>
                <w:szCs w:val="13"/>
                <w:color w:val="auto"/>
              </w:rPr>
              <w:t>8.5</w:t>
            </w:r>
          </w:p>
        </w:tc>
        <w:tc>
          <w:tcPr>
            <w:tcW w:w="900" w:type="dxa"/>
            <w:vAlign w:val="bottom"/>
          </w:tcPr>
          <w:p>
            <w:pPr>
              <w:jc w:val="right"/>
              <w:ind w:right="99"/>
              <w:spacing w:after="0"/>
              <w:rPr>
                <w:sz w:val="20"/>
                <w:szCs w:val="20"/>
                <w:color w:val="auto"/>
              </w:rPr>
            </w:pPr>
            <w:r>
              <w:rPr>
                <w:rFonts w:ascii="Arial" w:cs="Arial" w:eastAsia="Arial" w:hAnsi="Arial"/>
                <w:sz w:val="13"/>
                <w:szCs w:val="13"/>
                <w:color w:val="auto"/>
              </w:rPr>
              <w:t>12.0</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13.0</w:t>
            </w:r>
          </w:p>
        </w:tc>
        <w:tc>
          <w:tcPr>
            <w:tcW w:w="780" w:type="dxa"/>
            <w:vAlign w:val="bottom"/>
          </w:tcPr>
          <w:p>
            <w:pPr>
              <w:jc w:val="right"/>
              <w:ind w:right="79"/>
              <w:spacing w:after="0"/>
              <w:rPr>
                <w:sz w:val="20"/>
                <w:szCs w:val="20"/>
                <w:color w:val="auto"/>
              </w:rPr>
            </w:pPr>
            <w:r>
              <w:rPr>
                <w:rFonts w:ascii="Arial" w:cs="Arial" w:eastAsia="Arial" w:hAnsi="Arial"/>
                <w:sz w:val="13"/>
                <w:szCs w:val="13"/>
                <w:color w:val="auto"/>
              </w:rPr>
              <w:t>1.3</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60.9</w:t>
            </w:r>
          </w:p>
        </w:tc>
        <w:tc>
          <w:tcPr>
            <w:tcW w:w="0" w:type="dxa"/>
            <w:vAlign w:val="bottom"/>
          </w:tcPr>
          <w:p>
            <w:pPr>
              <w:spacing w:after="0"/>
              <w:rPr>
                <w:sz w:val="1"/>
                <w:szCs w:val="1"/>
                <w:color w:val="auto"/>
              </w:rPr>
            </w:pPr>
          </w:p>
        </w:tc>
      </w:tr>
      <w:tr>
        <w:trPr>
          <w:trHeight w:val="181"/>
        </w:trPr>
        <w:tc>
          <w:tcPr>
            <w:tcW w:w="1480" w:type="dxa"/>
            <w:vAlign w:val="bottom"/>
            <w:gridSpan w:val="2"/>
          </w:tcPr>
          <w:p>
            <w:pPr>
              <w:ind w:left="20"/>
              <w:spacing w:after="0"/>
              <w:rPr>
                <w:sz w:val="20"/>
                <w:szCs w:val="20"/>
                <w:color w:val="auto"/>
              </w:rPr>
            </w:pPr>
            <w:r>
              <w:rPr>
                <w:rFonts w:ascii="Arial" w:cs="Arial" w:eastAsia="Arial" w:hAnsi="Arial"/>
                <w:sz w:val="13"/>
                <w:szCs w:val="13"/>
                <w:color w:val="auto"/>
              </w:rPr>
              <w:t>Diluted EPS -</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480" w:type="dxa"/>
            <w:vAlign w:val="bottom"/>
            <w:gridSpan w:val="2"/>
          </w:tcPr>
          <w:p>
            <w:pPr>
              <w:ind w:left="20"/>
              <w:spacing w:after="0"/>
              <w:rPr>
                <w:sz w:val="20"/>
                <w:szCs w:val="20"/>
                <w:color w:val="auto"/>
              </w:rPr>
            </w:pPr>
            <w:r>
              <w:rPr>
                <w:rFonts w:ascii="Arial" w:cs="Arial" w:eastAsia="Arial" w:hAnsi="Arial"/>
                <w:sz w:val="13"/>
                <w:szCs w:val="13"/>
                <w:color w:val="auto"/>
              </w:rPr>
              <w:t>Continuing Operations</w:t>
            </w:r>
          </w:p>
        </w:tc>
        <w:tc>
          <w:tcPr>
            <w:tcW w:w="760" w:type="dxa"/>
            <w:vAlign w:val="bottom"/>
          </w:tcPr>
          <w:p>
            <w:pPr>
              <w:jc w:val="right"/>
              <w:ind w:right="58"/>
              <w:spacing w:after="0"/>
              <w:rPr>
                <w:sz w:val="20"/>
                <w:szCs w:val="20"/>
                <w:color w:val="auto"/>
              </w:rPr>
            </w:pPr>
            <w:r>
              <w:rPr>
                <w:rFonts w:ascii="Arial" w:cs="Arial" w:eastAsia="Arial" w:hAnsi="Arial"/>
                <w:sz w:val="13"/>
                <w:szCs w:val="13"/>
                <w:color w:val="auto"/>
              </w:rPr>
              <w:t>($0.92)</w:t>
            </w:r>
          </w:p>
        </w:tc>
        <w:tc>
          <w:tcPr>
            <w:tcW w:w="740" w:type="dxa"/>
            <w:vAlign w:val="bottom"/>
          </w:tcPr>
          <w:p>
            <w:pPr>
              <w:jc w:val="right"/>
              <w:ind w:right="119"/>
              <w:spacing w:after="0"/>
              <w:rPr>
                <w:sz w:val="20"/>
                <w:szCs w:val="20"/>
                <w:color w:val="auto"/>
              </w:rPr>
            </w:pPr>
            <w:r>
              <w:rPr>
                <w:rFonts w:ascii="Arial" w:cs="Arial" w:eastAsia="Arial" w:hAnsi="Arial"/>
                <w:sz w:val="13"/>
                <w:szCs w:val="13"/>
                <w:color w:val="auto"/>
              </w:rPr>
              <w:t>$0.12</w:t>
            </w:r>
          </w:p>
        </w:tc>
        <w:tc>
          <w:tcPr>
            <w:tcW w:w="880" w:type="dxa"/>
            <w:vAlign w:val="bottom"/>
          </w:tcPr>
          <w:p>
            <w:pPr>
              <w:jc w:val="right"/>
              <w:ind w:right="118"/>
              <w:spacing w:after="0"/>
              <w:rPr>
                <w:sz w:val="20"/>
                <w:szCs w:val="20"/>
                <w:color w:val="auto"/>
              </w:rPr>
            </w:pPr>
            <w:r>
              <w:rPr>
                <w:rFonts w:ascii="Arial" w:cs="Arial" w:eastAsia="Arial" w:hAnsi="Arial"/>
                <w:sz w:val="13"/>
                <w:szCs w:val="13"/>
                <w:color w:val="auto"/>
              </w:rPr>
              <w:t>$0.06</w:t>
            </w:r>
          </w:p>
        </w:tc>
        <w:tc>
          <w:tcPr>
            <w:tcW w:w="820" w:type="dxa"/>
            <w:vAlign w:val="bottom"/>
          </w:tcPr>
          <w:p>
            <w:pPr>
              <w:jc w:val="right"/>
              <w:ind w:right="139"/>
              <w:spacing w:after="0"/>
              <w:rPr>
                <w:sz w:val="20"/>
                <w:szCs w:val="20"/>
                <w:color w:val="auto"/>
              </w:rPr>
            </w:pPr>
            <w:r>
              <w:rPr>
                <w:rFonts w:ascii="Arial" w:cs="Arial" w:eastAsia="Arial" w:hAnsi="Arial"/>
                <w:sz w:val="13"/>
                <w:szCs w:val="13"/>
                <w:color w:val="auto"/>
              </w:rPr>
              <w:t>$0.31</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$0.79</w:t>
            </w:r>
          </w:p>
        </w:tc>
        <w:tc>
          <w:tcPr>
            <w:tcW w:w="800" w:type="dxa"/>
            <w:vAlign w:val="bottom"/>
          </w:tcPr>
          <w:p>
            <w:pPr>
              <w:jc w:val="right"/>
              <w:ind w:right="99"/>
              <w:spacing w:after="0"/>
              <w:rPr>
                <w:sz w:val="20"/>
                <w:szCs w:val="20"/>
                <w:color w:val="auto"/>
              </w:rPr>
            </w:pPr>
            <w:r>
              <w:rPr>
                <w:rFonts w:ascii="Arial" w:cs="Arial" w:eastAsia="Arial" w:hAnsi="Arial"/>
                <w:sz w:val="13"/>
                <w:szCs w:val="13"/>
                <w:color w:val="auto"/>
              </w:rPr>
              <w:t>$0.11</w:t>
            </w:r>
          </w:p>
        </w:tc>
        <w:tc>
          <w:tcPr>
            <w:tcW w:w="740" w:type="dxa"/>
            <w:vAlign w:val="bottom"/>
          </w:tcPr>
          <w:p>
            <w:pPr>
              <w:jc w:val="right"/>
              <w:ind w:right="98"/>
              <w:spacing w:after="0"/>
              <w:rPr>
                <w:sz w:val="20"/>
                <w:szCs w:val="20"/>
                <w:color w:val="auto"/>
              </w:rPr>
            </w:pPr>
            <w:r>
              <w:rPr>
                <w:rFonts w:ascii="Arial" w:cs="Arial" w:eastAsia="Arial" w:hAnsi="Arial"/>
                <w:sz w:val="13"/>
                <w:szCs w:val="13"/>
                <w:color w:val="auto"/>
              </w:rPr>
              <w:t>$0.04</w:t>
            </w:r>
          </w:p>
        </w:tc>
        <w:tc>
          <w:tcPr>
            <w:tcW w:w="1200" w:type="dxa"/>
            <w:vAlign w:val="bottom"/>
          </w:tcPr>
          <w:p>
            <w:pPr>
              <w:jc w:val="right"/>
              <w:ind w:right="219"/>
              <w:spacing w:after="0"/>
              <w:rPr>
                <w:sz w:val="20"/>
                <w:szCs w:val="20"/>
                <w:color w:val="auto"/>
              </w:rPr>
            </w:pPr>
            <w:r>
              <w:rPr>
                <w:rFonts w:ascii="Arial" w:cs="Arial" w:eastAsia="Arial" w:hAnsi="Arial"/>
                <w:sz w:val="13"/>
                <w:szCs w:val="13"/>
                <w:color w:val="auto"/>
              </w:rPr>
              <w:t>$0.17</w:t>
            </w:r>
          </w:p>
        </w:tc>
        <w:tc>
          <w:tcPr>
            <w:tcW w:w="900" w:type="dxa"/>
            <w:vAlign w:val="bottom"/>
          </w:tcPr>
          <w:p>
            <w:pPr>
              <w:jc w:val="right"/>
              <w:ind w:right="99"/>
              <w:spacing w:after="0"/>
              <w:rPr>
                <w:sz w:val="20"/>
                <w:szCs w:val="20"/>
                <w:color w:val="auto"/>
              </w:rPr>
            </w:pPr>
            <w:r>
              <w:rPr>
                <w:rFonts w:ascii="Arial" w:cs="Arial" w:eastAsia="Arial" w:hAnsi="Arial"/>
                <w:sz w:val="13"/>
                <w:szCs w:val="13"/>
                <w:color w:val="auto"/>
              </w:rPr>
              <w:t>$0.25</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$0.27</w:t>
            </w:r>
          </w:p>
        </w:tc>
        <w:tc>
          <w:tcPr>
            <w:tcW w:w="780" w:type="dxa"/>
            <w:vAlign w:val="bottom"/>
          </w:tcPr>
          <w:p>
            <w:pPr>
              <w:jc w:val="right"/>
              <w:ind w:right="79"/>
              <w:spacing w:after="0"/>
              <w:rPr>
                <w:sz w:val="20"/>
                <w:szCs w:val="20"/>
                <w:color w:val="auto"/>
              </w:rPr>
            </w:pPr>
            <w:r>
              <w:rPr>
                <w:rFonts w:ascii="Arial" w:cs="Arial" w:eastAsia="Arial" w:hAnsi="Arial"/>
                <w:sz w:val="13"/>
                <w:szCs w:val="13"/>
                <w:color w:val="auto"/>
              </w:rPr>
              <w:t>$0.03</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GAAP results for the six months ended June 30, 2019 include:</w:t>
      </w:r>
    </w:p>
    <w:p>
      <w:pPr>
        <w:spacing w:after="0" w:line="58" w:lineRule="exact"/>
        <w:rPr>
          <w:sz w:val="20"/>
          <w:szCs w:val="20"/>
          <w:color w:val="auto"/>
        </w:rPr>
      </w:pPr>
    </w:p>
    <w:p>
      <w:pPr>
        <w:ind w:left="340" w:hanging="320"/>
        <w:spacing w:after="0"/>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Merger and integration expenses related to our legacy companies and recent acquisitions</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Restructuring expenses related to organizational changes</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depreciation and amortization associated with purchase price accounting</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Impairment of ImThera intangible assets and other long-lived assets</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Costs related to the 3T Heater-Cooler remediation plan</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Costs related to acquisitions</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Contingent consideration related to acquisitions and legal expenses primarily related to 3T Heater-Cooler defense and other matters</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Non-cash expenses associated with stock-based compensation costs</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Primarily relates to discrete tax items and the tax impact of intercompany transactions</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Primarily relates to intellectual property migration and other non-recurring impacts to interest expense</w:t>
      </w:r>
    </w:p>
    <w:p>
      <w:pPr>
        <w:spacing w:after="0" w:line="42" w:lineRule="exact"/>
        <w:rPr>
          <w:sz w:val="20"/>
          <w:szCs w:val="20"/>
          <w:color w:val="auto"/>
        </w:rPr>
      </w:pPr>
    </w:p>
    <w:p>
      <w:pPr>
        <w:ind w:left="340" w:hanging="320"/>
        <w:spacing w:after="0"/>
        <w:tabs>
          <w:tab w:leader="none" w:pos="3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Numbers may not add up precisely due to rounding.</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440"/>
          </w:cols>
          <w:pgMar w:left="240" w:top="709" w:right="219"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2777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158"/>
              <w:spacing w:after="0"/>
              <w:rPr>
                <w:sz w:val="20"/>
                <w:szCs w:val="20"/>
                <w:color w:val="auto"/>
              </w:rPr>
            </w:pPr>
            <w:r>
              <w:rPr>
                <w:rFonts w:ascii="Arial" w:cs="Arial" w:eastAsia="Arial" w:hAnsi="Arial"/>
                <w:sz w:val="11"/>
                <w:szCs w:val="11"/>
                <w:b w:val="1"/>
                <w:bCs w:val="1"/>
                <w:color w:val="auto"/>
              </w:rPr>
              <w:t>Specified Items</w:t>
            </w:r>
          </w:p>
        </w:tc>
        <w:tc>
          <w:tcPr>
            <w:tcW w:w="9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Depreciation</w:t>
            </w: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Non-recurring</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Merger and</w:t>
            </w:r>
          </w:p>
        </w:tc>
        <w:tc>
          <w:tcPr>
            <w:tcW w:w="900" w:type="dxa"/>
            <w:vAlign w:val="bottom"/>
          </w:tcPr>
          <w:p>
            <w:pPr>
              <w:spacing w:after="0"/>
              <w:rPr>
                <w:sz w:val="10"/>
                <w:szCs w:val="10"/>
                <w:color w:val="auto"/>
              </w:rPr>
            </w:pPr>
          </w:p>
        </w:tc>
        <w:tc>
          <w:tcPr>
            <w:tcW w:w="8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and</w:t>
            </w:r>
          </w:p>
        </w:tc>
        <w:tc>
          <w:tcPr>
            <w:tcW w:w="8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Product</w:t>
            </w:r>
          </w:p>
        </w:tc>
        <w:tc>
          <w:tcPr>
            <w:tcW w:w="780" w:type="dxa"/>
            <w:vAlign w:val="bottom"/>
          </w:tcPr>
          <w:p>
            <w:pPr>
              <w:spacing w:after="0"/>
              <w:rPr>
                <w:sz w:val="10"/>
                <w:szCs w:val="10"/>
                <w:color w:val="auto"/>
              </w:rPr>
            </w:pPr>
          </w:p>
        </w:tc>
        <w:tc>
          <w:tcPr>
            <w:tcW w:w="660" w:type="dxa"/>
            <w:vAlign w:val="bottom"/>
          </w:tcPr>
          <w:p>
            <w:pPr>
              <w:jc w:val="center"/>
              <w:ind w:right="18"/>
              <w:spacing w:after="0" w:line="120" w:lineRule="exact"/>
              <w:rPr>
                <w:sz w:val="20"/>
                <w:szCs w:val="20"/>
                <w:color w:val="auto"/>
              </w:rPr>
            </w:pPr>
            <w:r>
              <w:rPr>
                <w:rFonts w:ascii="Arial" w:cs="Arial" w:eastAsia="Arial" w:hAnsi="Arial"/>
                <w:sz w:val="11"/>
                <w:szCs w:val="11"/>
                <w:b w:val="1"/>
                <w:bCs w:val="1"/>
                <w:color w:val="auto"/>
              </w:rPr>
              <w:t>CRM</w:t>
            </w:r>
          </w:p>
        </w:tc>
        <w:tc>
          <w:tcPr>
            <w:tcW w:w="9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Legal and</w:t>
            </w:r>
          </w:p>
        </w:tc>
        <w:tc>
          <w:tcPr>
            <w:tcW w:w="9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Stock-based</w:t>
            </w:r>
          </w:p>
        </w:tc>
        <w:tc>
          <w:tcPr>
            <w:tcW w:w="820" w:type="dxa"/>
            <w:vAlign w:val="bottom"/>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Certain</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Six Months Ended</w:t>
            </w:r>
          </w:p>
        </w:tc>
        <w:tc>
          <w:tcPr>
            <w:tcW w:w="6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GAAP</w:t>
            </w:r>
          </w:p>
        </w:tc>
        <w:tc>
          <w:tcPr>
            <w:tcW w:w="7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8"/>
              </w:rPr>
              <w:t>Integration</w:t>
            </w:r>
          </w:p>
        </w:tc>
        <w:tc>
          <w:tcPr>
            <w:tcW w:w="9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9"/>
              </w:rPr>
              <w:t>Restructuring</w:t>
            </w:r>
          </w:p>
        </w:tc>
        <w:tc>
          <w:tcPr>
            <w:tcW w:w="8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Amortization</w:t>
            </w:r>
          </w:p>
        </w:tc>
        <w:tc>
          <w:tcPr>
            <w:tcW w:w="8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Remediation</w:t>
            </w:r>
          </w:p>
        </w:tc>
        <w:tc>
          <w:tcPr>
            <w:tcW w:w="7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Acquisition</w:t>
            </w:r>
          </w:p>
        </w:tc>
        <w:tc>
          <w:tcPr>
            <w:tcW w:w="660" w:type="dxa"/>
            <w:vAlign w:val="bottom"/>
          </w:tcPr>
          <w:p>
            <w:pPr>
              <w:jc w:val="center"/>
              <w:ind w:right="18"/>
              <w:spacing w:after="0" w:line="120" w:lineRule="exact"/>
              <w:rPr>
                <w:sz w:val="20"/>
                <w:szCs w:val="20"/>
                <w:color w:val="auto"/>
              </w:rPr>
            </w:pPr>
            <w:r>
              <w:rPr>
                <w:rFonts w:ascii="Arial" w:cs="Arial" w:eastAsia="Arial" w:hAnsi="Arial"/>
                <w:sz w:val="11"/>
                <w:szCs w:val="11"/>
                <w:b w:val="1"/>
                <w:bCs w:val="1"/>
                <w:color w:val="auto"/>
              </w:rPr>
              <w:t>Disposal</w:t>
            </w:r>
          </w:p>
        </w:tc>
        <w:tc>
          <w:tcPr>
            <w:tcW w:w="9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9"/>
              </w:rPr>
              <w:t>Contingent</w:t>
            </w:r>
          </w:p>
        </w:tc>
        <w:tc>
          <w:tcPr>
            <w:tcW w:w="9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9"/>
              </w:rPr>
              <w:t>Compensation</w:t>
            </w: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6"/>
              </w:rPr>
              <w:t>Certain Tax</w:t>
            </w: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Interest</w:t>
            </w:r>
          </w:p>
        </w:tc>
        <w:tc>
          <w:tcPr>
            <w:tcW w:w="7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Adjusted</w:t>
            </w:r>
          </w:p>
        </w:tc>
        <w:tc>
          <w:tcPr>
            <w:tcW w:w="0" w:type="dxa"/>
            <w:vAlign w:val="bottom"/>
          </w:tcPr>
          <w:p>
            <w:pPr>
              <w:spacing w:after="0"/>
              <w:rPr>
                <w:sz w:val="1"/>
                <w:szCs w:val="1"/>
                <w:color w:val="auto"/>
              </w:rPr>
            </w:pPr>
          </w:p>
        </w:tc>
      </w:tr>
      <w:tr>
        <w:trPr>
          <w:trHeight w:val="115"/>
        </w:trPr>
        <w:tc>
          <w:tcPr>
            <w:tcW w:w="1640" w:type="dxa"/>
            <w:vAlign w:val="bottom"/>
            <w:gridSpan w:val="2"/>
            <w:vMerge w:val="continue"/>
          </w:tcPr>
          <w:p>
            <w:pPr>
              <w:spacing w:after="0"/>
              <w:rPr>
                <w:sz w:val="9"/>
                <w:szCs w:val="9"/>
                <w:color w:val="auto"/>
              </w:rPr>
            </w:pPr>
          </w:p>
        </w:tc>
        <w:tc>
          <w:tcPr>
            <w:tcW w:w="6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7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9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780" w:type="dxa"/>
            <w:vAlign w:val="bottom"/>
          </w:tcPr>
          <w:p>
            <w:pPr>
              <w:jc w:val="center"/>
              <w:ind w:right="18"/>
              <w:spacing w:after="0" w:line="115" w:lineRule="exact"/>
              <w:rPr>
                <w:sz w:val="20"/>
                <w:szCs w:val="20"/>
                <w:color w:val="auto"/>
              </w:rPr>
            </w:pPr>
            <w:r>
              <w:rPr>
                <w:rFonts w:ascii="Arial" w:cs="Arial" w:eastAsia="Arial" w:hAnsi="Arial"/>
                <w:sz w:val="11"/>
                <w:szCs w:val="11"/>
                <w:b w:val="1"/>
                <w:bCs w:val="1"/>
                <w:color w:val="auto"/>
                <w:w w:val="98"/>
              </w:rPr>
              <w:t>Costs</w:t>
            </w:r>
          </w:p>
        </w:tc>
        <w:tc>
          <w:tcPr>
            <w:tcW w:w="660" w:type="dxa"/>
            <w:vAlign w:val="bottom"/>
          </w:tcPr>
          <w:p>
            <w:pPr>
              <w:jc w:val="center"/>
              <w:ind w:right="58"/>
              <w:spacing w:after="0" w:line="115" w:lineRule="exact"/>
              <w:rPr>
                <w:sz w:val="20"/>
                <w:szCs w:val="20"/>
                <w:color w:val="auto"/>
              </w:rPr>
            </w:pPr>
            <w:r>
              <w:rPr>
                <w:rFonts w:ascii="Arial" w:cs="Arial" w:eastAsia="Arial" w:hAnsi="Arial"/>
                <w:sz w:val="11"/>
                <w:szCs w:val="11"/>
                <w:b w:val="1"/>
                <w:bCs w:val="1"/>
                <w:color w:val="auto"/>
                <w:w w:val="98"/>
              </w:rPr>
              <w:t>Costs</w:t>
            </w:r>
          </w:p>
        </w:tc>
        <w:tc>
          <w:tcPr>
            <w:tcW w:w="9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9"/>
              </w:rPr>
              <w:t>Consideration</w:t>
            </w:r>
          </w:p>
        </w:tc>
        <w:tc>
          <w:tcPr>
            <w:tcW w:w="9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Costs</w:t>
            </w:r>
          </w:p>
        </w:tc>
        <w:tc>
          <w:tcPr>
            <w:tcW w:w="8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Adjustments</w:t>
            </w:r>
          </w:p>
        </w:tc>
        <w:tc>
          <w:tcPr>
            <w:tcW w:w="8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Adjustments</w:t>
            </w:r>
          </w:p>
        </w:tc>
        <w:tc>
          <w:tcPr>
            <w:tcW w:w="7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0" w:type="dxa"/>
            <w:vAlign w:val="bottom"/>
          </w:tcPr>
          <w:p>
            <w:pPr>
              <w:spacing w:after="0"/>
              <w:rPr>
                <w:sz w:val="1"/>
                <w:szCs w:val="1"/>
                <w:color w:val="auto"/>
              </w:rPr>
            </w:pPr>
          </w:p>
        </w:tc>
      </w:tr>
      <w:tr>
        <w:trPr>
          <w:trHeight w:val="167"/>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June 30, 2018</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Measures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(B)</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(E)</w:t>
            </w:r>
          </w:p>
        </w:tc>
        <w:tc>
          <w:tcPr>
            <w:tcW w:w="660" w:type="dxa"/>
            <w:vAlign w:val="bottom"/>
            <w:tcBorders>
              <w:bottom w:val="single" w:sz="8" w:color="auto"/>
            </w:tcBorders>
          </w:tcPr>
          <w:p>
            <w:pPr>
              <w:jc w:val="center"/>
              <w:ind w:right="18"/>
              <w:spacing w:after="0"/>
              <w:rPr>
                <w:sz w:val="20"/>
                <w:szCs w:val="20"/>
                <w:color w:val="auto"/>
              </w:rPr>
            </w:pPr>
            <w:r>
              <w:rPr>
                <w:rFonts w:ascii="Arial" w:cs="Arial" w:eastAsia="Arial" w:hAnsi="Arial"/>
                <w:sz w:val="11"/>
                <w:szCs w:val="11"/>
                <w:b w:val="1"/>
                <w:bCs w:val="1"/>
                <w:color w:val="auto"/>
                <w:w w:val="99"/>
              </w:rPr>
              <w:t>(F)</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(G)</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(H)</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(J)</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Measures</w:t>
            </w:r>
          </w:p>
        </w:tc>
        <w:tc>
          <w:tcPr>
            <w:tcW w:w="0" w:type="dxa"/>
            <w:vAlign w:val="bottom"/>
          </w:tcPr>
          <w:p>
            <w:pPr>
              <w:spacing w:after="0"/>
              <w:rPr>
                <w:sz w:val="1"/>
                <w:szCs w:val="1"/>
                <w:color w:val="auto"/>
              </w:rPr>
            </w:pPr>
          </w:p>
        </w:tc>
      </w:tr>
      <w:tr>
        <w:trPr>
          <w:trHeight w:val="163"/>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Cost of sales - exclusive</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of amortization</w:t>
            </w:r>
          </w:p>
        </w:tc>
        <w:tc>
          <w:tcPr>
            <w:tcW w:w="680" w:type="dxa"/>
            <w:vAlign w:val="bottom"/>
          </w:tcPr>
          <w:p>
            <w:pPr>
              <w:jc w:val="right"/>
              <w:ind w:right="118"/>
              <w:spacing w:after="0"/>
              <w:rPr>
                <w:sz w:val="20"/>
                <w:szCs w:val="20"/>
                <w:color w:val="auto"/>
              </w:rPr>
            </w:pPr>
            <w:r>
              <w:rPr>
                <w:rFonts w:ascii="Arial" w:cs="Arial" w:eastAsia="Arial" w:hAnsi="Arial"/>
                <w:sz w:val="13"/>
                <w:szCs w:val="13"/>
                <w:color w:val="auto"/>
              </w:rPr>
              <w:t>$176.6</w:t>
            </w:r>
          </w:p>
        </w:tc>
        <w:tc>
          <w:tcPr>
            <w:tcW w:w="78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9"/>
              <w:spacing w:after="0"/>
              <w:rPr>
                <w:sz w:val="20"/>
                <w:szCs w:val="20"/>
                <w:color w:val="auto"/>
              </w:rPr>
            </w:pPr>
            <w:r>
              <w:rPr>
                <w:rFonts w:ascii="Arial" w:cs="Arial" w:eastAsia="Arial" w:hAnsi="Arial"/>
                <w:sz w:val="13"/>
                <w:szCs w:val="13"/>
                <w:color w:val="auto"/>
              </w:rPr>
              <w:t>($5.7)</w:t>
            </w:r>
          </w:p>
        </w:tc>
        <w:tc>
          <w:tcPr>
            <w:tcW w:w="86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8"/>
              <w:spacing w:after="0"/>
              <w:rPr>
                <w:sz w:val="20"/>
                <w:szCs w:val="20"/>
                <w:color w:val="auto"/>
              </w:rPr>
            </w:pPr>
            <w:r>
              <w:rPr>
                <w:rFonts w:ascii="Arial" w:cs="Arial" w:eastAsia="Arial" w:hAnsi="Arial"/>
                <w:sz w:val="13"/>
                <w:szCs w:val="13"/>
                <w:color w:val="auto"/>
              </w:rPr>
              <w:t>($0.1)</w:t>
            </w:r>
          </w:p>
        </w:tc>
        <w:tc>
          <w:tcPr>
            <w:tcW w:w="66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9"/>
              <w:spacing w:after="0"/>
              <w:rPr>
                <w:sz w:val="20"/>
                <w:szCs w:val="20"/>
                <w:color w:val="auto"/>
              </w:rPr>
            </w:pPr>
            <w:r>
              <w:rPr>
                <w:rFonts w:ascii="Arial" w:cs="Arial" w:eastAsia="Arial" w:hAnsi="Arial"/>
                <w:sz w:val="13"/>
                <w:szCs w:val="13"/>
                <w:color w:val="auto"/>
              </w:rPr>
              <w:t>$3.6</w:t>
            </w:r>
          </w:p>
        </w:tc>
        <w:tc>
          <w:tcPr>
            <w:tcW w:w="960" w:type="dxa"/>
            <w:vAlign w:val="bottom"/>
          </w:tcPr>
          <w:p>
            <w:pPr>
              <w:jc w:val="right"/>
              <w:ind w:right="58"/>
              <w:spacing w:after="0"/>
              <w:rPr>
                <w:sz w:val="20"/>
                <w:szCs w:val="20"/>
                <w:color w:val="auto"/>
              </w:rPr>
            </w:pPr>
            <w:r>
              <w:rPr>
                <w:rFonts w:ascii="Arial" w:cs="Arial" w:eastAsia="Arial" w:hAnsi="Arial"/>
                <w:sz w:val="13"/>
                <w:szCs w:val="13"/>
                <w:color w:val="auto"/>
              </w:rPr>
              <w:t>($0.5)</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58"/>
              <w:spacing w:after="0"/>
              <w:rPr>
                <w:sz w:val="20"/>
                <w:szCs w:val="20"/>
                <w:color w:val="auto"/>
              </w:rPr>
            </w:pPr>
            <w:r>
              <w:rPr>
                <w:rFonts w:ascii="Arial" w:cs="Arial" w:eastAsia="Arial" w:hAnsi="Arial"/>
                <w:sz w:val="13"/>
                <w:szCs w:val="13"/>
                <w:color w:val="auto"/>
              </w:rPr>
              <w:t>$174.0</w:t>
            </w:r>
          </w:p>
        </w:tc>
        <w:tc>
          <w:tcPr>
            <w:tcW w:w="0" w:type="dxa"/>
            <w:vAlign w:val="bottom"/>
          </w:tcPr>
          <w:p>
            <w:pPr>
              <w:spacing w:after="0"/>
              <w:rPr>
                <w:sz w:val="1"/>
                <w:szCs w:val="1"/>
                <w:color w:val="auto"/>
              </w:rPr>
            </w:pPr>
          </w:p>
        </w:tc>
      </w:tr>
      <w:tr>
        <w:trPr>
          <w:trHeight w:val="239"/>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Product remediation</w:t>
            </w:r>
          </w:p>
        </w:tc>
        <w:tc>
          <w:tcPr>
            <w:tcW w:w="680" w:type="dxa"/>
            <w:vAlign w:val="bottom"/>
          </w:tcPr>
          <w:p>
            <w:pPr>
              <w:jc w:val="right"/>
              <w:ind w:right="118"/>
              <w:spacing w:after="0"/>
              <w:rPr>
                <w:sz w:val="20"/>
                <w:szCs w:val="20"/>
                <w:color w:val="auto"/>
              </w:rPr>
            </w:pPr>
            <w:r>
              <w:rPr>
                <w:rFonts w:ascii="Arial" w:cs="Arial" w:eastAsia="Arial" w:hAnsi="Arial"/>
                <w:sz w:val="13"/>
                <w:szCs w:val="13"/>
                <w:color w:val="auto"/>
              </w:rPr>
              <w:t>5.3</w:t>
            </w:r>
          </w:p>
        </w:tc>
        <w:tc>
          <w:tcPr>
            <w:tcW w:w="78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9"/>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8"/>
              <w:spacing w:after="0"/>
              <w:rPr>
                <w:sz w:val="20"/>
                <w:szCs w:val="20"/>
                <w:color w:val="auto"/>
              </w:rPr>
            </w:pPr>
            <w:r>
              <w:rPr>
                <w:rFonts w:ascii="Arial" w:cs="Arial" w:eastAsia="Arial" w:hAnsi="Arial"/>
                <w:sz w:val="13"/>
                <w:szCs w:val="13"/>
                <w:color w:val="auto"/>
              </w:rPr>
              <w:t>(5.3)</w:t>
            </w:r>
          </w:p>
        </w:tc>
        <w:tc>
          <w:tcPr>
            <w:tcW w:w="78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9"/>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9"/>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Gross profit percent</w:t>
            </w:r>
          </w:p>
        </w:tc>
        <w:tc>
          <w:tcPr>
            <w:tcW w:w="680" w:type="dxa"/>
            <w:vAlign w:val="bottom"/>
          </w:tcPr>
          <w:p>
            <w:pPr>
              <w:jc w:val="right"/>
              <w:spacing w:after="0"/>
              <w:rPr>
                <w:sz w:val="20"/>
                <w:szCs w:val="20"/>
                <w:color w:val="auto"/>
              </w:rPr>
            </w:pPr>
            <w:r>
              <w:rPr>
                <w:rFonts w:ascii="Arial" w:cs="Arial" w:eastAsia="Arial" w:hAnsi="Arial"/>
                <w:sz w:val="13"/>
                <w:szCs w:val="13"/>
                <w:color w:val="auto"/>
              </w:rPr>
              <w:t>66.2%</w:t>
            </w: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9"/>
              <w:spacing w:after="0"/>
              <w:rPr>
                <w:sz w:val="20"/>
                <w:szCs w:val="20"/>
                <w:color w:val="auto"/>
              </w:rPr>
            </w:pPr>
            <w:r>
              <w:rPr>
                <w:rFonts w:ascii="Arial" w:cs="Arial" w:eastAsia="Arial" w:hAnsi="Arial"/>
                <w:sz w:val="13"/>
                <w:szCs w:val="13"/>
                <w:color w:val="auto"/>
              </w:rPr>
              <w:t>1.1%</w:t>
            </w:r>
          </w:p>
        </w:tc>
        <w:tc>
          <w:tcPr>
            <w:tcW w:w="860" w:type="dxa"/>
            <w:vAlign w:val="bottom"/>
          </w:tcPr>
          <w:p>
            <w:pPr>
              <w:jc w:val="right"/>
              <w:spacing w:after="0"/>
              <w:rPr>
                <w:sz w:val="20"/>
                <w:szCs w:val="20"/>
                <w:color w:val="auto"/>
              </w:rPr>
            </w:pPr>
            <w:r>
              <w:rPr>
                <w:rFonts w:ascii="Arial" w:cs="Arial" w:eastAsia="Arial" w:hAnsi="Arial"/>
                <w:sz w:val="13"/>
                <w:szCs w:val="13"/>
                <w:color w:val="auto"/>
              </w:rPr>
              <w:t>1.0%</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 %</w:t>
            </w:r>
          </w:p>
        </w:tc>
        <w:tc>
          <w:tcPr>
            <w:tcW w:w="960" w:type="dxa"/>
            <w:vAlign w:val="bottom"/>
          </w:tcPr>
          <w:p>
            <w:pPr>
              <w:jc w:val="right"/>
              <w:ind w:right="99"/>
              <w:spacing w:after="0"/>
              <w:rPr>
                <w:sz w:val="20"/>
                <w:szCs w:val="20"/>
                <w:color w:val="auto"/>
              </w:rPr>
            </w:pPr>
            <w:r>
              <w:rPr>
                <w:rFonts w:ascii="Arial" w:cs="Arial" w:eastAsia="Arial" w:hAnsi="Arial"/>
                <w:sz w:val="13"/>
                <w:szCs w:val="13"/>
                <w:color w:val="auto"/>
              </w:rPr>
              <w:t>(0.7)%</w:t>
            </w:r>
          </w:p>
        </w:tc>
        <w:tc>
          <w:tcPr>
            <w:tcW w:w="960" w:type="dxa"/>
            <w:vAlign w:val="bottom"/>
          </w:tcPr>
          <w:p>
            <w:pPr>
              <w:jc w:val="right"/>
              <w:spacing w:after="0"/>
              <w:rPr>
                <w:sz w:val="20"/>
                <w:szCs w:val="20"/>
                <w:color w:val="auto"/>
              </w:rPr>
            </w:pPr>
            <w:r>
              <w:rPr>
                <w:rFonts w:ascii="Arial" w:cs="Arial" w:eastAsia="Arial" w:hAnsi="Arial"/>
                <w:sz w:val="13"/>
                <w:szCs w:val="13"/>
                <w:color w:val="auto"/>
              </w:rPr>
              <w:t>0.1%</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67.7%</w:t>
            </w:r>
          </w:p>
        </w:tc>
        <w:tc>
          <w:tcPr>
            <w:tcW w:w="0" w:type="dxa"/>
            <w:vAlign w:val="bottom"/>
          </w:tcPr>
          <w:p>
            <w:pPr>
              <w:spacing w:after="0"/>
              <w:rPr>
                <w:sz w:val="1"/>
                <w:szCs w:val="1"/>
                <w:color w:val="auto"/>
              </w:rPr>
            </w:pPr>
          </w:p>
        </w:tc>
      </w:tr>
      <w:tr>
        <w:trPr>
          <w:trHeight w:val="181"/>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Selling, general and</w:t>
            </w: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administrative</w:t>
            </w:r>
          </w:p>
        </w:tc>
        <w:tc>
          <w:tcPr>
            <w:tcW w:w="680" w:type="dxa"/>
            <w:vAlign w:val="bottom"/>
          </w:tcPr>
          <w:p>
            <w:pPr>
              <w:jc w:val="right"/>
              <w:ind w:right="118"/>
              <w:spacing w:after="0"/>
              <w:rPr>
                <w:sz w:val="20"/>
                <w:szCs w:val="20"/>
                <w:color w:val="auto"/>
              </w:rPr>
            </w:pPr>
            <w:r>
              <w:rPr>
                <w:rFonts w:ascii="Arial" w:cs="Arial" w:eastAsia="Arial" w:hAnsi="Arial"/>
                <w:sz w:val="13"/>
                <w:szCs w:val="13"/>
                <w:color w:val="auto"/>
              </w:rPr>
              <w:t>$227.6</w:t>
            </w:r>
          </w:p>
        </w:tc>
        <w:tc>
          <w:tcPr>
            <w:tcW w:w="78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9"/>
              <w:spacing w:after="0"/>
              <w:rPr>
                <w:sz w:val="20"/>
                <w:szCs w:val="20"/>
                <w:color w:val="auto"/>
              </w:rPr>
            </w:pPr>
            <w:r>
              <w:rPr>
                <w:rFonts w:ascii="Arial" w:cs="Arial" w:eastAsia="Arial" w:hAnsi="Arial"/>
                <w:sz w:val="13"/>
                <w:szCs w:val="13"/>
                <w:color w:val="auto"/>
              </w:rPr>
              <w:t>($0.3)</w:t>
            </w:r>
          </w:p>
        </w:tc>
        <w:tc>
          <w:tcPr>
            <w:tcW w:w="86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8"/>
              <w:spacing w:after="0"/>
              <w:rPr>
                <w:sz w:val="20"/>
                <w:szCs w:val="20"/>
                <w:color w:val="auto"/>
              </w:rPr>
            </w:pPr>
            <w:r>
              <w:rPr>
                <w:rFonts w:ascii="Arial" w:cs="Arial" w:eastAsia="Arial" w:hAnsi="Arial"/>
                <w:sz w:val="13"/>
                <w:szCs w:val="13"/>
                <w:color w:val="auto"/>
              </w:rPr>
              <w:t>($3.8)</w:t>
            </w:r>
          </w:p>
        </w:tc>
        <w:tc>
          <w:tcPr>
            <w:tcW w:w="660" w:type="dxa"/>
            <w:vAlign w:val="bottom"/>
          </w:tcPr>
          <w:p>
            <w:pPr>
              <w:jc w:val="right"/>
              <w:ind w:right="138"/>
              <w:spacing w:after="0"/>
              <w:rPr>
                <w:sz w:val="20"/>
                <w:szCs w:val="20"/>
                <w:color w:val="auto"/>
              </w:rPr>
            </w:pPr>
            <w:r>
              <w:rPr>
                <w:rFonts w:ascii="Arial" w:cs="Arial" w:eastAsia="Arial" w:hAnsi="Arial"/>
                <w:sz w:val="13"/>
                <w:szCs w:val="13"/>
                <w:color w:val="auto"/>
              </w:rPr>
              <w:t>($1.9)</w:t>
            </w:r>
          </w:p>
        </w:tc>
        <w:tc>
          <w:tcPr>
            <w:tcW w:w="960" w:type="dxa"/>
            <w:vAlign w:val="bottom"/>
          </w:tcPr>
          <w:p>
            <w:pPr>
              <w:jc w:val="right"/>
              <w:ind w:right="219"/>
              <w:spacing w:after="0"/>
              <w:rPr>
                <w:sz w:val="20"/>
                <w:szCs w:val="20"/>
                <w:color w:val="auto"/>
              </w:rPr>
            </w:pPr>
            <w:r>
              <w:rPr>
                <w:rFonts w:ascii="Arial" w:cs="Arial" w:eastAsia="Arial" w:hAnsi="Arial"/>
                <w:sz w:val="13"/>
                <w:szCs w:val="13"/>
                <w:color w:val="auto"/>
              </w:rPr>
              <w:t>($11.4)</w:t>
            </w:r>
          </w:p>
        </w:tc>
        <w:tc>
          <w:tcPr>
            <w:tcW w:w="960" w:type="dxa"/>
            <w:vAlign w:val="bottom"/>
          </w:tcPr>
          <w:p>
            <w:pPr>
              <w:jc w:val="right"/>
              <w:ind w:right="58"/>
              <w:spacing w:after="0"/>
              <w:rPr>
                <w:sz w:val="20"/>
                <w:szCs w:val="20"/>
                <w:color w:val="auto"/>
              </w:rPr>
            </w:pPr>
            <w:r>
              <w:rPr>
                <w:rFonts w:ascii="Arial" w:cs="Arial" w:eastAsia="Arial" w:hAnsi="Arial"/>
                <w:sz w:val="13"/>
                <w:szCs w:val="13"/>
                <w:color w:val="auto"/>
              </w:rPr>
              <w:t>($9.3)</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58"/>
              <w:spacing w:after="0"/>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181"/>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Research and</w:t>
            </w: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development</w:t>
            </w:r>
          </w:p>
        </w:tc>
        <w:tc>
          <w:tcPr>
            <w:tcW w:w="680" w:type="dxa"/>
            <w:vAlign w:val="bottom"/>
          </w:tcPr>
          <w:p>
            <w:pPr>
              <w:jc w:val="right"/>
              <w:ind w:right="118"/>
              <w:spacing w:after="0"/>
              <w:rPr>
                <w:sz w:val="20"/>
                <w:szCs w:val="20"/>
                <w:color w:val="auto"/>
              </w:rPr>
            </w:pPr>
            <w:r>
              <w:rPr>
                <w:rFonts w:ascii="Arial" w:cs="Arial" w:eastAsia="Arial" w:hAnsi="Arial"/>
                <w:sz w:val="13"/>
                <w:szCs w:val="13"/>
                <w:color w:val="auto"/>
              </w:rPr>
              <w:t>66.0</w:t>
            </w:r>
          </w:p>
        </w:tc>
        <w:tc>
          <w:tcPr>
            <w:tcW w:w="78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9"/>
              <w:spacing w:after="0"/>
              <w:rPr>
                <w:sz w:val="20"/>
                <w:szCs w:val="20"/>
                <w:color w:val="auto"/>
              </w:rPr>
            </w:pPr>
            <w:r>
              <w:rPr>
                <w:rFonts w:ascii="Arial" w:cs="Arial" w:eastAsia="Arial" w:hAnsi="Arial"/>
                <w:sz w:val="13"/>
                <w:szCs w:val="13"/>
                <w:color w:val="auto"/>
              </w:rPr>
              <w:t>(0.1)</w:t>
            </w:r>
          </w:p>
        </w:tc>
        <w:tc>
          <w:tcPr>
            <w:tcW w:w="86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8"/>
              <w:spacing w:after="0"/>
              <w:rPr>
                <w:sz w:val="20"/>
                <w:szCs w:val="20"/>
                <w:color w:val="auto"/>
              </w:rPr>
            </w:pPr>
            <w:r>
              <w:rPr>
                <w:rFonts w:ascii="Arial" w:cs="Arial" w:eastAsia="Arial" w:hAnsi="Arial"/>
                <w:sz w:val="13"/>
                <w:szCs w:val="13"/>
                <w:color w:val="auto"/>
              </w:rPr>
              <w:t>(3.7)</w:t>
            </w:r>
          </w:p>
        </w:tc>
        <w:tc>
          <w:tcPr>
            <w:tcW w:w="66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9"/>
              <w:spacing w:after="0"/>
              <w:rPr>
                <w:sz w:val="20"/>
                <w:szCs w:val="20"/>
                <w:color w:val="auto"/>
              </w:rPr>
            </w:pPr>
            <w:r>
              <w:rPr>
                <w:rFonts w:ascii="Arial" w:cs="Arial" w:eastAsia="Arial" w:hAnsi="Arial"/>
                <w:sz w:val="13"/>
                <w:szCs w:val="13"/>
                <w:color w:val="auto"/>
              </w:rPr>
              <w:t>1.9</w:t>
            </w:r>
          </w:p>
        </w:tc>
        <w:tc>
          <w:tcPr>
            <w:tcW w:w="960" w:type="dxa"/>
            <w:vAlign w:val="bottom"/>
          </w:tcPr>
          <w:p>
            <w:pPr>
              <w:jc w:val="right"/>
              <w:ind w:right="58"/>
              <w:spacing w:after="0"/>
              <w:rPr>
                <w:sz w:val="20"/>
                <w:szCs w:val="20"/>
                <w:color w:val="auto"/>
              </w:rPr>
            </w:pPr>
            <w:r>
              <w:rPr>
                <w:rFonts w:ascii="Arial" w:cs="Arial" w:eastAsia="Arial" w:hAnsi="Arial"/>
                <w:sz w:val="13"/>
                <w:szCs w:val="13"/>
                <w:color w:val="auto"/>
              </w:rPr>
              <w:t>(2.4)</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58"/>
              <w:spacing w:after="0"/>
              <w:rPr>
                <w:sz w:val="20"/>
                <w:szCs w:val="20"/>
                <w:color w:val="auto"/>
              </w:rPr>
            </w:pPr>
            <w:r>
              <w:rPr>
                <w:rFonts w:ascii="Arial" w:cs="Arial" w:eastAsia="Arial" w:hAnsi="Arial"/>
                <w:sz w:val="13"/>
                <w:szCs w:val="13"/>
                <w:color w:val="auto"/>
              </w:rPr>
              <w:t>61.6</w:t>
            </w:r>
          </w:p>
        </w:tc>
        <w:tc>
          <w:tcPr>
            <w:tcW w:w="0" w:type="dxa"/>
            <w:vAlign w:val="bottom"/>
          </w:tcPr>
          <w:p>
            <w:pPr>
              <w:spacing w:after="0"/>
              <w:rPr>
                <w:sz w:val="1"/>
                <w:szCs w:val="1"/>
                <w:color w:val="auto"/>
              </w:rPr>
            </w:pPr>
          </w:p>
        </w:tc>
      </w:tr>
      <w:tr>
        <w:trPr>
          <w:trHeight w:val="239"/>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Other operating expenses</w:t>
            </w:r>
          </w:p>
        </w:tc>
        <w:tc>
          <w:tcPr>
            <w:tcW w:w="680" w:type="dxa"/>
            <w:vAlign w:val="bottom"/>
          </w:tcPr>
          <w:p>
            <w:pPr>
              <w:jc w:val="right"/>
              <w:ind w:right="118"/>
              <w:spacing w:after="0"/>
              <w:rPr>
                <w:sz w:val="20"/>
                <w:szCs w:val="20"/>
                <w:color w:val="auto"/>
              </w:rPr>
            </w:pPr>
            <w:r>
              <w:rPr>
                <w:rFonts w:ascii="Arial" w:cs="Arial" w:eastAsia="Arial" w:hAnsi="Arial"/>
                <w:sz w:val="13"/>
                <w:szCs w:val="13"/>
                <w:color w:val="auto"/>
              </w:rPr>
              <w:t>28.3</w:t>
            </w:r>
          </w:p>
        </w:tc>
        <w:tc>
          <w:tcPr>
            <w:tcW w:w="780" w:type="dxa"/>
            <w:vAlign w:val="bottom"/>
          </w:tcPr>
          <w:p>
            <w:pPr>
              <w:jc w:val="right"/>
              <w:ind w:right="98"/>
              <w:spacing w:after="0"/>
              <w:rPr>
                <w:sz w:val="20"/>
                <w:szCs w:val="20"/>
                <w:color w:val="auto"/>
              </w:rPr>
            </w:pPr>
            <w:r>
              <w:rPr>
                <w:rFonts w:ascii="Arial" w:cs="Arial" w:eastAsia="Arial" w:hAnsi="Arial"/>
                <w:sz w:val="13"/>
                <w:szCs w:val="13"/>
                <w:color w:val="auto"/>
              </w:rPr>
              <w:t>(7.4)</w:t>
            </w:r>
          </w:p>
        </w:tc>
        <w:tc>
          <w:tcPr>
            <w:tcW w:w="900" w:type="dxa"/>
            <w:vAlign w:val="bottom"/>
          </w:tcPr>
          <w:p>
            <w:pPr>
              <w:jc w:val="right"/>
              <w:ind w:right="78"/>
              <w:spacing w:after="0"/>
              <w:rPr>
                <w:sz w:val="20"/>
                <w:szCs w:val="20"/>
                <w:color w:val="auto"/>
              </w:rPr>
            </w:pPr>
            <w:r>
              <w:rPr>
                <w:rFonts w:ascii="Arial" w:cs="Arial" w:eastAsia="Arial" w:hAnsi="Arial"/>
                <w:sz w:val="13"/>
                <w:szCs w:val="13"/>
                <w:color w:val="auto"/>
              </w:rPr>
              <w:t>(2.4)</w:t>
            </w:r>
          </w:p>
        </w:tc>
        <w:tc>
          <w:tcPr>
            <w:tcW w:w="860" w:type="dxa"/>
            <w:vAlign w:val="bottom"/>
          </w:tcPr>
          <w:p>
            <w:pPr>
              <w:jc w:val="right"/>
              <w:ind w:right="119"/>
              <w:spacing w:after="0"/>
              <w:rPr>
                <w:sz w:val="20"/>
                <w:szCs w:val="20"/>
                <w:color w:val="auto"/>
              </w:rPr>
            </w:pPr>
            <w:r>
              <w:rPr>
                <w:rFonts w:ascii="Arial" w:cs="Arial" w:eastAsia="Arial" w:hAnsi="Arial"/>
                <w:sz w:val="13"/>
                <w:szCs w:val="13"/>
                <w:color w:val="auto"/>
              </w:rPr>
              <w:t>(18.6)</w:t>
            </w:r>
          </w:p>
        </w:tc>
        <w:tc>
          <w:tcPr>
            <w:tcW w:w="86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9"/>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Operating income from</w:t>
            </w: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continuing operations</w:t>
            </w:r>
          </w:p>
        </w:tc>
        <w:tc>
          <w:tcPr>
            <w:tcW w:w="680" w:type="dxa"/>
            <w:vAlign w:val="bottom"/>
          </w:tcPr>
          <w:p>
            <w:pPr>
              <w:jc w:val="right"/>
              <w:ind w:right="118"/>
              <w:spacing w:after="0"/>
              <w:rPr>
                <w:sz w:val="20"/>
                <w:szCs w:val="20"/>
                <w:color w:val="auto"/>
              </w:rPr>
            </w:pPr>
            <w:r>
              <w:rPr>
                <w:rFonts w:ascii="Arial" w:cs="Arial" w:eastAsia="Arial" w:hAnsi="Arial"/>
                <w:sz w:val="13"/>
                <w:szCs w:val="13"/>
                <w:color w:val="auto"/>
              </w:rPr>
              <w:t>34.1</w:t>
            </w:r>
          </w:p>
        </w:tc>
        <w:tc>
          <w:tcPr>
            <w:tcW w:w="780" w:type="dxa"/>
            <w:vAlign w:val="bottom"/>
          </w:tcPr>
          <w:p>
            <w:pPr>
              <w:jc w:val="right"/>
              <w:ind w:right="138"/>
              <w:spacing w:after="0"/>
              <w:rPr>
                <w:sz w:val="20"/>
                <w:szCs w:val="20"/>
                <w:color w:val="auto"/>
              </w:rPr>
            </w:pPr>
            <w:r>
              <w:rPr>
                <w:rFonts w:ascii="Arial" w:cs="Arial" w:eastAsia="Arial" w:hAnsi="Arial"/>
                <w:sz w:val="13"/>
                <w:szCs w:val="13"/>
                <w:color w:val="auto"/>
              </w:rPr>
              <w:t>7.4</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2.4</w:t>
            </w:r>
          </w:p>
        </w:tc>
        <w:tc>
          <w:tcPr>
            <w:tcW w:w="860" w:type="dxa"/>
            <w:vAlign w:val="bottom"/>
          </w:tcPr>
          <w:p>
            <w:pPr>
              <w:jc w:val="right"/>
              <w:ind w:right="159"/>
              <w:spacing w:after="0"/>
              <w:rPr>
                <w:sz w:val="20"/>
                <w:szCs w:val="20"/>
                <w:color w:val="auto"/>
              </w:rPr>
            </w:pPr>
            <w:r>
              <w:rPr>
                <w:rFonts w:ascii="Arial" w:cs="Arial" w:eastAsia="Arial" w:hAnsi="Arial"/>
                <w:sz w:val="13"/>
                <w:szCs w:val="13"/>
                <w:color w:val="auto"/>
              </w:rPr>
              <w:t>24.7</w:t>
            </w:r>
          </w:p>
        </w:tc>
        <w:tc>
          <w:tcPr>
            <w:tcW w:w="860" w:type="dxa"/>
            <w:vAlign w:val="bottom"/>
          </w:tcPr>
          <w:p>
            <w:pPr>
              <w:jc w:val="right"/>
              <w:ind w:right="118"/>
              <w:spacing w:after="0"/>
              <w:rPr>
                <w:sz w:val="20"/>
                <w:szCs w:val="20"/>
                <w:color w:val="auto"/>
              </w:rPr>
            </w:pPr>
            <w:r>
              <w:rPr>
                <w:rFonts w:ascii="Arial" w:cs="Arial" w:eastAsia="Arial" w:hAnsi="Arial"/>
                <w:sz w:val="13"/>
                <w:szCs w:val="13"/>
                <w:color w:val="auto"/>
              </w:rPr>
              <w:t>5.3</w:t>
            </w:r>
          </w:p>
        </w:tc>
        <w:tc>
          <w:tcPr>
            <w:tcW w:w="780" w:type="dxa"/>
            <w:vAlign w:val="bottom"/>
          </w:tcPr>
          <w:p>
            <w:pPr>
              <w:jc w:val="right"/>
              <w:ind w:right="118"/>
              <w:spacing w:after="0"/>
              <w:rPr>
                <w:sz w:val="20"/>
                <w:szCs w:val="20"/>
                <w:color w:val="auto"/>
              </w:rPr>
            </w:pPr>
            <w:r>
              <w:rPr>
                <w:rFonts w:ascii="Arial" w:cs="Arial" w:eastAsia="Arial" w:hAnsi="Arial"/>
                <w:sz w:val="13"/>
                <w:szCs w:val="13"/>
                <w:color w:val="auto"/>
              </w:rPr>
              <w:t>7.6</w:t>
            </w:r>
          </w:p>
        </w:tc>
        <w:tc>
          <w:tcPr>
            <w:tcW w:w="660" w:type="dxa"/>
            <w:vAlign w:val="bottom"/>
          </w:tcPr>
          <w:p>
            <w:pPr>
              <w:jc w:val="right"/>
              <w:ind w:right="178"/>
              <w:spacing w:after="0"/>
              <w:rPr>
                <w:sz w:val="20"/>
                <w:szCs w:val="20"/>
                <w:color w:val="auto"/>
              </w:rPr>
            </w:pPr>
            <w:r>
              <w:rPr>
                <w:rFonts w:ascii="Arial" w:cs="Arial" w:eastAsia="Arial" w:hAnsi="Arial"/>
                <w:sz w:val="13"/>
                <w:szCs w:val="13"/>
                <w:color w:val="auto"/>
              </w:rPr>
              <w:t>1.9</w:t>
            </w:r>
          </w:p>
        </w:tc>
        <w:tc>
          <w:tcPr>
            <w:tcW w:w="960" w:type="dxa"/>
            <w:vAlign w:val="bottom"/>
          </w:tcPr>
          <w:p>
            <w:pPr>
              <w:jc w:val="right"/>
              <w:ind w:right="259"/>
              <w:spacing w:after="0"/>
              <w:rPr>
                <w:sz w:val="20"/>
                <w:szCs w:val="20"/>
                <w:color w:val="auto"/>
              </w:rPr>
            </w:pPr>
            <w:r>
              <w:rPr>
                <w:rFonts w:ascii="Arial" w:cs="Arial" w:eastAsia="Arial" w:hAnsi="Arial"/>
                <w:sz w:val="13"/>
                <w:szCs w:val="13"/>
                <w:color w:val="auto"/>
              </w:rPr>
              <w:t>6.0</w:t>
            </w:r>
          </w:p>
        </w:tc>
        <w:tc>
          <w:tcPr>
            <w:tcW w:w="960" w:type="dxa"/>
            <w:vAlign w:val="bottom"/>
          </w:tcPr>
          <w:p>
            <w:pPr>
              <w:jc w:val="right"/>
              <w:ind w:right="98"/>
              <w:spacing w:after="0"/>
              <w:rPr>
                <w:sz w:val="20"/>
                <w:szCs w:val="20"/>
                <w:color w:val="auto"/>
              </w:rPr>
            </w:pPr>
            <w:r>
              <w:rPr>
                <w:rFonts w:ascii="Arial" w:cs="Arial" w:eastAsia="Arial" w:hAnsi="Arial"/>
                <w:sz w:val="13"/>
                <w:szCs w:val="13"/>
                <w:color w:val="auto"/>
              </w:rPr>
              <w:t>12.2</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58"/>
              <w:spacing w:after="0"/>
              <w:rPr>
                <w:sz w:val="20"/>
                <w:szCs w:val="20"/>
                <w:color w:val="auto"/>
              </w:rPr>
            </w:pPr>
            <w:r>
              <w:rPr>
                <w:rFonts w:ascii="Arial" w:cs="Arial" w:eastAsia="Arial" w:hAnsi="Arial"/>
                <w:sz w:val="13"/>
                <w:szCs w:val="13"/>
                <w:color w:val="auto"/>
              </w:rPr>
              <w:t>101.4</w:t>
            </w:r>
          </w:p>
        </w:tc>
        <w:tc>
          <w:tcPr>
            <w:tcW w:w="0" w:type="dxa"/>
            <w:vAlign w:val="bottom"/>
          </w:tcPr>
          <w:p>
            <w:pPr>
              <w:spacing w:after="0"/>
              <w:rPr>
                <w:sz w:val="1"/>
                <w:szCs w:val="1"/>
                <w:color w:val="auto"/>
              </w:rPr>
            </w:pPr>
          </w:p>
        </w:tc>
      </w:tr>
      <w:tr>
        <w:trPr>
          <w:trHeight w:val="239"/>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Gain on acquisition</w:t>
            </w:r>
          </w:p>
        </w:tc>
        <w:tc>
          <w:tcPr>
            <w:tcW w:w="680" w:type="dxa"/>
            <w:vAlign w:val="bottom"/>
          </w:tcPr>
          <w:p>
            <w:pPr>
              <w:jc w:val="right"/>
              <w:ind w:right="118"/>
              <w:spacing w:after="0"/>
              <w:rPr>
                <w:sz w:val="20"/>
                <w:szCs w:val="20"/>
                <w:color w:val="auto"/>
              </w:rPr>
            </w:pPr>
            <w:r>
              <w:rPr>
                <w:rFonts w:ascii="Arial" w:cs="Arial" w:eastAsia="Arial" w:hAnsi="Arial"/>
                <w:sz w:val="13"/>
                <w:szCs w:val="13"/>
                <w:color w:val="auto"/>
              </w:rPr>
              <w:t>11.5</w:t>
            </w:r>
          </w:p>
        </w:tc>
        <w:tc>
          <w:tcPr>
            <w:tcW w:w="780" w:type="dxa"/>
            <w:vAlign w:val="bottom"/>
          </w:tcPr>
          <w:p>
            <w:pPr>
              <w:jc w:val="right"/>
              <w:ind w:right="138"/>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9"/>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8"/>
              <w:spacing w:after="0"/>
              <w:rPr>
                <w:sz w:val="20"/>
                <w:szCs w:val="20"/>
                <w:color w:val="auto"/>
              </w:rPr>
            </w:pPr>
            <w:r>
              <w:rPr>
                <w:rFonts w:ascii="Arial" w:cs="Arial" w:eastAsia="Arial" w:hAnsi="Arial"/>
                <w:sz w:val="13"/>
                <w:szCs w:val="13"/>
                <w:color w:val="auto"/>
              </w:rPr>
              <w:t>(11.5)</w:t>
            </w:r>
          </w:p>
        </w:tc>
        <w:tc>
          <w:tcPr>
            <w:tcW w:w="66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9"/>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9"/>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Income tax expense</w:t>
            </w:r>
          </w:p>
        </w:tc>
        <w:tc>
          <w:tcPr>
            <w:tcW w:w="680" w:type="dxa"/>
            <w:vAlign w:val="bottom"/>
          </w:tcPr>
          <w:p>
            <w:pPr>
              <w:jc w:val="right"/>
              <w:ind w:right="118"/>
              <w:spacing w:after="0"/>
              <w:rPr>
                <w:sz w:val="20"/>
                <w:szCs w:val="20"/>
                <w:color w:val="auto"/>
              </w:rPr>
            </w:pPr>
            <w:r>
              <w:rPr>
                <w:rFonts w:ascii="Arial" w:cs="Arial" w:eastAsia="Arial" w:hAnsi="Arial"/>
                <w:sz w:val="13"/>
                <w:szCs w:val="13"/>
                <w:color w:val="auto"/>
              </w:rPr>
              <w:t>2.9</w:t>
            </w:r>
          </w:p>
        </w:tc>
        <w:tc>
          <w:tcPr>
            <w:tcW w:w="780" w:type="dxa"/>
            <w:vAlign w:val="bottom"/>
          </w:tcPr>
          <w:p>
            <w:pPr>
              <w:jc w:val="right"/>
              <w:ind w:right="138"/>
              <w:spacing w:after="0"/>
              <w:rPr>
                <w:sz w:val="20"/>
                <w:szCs w:val="20"/>
                <w:color w:val="auto"/>
              </w:rPr>
            </w:pPr>
            <w:r>
              <w:rPr>
                <w:rFonts w:ascii="Arial" w:cs="Arial" w:eastAsia="Arial" w:hAnsi="Arial"/>
                <w:sz w:val="13"/>
                <w:szCs w:val="13"/>
                <w:color w:val="auto"/>
              </w:rPr>
              <w:t>1.7</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0.5</w:t>
            </w:r>
          </w:p>
        </w:tc>
        <w:tc>
          <w:tcPr>
            <w:tcW w:w="860" w:type="dxa"/>
            <w:vAlign w:val="bottom"/>
          </w:tcPr>
          <w:p>
            <w:pPr>
              <w:jc w:val="right"/>
              <w:ind w:right="159"/>
              <w:spacing w:after="0"/>
              <w:rPr>
                <w:sz w:val="20"/>
                <w:szCs w:val="20"/>
                <w:color w:val="auto"/>
              </w:rPr>
            </w:pPr>
            <w:r>
              <w:rPr>
                <w:rFonts w:ascii="Arial" w:cs="Arial" w:eastAsia="Arial" w:hAnsi="Arial"/>
                <w:sz w:val="13"/>
                <w:szCs w:val="13"/>
                <w:color w:val="auto"/>
              </w:rPr>
              <w:t>5.7</w:t>
            </w:r>
          </w:p>
        </w:tc>
        <w:tc>
          <w:tcPr>
            <w:tcW w:w="860" w:type="dxa"/>
            <w:vAlign w:val="bottom"/>
          </w:tcPr>
          <w:p>
            <w:pPr>
              <w:jc w:val="right"/>
              <w:ind w:right="118"/>
              <w:spacing w:after="0"/>
              <w:rPr>
                <w:sz w:val="20"/>
                <w:szCs w:val="20"/>
                <w:color w:val="auto"/>
              </w:rPr>
            </w:pPr>
            <w:r>
              <w:rPr>
                <w:rFonts w:ascii="Arial" w:cs="Arial" w:eastAsia="Arial" w:hAnsi="Arial"/>
                <w:sz w:val="13"/>
                <w:szCs w:val="13"/>
                <w:color w:val="auto"/>
              </w:rPr>
              <w:t>1.2</w:t>
            </w:r>
          </w:p>
        </w:tc>
        <w:tc>
          <w:tcPr>
            <w:tcW w:w="780" w:type="dxa"/>
            <w:vAlign w:val="bottom"/>
          </w:tcPr>
          <w:p>
            <w:pPr>
              <w:jc w:val="right"/>
              <w:ind w:right="118"/>
              <w:spacing w:after="0"/>
              <w:rPr>
                <w:sz w:val="20"/>
                <w:szCs w:val="20"/>
                <w:color w:val="auto"/>
              </w:rPr>
            </w:pPr>
            <w:r>
              <w:rPr>
                <w:rFonts w:ascii="Arial" w:cs="Arial" w:eastAsia="Arial" w:hAnsi="Arial"/>
                <w:sz w:val="13"/>
                <w:szCs w:val="13"/>
                <w:color w:val="auto"/>
              </w:rPr>
              <w:t>1.8</w:t>
            </w:r>
          </w:p>
        </w:tc>
        <w:tc>
          <w:tcPr>
            <w:tcW w:w="660" w:type="dxa"/>
            <w:vAlign w:val="bottom"/>
          </w:tcPr>
          <w:p>
            <w:pPr>
              <w:jc w:val="right"/>
              <w:ind w:right="178"/>
              <w:spacing w:after="0"/>
              <w:rPr>
                <w:sz w:val="20"/>
                <w:szCs w:val="20"/>
                <w:color w:val="auto"/>
              </w:rPr>
            </w:pPr>
            <w:r>
              <w:rPr>
                <w:rFonts w:ascii="Arial" w:cs="Arial" w:eastAsia="Arial" w:hAnsi="Arial"/>
                <w:sz w:val="13"/>
                <w:szCs w:val="13"/>
                <w:color w:val="auto"/>
              </w:rPr>
              <w:t>0.6</w:t>
            </w:r>
          </w:p>
        </w:tc>
        <w:tc>
          <w:tcPr>
            <w:tcW w:w="960" w:type="dxa"/>
            <w:vAlign w:val="bottom"/>
          </w:tcPr>
          <w:p>
            <w:pPr>
              <w:jc w:val="right"/>
              <w:ind w:right="259"/>
              <w:spacing w:after="0"/>
              <w:rPr>
                <w:sz w:val="20"/>
                <w:szCs w:val="20"/>
                <w:color w:val="auto"/>
              </w:rPr>
            </w:pPr>
            <w:r>
              <w:rPr>
                <w:rFonts w:ascii="Arial" w:cs="Arial" w:eastAsia="Arial" w:hAnsi="Arial"/>
                <w:sz w:val="13"/>
                <w:szCs w:val="13"/>
                <w:color w:val="auto"/>
              </w:rPr>
              <w:t>3.4</w:t>
            </w:r>
          </w:p>
        </w:tc>
        <w:tc>
          <w:tcPr>
            <w:tcW w:w="960" w:type="dxa"/>
            <w:vAlign w:val="bottom"/>
          </w:tcPr>
          <w:p>
            <w:pPr>
              <w:jc w:val="right"/>
              <w:ind w:right="98"/>
              <w:spacing w:after="0"/>
              <w:rPr>
                <w:sz w:val="20"/>
                <w:szCs w:val="20"/>
                <w:color w:val="auto"/>
              </w:rPr>
            </w:pPr>
            <w:r>
              <w:rPr>
                <w:rFonts w:ascii="Arial" w:cs="Arial" w:eastAsia="Arial" w:hAnsi="Arial"/>
                <w:sz w:val="13"/>
                <w:szCs w:val="13"/>
                <w:color w:val="auto"/>
              </w:rPr>
              <w:t>2.6</w:t>
            </w:r>
          </w:p>
        </w:tc>
        <w:tc>
          <w:tcPr>
            <w:tcW w:w="820" w:type="dxa"/>
            <w:vAlign w:val="bottom"/>
          </w:tcPr>
          <w:p>
            <w:pPr>
              <w:jc w:val="right"/>
              <w:ind w:right="58"/>
              <w:spacing w:after="0"/>
              <w:rPr>
                <w:sz w:val="20"/>
                <w:szCs w:val="20"/>
                <w:color w:val="auto"/>
              </w:rPr>
            </w:pPr>
            <w:r>
              <w:rPr>
                <w:rFonts w:ascii="Arial" w:cs="Arial" w:eastAsia="Arial" w:hAnsi="Arial"/>
                <w:sz w:val="13"/>
                <w:szCs w:val="13"/>
                <w:color w:val="auto"/>
              </w:rPr>
              <w:t>(4.4)</w:t>
            </w:r>
          </w:p>
        </w:tc>
        <w:tc>
          <w:tcPr>
            <w:tcW w:w="820" w:type="dxa"/>
            <w:vAlign w:val="bottom"/>
          </w:tcPr>
          <w:p>
            <w:pPr>
              <w:jc w:val="right"/>
              <w:ind w:right="118"/>
              <w:spacing w:after="0"/>
              <w:rPr>
                <w:sz w:val="20"/>
                <w:szCs w:val="20"/>
                <w:color w:val="auto"/>
              </w:rPr>
            </w:pPr>
            <w:r>
              <w:rPr>
                <w:rFonts w:ascii="Arial" w:cs="Arial" w:eastAsia="Arial" w:hAnsi="Arial"/>
                <w:sz w:val="13"/>
                <w:szCs w:val="13"/>
                <w:color w:val="auto"/>
              </w:rPr>
              <w:t>0.4</w:t>
            </w:r>
          </w:p>
        </w:tc>
        <w:tc>
          <w:tcPr>
            <w:tcW w:w="740" w:type="dxa"/>
            <w:vAlign w:val="bottom"/>
          </w:tcPr>
          <w:p>
            <w:pPr>
              <w:jc w:val="right"/>
              <w:ind w:right="158"/>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81"/>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Net income from</w:t>
            </w: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continuing operations</w:t>
            </w:r>
          </w:p>
        </w:tc>
        <w:tc>
          <w:tcPr>
            <w:tcW w:w="680" w:type="dxa"/>
            <w:vAlign w:val="bottom"/>
          </w:tcPr>
          <w:p>
            <w:pPr>
              <w:jc w:val="right"/>
              <w:ind w:right="118"/>
              <w:spacing w:after="0"/>
              <w:rPr>
                <w:sz w:val="20"/>
                <w:szCs w:val="20"/>
                <w:color w:val="auto"/>
              </w:rPr>
            </w:pPr>
            <w:r>
              <w:rPr>
                <w:rFonts w:ascii="Arial" w:cs="Arial" w:eastAsia="Arial" w:hAnsi="Arial"/>
                <w:sz w:val="13"/>
                <w:szCs w:val="13"/>
                <w:color w:val="auto"/>
              </w:rPr>
              <w:t>37.4</w:t>
            </w:r>
          </w:p>
        </w:tc>
        <w:tc>
          <w:tcPr>
            <w:tcW w:w="780" w:type="dxa"/>
            <w:vAlign w:val="bottom"/>
          </w:tcPr>
          <w:p>
            <w:pPr>
              <w:jc w:val="right"/>
              <w:ind w:right="138"/>
              <w:spacing w:after="0"/>
              <w:rPr>
                <w:sz w:val="20"/>
                <w:szCs w:val="20"/>
                <w:color w:val="auto"/>
              </w:rPr>
            </w:pPr>
            <w:r>
              <w:rPr>
                <w:rFonts w:ascii="Arial" w:cs="Arial" w:eastAsia="Arial" w:hAnsi="Arial"/>
                <w:sz w:val="13"/>
                <w:szCs w:val="13"/>
                <w:color w:val="auto"/>
              </w:rPr>
              <w:t>5.7</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1.9</w:t>
            </w:r>
          </w:p>
        </w:tc>
        <w:tc>
          <w:tcPr>
            <w:tcW w:w="860" w:type="dxa"/>
            <w:vAlign w:val="bottom"/>
          </w:tcPr>
          <w:p>
            <w:pPr>
              <w:jc w:val="right"/>
              <w:ind w:right="159"/>
              <w:spacing w:after="0"/>
              <w:rPr>
                <w:sz w:val="20"/>
                <w:szCs w:val="20"/>
                <w:color w:val="auto"/>
              </w:rPr>
            </w:pPr>
            <w:r>
              <w:rPr>
                <w:rFonts w:ascii="Arial" w:cs="Arial" w:eastAsia="Arial" w:hAnsi="Arial"/>
                <w:sz w:val="13"/>
                <w:szCs w:val="13"/>
                <w:color w:val="auto"/>
              </w:rPr>
              <w:t>19.0</w:t>
            </w:r>
          </w:p>
        </w:tc>
        <w:tc>
          <w:tcPr>
            <w:tcW w:w="860" w:type="dxa"/>
            <w:vAlign w:val="bottom"/>
          </w:tcPr>
          <w:p>
            <w:pPr>
              <w:jc w:val="right"/>
              <w:ind w:right="118"/>
              <w:spacing w:after="0"/>
              <w:rPr>
                <w:sz w:val="20"/>
                <w:szCs w:val="20"/>
                <w:color w:val="auto"/>
              </w:rPr>
            </w:pPr>
            <w:r>
              <w:rPr>
                <w:rFonts w:ascii="Arial" w:cs="Arial" w:eastAsia="Arial" w:hAnsi="Arial"/>
                <w:sz w:val="13"/>
                <w:szCs w:val="13"/>
                <w:color w:val="auto"/>
              </w:rPr>
              <w:t>4.0</w:t>
            </w:r>
          </w:p>
        </w:tc>
        <w:tc>
          <w:tcPr>
            <w:tcW w:w="780" w:type="dxa"/>
            <w:vAlign w:val="bottom"/>
          </w:tcPr>
          <w:p>
            <w:pPr>
              <w:jc w:val="right"/>
              <w:ind w:right="78"/>
              <w:spacing w:after="0"/>
              <w:rPr>
                <w:sz w:val="20"/>
                <w:szCs w:val="20"/>
                <w:color w:val="auto"/>
              </w:rPr>
            </w:pPr>
            <w:r>
              <w:rPr>
                <w:rFonts w:ascii="Arial" w:cs="Arial" w:eastAsia="Arial" w:hAnsi="Arial"/>
                <w:sz w:val="13"/>
                <w:szCs w:val="13"/>
                <w:color w:val="auto"/>
              </w:rPr>
              <w:t>(5.7)</w:t>
            </w:r>
          </w:p>
        </w:tc>
        <w:tc>
          <w:tcPr>
            <w:tcW w:w="660" w:type="dxa"/>
            <w:vAlign w:val="bottom"/>
          </w:tcPr>
          <w:p>
            <w:pPr>
              <w:jc w:val="right"/>
              <w:ind w:right="178"/>
              <w:spacing w:after="0"/>
              <w:rPr>
                <w:sz w:val="20"/>
                <w:szCs w:val="20"/>
                <w:color w:val="auto"/>
              </w:rPr>
            </w:pPr>
            <w:r>
              <w:rPr>
                <w:rFonts w:ascii="Arial" w:cs="Arial" w:eastAsia="Arial" w:hAnsi="Arial"/>
                <w:sz w:val="13"/>
                <w:szCs w:val="13"/>
                <w:color w:val="auto"/>
              </w:rPr>
              <w:t>1.2</w:t>
            </w:r>
          </w:p>
        </w:tc>
        <w:tc>
          <w:tcPr>
            <w:tcW w:w="960" w:type="dxa"/>
            <w:vAlign w:val="bottom"/>
          </w:tcPr>
          <w:p>
            <w:pPr>
              <w:jc w:val="right"/>
              <w:ind w:right="259"/>
              <w:spacing w:after="0"/>
              <w:rPr>
                <w:sz w:val="20"/>
                <w:szCs w:val="20"/>
                <w:color w:val="auto"/>
              </w:rPr>
            </w:pPr>
            <w:r>
              <w:rPr>
                <w:rFonts w:ascii="Arial" w:cs="Arial" w:eastAsia="Arial" w:hAnsi="Arial"/>
                <w:sz w:val="13"/>
                <w:szCs w:val="13"/>
                <w:color w:val="auto"/>
              </w:rPr>
              <w:t>2.5</w:t>
            </w:r>
          </w:p>
        </w:tc>
        <w:tc>
          <w:tcPr>
            <w:tcW w:w="960" w:type="dxa"/>
            <w:vAlign w:val="bottom"/>
          </w:tcPr>
          <w:p>
            <w:pPr>
              <w:jc w:val="right"/>
              <w:ind w:right="98"/>
              <w:spacing w:after="0"/>
              <w:rPr>
                <w:sz w:val="20"/>
                <w:szCs w:val="20"/>
                <w:color w:val="auto"/>
              </w:rPr>
            </w:pPr>
            <w:r>
              <w:rPr>
                <w:rFonts w:ascii="Arial" w:cs="Arial" w:eastAsia="Arial" w:hAnsi="Arial"/>
                <w:sz w:val="13"/>
                <w:szCs w:val="13"/>
                <w:color w:val="auto"/>
              </w:rPr>
              <w:t>9.5</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4.4</w:t>
            </w:r>
          </w:p>
        </w:tc>
        <w:tc>
          <w:tcPr>
            <w:tcW w:w="820" w:type="dxa"/>
            <w:vAlign w:val="bottom"/>
          </w:tcPr>
          <w:p>
            <w:pPr>
              <w:jc w:val="right"/>
              <w:ind w:right="118"/>
              <w:spacing w:after="0"/>
              <w:rPr>
                <w:sz w:val="20"/>
                <w:szCs w:val="20"/>
                <w:color w:val="auto"/>
              </w:rPr>
            </w:pPr>
            <w:r>
              <w:rPr>
                <w:rFonts w:ascii="Arial" w:cs="Arial" w:eastAsia="Arial" w:hAnsi="Arial"/>
                <w:sz w:val="13"/>
                <w:szCs w:val="13"/>
                <w:color w:val="auto"/>
              </w:rPr>
              <w:t>1.1</w:t>
            </w:r>
          </w:p>
        </w:tc>
        <w:tc>
          <w:tcPr>
            <w:tcW w:w="740" w:type="dxa"/>
            <w:vAlign w:val="bottom"/>
          </w:tcPr>
          <w:p>
            <w:pPr>
              <w:jc w:val="right"/>
              <w:ind w:right="158"/>
              <w:spacing w:after="0"/>
              <w:rPr>
                <w:sz w:val="20"/>
                <w:szCs w:val="20"/>
                <w:color w:val="auto"/>
              </w:rPr>
            </w:pPr>
            <w:r>
              <w:rPr>
                <w:rFonts w:ascii="Arial" w:cs="Arial" w:eastAsia="Arial" w:hAnsi="Arial"/>
                <w:sz w:val="13"/>
                <w:szCs w:val="13"/>
                <w:color w:val="auto"/>
              </w:rPr>
              <w:t>81.1</w:t>
            </w:r>
          </w:p>
        </w:tc>
        <w:tc>
          <w:tcPr>
            <w:tcW w:w="0" w:type="dxa"/>
            <w:vAlign w:val="bottom"/>
          </w:tcPr>
          <w:p>
            <w:pPr>
              <w:spacing w:after="0"/>
              <w:rPr>
                <w:sz w:val="1"/>
                <w:szCs w:val="1"/>
                <w:color w:val="auto"/>
              </w:rPr>
            </w:pPr>
          </w:p>
        </w:tc>
      </w:tr>
      <w:tr>
        <w:trPr>
          <w:trHeight w:val="181"/>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Diluted EPS - Continuing</w:t>
            </w: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Operations</w:t>
            </w:r>
          </w:p>
        </w:tc>
        <w:tc>
          <w:tcPr>
            <w:tcW w:w="680" w:type="dxa"/>
            <w:vAlign w:val="bottom"/>
          </w:tcPr>
          <w:p>
            <w:pPr>
              <w:jc w:val="right"/>
              <w:ind w:right="118"/>
              <w:spacing w:after="0"/>
              <w:rPr>
                <w:sz w:val="20"/>
                <w:szCs w:val="20"/>
                <w:color w:val="auto"/>
              </w:rPr>
            </w:pPr>
            <w:r>
              <w:rPr>
                <w:rFonts w:ascii="Arial" w:cs="Arial" w:eastAsia="Arial" w:hAnsi="Arial"/>
                <w:sz w:val="13"/>
                <w:szCs w:val="13"/>
                <w:color w:val="auto"/>
              </w:rPr>
              <w:t>$0.76</w:t>
            </w:r>
          </w:p>
        </w:tc>
        <w:tc>
          <w:tcPr>
            <w:tcW w:w="780" w:type="dxa"/>
            <w:vAlign w:val="bottom"/>
          </w:tcPr>
          <w:p>
            <w:pPr>
              <w:jc w:val="right"/>
              <w:ind w:right="138"/>
              <w:spacing w:after="0"/>
              <w:rPr>
                <w:sz w:val="20"/>
                <w:szCs w:val="20"/>
                <w:color w:val="auto"/>
              </w:rPr>
            </w:pPr>
            <w:r>
              <w:rPr>
                <w:rFonts w:ascii="Arial" w:cs="Arial" w:eastAsia="Arial" w:hAnsi="Arial"/>
                <w:sz w:val="13"/>
                <w:szCs w:val="13"/>
                <w:color w:val="auto"/>
              </w:rPr>
              <w:t>$0.12</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$0.04</w:t>
            </w:r>
          </w:p>
        </w:tc>
        <w:tc>
          <w:tcPr>
            <w:tcW w:w="860" w:type="dxa"/>
            <w:vAlign w:val="bottom"/>
          </w:tcPr>
          <w:p>
            <w:pPr>
              <w:jc w:val="right"/>
              <w:ind w:right="159"/>
              <w:spacing w:after="0"/>
              <w:rPr>
                <w:sz w:val="20"/>
                <w:szCs w:val="20"/>
                <w:color w:val="auto"/>
              </w:rPr>
            </w:pPr>
            <w:r>
              <w:rPr>
                <w:rFonts w:ascii="Arial" w:cs="Arial" w:eastAsia="Arial" w:hAnsi="Arial"/>
                <w:sz w:val="13"/>
                <w:szCs w:val="13"/>
                <w:color w:val="auto"/>
              </w:rPr>
              <w:t>$0.39</w:t>
            </w:r>
          </w:p>
        </w:tc>
        <w:tc>
          <w:tcPr>
            <w:tcW w:w="860" w:type="dxa"/>
            <w:vAlign w:val="bottom"/>
          </w:tcPr>
          <w:p>
            <w:pPr>
              <w:jc w:val="right"/>
              <w:ind w:right="118"/>
              <w:spacing w:after="0"/>
              <w:rPr>
                <w:sz w:val="20"/>
                <w:szCs w:val="20"/>
                <w:color w:val="auto"/>
              </w:rPr>
            </w:pPr>
            <w:r>
              <w:rPr>
                <w:rFonts w:ascii="Arial" w:cs="Arial" w:eastAsia="Arial" w:hAnsi="Arial"/>
                <w:sz w:val="13"/>
                <w:szCs w:val="13"/>
                <w:color w:val="auto"/>
              </w:rPr>
              <w:t>$0.08</w:t>
            </w:r>
          </w:p>
        </w:tc>
        <w:tc>
          <w:tcPr>
            <w:tcW w:w="780" w:type="dxa"/>
            <w:vAlign w:val="bottom"/>
          </w:tcPr>
          <w:p>
            <w:pPr>
              <w:jc w:val="right"/>
              <w:ind w:right="78"/>
              <w:spacing w:after="0"/>
              <w:rPr>
                <w:sz w:val="20"/>
                <w:szCs w:val="20"/>
                <w:color w:val="auto"/>
              </w:rPr>
            </w:pPr>
            <w:r>
              <w:rPr>
                <w:rFonts w:ascii="Arial" w:cs="Arial" w:eastAsia="Arial" w:hAnsi="Arial"/>
                <w:sz w:val="13"/>
                <w:szCs w:val="13"/>
                <w:color w:val="auto"/>
              </w:rPr>
              <w:t>($0.12)</w:t>
            </w:r>
          </w:p>
        </w:tc>
        <w:tc>
          <w:tcPr>
            <w:tcW w:w="660" w:type="dxa"/>
            <w:vAlign w:val="bottom"/>
          </w:tcPr>
          <w:p>
            <w:pPr>
              <w:jc w:val="right"/>
              <w:ind w:right="178"/>
              <w:spacing w:after="0"/>
              <w:rPr>
                <w:sz w:val="20"/>
                <w:szCs w:val="20"/>
                <w:color w:val="auto"/>
              </w:rPr>
            </w:pPr>
            <w:r>
              <w:rPr>
                <w:rFonts w:ascii="Arial" w:cs="Arial" w:eastAsia="Arial" w:hAnsi="Arial"/>
                <w:sz w:val="13"/>
                <w:szCs w:val="13"/>
                <w:color w:val="auto"/>
              </w:rPr>
              <w:t>$0.03</w:t>
            </w:r>
          </w:p>
        </w:tc>
        <w:tc>
          <w:tcPr>
            <w:tcW w:w="960" w:type="dxa"/>
            <w:vAlign w:val="bottom"/>
          </w:tcPr>
          <w:p>
            <w:pPr>
              <w:jc w:val="right"/>
              <w:ind w:right="259"/>
              <w:spacing w:after="0"/>
              <w:rPr>
                <w:sz w:val="20"/>
                <w:szCs w:val="20"/>
                <w:color w:val="auto"/>
              </w:rPr>
            </w:pPr>
            <w:r>
              <w:rPr>
                <w:rFonts w:ascii="Arial" w:cs="Arial" w:eastAsia="Arial" w:hAnsi="Arial"/>
                <w:sz w:val="13"/>
                <w:szCs w:val="13"/>
                <w:color w:val="auto"/>
              </w:rPr>
              <w:t>$0.05</w:t>
            </w:r>
          </w:p>
        </w:tc>
        <w:tc>
          <w:tcPr>
            <w:tcW w:w="960" w:type="dxa"/>
            <w:vAlign w:val="bottom"/>
          </w:tcPr>
          <w:p>
            <w:pPr>
              <w:jc w:val="right"/>
              <w:ind w:right="98"/>
              <w:spacing w:after="0"/>
              <w:rPr>
                <w:sz w:val="20"/>
                <w:szCs w:val="20"/>
                <w:color w:val="auto"/>
              </w:rPr>
            </w:pPr>
            <w:r>
              <w:rPr>
                <w:rFonts w:ascii="Arial" w:cs="Arial" w:eastAsia="Arial" w:hAnsi="Arial"/>
                <w:sz w:val="13"/>
                <w:szCs w:val="13"/>
                <w:color w:val="auto"/>
              </w:rPr>
              <w:t>$0.19</w:t>
            </w:r>
          </w:p>
        </w:tc>
        <w:tc>
          <w:tcPr>
            <w:tcW w:w="820" w:type="dxa"/>
            <w:vAlign w:val="bottom"/>
          </w:tcPr>
          <w:p>
            <w:pPr>
              <w:jc w:val="right"/>
              <w:ind w:right="98"/>
              <w:spacing w:after="0"/>
              <w:rPr>
                <w:sz w:val="20"/>
                <w:szCs w:val="20"/>
                <w:color w:val="auto"/>
              </w:rPr>
            </w:pPr>
            <w:r>
              <w:rPr>
                <w:rFonts w:ascii="Arial" w:cs="Arial" w:eastAsia="Arial" w:hAnsi="Arial"/>
                <w:sz w:val="13"/>
                <w:szCs w:val="13"/>
                <w:color w:val="auto"/>
              </w:rPr>
              <w:t>$0.09</w:t>
            </w:r>
          </w:p>
        </w:tc>
        <w:tc>
          <w:tcPr>
            <w:tcW w:w="820" w:type="dxa"/>
            <w:vAlign w:val="bottom"/>
          </w:tcPr>
          <w:p>
            <w:pPr>
              <w:jc w:val="right"/>
              <w:ind w:right="118"/>
              <w:spacing w:after="0"/>
              <w:rPr>
                <w:sz w:val="20"/>
                <w:szCs w:val="20"/>
                <w:color w:val="auto"/>
              </w:rPr>
            </w:pPr>
            <w:r>
              <w:rPr>
                <w:rFonts w:ascii="Arial" w:cs="Arial" w:eastAsia="Arial" w:hAnsi="Arial"/>
                <w:sz w:val="13"/>
                <w:szCs w:val="13"/>
                <w:color w:val="auto"/>
              </w:rPr>
              <w:t>$0.02</w:t>
            </w:r>
          </w:p>
        </w:tc>
        <w:tc>
          <w:tcPr>
            <w:tcW w:w="740" w:type="dxa"/>
            <w:vAlign w:val="bottom"/>
          </w:tcPr>
          <w:p>
            <w:pPr>
              <w:jc w:val="right"/>
              <w:ind w:right="158"/>
              <w:spacing w:after="0"/>
              <w:rPr>
                <w:sz w:val="20"/>
                <w:szCs w:val="20"/>
                <w:color w:val="auto"/>
              </w:rPr>
            </w:pPr>
            <w:r>
              <w:rPr>
                <w:rFonts w:ascii="Arial" w:cs="Arial" w:eastAsia="Arial" w:hAnsi="Arial"/>
                <w:sz w:val="13"/>
                <w:szCs w:val="13"/>
                <w:color w:val="auto"/>
              </w:rPr>
              <w:t>$1.65</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GAAP results for the six months ended June 30, 2018 include:</w:t>
      </w:r>
    </w:p>
    <w:p>
      <w:pPr>
        <w:spacing w:after="0" w:line="58" w:lineRule="exact"/>
        <w:rPr>
          <w:sz w:val="20"/>
          <w:szCs w:val="20"/>
          <w:color w:val="auto"/>
        </w:rPr>
      </w:pPr>
    </w:p>
    <w:p>
      <w:pPr>
        <w:ind w:left="360" w:hanging="340"/>
        <w:spacing w:after="0"/>
        <w:tabs>
          <w:tab w:leader="none" w:pos="3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Merger and integration expenses related to our legacy companies</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Restructuring expenses related to organizational changes</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Includes depreciation and amortization associated with purchase price accounting</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Costs related to the 3T Heater-Cooler remediation plan</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Costs related to acquisitions</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Corporate costs incurred to divest the CRM business not attributable to discontinued operations</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Contingent consideration related to acquisitions and legal expenses primarily related to 3T Heater-Cooler defense and other matters</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Non-cash expenses associated with stock-based compensation costs</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Primarily related to discrete tax items and the tax impact of intercompany transactions</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Primarily related to intellectual property migration and other non-recurring impacts to interest expense</w:t>
      </w:r>
    </w:p>
    <w:p>
      <w:pPr>
        <w:spacing w:after="0" w:line="42" w:lineRule="exact"/>
        <w:rPr>
          <w:sz w:val="20"/>
          <w:szCs w:val="20"/>
          <w:color w:val="auto"/>
        </w:rPr>
      </w:pPr>
    </w:p>
    <w:p>
      <w:pPr>
        <w:ind w:left="360" w:hanging="340"/>
        <w:spacing w:after="0"/>
        <w:tabs>
          <w:tab w:leader="none" w:pos="3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Numbers may not add up precisely due to rounding.</w:t>
      </w: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460"/>
          </w:cols>
          <w:pgMar w:left="240" w:top="709" w:right="19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auto"/>
        </w:rPr>
        <w:t>LIVANOVA PLC AND SUBSIDIARIES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CONSOLIDATED BALANCE SHEETS - UNAUDITED</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dollars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60" w:type="dxa"/>
            <w:vAlign w:val="bottom"/>
          </w:tcPr>
          <w:p>
            <w:pPr>
              <w:spacing w:after="0"/>
              <w:rPr>
                <w:sz w:val="17"/>
                <w:szCs w:val="17"/>
                <w:color w:val="auto"/>
              </w:rPr>
            </w:pPr>
          </w:p>
        </w:tc>
        <w:tc>
          <w:tcPr>
            <w:tcW w:w="2300" w:type="dxa"/>
            <w:vAlign w:val="bottom"/>
            <w:gridSpan w:val="2"/>
          </w:tcPr>
          <w:p>
            <w:pPr>
              <w:ind w:left="640"/>
              <w:spacing w:after="0"/>
              <w:rPr>
                <w:sz w:val="20"/>
                <w:szCs w:val="20"/>
                <w:color w:val="auto"/>
              </w:rPr>
            </w:pPr>
            <w:r>
              <w:rPr>
                <w:rFonts w:ascii="Arial" w:cs="Arial" w:eastAsia="Arial" w:hAnsi="Arial"/>
                <w:sz w:val="14"/>
                <w:szCs w:val="14"/>
                <w:b w:val="1"/>
                <w:bCs w:val="1"/>
                <w:color w:val="auto"/>
              </w:rPr>
              <w:t>June 30, 2019</w:t>
            </w:r>
          </w:p>
        </w:tc>
        <w:tc>
          <w:tcPr>
            <w:tcW w:w="2160" w:type="dxa"/>
            <w:vAlign w:val="bottom"/>
          </w:tcPr>
          <w:p>
            <w:pPr>
              <w:jc w:val="right"/>
              <w:ind w:right="36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21"/>
        </w:trPr>
        <w:tc>
          <w:tcPr>
            <w:tcW w:w="6960" w:type="dxa"/>
            <w:vAlign w:val="bottom"/>
          </w:tcPr>
          <w:p>
            <w:pPr>
              <w:ind w:left="340"/>
              <w:spacing w:after="0"/>
              <w:rPr>
                <w:sz w:val="20"/>
                <w:szCs w:val="20"/>
                <w:color w:val="auto"/>
              </w:rPr>
            </w:pPr>
            <w:r>
              <w:rPr>
                <w:rFonts w:ascii="Arial" w:cs="Arial" w:eastAsia="Arial" w:hAnsi="Arial"/>
                <w:sz w:val="14"/>
                <w:szCs w:val="14"/>
                <w:b w:val="1"/>
                <w:bCs w:val="1"/>
                <w:color w:val="auto"/>
              </w:rPr>
              <w:t>ASSETS</w:t>
            </w:r>
          </w:p>
        </w:tc>
        <w:tc>
          <w:tcPr>
            <w:tcW w:w="2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960" w:type="dxa"/>
            <w:vAlign w:val="bottom"/>
          </w:tcPr>
          <w:p>
            <w:pPr>
              <w:spacing w:after="0"/>
              <w:rPr>
                <w:sz w:val="20"/>
                <w:szCs w:val="20"/>
                <w:color w:val="auto"/>
              </w:rPr>
            </w:pPr>
            <w:r>
              <w:rPr>
                <w:rFonts w:ascii="Arial" w:cs="Arial" w:eastAsia="Arial" w:hAnsi="Arial"/>
                <w:sz w:val="14"/>
                <w:szCs w:val="14"/>
                <w:i w:val="1"/>
                <w:iCs w:val="1"/>
                <w:color w:val="auto"/>
              </w:rPr>
              <w:t>Current Assets:</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Cash and cash equivalents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Accounts receivable, net</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256.1</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256.1</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Inventories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168.7</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153.5</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Prepaid and refundable taxes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249"/>
        </w:trPr>
        <w:tc>
          <w:tcPr>
            <w:tcW w:w="696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2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21"/>
                <w:szCs w:val="21"/>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219"/>
        </w:trPr>
        <w:tc>
          <w:tcPr>
            <w:tcW w:w="6960" w:type="dxa"/>
            <w:vAlign w:val="bottom"/>
          </w:tcPr>
          <w:p>
            <w:pPr>
              <w:spacing w:after="0"/>
              <w:rPr>
                <w:sz w:val="20"/>
                <w:szCs w:val="20"/>
                <w:color w:val="auto"/>
              </w:rPr>
            </w:pPr>
            <w:r>
              <w:rPr>
                <w:rFonts w:ascii="Arial" w:cs="Arial" w:eastAsia="Arial" w:hAnsi="Arial"/>
                <w:sz w:val="14"/>
                <w:szCs w:val="14"/>
                <w:color w:val="auto"/>
              </w:rPr>
              <w:t>Total Current Assets</w:t>
            </w:r>
          </w:p>
        </w:tc>
        <w:tc>
          <w:tcPr>
            <w:tcW w:w="2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568.4</w:t>
            </w: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533.3</w:t>
            </w:r>
          </w:p>
        </w:tc>
        <w:tc>
          <w:tcPr>
            <w:tcW w:w="0" w:type="dxa"/>
            <w:vAlign w:val="bottom"/>
          </w:tcPr>
          <w:p>
            <w:pPr>
              <w:spacing w:after="0"/>
              <w:rPr>
                <w:sz w:val="1"/>
                <w:szCs w:val="1"/>
                <w:color w:val="auto"/>
              </w:rPr>
            </w:pPr>
          </w:p>
        </w:tc>
      </w:tr>
      <w:tr>
        <w:trPr>
          <w:trHeight w:val="209"/>
        </w:trPr>
        <w:tc>
          <w:tcPr>
            <w:tcW w:w="6960" w:type="dxa"/>
            <w:vAlign w:val="bottom"/>
          </w:tcPr>
          <w:p>
            <w:pPr>
              <w:ind w:left="340"/>
              <w:spacing w:after="0"/>
              <w:rPr>
                <w:sz w:val="20"/>
                <w:szCs w:val="20"/>
                <w:color w:val="auto"/>
              </w:rPr>
            </w:pPr>
            <w:r>
              <w:rPr>
                <w:rFonts w:ascii="Arial" w:cs="Arial" w:eastAsia="Arial" w:hAnsi="Arial"/>
                <w:sz w:val="14"/>
                <w:szCs w:val="14"/>
                <w:color w:val="auto"/>
              </w:rPr>
              <w:t>Property, plant and equipment, net</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185.1</w:t>
            </w:r>
          </w:p>
        </w:tc>
        <w:tc>
          <w:tcPr>
            <w:tcW w:w="100" w:type="dxa"/>
            <w:vAlign w:val="bottom"/>
          </w:tcPr>
          <w:p>
            <w:pPr>
              <w:spacing w:after="0"/>
              <w:rPr>
                <w:sz w:val="18"/>
                <w:szCs w:val="18"/>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191.4</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Goodwill</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961.7</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956.8</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Intangible assets, net</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721.0</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770.4</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Operating lease assets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Investments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Deferred tax assets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97.6</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249"/>
        </w:trPr>
        <w:tc>
          <w:tcPr>
            <w:tcW w:w="6960" w:type="dxa"/>
            <w:vAlign w:val="bottom"/>
          </w:tcPr>
          <w:p>
            <w:pPr>
              <w:ind w:left="340"/>
              <w:spacing w:after="0"/>
              <w:rPr>
                <w:sz w:val="20"/>
                <w:szCs w:val="20"/>
                <w:color w:val="auto"/>
              </w:rPr>
            </w:pPr>
            <w:r>
              <w:rPr>
                <w:rFonts w:ascii="Arial" w:cs="Arial" w:eastAsia="Arial" w:hAnsi="Arial"/>
                <w:sz w:val="14"/>
                <w:szCs w:val="14"/>
                <w:color w:val="auto"/>
              </w:rPr>
              <w:t>Other assets</w:t>
            </w:r>
          </w:p>
        </w:tc>
        <w:tc>
          <w:tcPr>
            <w:tcW w:w="2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1"/>
                <w:szCs w:val="21"/>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33"/>
        </w:trPr>
        <w:tc>
          <w:tcPr>
            <w:tcW w:w="6960" w:type="dxa"/>
            <w:vAlign w:val="bottom"/>
          </w:tcPr>
          <w:p>
            <w:pPr>
              <w:spacing w:after="0"/>
              <w:rPr>
                <w:sz w:val="20"/>
                <w:szCs w:val="20"/>
                <w:color w:val="auto"/>
              </w:rPr>
            </w:pPr>
            <w:r>
              <w:rPr>
                <w:rFonts w:ascii="Arial" w:cs="Arial" w:eastAsia="Arial" w:hAnsi="Arial"/>
                <w:sz w:val="14"/>
                <w:szCs w:val="14"/>
                <w:color w:val="auto"/>
              </w:rPr>
              <w:t>Total Assets</w:t>
            </w:r>
          </w:p>
        </w:tc>
        <w:tc>
          <w:tcPr>
            <w:tcW w:w="2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$2,621.7</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$2,549.7</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LIABILITIES AND STOCKHOLDERS' EQUITY</w:t>
            </w: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960" w:type="dxa"/>
            <w:vAlign w:val="bottom"/>
            <w:vMerge w:val="continue"/>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960" w:type="dxa"/>
            <w:vAlign w:val="bottom"/>
          </w:tcPr>
          <w:p>
            <w:pPr>
              <w:spacing w:after="0"/>
              <w:rPr>
                <w:sz w:val="20"/>
                <w:szCs w:val="20"/>
                <w:color w:val="auto"/>
              </w:rPr>
            </w:pPr>
            <w:r>
              <w:rPr>
                <w:rFonts w:ascii="Arial" w:cs="Arial" w:eastAsia="Arial" w:hAnsi="Arial"/>
                <w:sz w:val="14"/>
                <w:szCs w:val="14"/>
                <w:i w:val="1"/>
                <w:iCs w:val="1"/>
                <w:color w:val="auto"/>
              </w:rPr>
              <w:t>Current Liabilities:</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Current debt obligations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88.5</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Accrued liabilities and other</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140.7</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124.3</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Current litigation provision liability</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256.6</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161.9</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Taxes payable</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49"/>
        </w:trPr>
        <w:tc>
          <w:tcPr>
            <w:tcW w:w="6960" w:type="dxa"/>
            <w:vAlign w:val="bottom"/>
          </w:tcPr>
          <w:p>
            <w:pPr>
              <w:ind w:left="340"/>
              <w:spacing w:after="0"/>
              <w:rPr>
                <w:sz w:val="20"/>
                <w:szCs w:val="20"/>
                <w:color w:val="auto"/>
              </w:rPr>
            </w:pPr>
            <w:r>
              <w:rPr>
                <w:rFonts w:ascii="Arial" w:cs="Arial" w:eastAsia="Arial" w:hAnsi="Arial"/>
                <w:sz w:val="14"/>
                <w:szCs w:val="14"/>
                <w:color w:val="auto"/>
              </w:rPr>
              <w:t>Accrued employee compensation and related benefits</w:t>
            </w:r>
          </w:p>
        </w:tc>
        <w:tc>
          <w:tcPr>
            <w:tcW w:w="2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21"/>
                <w:szCs w:val="21"/>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82.6</w:t>
            </w:r>
          </w:p>
        </w:tc>
        <w:tc>
          <w:tcPr>
            <w:tcW w:w="0" w:type="dxa"/>
            <w:vAlign w:val="bottom"/>
          </w:tcPr>
          <w:p>
            <w:pPr>
              <w:spacing w:after="0"/>
              <w:rPr>
                <w:sz w:val="1"/>
                <w:szCs w:val="1"/>
                <w:color w:val="auto"/>
              </w:rPr>
            </w:pPr>
          </w:p>
        </w:tc>
      </w:tr>
      <w:tr>
        <w:trPr>
          <w:trHeight w:val="219"/>
        </w:trPr>
        <w:tc>
          <w:tcPr>
            <w:tcW w:w="696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595.9</w:t>
            </w: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496.7</w:t>
            </w:r>
          </w:p>
        </w:tc>
        <w:tc>
          <w:tcPr>
            <w:tcW w:w="0" w:type="dxa"/>
            <w:vAlign w:val="bottom"/>
          </w:tcPr>
          <w:p>
            <w:pPr>
              <w:spacing w:after="0"/>
              <w:rPr>
                <w:sz w:val="1"/>
                <w:szCs w:val="1"/>
                <w:color w:val="auto"/>
              </w:rPr>
            </w:pPr>
          </w:p>
        </w:tc>
      </w:tr>
      <w:tr>
        <w:trPr>
          <w:trHeight w:val="209"/>
        </w:trPr>
        <w:tc>
          <w:tcPr>
            <w:tcW w:w="6960" w:type="dxa"/>
            <w:vAlign w:val="bottom"/>
          </w:tcPr>
          <w:p>
            <w:pPr>
              <w:ind w:left="340"/>
              <w:spacing w:after="0"/>
              <w:rPr>
                <w:sz w:val="20"/>
                <w:szCs w:val="20"/>
                <w:color w:val="auto"/>
              </w:rPr>
            </w:pPr>
            <w:r>
              <w:rPr>
                <w:rFonts w:ascii="Arial" w:cs="Arial" w:eastAsia="Arial" w:hAnsi="Arial"/>
                <w:sz w:val="14"/>
                <w:szCs w:val="14"/>
                <w:color w:val="auto"/>
              </w:rPr>
              <w:t>Long-term debt obligations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174.4</w:t>
            </w:r>
          </w:p>
        </w:tc>
        <w:tc>
          <w:tcPr>
            <w:tcW w:w="100" w:type="dxa"/>
            <w:vAlign w:val="bottom"/>
          </w:tcPr>
          <w:p>
            <w:pPr>
              <w:spacing w:after="0"/>
              <w:rPr>
                <w:sz w:val="18"/>
                <w:szCs w:val="18"/>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Contingent consideration</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133.1</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161.4</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Litigation provision liability</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132.2</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Deferred tax liabilities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Long-term operating lease liabilities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Long-term employee compensation and related benefits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49"/>
        </w:trPr>
        <w:tc>
          <w:tcPr>
            <w:tcW w:w="6960" w:type="dxa"/>
            <w:vAlign w:val="bottom"/>
          </w:tcPr>
          <w:p>
            <w:pPr>
              <w:ind w:left="340"/>
              <w:spacing w:after="0"/>
              <w:rPr>
                <w:sz w:val="20"/>
                <w:szCs w:val="20"/>
                <w:color w:val="auto"/>
              </w:rPr>
            </w:pPr>
            <w:r>
              <w:rPr>
                <w:rFonts w:ascii="Arial" w:cs="Arial" w:eastAsia="Arial" w:hAnsi="Arial"/>
                <w:sz w:val="14"/>
                <w:szCs w:val="14"/>
                <w:color w:val="auto"/>
              </w:rPr>
              <w:t>Other long-term liabilities</w:t>
            </w:r>
          </w:p>
        </w:tc>
        <w:tc>
          <w:tcPr>
            <w:tcW w:w="2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1"/>
                <w:szCs w:val="21"/>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19"/>
        </w:trPr>
        <w:tc>
          <w:tcPr>
            <w:tcW w:w="6960" w:type="dxa"/>
            <w:vAlign w:val="bottom"/>
          </w:tcPr>
          <w:p>
            <w:pPr>
              <w:spacing w:after="0"/>
              <w:rPr>
                <w:sz w:val="20"/>
                <w:szCs w:val="20"/>
                <w:color w:val="auto"/>
              </w:rPr>
            </w:pPr>
            <w:r>
              <w:rPr>
                <w:rFonts w:ascii="Arial" w:cs="Arial" w:eastAsia="Arial" w:hAnsi="Arial"/>
                <w:sz w:val="14"/>
                <w:szCs w:val="14"/>
                <w:color w:val="auto"/>
              </w:rPr>
              <w:t>Total Liabilities</w:t>
            </w:r>
          </w:p>
        </w:tc>
        <w:tc>
          <w:tcPr>
            <w:tcW w:w="2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1,138.3</w:t>
            </w: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1,046.0</w:t>
            </w:r>
          </w:p>
        </w:tc>
        <w:tc>
          <w:tcPr>
            <w:tcW w:w="0" w:type="dxa"/>
            <w:vAlign w:val="bottom"/>
          </w:tcPr>
          <w:p>
            <w:pPr>
              <w:spacing w:after="0"/>
              <w:rPr>
                <w:sz w:val="1"/>
                <w:szCs w:val="1"/>
                <w:color w:val="auto"/>
              </w:rPr>
            </w:pPr>
          </w:p>
        </w:tc>
      </w:tr>
      <w:tr>
        <w:trPr>
          <w:trHeight w:val="219"/>
        </w:trPr>
        <w:tc>
          <w:tcPr>
            <w:tcW w:w="696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1,483.3</w:t>
            </w: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1,503.7</w:t>
            </w:r>
          </w:p>
        </w:tc>
        <w:tc>
          <w:tcPr>
            <w:tcW w:w="0" w:type="dxa"/>
            <w:vAlign w:val="bottom"/>
          </w:tcPr>
          <w:p>
            <w:pPr>
              <w:spacing w:after="0"/>
              <w:rPr>
                <w:sz w:val="1"/>
                <w:szCs w:val="1"/>
                <w:color w:val="auto"/>
              </w:rPr>
            </w:pPr>
          </w:p>
        </w:tc>
      </w:tr>
      <w:tr>
        <w:trPr>
          <w:trHeight w:val="236"/>
        </w:trPr>
        <w:tc>
          <w:tcPr>
            <w:tcW w:w="696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2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$2,621.7</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$2,549.7</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340" w:hanging="340"/>
        <w:spacing w:after="0"/>
        <w:tabs>
          <w:tab w:leader="none" w:pos="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Numbers may not add up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420"/>
          </w:cols>
          <w:pgMar w:left="260" w:top="709" w:right="2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20"/>
                <w:szCs w:val="20"/>
                <w:color w:val="auto"/>
              </w:rPr>
            </w:pPr>
            <w:r>
              <w:rPr>
                <w:rFonts w:ascii="Arial" w:cs="Arial" w:eastAsia="Arial" w:hAnsi="Arial"/>
                <w:sz w:val="14"/>
                <w:szCs w:val="14"/>
                <w:b w:val="1"/>
                <w:bCs w:val="1"/>
                <w:color w:val="auto"/>
              </w:rPr>
              <w:t>LIVANOVA PLC AND SUBSIDIARIES</w:t>
            </w: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9"/>
        </w:trPr>
        <w:tc>
          <w:tcPr>
            <w:tcW w:w="8000" w:type="dxa"/>
            <w:vAlign w:val="bottom"/>
          </w:tcPr>
          <w:p>
            <w:pPr>
              <w:spacing w:after="0"/>
              <w:rPr>
                <w:sz w:val="20"/>
                <w:szCs w:val="20"/>
                <w:color w:val="auto"/>
              </w:rPr>
            </w:pPr>
            <w:r>
              <w:rPr>
                <w:rFonts w:ascii="Arial" w:cs="Arial" w:eastAsia="Arial" w:hAnsi="Arial"/>
                <w:sz w:val="14"/>
                <w:szCs w:val="14"/>
                <w:b w:val="1"/>
                <w:bCs w:val="1"/>
                <w:color w:val="auto"/>
              </w:rPr>
              <w:t>CONDENSED CONSOLIDATED STATEMENTS OF CASH FLOWS - UNAUDITED</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39"/>
        </w:trPr>
        <w:tc>
          <w:tcPr>
            <w:tcW w:w="8000" w:type="dxa"/>
            <w:vAlign w:val="bottom"/>
          </w:tcPr>
          <w:p>
            <w:pPr>
              <w:spacing w:after="0"/>
              <w:rPr>
                <w:sz w:val="20"/>
                <w:szCs w:val="20"/>
                <w:color w:val="auto"/>
              </w:rPr>
            </w:pPr>
            <w:r>
              <w:rPr>
                <w:rFonts w:ascii="Arial" w:cs="Arial" w:eastAsia="Arial" w:hAnsi="Arial"/>
                <w:sz w:val="14"/>
                <w:szCs w:val="14"/>
                <w:b w:val="1"/>
                <w:bCs w:val="1"/>
                <w:color w:val="auto"/>
              </w:rPr>
              <w:t>(U.S. dollars in millions)</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49"/>
        </w:trPr>
        <w:tc>
          <w:tcPr>
            <w:tcW w:w="8000" w:type="dxa"/>
            <w:vAlign w:val="bottom"/>
          </w:tcPr>
          <w:p>
            <w:pPr>
              <w:spacing w:after="0"/>
              <w:rPr>
                <w:sz w:val="21"/>
                <w:szCs w:val="21"/>
                <w:color w:val="auto"/>
              </w:rPr>
            </w:pPr>
          </w:p>
        </w:tc>
        <w:tc>
          <w:tcPr>
            <w:tcW w:w="3420" w:type="dxa"/>
            <w:vAlign w:val="bottom"/>
            <w:tcBorders>
              <w:bottom w:val="single" w:sz="8" w:color="auto"/>
            </w:tcBorders>
            <w:gridSpan w:val="3"/>
          </w:tcPr>
          <w:p>
            <w:pPr>
              <w:jc w:val="right"/>
              <w:ind w:right="708"/>
              <w:spacing w:after="0"/>
              <w:rPr>
                <w:sz w:val="20"/>
                <w:szCs w:val="20"/>
                <w:color w:val="auto"/>
              </w:rPr>
            </w:pPr>
            <w:r>
              <w:rPr>
                <w:rFonts w:ascii="Arial" w:cs="Arial" w:eastAsia="Arial" w:hAnsi="Arial"/>
                <w:sz w:val="14"/>
                <w:szCs w:val="14"/>
                <w:b w:val="1"/>
                <w:bCs w:val="1"/>
                <w:color w:val="auto"/>
              </w:rPr>
              <w:t>Six Months Ended June 30,</w:t>
            </w:r>
          </w:p>
        </w:tc>
      </w:tr>
      <w:tr>
        <w:trPr>
          <w:trHeight w:val="231"/>
        </w:trPr>
        <w:tc>
          <w:tcPr>
            <w:tcW w:w="800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16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20"/>
                <w:szCs w:val="20"/>
                <w:color w:val="auto"/>
              </w:rPr>
            </w:pPr>
          </w:p>
        </w:tc>
        <w:tc>
          <w:tcPr>
            <w:tcW w:w="15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r>
      <w:tr>
        <w:trPr>
          <w:trHeight w:val="221"/>
        </w:trPr>
        <w:tc>
          <w:tcPr>
            <w:tcW w:w="8000" w:type="dxa"/>
            <w:vAlign w:val="bottom"/>
          </w:tcPr>
          <w:p>
            <w:pPr>
              <w:spacing w:after="0"/>
              <w:rPr>
                <w:sz w:val="20"/>
                <w:szCs w:val="20"/>
                <w:color w:val="auto"/>
              </w:rPr>
            </w:pPr>
            <w:r>
              <w:rPr>
                <w:rFonts w:ascii="Arial" w:cs="Arial" w:eastAsia="Arial" w:hAnsi="Arial"/>
                <w:sz w:val="14"/>
                <w:szCs w:val="14"/>
                <w:b w:val="1"/>
                <w:bCs w:val="1"/>
                <w:color w:val="auto"/>
              </w:rPr>
              <w:t>Net (loss) income</w:t>
            </w:r>
          </w:p>
        </w:tc>
        <w:tc>
          <w:tcPr>
            <w:tcW w:w="1600" w:type="dxa"/>
            <w:vAlign w:val="bottom"/>
          </w:tcPr>
          <w:p>
            <w:pPr>
              <w:jc w:val="right"/>
              <w:spacing w:after="0"/>
              <w:rPr>
                <w:sz w:val="20"/>
                <w:szCs w:val="20"/>
                <w:color w:val="auto"/>
              </w:rPr>
            </w:pPr>
            <w:r>
              <w:rPr>
                <w:rFonts w:ascii="Arial" w:cs="Arial" w:eastAsia="Arial" w:hAnsi="Arial"/>
                <w:sz w:val="14"/>
                <w:szCs w:val="14"/>
                <w:color w:val="auto"/>
              </w:rPr>
              <w:t>($44.1)</w:t>
            </w:r>
          </w:p>
        </w:tc>
        <w:tc>
          <w:tcPr>
            <w:tcW w:w="240" w:type="dxa"/>
            <w:vAlign w:val="bottom"/>
          </w:tcPr>
          <w:p>
            <w:pPr>
              <w:spacing w:after="0"/>
              <w:rPr>
                <w:sz w:val="19"/>
                <w:szCs w:val="19"/>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$28.3</w:t>
            </w:r>
          </w:p>
        </w:tc>
      </w:tr>
      <w:tr>
        <w:trPr>
          <w:trHeight w:val="239"/>
        </w:trPr>
        <w:tc>
          <w:tcPr>
            <w:tcW w:w="8000" w:type="dxa"/>
            <w:vAlign w:val="bottom"/>
          </w:tcPr>
          <w:p>
            <w:pPr>
              <w:spacing w:after="0"/>
              <w:rPr>
                <w:sz w:val="20"/>
                <w:szCs w:val="20"/>
                <w:color w:val="auto"/>
              </w:rPr>
            </w:pPr>
            <w:r>
              <w:rPr>
                <w:rFonts w:ascii="Arial" w:cs="Arial" w:eastAsia="Arial" w:hAnsi="Arial"/>
                <w:sz w:val="14"/>
                <w:szCs w:val="14"/>
                <w:color w:val="auto"/>
              </w:rPr>
              <w:t>Non-cash items included in net (loss) income:</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Impairment of intangible assets</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50.3</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Amortization</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18.5</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18.6</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Deferred tax expense (benefit)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15.9</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Stock-based compensation</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14.2</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Depreciation</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15.3</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16.6</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Remeasurement of contingent consideration to fair value</w:t>
            </w:r>
          </w:p>
        </w:tc>
        <w:tc>
          <w:tcPr>
            <w:tcW w:w="1600" w:type="dxa"/>
            <w:vAlign w:val="bottom"/>
          </w:tcPr>
          <w:p>
            <w:pPr>
              <w:jc w:val="right"/>
              <w:spacing w:after="0"/>
              <w:rPr>
                <w:sz w:val="20"/>
                <w:szCs w:val="20"/>
                <w:color w:val="auto"/>
              </w:rPr>
            </w:pPr>
            <w:r>
              <w:rPr>
                <w:rFonts w:ascii="Arial" w:cs="Arial" w:eastAsia="Arial" w:hAnsi="Arial"/>
                <w:sz w:val="14"/>
                <w:szCs w:val="14"/>
                <w:color w:val="auto"/>
              </w:rPr>
              <w:t>(10.6)</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Amortization of operating lease assets</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Amortization of income taxes payable on intercompany transfers of property</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5.2</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Gain on acquisition</w:t>
            </w:r>
          </w:p>
        </w:tc>
        <w:tc>
          <w:tcPr>
            <w:tcW w:w="18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Other</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1.4</w:t>
            </w:r>
          </w:p>
        </w:tc>
      </w:tr>
      <w:tr>
        <w:trPr>
          <w:trHeight w:val="239"/>
        </w:trPr>
        <w:tc>
          <w:tcPr>
            <w:tcW w:w="8000" w:type="dxa"/>
            <w:vAlign w:val="bottom"/>
          </w:tcPr>
          <w:p>
            <w:pPr>
              <w:spacing w:after="0"/>
              <w:rPr>
                <w:sz w:val="20"/>
                <w:szCs w:val="20"/>
                <w:color w:val="auto"/>
              </w:rPr>
            </w:pPr>
            <w:r>
              <w:rPr>
                <w:rFonts w:ascii="Arial" w:cs="Arial" w:eastAsia="Arial" w:hAnsi="Arial"/>
                <w:sz w:val="14"/>
                <w:szCs w:val="14"/>
                <w:b w:val="1"/>
                <w:bCs w:val="1"/>
                <w:color w:val="auto"/>
              </w:rPr>
              <w:t>Changes in operating assets and liabilities:</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Accounts receivable, net</w:t>
            </w:r>
          </w:p>
        </w:tc>
        <w:tc>
          <w:tcPr>
            <w:tcW w:w="1600" w:type="dxa"/>
            <w:vAlign w:val="bottom"/>
          </w:tcPr>
          <w:p>
            <w:pPr>
              <w:jc w:val="right"/>
              <w:spacing w:after="0"/>
              <w:rPr>
                <w:sz w:val="20"/>
                <w:szCs w:val="20"/>
                <w:color w:val="auto"/>
              </w:rPr>
            </w:pPr>
            <w:r>
              <w:rPr>
                <w:rFonts w:ascii="Arial" w:cs="Arial" w:eastAsia="Arial" w:hAnsi="Arial"/>
                <w:sz w:val="14"/>
                <w:szCs w:val="14"/>
                <w:color w:val="auto"/>
              </w:rPr>
              <w:t>(0.3)</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21.8</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Inventories</w:t>
            </w:r>
          </w:p>
        </w:tc>
        <w:tc>
          <w:tcPr>
            <w:tcW w:w="1600" w:type="dxa"/>
            <w:vAlign w:val="bottom"/>
          </w:tcPr>
          <w:p>
            <w:pPr>
              <w:jc w:val="right"/>
              <w:spacing w:after="0"/>
              <w:rPr>
                <w:sz w:val="20"/>
                <w:szCs w:val="20"/>
                <w:color w:val="auto"/>
              </w:rPr>
            </w:pPr>
            <w:r>
              <w:rPr>
                <w:rFonts w:ascii="Arial" w:cs="Arial" w:eastAsia="Arial" w:hAnsi="Arial"/>
                <w:sz w:val="14"/>
                <w:szCs w:val="14"/>
                <w:color w:val="auto"/>
              </w:rPr>
              <w:t>(14.3)</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Other current and non-current assets</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(15.8)</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Accounts payable and accrued current and non-current liabilities</w:t>
            </w:r>
          </w:p>
        </w:tc>
        <w:tc>
          <w:tcPr>
            <w:tcW w:w="1600" w:type="dxa"/>
            <w:vAlign w:val="bottom"/>
          </w:tcPr>
          <w:p>
            <w:pPr>
              <w:jc w:val="right"/>
              <w:spacing w:after="0"/>
              <w:rPr>
                <w:sz w:val="20"/>
                <w:szCs w:val="20"/>
                <w:color w:val="auto"/>
              </w:rPr>
            </w:pPr>
            <w:r>
              <w:rPr>
                <w:rFonts w:ascii="Arial" w:cs="Arial" w:eastAsia="Arial" w:hAnsi="Arial"/>
                <w:sz w:val="14"/>
                <w:szCs w:val="14"/>
                <w:color w:val="auto"/>
              </w:rPr>
              <w:t>(29.1)</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Taxes payable</w:t>
            </w:r>
          </w:p>
        </w:tc>
        <w:tc>
          <w:tcPr>
            <w:tcW w:w="1600" w:type="dxa"/>
            <w:vAlign w:val="bottom"/>
          </w:tcPr>
          <w:p>
            <w:pPr>
              <w:jc w:val="right"/>
              <w:spacing w:after="0"/>
              <w:rPr>
                <w:sz w:val="20"/>
                <w:szCs w:val="20"/>
                <w:color w:val="auto"/>
              </w:rPr>
            </w:pPr>
            <w:r>
              <w:rPr>
                <w:rFonts w:ascii="Arial" w:cs="Arial" w:eastAsia="Arial" w:hAnsi="Arial"/>
                <w:sz w:val="14"/>
                <w:szCs w:val="14"/>
                <w:color w:val="auto"/>
              </w:rPr>
              <w:t>(43.0)</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1.2</w:t>
            </w:r>
          </w:p>
        </w:tc>
      </w:tr>
      <w:tr>
        <w:trPr>
          <w:trHeight w:val="249"/>
        </w:trPr>
        <w:tc>
          <w:tcPr>
            <w:tcW w:w="8000" w:type="dxa"/>
            <w:vAlign w:val="bottom"/>
          </w:tcPr>
          <w:p>
            <w:pPr>
              <w:ind w:left="460"/>
              <w:spacing w:after="0"/>
              <w:rPr>
                <w:sz w:val="20"/>
                <w:szCs w:val="20"/>
                <w:color w:val="auto"/>
              </w:rPr>
            </w:pPr>
            <w:r>
              <w:rPr>
                <w:rFonts w:ascii="Arial" w:cs="Arial" w:eastAsia="Arial" w:hAnsi="Arial"/>
                <w:sz w:val="14"/>
                <w:szCs w:val="14"/>
                <w:color w:val="auto"/>
              </w:rPr>
              <w:t>Restructuring reserve</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240" w:type="dxa"/>
            <w:vAlign w:val="bottom"/>
          </w:tcPr>
          <w:p>
            <w:pPr>
              <w:spacing w:after="0"/>
              <w:rPr>
                <w:sz w:val="21"/>
                <w:szCs w:val="21"/>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r>
      <w:tr>
        <w:trPr>
          <w:trHeight w:val="219"/>
        </w:trPr>
        <w:tc>
          <w:tcPr>
            <w:tcW w:w="8000" w:type="dxa"/>
            <w:vAlign w:val="bottom"/>
          </w:tcPr>
          <w:p>
            <w:pPr>
              <w:ind w:left="58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(17.4)</w:t>
            </w:r>
          </w:p>
        </w:tc>
        <w:tc>
          <w:tcPr>
            <w:tcW w:w="240" w:type="dxa"/>
            <w:vAlign w:val="bottom"/>
          </w:tcPr>
          <w:p>
            <w:pPr>
              <w:spacing w:after="0"/>
              <w:rPr>
                <w:sz w:val="19"/>
                <w:szCs w:val="19"/>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48.5</w:t>
            </w:r>
          </w:p>
        </w:tc>
      </w:tr>
      <w:tr>
        <w:trPr>
          <w:trHeight w:val="221"/>
        </w:trPr>
        <w:tc>
          <w:tcPr>
            <w:tcW w:w="80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Purchases of property, plant and equipment</w:t>
            </w:r>
          </w:p>
        </w:tc>
        <w:tc>
          <w:tcPr>
            <w:tcW w:w="1600" w:type="dxa"/>
            <w:vAlign w:val="bottom"/>
          </w:tcPr>
          <w:p>
            <w:pPr>
              <w:jc w:val="right"/>
              <w:spacing w:after="0"/>
              <w:rPr>
                <w:sz w:val="20"/>
                <w:szCs w:val="20"/>
                <w:color w:val="auto"/>
              </w:rPr>
            </w:pPr>
            <w:r>
              <w:rPr>
                <w:rFonts w:ascii="Arial" w:cs="Arial" w:eastAsia="Arial" w:hAnsi="Arial"/>
                <w:sz w:val="14"/>
                <w:szCs w:val="14"/>
                <w:color w:val="auto"/>
              </w:rPr>
              <w:t>(10.8)</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Acquisitions, net of cash acquired</w:t>
            </w:r>
          </w:p>
        </w:tc>
        <w:tc>
          <w:tcPr>
            <w:tcW w:w="1600" w:type="dxa"/>
            <w:vAlign w:val="bottom"/>
          </w:tcPr>
          <w:p>
            <w:pPr>
              <w:jc w:val="right"/>
              <w:spacing w:after="0"/>
              <w:rPr>
                <w:sz w:val="20"/>
                <w:szCs w:val="20"/>
                <w:color w:val="auto"/>
              </w:rPr>
            </w:pPr>
            <w:r>
              <w:rPr>
                <w:rFonts w:ascii="Arial" w:cs="Arial" w:eastAsia="Arial" w:hAnsi="Arial"/>
                <w:sz w:val="14"/>
                <w:szCs w:val="14"/>
                <w:color w:val="auto"/>
              </w:rPr>
              <w:t>(10.8)</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(279.9)</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Purchases of intangible assets</w:t>
            </w:r>
          </w:p>
        </w:tc>
        <w:tc>
          <w:tcPr>
            <w:tcW w:w="160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Proceeds from asset sales</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13.2</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Purchase of investment</w:t>
            </w:r>
          </w:p>
        </w:tc>
        <w:tc>
          <w:tcPr>
            <w:tcW w:w="1600" w:type="dxa"/>
            <w:vAlign w:val="bottom"/>
          </w:tcPr>
          <w:p>
            <w:pPr>
              <w:jc w:val="right"/>
              <w:spacing w:after="0"/>
              <w:rPr>
                <w:sz w:val="20"/>
                <w:szCs w:val="20"/>
                <w:color w:val="auto"/>
              </w:rPr>
            </w:pPr>
            <w:r>
              <w:rPr>
                <w:rFonts w:ascii="Arial" w:cs="Arial" w:eastAsia="Arial" w:hAnsi="Arial"/>
                <w:sz w:val="14"/>
                <w:szCs w:val="14"/>
                <w:color w:val="auto"/>
              </w:rPr>
              <w:t>(0.3)</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49"/>
        </w:trPr>
        <w:tc>
          <w:tcPr>
            <w:tcW w:w="8000" w:type="dxa"/>
            <w:vAlign w:val="bottom"/>
          </w:tcPr>
          <w:p>
            <w:pPr>
              <w:ind w:left="460"/>
              <w:spacing w:after="0"/>
              <w:rPr>
                <w:sz w:val="20"/>
                <w:szCs w:val="20"/>
                <w:color w:val="auto"/>
              </w:rPr>
            </w:pPr>
            <w:r>
              <w:rPr>
                <w:rFonts w:ascii="Arial" w:cs="Arial" w:eastAsia="Arial" w:hAnsi="Arial"/>
                <w:sz w:val="14"/>
                <w:szCs w:val="14"/>
                <w:color w:val="auto"/>
              </w:rPr>
              <w:t>Proceeds from the sale of CRM business franchise, net of cash disposed</w:t>
            </w:r>
          </w:p>
        </w:tc>
        <w:tc>
          <w:tcPr>
            <w:tcW w:w="18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186.7</w:t>
            </w:r>
          </w:p>
        </w:tc>
      </w:tr>
      <w:tr>
        <w:trPr>
          <w:trHeight w:val="219"/>
        </w:trPr>
        <w:tc>
          <w:tcPr>
            <w:tcW w:w="8000" w:type="dxa"/>
            <w:vAlign w:val="bottom"/>
          </w:tcPr>
          <w:p>
            <w:pPr>
              <w:ind w:left="580"/>
              <w:spacing w:after="0"/>
              <w:rPr>
                <w:sz w:val="20"/>
                <w:szCs w:val="20"/>
                <w:color w:val="auto"/>
              </w:rPr>
            </w:pPr>
            <w:r>
              <w:rPr>
                <w:rFonts w:ascii="Arial" w:cs="Arial" w:eastAsia="Arial" w:hAnsi="Arial"/>
                <w:sz w:val="14"/>
                <w:szCs w:val="14"/>
                <w:b w:val="1"/>
                <w:bCs w:val="1"/>
                <w:color w:val="auto"/>
              </w:rPr>
              <w:t>Net cash used in investing activities</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(22.5)</w:t>
            </w:r>
          </w:p>
        </w:tc>
        <w:tc>
          <w:tcPr>
            <w:tcW w:w="24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(93.2)</w:t>
            </w:r>
          </w:p>
        </w:tc>
      </w:tr>
      <w:tr>
        <w:trPr>
          <w:trHeight w:val="221"/>
        </w:trPr>
        <w:tc>
          <w:tcPr>
            <w:tcW w:w="80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Proceeds from long-term debt obligations</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53.8</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Repayment of long-term debt obligations</w:t>
            </w:r>
          </w:p>
        </w:tc>
        <w:tc>
          <w:tcPr>
            <w:tcW w:w="1600" w:type="dxa"/>
            <w:vAlign w:val="bottom"/>
          </w:tcPr>
          <w:p>
            <w:pPr>
              <w:jc w:val="right"/>
              <w:spacing w:after="0"/>
              <w:rPr>
                <w:sz w:val="20"/>
                <w:szCs w:val="20"/>
                <w:color w:val="auto"/>
              </w:rPr>
            </w:pPr>
            <w:r>
              <w:rPr>
                <w:rFonts w:ascii="Arial" w:cs="Arial" w:eastAsia="Arial" w:hAnsi="Arial"/>
                <w:sz w:val="14"/>
                <w:szCs w:val="14"/>
                <w:color w:val="auto"/>
              </w:rPr>
              <w:t>(12.1)</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Shares repurchased from employees for minimum tax withholding</w:t>
            </w:r>
          </w:p>
        </w:tc>
        <w:tc>
          <w:tcPr>
            <w:tcW w:w="1600" w:type="dxa"/>
            <w:vAlign w:val="bottom"/>
          </w:tcPr>
          <w:p>
            <w:pPr>
              <w:jc w:val="right"/>
              <w:spacing w:after="0"/>
              <w:rPr>
                <w:sz w:val="20"/>
                <w:szCs w:val="20"/>
                <w:color w:val="auto"/>
              </w:rPr>
            </w:pPr>
            <w:r>
              <w:rPr>
                <w:rFonts w:ascii="Arial" w:cs="Arial" w:eastAsia="Arial" w:hAnsi="Arial"/>
                <w:sz w:val="14"/>
                <w:szCs w:val="14"/>
                <w:color w:val="auto"/>
              </w:rPr>
              <w:t>(5.7)</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Debt issuance costs</w:t>
            </w:r>
          </w:p>
        </w:tc>
        <w:tc>
          <w:tcPr>
            <w:tcW w:w="1600" w:type="dxa"/>
            <w:vAlign w:val="bottom"/>
          </w:tcPr>
          <w:p>
            <w:pPr>
              <w:jc w:val="right"/>
              <w:spacing w:after="0"/>
              <w:rPr>
                <w:sz w:val="20"/>
                <w:szCs w:val="20"/>
                <w:color w:val="auto"/>
              </w:rPr>
            </w:pPr>
            <w:r>
              <w:rPr>
                <w:rFonts w:ascii="Arial" w:cs="Arial" w:eastAsia="Arial" w:hAnsi="Arial"/>
                <w:sz w:val="14"/>
                <w:szCs w:val="14"/>
                <w:color w:val="auto"/>
              </w:rPr>
              <w:t>(3.7)</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Proceeds from share issuances under ESPP</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Change in short-term borrowing, net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Proceeds from short-term borrowing (maturities greater than 90 days)</w:t>
            </w:r>
          </w:p>
        </w:tc>
        <w:tc>
          <w:tcPr>
            <w:tcW w:w="18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240.0</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Repayment of short-term borrowing (maturities greater than 90 days)</w:t>
            </w:r>
          </w:p>
        </w:tc>
        <w:tc>
          <w:tcPr>
            <w:tcW w:w="18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(190.0)</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Payment of deferred consideration - acquisition of Caisson Interventional, LLC</w:t>
            </w:r>
          </w:p>
        </w:tc>
        <w:tc>
          <w:tcPr>
            <w:tcW w:w="18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(14.1)</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Proceeds from exercise of stock options</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2.7</w:t>
            </w:r>
          </w:p>
        </w:tc>
      </w:tr>
      <w:tr>
        <w:trPr>
          <w:trHeight w:val="249"/>
        </w:trPr>
        <w:tc>
          <w:tcPr>
            <w:tcW w:w="8000" w:type="dxa"/>
            <w:vAlign w:val="bottom"/>
          </w:tcPr>
          <w:p>
            <w:pPr>
              <w:ind w:left="460"/>
              <w:spacing w:after="0"/>
              <w:rPr>
                <w:sz w:val="20"/>
                <w:szCs w:val="20"/>
                <w:color w:val="auto"/>
              </w:rPr>
            </w:pPr>
            <w:r>
              <w:rPr>
                <w:rFonts w:ascii="Arial" w:cs="Arial" w:eastAsia="Arial" w:hAnsi="Arial"/>
                <w:sz w:val="14"/>
                <w:szCs w:val="14"/>
                <w:color w:val="auto"/>
              </w:rPr>
              <w:t>Other</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24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219"/>
        </w:trPr>
        <w:tc>
          <w:tcPr>
            <w:tcW w:w="8000" w:type="dxa"/>
            <w:vAlign w:val="bottom"/>
          </w:tcPr>
          <w:p>
            <w:pPr>
              <w:ind w:left="580"/>
              <w:spacing w:after="0"/>
              <w:rPr>
                <w:sz w:val="20"/>
                <w:szCs w:val="20"/>
                <w:color w:val="auto"/>
              </w:rPr>
            </w:pPr>
            <w:r>
              <w:rPr>
                <w:rFonts w:ascii="Arial" w:cs="Arial" w:eastAsia="Arial" w:hAnsi="Arial"/>
                <w:sz w:val="14"/>
                <w:szCs w:val="14"/>
                <w:b w:val="1"/>
                <w:bCs w:val="1"/>
                <w:color w:val="auto"/>
              </w:rPr>
              <w:t>Net cash provided by financing activities</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37.1</w:t>
            </w:r>
          </w:p>
        </w:tc>
        <w:tc>
          <w:tcPr>
            <w:tcW w:w="240" w:type="dxa"/>
            <w:vAlign w:val="bottom"/>
          </w:tcPr>
          <w:p>
            <w:pPr>
              <w:spacing w:after="0"/>
              <w:rPr>
                <w:sz w:val="19"/>
                <w:szCs w:val="19"/>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0.9</w:t>
            </w:r>
          </w:p>
        </w:tc>
      </w:tr>
      <w:tr>
        <w:trPr>
          <w:trHeight w:val="219"/>
        </w:trPr>
        <w:tc>
          <w:tcPr>
            <w:tcW w:w="800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209"/>
        </w:trPr>
        <w:tc>
          <w:tcPr>
            <w:tcW w:w="8000" w:type="dxa"/>
            <w:vAlign w:val="bottom"/>
          </w:tcPr>
          <w:p>
            <w:pPr>
              <w:ind w:left="580"/>
              <w:spacing w:after="0"/>
              <w:rPr>
                <w:sz w:val="20"/>
                <w:szCs w:val="20"/>
                <w:color w:val="auto"/>
              </w:rPr>
            </w:pPr>
            <w:r>
              <w:rPr>
                <w:rFonts w:ascii="Arial" w:cs="Arial" w:eastAsia="Arial" w:hAnsi="Arial"/>
                <w:sz w:val="14"/>
                <w:szCs w:val="14"/>
                <w:b w:val="1"/>
                <w:bCs w:val="1"/>
                <w:color w:val="auto"/>
              </w:rPr>
              <w:t>Net decrease in cash and cash equivalents</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(46.2)</w:t>
            </w:r>
          </w:p>
        </w:tc>
      </w:tr>
      <w:tr>
        <w:trPr>
          <w:trHeight w:val="249"/>
        </w:trPr>
        <w:tc>
          <w:tcPr>
            <w:tcW w:w="800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47.2</w:t>
            </w:r>
          </w:p>
        </w:tc>
        <w:tc>
          <w:tcPr>
            <w:tcW w:w="240" w:type="dxa"/>
            <w:vAlign w:val="bottom"/>
          </w:tcPr>
          <w:p>
            <w:pPr>
              <w:spacing w:after="0"/>
              <w:rPr>
                <w:sz w:val="21"/>
                <w:szCs w:val="21"/>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93.6</w:t>
            </w:r>
          </w:p>
        </w:tc>
      </w:tr>
      <w:tr>
        <w:trPr>
          <w:trHeight w:val="236"/>
        </w:trPr>
        <w:tc>
          <w:tcPr>
            <w:tcW w:w="8000" w:type="dxa"/>
            <w:vAlign w:val="bottom"/>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$44.5</w:t>
            </w:r>
          </w:p>
        </w:tc>
        <w:tc>
          <w:tcPr>
            <w:tcW w:w="240" w:type="dxa"/>
            <w:vAlign w:val="bottom"/>
          </w:tcPr>
          <w:p>
            <w:pPr>
              <w:spacing w:after="0"/>
              <w:rPr>
                <w:sz w:val="20"/>
                <w:szCs w:val="20"/>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$47.4</w:t>
            </w:r>
          </w:p>
        </w:tc>
      </w:tr>
      <w:tr>
        <w:trPr>
          <w:trHeight w:val="20"/>
        </w:trPr>
        <w:tc>
          <w:tcPr>
            <w:tcW w:w="80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460" w:hanging="460"/>
        <w:spacing w:after="0"/>
        <w:tabs>
          <w:tab w:leader="none" w:pos="4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Numbers may not add up precisely due to rounding.</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420"/>
          </w:cols>
          <w:pgMar w:left="260" w:top="733" w:right="219" w:bottom="1440" w:gutter="0" w:footer="0" w:header="0"/>
        </w:sectPr>
      </w:pPr>
    </w:p>
    <w:bookmarkStart w:id="22" w:name="page23"/>
    <w:bookmarkEnd w:id="22"/>
    <w:p>
      <w:pPr>
        <w:ind w:right="200"/>
        <w:spacing w:after="0" w:line="275" w:lineRule="auto"/>
        <w:rPr>
          <w:sz w:val="20"/>
          <w:szCs w:val="20"/>
          <w:color w:val="auto"/>
        </w:rPr>
      </w:pPr>
      <w:r>
        <w:rPr>
          <w:rFonts w:ascii="Arial" w:cs="Arial" w:eastAsia="Arial" w:hAnsi="Arial"/>
          <w:sz w:val="14"/>
          <w:szCs w:val="14"/>
          <w:color w:val="auto"/>
        </w:rPr>
        <w:t>The following table presents the reconciliation of GAAP diluted weighted average shares outstanding, used in the computation of GAAP diluted net loss per share from continuing operations, to adjusted diluted weighted average shares outstanding, used in the computation of adjusted diluted earnings per share from continuing operations (in millions of shares):</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7200" w:type="dxa"/>
            <w:vAlign w:val="bottom"/>
          </w:tcPr>
          <w:p>
            <w:pPr>
              <w:spacing w:after="0"/>
              <w:rPr>
                <w:sz w:val="14"/>
                <w:szCs w:val="14"/>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060" w:type="dxa"/>
            <w:vAlign w:val="bottom"/>
          </w:tcPr>
          <w:p>
            <w:pPr>
              <w:jc w:val="right"/>
              <w:ind w:right="348"/>
              <w:spacing w:after="0"/>
              <w:rPr>
                <w:sz w:val="20"/>
                <w:szCs w:val="20"/>
                <w:color w:val="auto"/>
              </w:rPr>
            </w:pPr>
            <w:r>
              <w:rPr>
                <w:rFonts w:ascii="Arial" w:cs="Arial" w:eastAsia="Arial" w:hAnsi="Arial"/>
                <w:sz w:val="14"/>
                <w:szCs w:val="14"/>
                <w:b w:val="1"/>
                <w:bCs w:val="1"/>
                <w:color w:val="auto"/>
              </w:rPr>
              <w:t>Six Months Ended</w:t>
            </w:r>
          </w:p>
        </w:tc>
      </w:tr>
      <w:tr>
        <w:trPr>
          <w:trHeight w:val="199"/>
        </w:trPr>
        <w:tc>
          <w:tcPr>
            <w:tcW w:w="7200" w:type="dxa"/>
            <w:vAlign w:val="bottom"/>
          </w:tcPr>
          <w:p>
            <w:pPr>
              <w:spacing w:after="0"/>
              <w:rPr>
                <w:sz w:val="17"/>
                <w:szCs w:val="17"/>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June 30, 2019</w:t>
            </w:r>
          </w:p>
        </w:tc>
        <w:tc>
          <w:tcPr>
            <w:tcW w:w="2060" w:type="dxa"/>
            <w:vAlign w:val="bottom"/>
          </w:tcPr>
          <w:p>
            <w:pPr>
              <w:jc w:val="right"/>
              <w:ind w:right="488"/>
              <w:spacing w:after="0"/>
              <w:rPr>
                <w:sz w:val="20"/>
                <w:szCs w:val="20"/>
                <w:color w:val="auto"/>
              </w:rPr>
            </w:pPr>
            <w:r>
              <w:rPr>
                <w:rFonts w:ascii="Arial" w:cs="Arial" w:eastAsia="Arial" w:hAnsi="Arial"/>
                <w:sz w:val="14"/>
                <w:szCs w:val="14"/>
                <w:b w:val="1"/>
                <w:bCs w:val="1"/>
                <w:color w:val="auto"/>
              </w:rPr>
              <w:t>June 30, 2019</w:t>
            </w:r>
          </w:p>
        </w:tc>
      </w:tr>
      <w:tr>
        <w:trPr>
          <w:trHeight w:val="209"/>
        </w:trPr>
        <w:tc>
          <w:tcPr>
            <w:tcW w:w="7200" w:type="dxa"/>
            <w:vAlign w:val="bottom"/>
          </w:tcPr>
          <w:p>
            <w:pPr>
              <w:spacing w:after="0"/>
              <w:rPr>
                <w:sz w:val="20"/>
                <w:szCs w:val="20"/>
                <w:color w:val="auto"/>
              </w:rPr>
            </w:pPr>
            <w:r>
              <w:rPr>
                <w:rFonts w:ascii="Arial" w:cs="Arial" w:eastAsia="Arial" w:hAnsi="Arial"/>
                <w:sz w:val="14"/>
                <w:szCs w:val="14"/>
                <w:color w:val="auto"/>
              </w:rPr>
              <w:t>GAAP diluted weighted average shares outstanding</w:t>
            </w:r>
          </w:p>
        </w:tc>
        <w:tc>
          <w:tcPr>
            <w:tcW w:w="2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18"/>
                <w:szCs w:val="18"/>
                <w:color w:val="auto"/>
              </w:rPr>
            </w:pPr>
          </w:p>
        </w:tc>
        <w:tc>
          <w:tcPr>
            <w:tcW w:w="2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48.3</w:t>
            </w:r>
          </w:p>
        </w:tc>
      </w:tr>
      <w:tr>
        <w:trPr>
          <w:trHeight w:val="249"/>
        </w:trPr>
        <w:tc>
          <w:tcPr>
            <w:tcW w:w="7200" w:type="dxa"/>
            <w:vAlign w:val="bottom"/>
          </w:tcPr>
          <w:p>
            <w:pPr>
              <w:spacing w:after="0"/>
              <w:rPr>
                <w:sz w:val="20"/>
                <w:szCs w:val="20"/>
                <w:color w:val="auto"/>
              </w:rPr>
            </w:pPr>
            <w:r>
              <w:rPr>
                <w:rFonts w:ascii="Arial" w:cs="Arial" w:eastAsia="Arial" w:hAnsi="Arial"/>
                <w:sz w:val="14"/>
                <w:szCs w:val="14"/>
                <w:color w:val="auto"/>
              </w:rPr>
              <w:t>Add effects of stock-based compensation instruments</w:t>
            </w:r>
          </w:p>
        </w:tc>
        <w:tc>
          <w:tcPr>
            <w:tcW w:w="2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1"/>
                <w:szCs w:val="21"/>
                <w:color w:val="auto"/>
              </w:rPr>
            </w:pPr>
          </w:p>
        </w:tc>
        <w:tc>
          <w:tcPr>
            <w:tcW w:w="2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0.5</w:t>
            </w:r>
          </w:p>
        </w:tc>
      </w:tr>
      <w:tr>
        <w:trPr>
          <w:trHeight w:val="215"/>
        </w:trPr>
        <w:tc>
          <w:tcPr>
            <w:tcW w:w="7200" w:type="dxa"/>
            <w:vAlign w:val="bottom"/>
          </w:tcPr>
          <w:p>
            <w:pPr>
              <w:spacing w:after="0" w:line="215" w:lineRule="exact"/>
              <w:rPr>
                <w:sz w:val="20"/>
                <w:szCs w:val="20"/>
                <w:color w:val="auto"/>
              </w:rPr>
            </w:pPr>
            <w:r>
              <w:rPr>
                <w:rFonts w:ascii="Arial" w:cs="Arial" w:eastAsia="Arial" w:hAnsi="Arial"/>
                <w:sz w:val="14"/>
                <w:szCs w:val="14"/>
                <w:color w:val="auto"/>
              </w:rPr>
              <w:t xml:space="preserve">Adjusted diluted weighted average shares outstanding </w:t>
            </w:r>
            <w:r>
              <w:rPr>
                <w:rFonts w:ascii="Arial" w:cs="Arial" w:eastAsia="Arial" w:hAnsi="Arial"/>
                <w:sz w:val="19"/>
                <w:szCs w:val="19"/>
                <w:color w:val="auto"/>
                <w:vertAlign w:val="superscript"/>
              </w:rPr>
              <w:t>(1)</w:t>
            </w:r>
          </w:p>
        </w:tc>
        <w:tc>
          <w:tcPr>
            <w:tcW w:w="2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18"/>
                <w:szCs w:val="18"/>
                <w:color w:val="auto"/>
              </w:rPr>
            </w:pPr>
          </w:p>
        </w:tc>
        <w:tc>
          <w:tcPr>
            <w:tcW w:w="2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48.8</w:t>
            </w:r>
          </w:p>
        </w:tc>
      </w:tr>
      <w:tr>
        <w:trPr>
          <w:trHeight w:val="20"/>
        </w:trPr>
        <w:tc>
          <w:tcPr>
            <w:tcW w:w="72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0" w:right="1060"/>
        <w:spacing w:after="0" w:line="313" w:lineRule="auto"/>
        <w:tabs>
          <w:tab w:leader="none" w:pos="259" w:val="left"/>
        </w:tabs>
        <w:numPr>
          <w:ilvl w:val="0"/>
          <w:numId w:val="22"/>
        </w:numPr>
        <w:rPr>
          <w:rFonts w:ascii="Arial" w:cs="Arial" w:eastAsia="Arial" w:hAnsi="Arial"/>
          <w:sz w:val="13"/>
          <w:szCs w:val="13"/>
          <w:color w:val="auto"/>
        </w:rPr>
      </w:pPr>
      <w:r>
        <w:rPr>
          <w:rFonts w:ascii="Arial" w:cs="Arial" w:eastAsia="Arial" w:hAnsi="Arial"/>
          <w:sz w:val="13"/>
          <w:szCs w:val="13"/>
          <w:color w:val="auto"/>
        </w:rPr>
        <w:t>Adjusted diluted weighted average shares outstanding is a non-GAAP measure and includes the effects of stock-based compensation instruments, as reconciled in the above table. * Numbers may not add up precisely due to rounding.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sectPr>
      <w:pgSz w:w="11900" w:h="16838" w:orient="portrait"/>
      <w:cols w:equalWidth="0" w:num="1">
        <w:col w:w="11440"/>
      </w:cols>
      <w:pgMar w:left="240" w:top="58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upperLetter"/>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upperLetter"/>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upperLetter"/>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upperLetter"/>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2019-12-28T10:01:43Z</dcterms:created>
  <dcterms:modified xsi:type="dcterms:W3CDTF">2019-12-28T10:01:43Z</dcterms:modified>
</cp:coreProperties>
</file>