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t>UNITED STATES</w:t>
      </w:r>
    </w:p>
    <w:p>
      <w:pPr>
        <w:spacing w:after="0" w:line="10"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12"/>
          <w:szCs w:val="12"/>
          <w:b w:val="1"/>
          <w:bCs w:val="1"/>
          <w:color w:val="auto"/>
        </w:rPr>
        <w:t>WASHINGTON, D.C. 20549</w:t>
      </w:r>
    </w:p>
    <w:p>
      <w:pPr>
        <w:spacing w:after="0" w:line="104" w:lineRule="exact"/>
        <w:rPr>
          <w:sz w:val="24"/>
          <w:szCs w:val="24"/>
          <w:color w:val="auto"/>
        </w:rPr>
      </w:pPr>
    </w:p>
    <w:p>
      <w:pPr>
        <w:ind w:left="5200"/>
        <w:spacing w:after="0"/>
        <w:rPr>
          <w:sz w:val="20"/>
          <w:szCs w:val="20"/>
          <w:color w:val="auto"/>
        </w:rPr>
      </w:pPr>
      <w:r>
        <w:rPr>
          <w:rFonts w:ascii="Arial" w:cs="Arial" w:eastAsia="Arial" w:hAnsi="Arial"/>
          <w:sz w:val="22"/>
          <w:szCs w:val="22"/>
          <w:b w:val="1"/>
          <w:bCs w:val="1"/>
          <w:color w:val="auto"/>
        </w:rPr>
        <w:t>FORM 8-K</w:t>
      </w:r>
    </w:p>
    <w:p>
      <w:pPr>
        <w:spacing w:after="0" w:line="150"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CURRENT REPORT</w:t>
      </w:r>
    </w:p>
    <w:p>
      <w:pPr>
        <w:spacing w:after="0" w:line="160"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55" w:lineRule="exact"/>
        <w:rPr>
          <w:sz w:val="24"/>
          <w:szCs w:val="24"/>
          <w:color w:val="auto"/>
        </w:rPr>
      </w:pPr>
    </w:p>
    <w:p>
      <w:pPr>
        <w:ind w:left="3660"/>
        <w:spacing w:after="0"/>
        <w:rPr>
          <w:sz w:val="20"/>
          <w:szCs w:val="20"/>
          <w:color w:val="auto"/>
        </w:rPr>
      </w:pPr>
      <w:r>
        <w:rPr>
          <w:rFonts w:ascii="Arial" w:cs="Arial" w:eastAsia="Arial" w:hAnsi="Arial"/>
          <w:sz w:val="12"/>
          <w:szCs w:val="12"/>
          <w:color w:val="auto"/>
        </w:rPr>
        <w:t>Date of Report (Date of earliest event reported): January 5, 2016 (December 31,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3021965</wp:posOffset>
            </wp:positionH>
            <wp:positionV relativeFrom="paragraph">
              <wp:posOffset>90170</wp:posOffset>
            </wp:positionV>
            <wp:extent cx="1238250" cy="395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0" cy="3956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LivaNova PLC</w:t>
      </w:r>
    </w:p>
    <w:p>
      <w:pPr>
        <w:spacing w:after="0" w:line="19" w:lineRule="exact"/>
        <w:rPr>
          <w:sz w:val="24"/>
          <w:szCs w:val="24"/>
          <w:color w:val="auto"/>
        </w:rPr>
      </w:pPr>
    </w:p>
    <w:p>
      <w:pPr>
        <w:ind w:left="4440"/>
        <w:spacing w:after="0"/>
        <w:rPr>
          <w:sz w:val="20"/>
          <w:szCs w:val="20"/>
          <w:color w:val="auto"/>
        </w:rPr>
      </w:pPr>
      <w:r>
        <w:rPr>
          <w:rFonts w:ascii="Arial" w:cs="Arial" w:eastAsia="Arial" w:hAnsi="Arial"/>
          <w:sz w:val="12"/>
          <w:szCs w:val="12"/>
          <w:color w:val="auto"/>
        </w:rPr>
        <w:t>(Exact Name of Registrant as Specified in its Charter)</w:t>
      </w:r>
    </w:p>
    <w:p>
      <w:pPr>
        <w:spacing w:after="0" w:line="119" w:lineRule="exact"/>
        <w:rPr>
          <w:sz w:val="24"/>
          <w:szCs w:val="24"/>
          <w:color w:val="auto"/>
        </w:rPr>
      </w:pPr>
    </w:p>
    <w:tbl>
      <w:tblPr>
        <w:tblLayout w:type="fixed"/>
        <w:tblInd w:w="1160" w:type="dxa"/>
        <w:tblCellMar>
          <w:top w:w="0" w:type="dxa"/>
          <w:left w:w="0" w:type="dxa"/>
          <w:bottom w:w="0" w:type="dxa"/>
          <w:right w:w="0" w:type="dxa"/>
        </w:tblCellMar>
      </w:tblPr>
      <w:tr>
        <w:trPr>
          <w:trHeight w:val="139"/>
        </w:trPr>
        <w:tc>
          <w:tcPr>
            <w:tcW w:w="2280" w:type="dxa"/>
            <w:vAlign w:val="bottom"/>
          </w:tcPr>
          <w:p>
            <w:pPr>
              <w:jc w:val="center"/>
              <w:ind w:right="900"/>
              <w:spacing w:after="0"/>
              <w:rPr>
                <w:sz w:val="20"/>
                <w:szCs w:val="20"/>
                <w:color w:val="auto"/>
              </w:rPr>
            </w:pPr>
            <w:r>
              <w:rPr>
                <w:rFonts w:ascii="Arial" w:cs="Arial" w:eastAsia="Arial" w:hAnsi="Arial"/>
                <w:sz w:val="12"/>
                <w:szCs w:val="12"/>
                <w:b w:val="1"/>
                <w:bCs w:val="1"/>
                <w:color w:val="auto"/>
                <w:w w:val="90"/>
              </w:rPr>
              <w:t>England and Wales</w:t>
            </w:r>
          </w:p>
        </w:tc>
        <w:tc>
          <w:tcPr>
            <w:tcW w:w="4700" w:type="dxa"/>
            <w:vAlign w:val="bottom"/>
          </w:tcPr>
          <w:p>
            <w:pPr>
              <w:jc w:val="center"/>
              <w:ind w:right="60"/>
              <w:spacing w:after="0"/>
              <w:rPr>
                <w:sz w:val="20"/>
                <w:szCs w:val="20"/>
                <w:color w:val="auto"/>
              </w:rPr>
            </w:pPr>
            <w:r>
              <w:rPr>
                <w:rFonts w:ascii="Arial" w:cs="Arial" w:eastAsia="Arial" w:hAnsi="Arial"/>
                <w:sz w:val="12"/>
                <w:szCs w:val="12"/>
                <w:b w:val="1"/>
                <w:bCs w:val="1"/>
                <w:color w:val="auto"/>
                <w:w w:val="90"/>
              </w:rPr>
              <w:t>333-203510</w:t>
            </w:r>
          </w:p>
        </w:tc>
        <w:tc>
          <w:tcPr>
            <w:tcW w:w="1960" w:type="dxa"/>
            <w:vAlign w:val="bottom"/>
          </w:tcPr>
          <w:p>
            <w:pPr>
              <w:jc w:val="center"/>
              <w:ind w:left="980"/>
              <w:spacing w:after="0"/>
              <w:rPr>
                <w:sz w:val="20"/>
                <w:szCs w:val="20"/>
                <w:color w:val="auto"/>
              </w:rPr>
            </w:pPr>
            <w:r>
              <w:rPr>
                <w:rFonts w:ascii="Arial" w:cs="Arial" w:eastAsia="Arial" w:hAnsi="Arial"/>
                <w:sz w:val="12"/>
                <w:szCs w:val="12"/>
                <w:b w:val="1"/>
                <w:bCs w:val="1"/>
                <w:color w:val="auto"/>
                <w:w w:val="96"/>
              </w:rPr>
              <w:t>N/A</w:t>
            </w:r>
          </w:p>
        </w:tc>
      </w:tr>
      <w:tr>
        <w:trPr>
          <w:trHeight w:val="135"/>
        </w:trPr>
        <w:tc>
          <w:tcPr>
            <w:tcW w:w="2280" w:type="dxa"/>
            <w:vAlign w:val="bottom"/>
          </w:tcPr>
          <w:p>
            <w:pPr>
              <w:jc w:val="center"/>
              <w:ind w:right="900"/>
              <w:spacing w:after="0" w:line="136" w:lineRule="exact"/>
              <w:rPr>
                <w:sz w:val="20"/>
                <w:szCs w:val="20"/>
                <w:color w:val="auto"/>
              </w:rPr>
            </w:pPr>
            <w:r>
              <w:rPr>
                <w:rFonts w:ascii="Arial" w:cs="Arial" w:eastAsia="Arial" w:hAnsi="Arial"/>
                <w:sz w:val="12"/>
                <w:szCs w:val="12"/>
                <w:color w:val="auto"/>
                <w:w w:val="92"/>
              </w:rPr>
              <w:t>(State or Other Jurisdiction</w:t>
            </w:r>
          </w:p>
        </w:tc>
        <w:tc>
          <w:tcPr>
            <w:tcW w:w="4700" w:type="dxa"/>
            <w:vAlign w:val="bottom"/>
          </w:tcPr>
          <w:p>
            <w:pPr>
              <w:jc w:val="center"/>
              <w:ind w:right="60"/>
              <w:spacing w:after="0" w:line="136" w:lineRule="exact"/>
              <w:rPr>
                <w:sz w:val="20"/>
                <w:szCs w:val="20"/>
                <w:color w:val="auto"/>
              </w:rPr>
            </w:pPr>
            <w:r>
              <w:rPr>
                <w:rFonts w:ascii="Arial" w:cs="Arial" w:eastAsia="Arial" w:hAnsi="Arial"/>
                <w:sz w:val="12"/>
                <w:szCs w:val="12"/>
                <w:color w:val="auto"/>
                <w:w w:val="94"/>
              </w:rPr>
              <w:t>(Commission</w:t>
            </w:r>
          </w:p>
        </w:tc>
        <w:tc>
          <w:tcPr>
            <w:tcW w:w="1960" w:type="dxa"/>
            <w:vAlign w:val="bottom"/>
          </w:tcPr>
          <w:p>
            <w:pPr>
              <w:jc w:val="center"/>
              <w:ind w:left="980"/>
              <w:spacing w:after="0" w:line="136" w:lineRule="exact"/>
              <w:rPr>
                <w:sz w:val="20"/>
                <w:szCs w:val="20"/>
                <w:color w:val="auto"/>
              </w:rPr>
            </w:pPr>
            <w:r>
              <w:rPr>
                <w:rFonts w:ascii="Arial" w:cs="Arial" w:eastAsia="Arial" w:hAnsi="Arial"/>
                <w:sz w:val="12"/>
                <w:szCs w:val="12"/>
                <w:color w:val="auto"/>
                <w:w w:val="92"/>
              </w:rPr>
              <w:t>(IRS Employer</w:t>
            </w:r>
          </w:p>
        </w:tc>
      </w:tr>
      <w:tr>
        <w:trPr>
          <w:trHeight w:val="153"/>
        </w:trPr>
        <w:tc>
          <w:tcPr>
            <w:tcW w:w="2280" w:type="dxa"/>
            <w:vAlign w:val="bottom"/>
          </w:tcPr>
          <w:p>
            <w:pPr>
              <w:jc w:val="center"/>
              <w:ind w:right="880"/>
              <w:spacing w:after="0"/>
              <w:rPr>
                <w:sz w:val="20"/>
                <w:szCs w:val="20"/>
                <w:color w:val="auto"/>
              </w:rPr>
            </w:pPr>
            <w:r>
              <w:rPr>
                <w:rFonts w:ascii="Arial" w:cs="Arial" w:eastAsia="Arial" w:hAnsi="Arial"/>
                <w:sz w:val="12"/>
                <w:szCs w:val="12"/>
                <w:color w:val="auto"/>
                <w:w w:val="93"/>
              </w:rPr>
              <w:t>of Incorporation)</w:t>
            </w:r>
          </w:p>
        </w:tc>
        <w:tc>
          <w:tcPr>
            <w:tcW w:w="4700" w:type="dxa"/>
            <w:vAlign w:val="bottom"/>
          </w:tcPr>
          <w:p>
            <w:pPr>
              <w:jc w:val="center"/>
              <w:ind w:right="60"/>
              <w:spacing w:after="0"/>
              <w:rPr>
                <w:sz w:val="20"/>
                <w:szCs w:val="20"/>
                <w:color w:val="auto"/>
              </w:rPr>
            </w:pPr>
            <w:r>
              <w:rPr>
                <w:rFonts w:ascii="Arial" w:cs="Arial" w:eastAsia="Arial" w:hAnsi="Arial"/>
                <w:sz w:val="12"/>
                <w:szCs w:val="12"/>
                <w:color w:val="auto"/>
                <w:w w:val="95"/>
              </w:rPr>
              <w:t>File Number)</w:t>
            </w:r>
          </w:p>
        </w:tc>
        <w:tc>
          <w:tcPr>
            <w:tcW w:w="1960" w:type="dxa"/>
            <w:vAlign w:val="bottom"/>
          </w:tcPr>
          <w:p>
            <w:pPr>
              <w:jc w:val="center"/>
              <w:ind w:left="1000"/>
              <w:spacing w:after="0"/>
              <w:rPr>
                <w:sz w:val="20"/>
                <w:szCs w:val="20"/>
                <w:color w:val="auto"/>
              </w:rPr>
            </w:pPr>
            <w:r>
              <w:rPr>
                <w:rFonts w:ascii="Arial" w:cs="Arial" w:eastAsia="Arial" w:hAnsi="Arial"/>
                <w:sz w:val="12"/>
                <w:szCs w:val="12"/>
                <w:color w:val="auto"/>
                <w:w w:val="96"/>
              </w:rPr>
              <w:t>Identification No.)</w:t>
            </w:r>
          </w:p>
        </w:tc>
      </w:tr>
      <w:tr>
        <w:trPr>
          <w:trHeight w:val="406"/>
        </w:trPr>
        <w:tc>
          <w:tcPr>
            <w:tcW w:w="2280" w:type="dxa"/>
            <w:vAlign w:val="bottom"/>
          </w:tcPr>
          <w:p>
            <w:pPr>
              <w:spacing w:after="0"/>
              <w:rPr>
                <w:sz w:val="24"/>
                <w:szCs w:val="24"/>
                <w:color w:val="auto"/>
              </w:rPr>
            </w:pPr>
          </w:p>
        </w:tc>
        <w:tc>
          <w:tcPr>
            <w:tcW w:w="4700" w:type="dxa"/>
            <w:vAlign w:val="bottom"/>
          </w:tcPr>
          <w:p>
            <w:pPr>
              <w:jc w:val="center"/>
              <w:ind w:right="60"/>
              <w:spacing w:after="0"/>
              <w:rPr>
                <w:sz w:val="20"/>
                <w:szCs w:val="20"/>
                <w:color w:val="auto"/>
              </w:rPr>
            </w:pPr>
            <w:r>
              <w:rPr>
                <w:rFonts w:ascii="Arial" w:cs="Arial" w:eastAsia="Arial" w:hAnsi="Arial"/>
                <w:sz w:val="12"/>
                <w:szCs w:val="12"/>
                <w:b w:val="1"/>
                <w:bCs w:val="1"/>
                <w:color w:val="auto"/>
                <w:w w:val="91"/>
              </w:rPr>
              <w:t>5 Merchant Square</w:t>
            </w:r>
          </w:p>
        </w:tc>
        <w:tc>
          <w:tcPr>
            <w:tcW w:w="1960" w:type="dxa"/>
            <w:vAlign w:val="bottom"/>
          </w:tcPr>
          <w:p>
            <w:pPr>
              <w:spacing w:after="0"/>
              <w:rPr>
                <w:sz w:val="24"/>
                <w:szCs w:val="24"/>
                <w:color w:val="auto"/>
              </w:rPr>
            </w:pPr>
          </w:p>
        </w:tc>
      </w:tr>
      <w:tr>
        <w:trPr>
          <w:trHeight w:val="406"/>
        </w:trPr>
        <w:tc>
          <w:tcPr>
            <w:tcW w:w="2280" w:type="dxa"/>
            <w:vAlign w:val="bottom"/>
          </w:tcPr>
          <w:p>
            <w:pPr>
              <w:spacing w:after="0"/>
              <w:rPr>
                <w:sz w:val="24"/>
                <w:szCs w:val="24"/>
                <w:color w:val="auto"/>
              </w:rPr>
            </w:pPr>
          </w:p>
        </w:tc>
        <w:tc>
          <w:tcPr>
            <w:tcW w:w="4700" w:type="dxa"/>
            <w:vAlign w:val="bottom"/>
          </w:tcPr>
          <w:p>
            <w:pPr>
              <w:jc w:val="center"/>
              <w:ind w:right="60"/>
              <w:spacing w:after="0"/>
              <w:rPr>
                <w:sz w:val="20"/>
                <w:szCs w:val="20"/>
                <w:color w:val="auto"/>
              </w:rPr>
            </w:pPr>
            <w:r>
              <w:rPr>
                <w:rFonts w:ascii="Arial" w:cs="Arial" w:eastAsia="Arial" w:hAnsi="Arial"/>
                <w:sz w:val="12"/>
                <w:szCs w:val="12"/>
                <w:b w:val="1"/>
                <w:bCs w:val="1"/>
                <w:color w:val="auto"/>
                <w:w w:val="95"/>
              </w:rPr>
              <w:t>North Wharf Road</w:t>
            </w:r>
          </w:p>
        </w:tc>
        <w:tc>
          <w:tcPr>
            <w:tcW w:w="1960" w:type="dxa"/>
            <w:vAlign w:val="bottom"/>
          </w:tcPr>
          <w:p>
            <w:pPr>
              <w:spacing w:after="0"/>
              <w:rPr>
                <w:sz w:val="24"/>
                <w:szCs w:val="24"/>
                <w:color w:val="auto"/>
              </w:rPr>
            </w:pPr>
          </w:p>
        </w:tc>
      </w:tr>
      <w:tr>
        <w:trPr>
          <w:trHeight w:val="406"/>
        </w:trPr>
        <w:tc>
          <w:tcPr>
            <w:tcW w:w="2280" w:type="dxa"/>
            <w:vAlign w:val="bottom"/>
          </w:tcPr>
          <w:p>
            <w:pPr>
              <w:spacing w:after="0"/>
              <w:rPr>
                <w:sz w:val="24"/>
                <w:szCs w:val="24"/>
                <w:color w:val="auto"/>
              </w:rPr>
            </w:pPr>
          </w:p>
        </w:tc>
        <w:tc>
          <w:tcPr>
            <w:tcW w:w="4700" w:type="dxa"/>
            <w:vAlign w:val="bottom"/>
          </w:tcPr>
          <w:p>
            <w:pPr>
              <w:jc w:val="center"/>
              <w:ind w:right="60"/>
              <w:spacing w:after="0"/>
              <w:rPr>
                <w:sz w:val="20"/>
                <w:szCs w:val="20"/>
                <w:color w:val="auto"/>
              </w:rPr>
            </w:pPr>
            <w:r>
              <w:rPr>
                <w:rFonts w:ascii="Arial" w:cs="Arial" w:eastAsia="Arial" w:hAnsi="Arial"/>
                <w:sz w:val="12"/>
                <w:szCs w:val="12"/>
                <w:b w:val="1"/>
                <w:bCs w:val="1"/>
                <w:color w:val="auto"/>
                <w:w w:val="94"/>
              </w:rPr>
              <w:t>London, W2 1AY</w:t>
            </w:r>
          </w:p>
        </w:tc>
        <w:tc>
          <w:tcPr>
            <w:tcW w:w="1960" w:type="dxa"/>
            <w:vAlign w:val="bottom"/>
          </w:tcPr>
          <w:p>
            <w:pPr>
              <w:spacing w:after="0"/>
              <w:rPr>
                <w:sz w:val="24"/>
                <w:szCs w:val="24"/>
                <w:color w:val="auto"/>
              </w:rPr>
            </w:pPr>
          </w:p>
        </w:tc>
      </w:tr>
      <w:tr>
        <w:trPr>
          <w:trHeight w:val="406"/>
        </w:trPr>
        <w:tc>
          <w:tcPr>
            <w:tcW w:w="2280" w:type="dxa"/>
            <w:vAlign w:val="bottom"/>
          </w:tcPr>
          <w:p>
            <w:pPr>
              <w:spacing w:after="0"/>
              <w:rPr>
                <w:sz w:val="24"/>
                <w:szCs w:val="24"/>
                <w:color w:val="auto"/>
              </w:rPr>
            </w:pPr>
          </w:p>
        </w:tc>
        <w:tc>
          <w:tcPr>
            <w:tcW w:w="4700" w:type="dxa"/>
            <w:vAlign w:val="bottom"/>
          </w:tcPr>
          <w:p>
            <w:pPr>
              <w:jc w:val="center"/>
              <w:ind w:right="60"/>
              <w:spacing w:after="0"/>
              <w:rPr>
                <w:sz w:val="20"/>
                <w:szCs w:val="20"/>
                <w:color w:val="auto"/>
              </w:rPr>
            </w:pPr>
            <w:r>
              <w:rPr>
                <w:rFonts w:ascii="Arial" w:cs="Arial" w:eastAsia="Arial" w:hAnsi="Arial"/>
                <w:sz w:val="12"/>
                <w:szCs w:val="12"/>
                <w:b w:val="1"/>
                <w:bCs w:val="1"/>
                <w:color w:val="auto"/>
                <w:w w:val="92"/>
              </w:rPr>
              <w:t>United Kingdom</w:t>
            </w:r>
          </w:p>
        </w:tc>
        <w:tc>
          <w:tcPr>
            <w:tcW w:w="1960" w:type="dxa"/>
            <w:vAlign w:val="bottom"/>
          </w:tcPr>
          <w:p>
            <w:pPr>
              <w:spacing w:after="0"/>
              <w:rPr>
                <w:sz w:val="24"/>
                <w:szCs w:val="24"/>
                <w:color w:val="auto"/>
              </w:rPr>
            </w:pPr>
          </w:p>
        </w:tc>
      </w:tr>
      <w:tr>
        <w:trPr>
          <w:trHeight w:val="406"/>
        </w:trPr>
        <w:tc>
          <w:tcPr>
            <w:tcW w:w="2280" w:type="dxa"/>
            <w:vAlign w:val="bottom"/>
          </w:tcPr>
          <w:p>
            <w:pPr>
              <w:spacing w:after="0"/>
              <w:rPr>
                <w:sz w:val="24"/>
                <w:szCs w:val="24"/>
                <w:color w:val="auto"/>
              </w:rPr>
            </w:pPr>
          </w:p>
        </w:tc>
        <w:tc>
          <w:tcPr>
            <w:tcW w:w="4700" w:type="dxa"/>
            <w:vAlign w:val="bottom"/>
          </w:tcPr>
          <w:p>
            <w:pPr>
              <w:jc w:val="center"/>
              <w:ind w:right="40"/>
              <w:spacing w:after="0"/>
              <w:rPr>
                <w:sz w:val="20"/>
                <w:szCs w:val="20"/>
                <w:color w:val="auto"/>
              </w:rPr>
            </w:pPr>
            <w:r>
              <w:rPr>
                <w:rFonts w:ascii="Arial" w:cs="Arial" w:eastAsia="Arial" w:hAnsi="Arial"/>
                <w:sz w:val="12"/>
                <w:szCs w:val="12"/>
                <w:color w:val="auto"/>
                <w:w w:val="92"/>
              </w:rPr>
              <w:t>(Address of Principal Executive Offices)</w:t>
            </w:r>
          </w:p>
        </w:tc>
        <w:tc>
          <w:tcPr>
            <w:tcW w:w="1960" w:type="dxa"/>
            <w:vAlign w:val="bottom"/>
          </w:tcPr>
          <w:p>
            <w:pPr>
              <w:spacing w:after="0"/>
              <w:rPr>
                <w:sz w:val="24"/>
                <w:szCs w:val="24"/>
                <w:color w:val="auto"/>
              </w:rPr>
            </w:pPr>
          </w:p>
        </w:tc>
      </w:tr>
      <w:tr>
        <w:trPr>
          <w:trHeight w:val="253"/>
        </w:trPr>
        <w:tc>
          <w:tcPr>
            <w:tcW w:w="2280" w:type="dxa"/>
            <w:vAlign w:val="bottom"/>
          </w:tcPr>
          <w:p>
            <w:pPr>
              <w:spacing w:after="0"/>
              <w:rPr>
                <w:sz w:val="22"/>
                <w:szCs w:val="22"/>
                <w:color w:val="auto"/>
              </w:rPr>
            </w:pPr>
          </w:p>
        </w:tc>
        <w:tc>
          <w:tcPr>
            <w:tcW w:w="4700" w:type="dxa"/>
            <w:vAlign w:val="bottom"/>
          </w:tcPr>
          <w:p>
            <w:pPr>
              <w:jc w:val="right"/>
              <w:ind w:right="1900"/>
              <w:spacing w:after="0"/>
              <w:rPr>
                <w:sz w:val="20"/>
                <w:szCs w:val="20"/>
                <w:color w:val="auto"/>
              </w:rPr>
            </w:pPr>
            <w:r>
              <w:rPr>
                <w:rFonts w:ascii="Arial" w:cs="Arial" w:eastAsia="Arial" w:hAnsi="Arial"/>
                <w:sz w:val="12"/>
                <w:szCs w:val="12"/>
                <w:b w:val="1"/>
                <w:bCs w:val="1"/>
                <w:color w:val="auto"/>
              </w:rPr>
              <w:t>+44 20 37865275</w:t>
            </w:r>
          </w:p>
        </w:tc>
        <w:tc>
          <w:tcPr>
            <w:tcW w:w="1960" w:type="dxa"/>
            <w:vAlign w:val="bottom"/>
          </w:tcPr>
          <w:p>
            <w:pPr>
              <w:spacing w:after="0"/>
              <w:rPr>
                <w:sz w:val="22"/>
                <w:szCs w:val="22"/>
                <w:color w:val="auto"/>
              </w:rPr>
            </w:pPr>
          </w:p>
        </w:tc>
      </w:tr>
      <w:tr>
        <w:trPr>
          <w:trHeight w:val="153"/>
        </w:trPr>
        <w:tc>
          <w:tcPr>
            <w:tcW w:w="2280" w:type="dxa"/>
            <w:vAlign w:val="bottom"/>
          </w:tcPr>
          <w:p>
            <w:pPr>
              <w:spacing w:after="0"/>
              <w:rPr>
                <w:sz w:val="13"/>
                <w:szCs w:val="13"/>
                <w:color w:val="auto"/>
              </w:rPr>
            </w:pPr>
          </w:p>
        </w:tc>
        <w:tc>
          <w:tcPr>
            <w:tcW w:w="4700" w:type="dxa"/>
            <w:vAlign w:val="bottom"/>
          </w:tcPr>
          <w:p>
            <w:pPr>
              <w:jc w:val="center"/>
              <w:ind w:right="40"/>
              <w:spacing w:after="0"/>
              <w:rPr>
                <w:sz w:val="20"/>
                <w:szCs w:val="20"/>
                <w:color w:val="auto"/>
              </w:rPr>
            </w:pPr>
            <w:r>
              <w:rPr>
                <w:rFonts w:ascii="Arial" w:cs="Arial" w:eastAsia="Arial" w:hAnsi="Arial"/>
                <w:sz w:val="12"/>
                <w:szCs w:val="12"/>
                <w:color w:val="auto"/>
                <w:w w:val="91"/>
              </w:rPr>
              <w:t>(Registrant’s Telephone Number, Including Area Code)</w:t>
            </w:r>
          </w:p>
        </w:tc>
        <w:tc>
          <w:tcPr>
            <w:tcW w:w="1960" w:type="dxa"/>
            <w:vAlign w:val="bottom"/>
          </w:tcPr>
          <w:p>
            <w:pPr>
              <w:spacing w:after="0"/>
              <w:rPr>
                <w:sz w:val="13"/>
                <w:szCs w:val="13"/>
                <w:color w:val="auto"/>
              </w:rPr>
            </w:pPr>
          </w:p>
        </w:tc>
      </w:tr>
    </w:tbl>
    <w:p>
      <w:pPr>
        <w:spacing w:after="0" w:line="114" w:lineRule="exact"/>
        <w:rPr>
          <w:sz w:val="24"/>
          <w:szCs w:val="24"/>
          <w:color w:val="auto"/>
        </w:rPr>
      </w:pPr>
    </w:p>
    <w:p>
      <w:pPr>
        <w:jc w:val="center"/>
        <w:ind w:right="-1220"/>
        <w:spacing w:after="0"/>
        <w:rPr>
          <w:sz w:val="20"/>
          <w:szCs w:val="20"/>
          <w:color w:val="auto"/>
        </w:rPr>
      </w:pPr>
      <w:r>
        <w:rPr>
          <w:rFonts w:ascii="Arial" w:cs="Arial" w:eastAsia="Arial" w:hAnsi="Arial"/>
          <w:sz w:val="12"/>
          <w:szCs w:val="12"/>
          <w:b w:val="1"/>
          <w:bCs w:val="1"/>
          <w:color w:val="auto"/>
        </w:rPr>
        <w:t>N/A</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2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3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Written communications pursuant to Rule 425 under the Securities Act (17 CFR 230.425)</w:t>
      </w:r>
    </w:p>
    <w:p>
      <w:pPr>
        <w:spacing w:after="0" w:line="13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Soliciting material pursuant to Rule 14a-12 under the Exchange Act (17 CFR 240.14a-12)</w:t>
      </w:r>
    </w:p>
    <w:p>
      <w:pPr>
        <w:spacing w:after="0" w:line="13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Pre-commencement communications pursuant to Rule 14d-2(b) under the Exchange Act (17 CFR 240.14d-2(b))</w:t>
      </w:r>
    </w:p>
    <w:p>
      <w:pPr>
        <w:spacing w:after="0" w:line="133" w:lineRule="exact"/>
        <w:rPr>
          <w:sz w:val="24"/>
          <w:szCs w:val="24"/>
          <w:color w:val="auto"/>
        </w:rPr>
      </w:pPr>
    </w:p>
    <w:p>
      <w:pPr>
        <w:ind w:left="420"/>
        <w:spacing w:after="0"/>
        <w:rPr>
          <w:sz w:val="20"/>
          <w:szCs w:val="20"/>
          <w:color w:val="auto"/>
        </w:rPr>
      </w:pPr>
      <w:r>
        <w:rPr>
          <w:rFonts w:ascii="Arial" w:cs="Arial" w:eastAsia="Arial" w:hAnsi="Arial"/>
          <w:sz w:val="12"/>
          <w:szCs w:val="12"/>
          <w:color w:val="auto"/>
        </w:rPr>
        <w:t>o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|SV\1616837.1||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252730</wp:posOffset>
            </wp:positionV>
            <wp:extent cx="7299325" cy="184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347"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 xml:space="preserve">Item 8.01 </w:t>
      </w:r>
      <w:r>
        <w:rPr>
          <w:rFonts w:ascii="Arial" w:cs="Arial" w:eastAsia="Arial" w:hAnsi="Arial"/>
          <w:sz w:val="12"/>
          <w:szCs w:val="12"/>
          <w:b w:val="1"/>
          <w:bCs w:val="1"/>
          <w:u w:val="single" w:color="auto"/>
          <w:color w:val="auto"/>
        </w:rPr>
        <w:t>Other Events</w:t>
      </w:r>
    </w:p>
    <w:p>
      <w:pPr>
        <w:spacing w:after="0" w:line="155" w:lineRule="exact"/>
        <w:rPr>
          <w:sz w:val="20"/>
          <w:szCs w:val="20"/>
          <w:color w:val="auto"/>
        </w:rPr>
      </w:pPr>
    </w:p>
    <w:p>
      <w:pPr>
        <w:ind w:left="200" w:right="20"/>
        <w:spacing w:after="0" w:line="277" w:lineRule="auto"/>
        <w:rPr>
          <w:sz w:val="20"/>
          <w:szCs w:val="20"/>
          <w:color w:val="auto"/>
        </w:rPr>
      </w:pPr>
      <w:r>
        <w:rPr>
          <w:rFonts w:ascii="Arial" w:cs="Arial" w:eastAsia="Arial" w:hAnsi="Arial"/>
          <w:sz w:val="12"/>
          <w:szCs w:val="12"/>
          <w:color w:val="auto"/>
        </w:rPr>
        <w:t>On December 31, 2015, LivaNova PLC (the “Company”) received a Warning Letter dated December 29, 2015, from the United States Food and Drug Administration ( “FDA”) alleging certain violations of FDA regulations applicable to medical device manufacturers at its Munich, Germany and Arvada, Colorado facilities. A copy of the Warning Letter is provided with this filing as Exhibit 99.1.</w:t>
      </w:r>
    </w:p>
    <w:p>
      <w:pPr>
        <w:spacing w:after="0" w:line="115" w:lineRule="exact"/>
        <w:rPr>
          <w:sz w:val="20"/>
          <w:szCs w:val="20"/>
          <w:color w:val="auto"/>
        </w:rPr>
      </w:pPr>
    </w:p>
    <w:p>
      <w:pPr>
        <w:ind w:left="200" w:right="120"/>
        <w:spacing w:after="0" w:line="277" w:lineRule="auto"/>
        <w:rPr>
          <w:sz w:val="20"/>
          <w:szCs w:val="20"/>
          <w:color w:val="auto"/>
        </w:rPr>
      </w:pPr>
      <w:r>
        <w:rPr>
          <w:rFonts w:ascii="Arial" w:cs="Arial" w:eastAsia="Arial" w:hAnsi="Arial"/>
          <w:sz w:val="12"/>
          <w:szCs w:val="12"/>
          <w:color w:val="auto"/>
        </w:rPr>
        <w:t>The Company currently believes that less than 1% of 2016 consolidated sales could be impacted by this Warning Letter, and that FDA’s concerns can be resolved without a material impact on the Company’s financial results. Further meetings are planned with FDA in order to clarify certain aspects of the Warning Letter.</w:t>
      </w:r>
    </w:p>
    <w:p>
      <w:pPr>
        <w:spacing w:after="0" w:line="115" w:lineRule="exact"/>
        <w:rPr>
          <w:sz w:val="20"/>
          <w:szCs w:val="20"/>
          <w:color w:val="auto"/>
        </w:rPr>
      </w:pPr>
    </w:p>
    <w:p>
      <w:pPr>
        <w:ind w:left="200" w:right="140"/>
        <w:spacing w:after="0" w:line="277" w:lineRule="auto"/>
        <w:rPr>
          <w:sz w:val="20"/>
          <w:szCs w:val="20"/>
          <w:color w:val="auto"/>
        </w:rPr>
      </w:pPr>
      <w:r>
        <w:rPr>
          <w:rFonts w:ascii="Arial" w:cs="Arial" w:eastAsia="Arial" w:hAnsi="Arial"/>
          <w:sz w:val="12"/>
          <w:szCs w:val="12"/>
          <w:color w:val="auto"/>
        </w:rPr>
        <w:t>FDA inspected the Company’s Munich facility from August 24, 2015, to August 27, 2015, and its Arvada facility from August 24, 2015, to September 1, 2015. On August 27, 2015, FDA issued a Form 483 identifying two observed non-conformities with certain regulatory requirements at the Munich facility. The Company did not receive a Form 483 in connection with FDA’s inspection of the Arvada facility.</w:t>
      </w:r>
    </w:p>
    <w:p>
      <w:pPr>
        <w:spacing w:after="0" w:line="115" w:lineRule="exact"/>
        <w:rPr>
          <w:sz w:val="20"/>
          <w:szCs w:val="20"/>
          <w:color w:val="auto"/>
        </w:rPr>
      </w:pPr>
    </w:p>
    <w:p>
      <w:pPr>
        <w:ind w:left="200" w:right="380"/>
        <w:spacing w:after="0" w:line="299" w:lineRule="auto"/>
        <w:rPr>
          <w:sz w:val="20"/>
          <w:szCs w:val="20"/>
          <w:color w:val="auto"/>
        </w:rPr>
      </w:pPr>
      <w:r>
        <w:rPr>
          <w:rFonts w:ascii="Arial" w:cs="Arial" w:eastAsia="Arial" w:hAnsi="Arial"/>
          <w:sz w:val="11"/>
          <w:szCs w:val="11"/>
          <w:color w:val="auto"/>
        </w:rPr>
        <w:t>Following the receipt of the Form 483, the Company provided written responses to FDA describing corrective and preventive actions that were underway or to be taken to address FDA’s observations at the Munich facility. The Warning Letter responded in part to the Company’s responses and identified other alleged violations not previously included in the Form 483. The Company will continue to work diligently to remediate FDA’s inspectional observations for the Munich facility as well as the additional issues identified in the Warning Letter. The Company takes these matters seriously and intends to respond timely and fully to FDA’s requests.</w:t>
      </w:r>
    </w:p>
    <w:p>
      <w:pPr>
        <w:spacing w:after="0" w:line="105" w:lineRule="exact"/>
        <w:rPr>
          <w:sz w:val="20"/>
          <w:szCs w:val="20"/>
          <w:color w:val="auto"/>
        </w:rPr>
      </w:pPr>
    </w:p>
    <w:p>
      <w:pPr>
        <w:ind w:left="200" w:right="40"/>
        <w:spacing w:after="0" w:line="256" w:lineRule="auto"/>
        <w:rPr>
          <w:sz w:val="20"/>
          <w:szCs w:val="20"/>
          <w:color w:val="auto"/>
        </w:rPr>
      </w:pPr>
      <w:r>
        <w:rPr>
          <w:rFonts w:ascii="Arial" w:cs="Arial" w:eastAsia="Arial" w:hAnsi="Arial"/>
          <w:sz w:val="12"/>
          <w:szCs w:val="12"/>
          <w:color w:val="auto"/>
        </w:rPr>
        <w:t>The Warning Letter states that the 3T Heater Cooler devices, and other devices manufactured by the Company’s Munich facility, are subject to refusal of admission into the United States until resolution of the issues set forth in the Warning Letter. FDA has informed the Company that the import alert is, at the present time, limited to the 3T Heater Cooler devices but that the agency reserves the right to expand the scope of the import alert if future circumstances warrant such action. The Warning Letter did not request that existing users cease using the 3T Heater Cooler device, and to help clarify the Warning Letter, the Company has issued an informational Customer Letter, provided with this filing as Exhibit 99.2. The Company is working constructively with FDA to reduce the impact of this decision on existing U. S. customers of 3T Heater Cooler devices, and the Company will promptly communicate to its customers and users of the 3T Heater Cooler any updates agreed upon with FDA in this regard. Manufacturing and shipment of all of the Company’s products other than the 3T Heater Cooler are unaffected by this limitation at the present time and will continue as normal.</w:t>
      </w:r>
    </w:p>
    <w:p>
      <w:pPr>
        <w:spacing w:after="0" w:line="128" w:lineRule="exact"/>
        <w:rPr>
          <w:sz w:val="20"/>
          <w:szCs w:val="20"/>
          <w:color w:val="auto"/>
        </w:rPr>
      </w:pPr>
    </w:p>
    <w:p>
      <w:pPr>
        <w:ind w:left="200" w:right="120"/>
        <w:spacing w:after="0" w:line="277" w:lineRule="auto"/>
        <w:rPr>
          <w:sz w:val="20"/>
          <w:szCs w:val="20"/>
          <w:color w:val="auto"/>
        </w:rPr>
      </w:pPr>
      <w:r>
        <w:rPr>
          <w:rFonts w:ascii="Arial" w:cs="Arial" w:eastAsia="Arial" w:hAnsi="Arial"/>
          <w:sz w:val="12"/>
          <w:szCs w:val="12"/>
          <w:color w:val="auto"/>
        </w:rPr>
        <w:t>Lastly, while the Warning Letter states that premarket approval applications for Class III devices to which the Quality System regulation deviations are reasonably related will not be approved until the violations have been corrected, the Company notes that this Warning Letter only specifically names the Munich and Arvada facilities, which do not manufacture or design devices subject to premarket approval.</w:t>
      </w:r>
    </w:p>
    <w:p>
      <w:pPr>
        <w:spacing w:after="0" w:line="1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Item 9.01 </w:t>
      </w:r>
      <w:r>
        <w:rPr>
          <w:rFonts w:ascii="Arial" w:cs="Arial" w:eastAsia="Arial" w:hAnsi="Arial"/>
          <w:sz w:val="12"/>
          <w:szCs w:val="12"/>
          <w:b w:val="1"/>
          <w:bCs w:val="1"/>
          <w:u w:val="single" w:color="auto"/>
          <w:color w:val="auto"/>
        </w:rPr>
        <w:t>Financial Statements and Exhibits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520" w:type="dxa"/>
            <w:vAlign w:val="bottom"/>
          </w:tcPr>
          <w:p>
            <w:pPr>
              <w:ind w:left="200"/>
              <w:spacing w:after="0"/>
              <w:rPr>
                <w:sz w:val="20"/>
                <w:szCs w:val="20"/>
                <w:color w:val="auto"/>
              </w:rPr>
            </w:pPr>
            <w:r>
              <w:rPr>
                <w:rFonts w:ascii="Arial" w:cs="Arial" w:eastAsia="Arial" w:hAnsi="Arial"/>
                <w:sz w:val="12"/>
                <w:szCs w:val="12"/>
                <w:color w:val="auto"/>
              </w:rPr>
              <w:t>(d) Exhibits:</w:t>
            </w:r>
          </w:p>
        </w:tc>
        <w:tc>
          <w:tcPr>
            <w:tcW w:w="9960" w:type="dxa"/>
            <w:vAlign w:val="bottom"/>
          </w:tcPr>
          <w:p>
            <w:pPr>
              <w:spacing w:after="0"/>
              <w:rPr>
                <w:sz w:val="13"/>
                <w:szCs w:val="13"/>
                <w:color w:val="auto"/>
              </w:rPr>
            </w:pPr>
          </w:p>
        </w:tc>
      </w:tr>
      <w:tr>
        <w:trPr>
          <w:trHeight w:val="307"/>
        </w:trPr>
        <w:tc>
          <w:tcPr>
            <w:tcW w:w="1520" w:type="dxa"/>
            <w:vAlign w:val="bottom"/>
          </w:tcPr>
          <w:p>
            <w:pPr>
              <w:ind w:left="380"/>
              <w:spacing w:after="0"/>
              <w:rPr>
                <w:sz w:val="20"/>
                <w:szCs w:val="20"/>
                <w:color w:val="auto"/>
              </w:rPr>
            </w:pPr>
            <w:r>
              <w:rPr>
                <w:rFonts w:ascii="Arial" w:cs="Arial" w:eastAsia="Arial" w:hAnsi="Arial"/>
                <w:sz w:val="12"/>
                <w:szCs w:val="12"/>
                <w:color w:val="auto"/>
              </w:rPr>
              <w:t>Exhibit 99.1</w:t>
            </w:r>
          </w:p>
        </w:tc>
        <w:tc>
          <w:tcPr>
            <w:tcW w:w="9960" w:type="dxa"/>
            <w:vAlign w:val="bottom"/>
          </w:tcPr>
          <w:p>
            <w:pPr>
              <w:ind w:left="520"/>
              <w:spacing w:after="0"/>
              <w:rPr>
                <w:sz w:val="20"/>
                <w:szCs w:val="20"/>
                <w:color w:val="auto"/>
              </w:rPr>
            </w:pPr>
            <w:r>
              <w:rPr>
                <w:rFonts w:ascii="Arial" w:cs="Arial" w:eastAsia="Arial" w:hAnsi="Arial"/>
                <w:sz w:val="12"/>
                <w:szCs w:val="12"/>
                <w:color w:val="auto"/>
              </w:rPr>
              <w:t>Department of Health and Human Services, Food and Drug Administration, Warning Letter.</w:t>
            </w:r>
          </w:p>
        </w:tc>
      </w:tr>
      <w:tr>
        <w:trPr>
          <w:trHeight w:val="181"/>
        </w:trPr>
        <w:tc>
          <w:tcPr>
            <w:tcW w:w="1520" w:type="dxa"/>
            <w:vAlign w:val="bottom"/>
          </w:tcPr>
          <w:p>
            <w:pPr>
              <w:ind w:left="380"/>
              <w:spacing w:after="0"/>
              <w:rPr>
                <w:sz w:val="20"/>
                <w:szCs w:val="20"/>
                <w:color w:val="auto"/>
              </w:rPr>
            </w:pPr>
            <w:r>
              <w:rPr>
                <w:rFonts w:ascii="Arial" w:cs="Arial" w:eastAsia="Arial" w:hAnsi="Arial"/>
                <w:sz w:val="12"/>
                <w:szCs w:val="12"/>
                <w:color w:val="auto"/>
              </w:rPr>
              <w:t>Exhibit 99.2</w:t>
            </w:r>
          </w:p>
        </w:tc>
        <w:tc>
          <w:tcPr>
            <w:tcW w:w="9960" w:type="dxa"/>
            <w:vAlign w:val="bottom"/>
          </w:tcPr>
          <w:p>
            <w:pPr>
              <w:ind w:left="520"/>
              <w:spacing w:after="0"/>
              <w:rPr>
                <w:sz w:val="20"/>
                <w:szCs w:val="20"/>
                <w:color w:val="auto"/>
              </w:rPr>
            </w:pPr>
            <w:r>
              <w:rPr>
                <w:rFonts w:ascii="Arial" w:cs="Arial" w:eastAsia="Arial" w:hAnsi="Arial"/>
                <w:sz w:val="12"/>
                <w:szCs w:val="12"/>
                <w:color w:val="auto"/>
              </w:rPr>
              <w:t>Customer Letter dated January 5, 2016.</w:t>
            </w:r>
          </w:p>
        </w:tc>
      </w:tr>
      <w:tr>
        <w:trPr>
          <w:trHeight w:val="590"/>
        </w:trPr>
        <w:tc>
          <w:tcPr>
            <w:tcW w:w="152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24"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t>SIGNATURE</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40" w:type="dxa"/>
            <w:vAlign w:val="bottom"/>
          </w:tcPr>
          <w:p>
            <w:pPr>
              <w:spacing w:after="0"/>
              <w:rPr>
                <w:sz w:val="13"/>
                <w:szCs w:val="13"/>
                <w:color w:val="auto"/>
              </w:rPr>
            </w:pPr>
          </w:p>
        </w:tc>
        <w:tc>
          <w:tcPr>
            <w:tcW w:w="3480" w:type="dxa"/>
            <w:vAlign w:val="bottom"/>
          </w:tcPr>
          <w:p>
            <w:pPr>
              <w:ind w:left="2560"/>
              <w:spacing w:after="0"/>
              <w:rPr>
                <w:sz w:val="20"/>
                <w:szCs w:val="20"/>
                <w:color w:val="auto"/>
              </w:rPr>
            </w:pPr>
            <w:r>
              <w:rPr>
                <w:rFonts w:ascii="Arial" w:cs="Arial" w:eastAsia="Arial" w:hAnsi="Arial"/>
                <w:sz w:val="12"/>
                <w:szCs w:val="12"/>
                <w:color w:val="auto"/>
              </w:rPr>
              <w:t>LivaNova PLC</w:t>
            </w:r>
          </w:p>
        </w:tc>
        <w:tc>
          <w:tcPr>
            <w:tcW w:w="4360" w:type="dxa"/>
            <w:vAlign w:val="bottom"/>
          </w:tcPr>
          <w:p>
            <w:pPr>
              <w:spacing w:after="0"/>
              <w:rPr>
                <w:sz w:val="13"/>
                <w:szCs w:val="13"/>
                <w:color w:val="auto"/>
              </w:rPr>
            </w:pPr>
          </w:p>
        </w:tc>
      </w:tr>
      <w:tr>
        <w:trPr>
          <w:trHeight w:val="368"/>
        </w:trPr>
        <w:tc>
          <w:tcPr>
            <w:tcW w:w="3640" w:type="dxa"/>
            <w:vAlign w:val="bottom"/>
          </w:tcPr>
          <w:p>
            <w:pPr>
              <w:ind w:left="20"/>
              <w:spacing w:after="0"/>
              <w:rPr>
                <w:sz w:val="20"/>
                <w:szCs w:val="20"/>
                <w:color w:val="auto"/>
              </w:rPr>
            </w:pPr>
            <w:r>
              <w:rPr>
                <w:rFonts w:ascii="Arial" w:cs="Arial" w:eastAsia="Arial" w:hAnsi="Arial"/>
                <w:sz w:val="12"/>
                <w:szCs w:val="12"/>
                <w:color w:val="auto"/>
              </w:rPr>
              <w:t>Date: January 5, 2016</w:t>
            </w:r>
          </w:p>
        </w:tc>
        <w:tc>
          <w:tcPr>
            <w:tcW w:w="3480" w:type="dxa"/>
            <w:vAlign w:val="bottom"/>
          </w:tcPr>
          <w:p>
            <w:pPr>
              <w:ind w:left="2580"/>
              <w:spacing w:after="0"/>
              <w:rPr>
                <w:sz w:val="20"/>
                <w:szCs w:val="20"/>
                <w:color w:val="auto"/>
              </w:rPr>
            </w:pPr>
            <w:r>
              <w:rPr>
                <w:rFonts w:ascii="Arial" w:cs="Arial" w:eastAsia="Arial" w:hAnsi="Arial"/>
                <w:sz w:val="12"/>
                <w:szCs w:val="12"/>
                <w:color w:val="auto"/>
              </w:rPr>
              <w:t>By:</w:t>
            </w:r>
          </w:p>
        </w:tc>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Brian Sheridan</w:t>
            </w:r>
          </w:p>
        </w:tc>
      </w:tr>
      <w:tr>
        <w:trPr>
          <w:trHeight w:val="162"/>
        </w:trPr>
        <w:tc>
          <w:tcPr>
            <w:tcW w:w="3640" w:type="dxa"/>
            <w:vAlign w:val="bottom"/>
          </w:tcPr>
          <w:p>
            <w:pPr>
              <w:spacing w:after="0"/>
              <w:rPr>
                <w:sz w:val="14"/>
                <w:szCs w:val="14"/>
                <w:color w:val="auto"/>
              </w:rPr>
            </w:pPr>
          </w:p>
        </w:tc>
        <w:tc>
          <w:tcPr>
            <w:tcW w:w="3480" w:type="dxa"/>
            <w:vAlign w:val="bottom"/>
          </w:tcPr>
          <w:p>
            <w:pPr>
              <w:ind w:left="2580"/>
              <w:spacing w:after="0"/>
              <w:rPr>
                <w:sz w:val="20"/>
                <w:szCs w:val="20"/>
                <w:color w:val="auto"/>
              </w:rPr>
            </w:pPr>
            <w:r>
              <w:rPr>
                <w:rFonts w:ascii="Arial" w:cs="Arial" w:eastAsia="Arial" w:hAnsi="Arial"/>
                <w:sz w:val="12"/>
                <w:szCs w:val="12"/>
                <w:color w:val="auto"/>
              </w:rPr>
              <w:t>Name:</w:t>
            </w:r>
          </w:p>
        </w:tc>
        <w:tc>
          <w:tcPr>
            <w:tcW w:w="4360" w:type="dxa"/>
            <w:vAlign w:val="bottom"/>
          </w:tcPr>
          <w:p>
            <w:pPr>
              <w:ind w:left="20"/>
              <w:spacing w:after="0"/>
              <w:rPr>
                <w:sz w:val="20"/>
                <w:szCs w:val="20"/>
                <w:color w:val="auto"/>
              </w:rPr>
            </w:pPr>
            <w:r>
              <w:rPr>
                <w:rFonts w:ascii="Arial" w:cs="Arial" w:eastAsia="Arial" w:hAnsi="Arial"/>
                <w:sz w:val="12"/>
                <w:szCs w:val="12"/>
                <w:color w:val="auto"/>
              </w:rPr>
              <w:t>Brian Sheridan</w:t>
            </w:r>
          </w:p>
        </w:tc>
      </w:tr>
      <w:tr>
        <w:trPr>
          <w:trHeight w:val="181"/>
        </w:trPr>
        <w:tc>
          <w:tcPr>
            <w:tcW w:w="3640" w:type="dxa"/>
            <w:vAlign w:val="bottom"/>
          </w:tcPr>
          <w:p>
            <w:pPr>
              <w:spacing w:after="0"/>
              <w:rPr>
                <w:sz w:val="15"/>
                <w:szCs w:val="15"/>
                <w:color w:val="auto"/>
              </w:rPr>
            </w:pPr>
          </w:p>
        </w:tc>
        <w:tc>
          <w:tcPr>
            <w:tcW w:w="3480" w:type="dxa"/>
            <w:vAlign w:val="bottom"/>
          </w:tcPr>
          <w:p>
            <w:pPr>
              <w:ind w:left="2580"/>
              <w:spacing w:after="0"/>
              <w:rPr>
                <w:sz w:val="20"/>
                <w:szCs w:val="20"/>
                <w:color w:val="auto"/>
              </w:rPr>
            </w:pPr>
            <w:r>
              <w:rPr>
                <w:rFonts w:ascii="Arial" w:cs="Arial" w:eastAsia="Arial" w:hAnsi="Arial"/>
                <w:sz w:val="12"/>
                <w:szCs w:val="12"/>
                <w:color w:val="auto"/>
              </w:rPr>
              <w:t>Title</w:t>
            </w:r>
          </w:p>
        </w:tc>
        <w:tc>
          <w:tcPr>
            <w:tcW w:w="4360" w:type="dxa"/>
            <w:vAlign w:val="bottom"/>
          </w:tcPr>
          <w:p>
            <w:pPr>
              <w:ind w:left="20"/>
              <w:spacing w:after="0"/>
              <w:rPr>
                <w:sz w:val="20"/>
                <w:szCs w:val="20"/>
                <w:color w:val="auto"/>
              </w:rPr>
            </w:pPr>
            <w:r>
              <w:rPr>
                <w:rFonts w:ascii="Arial" w:cs="Arial" w:eastAsia="Arial" w:hAnsi="Arial"/>
                <w:sz w:val="12"/>
                <w:szCs w:val="12"/>
                <w:color w:val="auto"/>
              </w:rPr>
              <w:t>Company Secretary</w:t>
            </w:r>
          </w:p>
        </w:tc>
      </w:tr>
      <w:tr>
        <w:trPr>
          <w:trHeight w:val="934"/>
        </w:trPr>
        <w:tc>
          <w:tcPr>
            <w:tcW w:w="3640" w:type="dxa"/>
            <w:vAlign w:val="bottom"/>
            <w:tcBorders>
              <w:bottom w:val="single" w:sz="8" w:color="808080"/>
            </w:tcBorders>
          </w:tcPr>
          <w:p>
            <w:pPr>
              <w:spacing w:after="0"/>
              <w:rPr>
                <w:sz w:val="24"/>
                <w:szCs w:val="24"/>
                <w:color w:val="auto"/>
              </w:rPr>
            </w:pPr>
          </w:p>
        </w:tc>
        <w:tc>
          <w:tcPr>
            <w:tcW w:w="3480" w:type="dxa"/>
            <w:vAlign w:val="bottom"/>
            <w:tcBorders>
              <w:bottom w:val="single" w:sz="8" w:color="808080"/>
            </w:tcBorders>
          </w:tcPr>
          <w:p>
            <w:pPr>
              <w:spacing w:after="0"/>
              <w:rPr>
                <w:sz w:val="24"/>
                <w:szCs w:val="24"/>
                <w:color w:val="auto"/>
              </w:rPr>
            </w:pPr>
          </w:p>
        </w:tc>
        <w:tc>
          <w:tcPr>
            <w:tcW w:w="4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1120" w:type="dxa"/>
            <w:vAlign w:val="bottom"/>
          </w:tcPr>
          <w:p>
            <w:pPr>
              <w:spacing w:after="0"/>
              <w:rPr>
                <w:sz w:val="13"/>
                <w:szCs w:val="13"/>
                <w:color w:val="auto"/>
              </w:rPr>
            </w:pPr>
          </w:p>
        </w:tc>
        <w:tc>
          <w:tcPr>
            <w:tcW w:w="10360" w:type="dxa"/>
            <w:vAlign w:val="bottom"/>
          </w:tcPr>
          <w:p>
            <w:pPr>
              <w:ind w:left="4140"/>
              <w:spacing w:after="0"/>
              <w:rPr>
                <w:sz w:val="20"/>
                <w:szCs w:val="20"/>
                <w:color w:val="auto"/>
              </w:rPr>
            </w:pPr>
            <w:r>
              <w:rPr>
                <w:rFonts w:ascii="Arial" w:cs="Arial" w:eastAsia="Arial" w:hAnsi="Arial"/>
                <w:sz w:val="12"/>
                <w:szCs w:val="12"/>
                <w:b w:val="1"/>
                <w:bCs w:val="1"/>
                <w:color w:val="auto"/>
              </w:rPr>
              <w:t>EXHIBIT INDEX</w:t>
            </w:r>
          </w:p>
        </w:tc>
      </w:tr>
      <w:tr>
        <w:trPr>
          <w:trHeight w:val="325"/>
        </w:trPr>
        <w:tc>
          <w:tcPr>
            <w:tcW w:w="1120" w:type="dxa"/>
            <w:vAlign w:val="bottom"/>
          </w:tcPr>
          <w:p>
            <w:pPr>
              <w:ind w:left="20"/>
              <w:spacing w:after="0"/>
              <w:rPr>
                <w:sz w:val="20"/>
                <w:szCs w:val="20"/>
                <w:color w:val="auto"/>
              </w:rPr>
            </w:pPr>
            <w:r>
              <w:rPr>
                <w:rFonts w:ascii="Arial" w:cs="Arial" w:eastAsia="Arial" w:hAnsi="Arial"/>
                <w:sz w:val="12"/>
                <w:szCs w:val="12"/>
                <w:b w:val="1"/>
                <w:bCs w:val="1"/>
                <w:color w:val="auto"/>
              </w:rPr>
              <w:t>Exhibit No.</w:t>
            </w:r>
          </w:p>
        </w:tc>
        <w:tc>
          <w:tcPr>
            <w:tcW w:w="10360" w:type="dxa"/>
            <w:vAlign w:val="bottom"/>
          </w:tcPr>
          <w:p>
            <w:pPr>
              <w:ind w:left="520"/>
              <w:spacing w:after="0"/>
              <w:rPr>
                <w:sz w:val="20"/>
                <w:szCs w:val="20"/>
                <w:color w:val="auto"/>
              </w:rPr>
            </w:pPr>
            <w:r>
              <w:rPr>
                <w:rFonts w:ascii="Arial" w:cs="Arial" w:eastAsia="Arial" w:hAnsi="Arial"/>
                <w:sz w:val="12"/>
                <w:szCs w:val="12"/>
                <w:b w:val="1"/>
                <w:bCs w:val="1"/>
                <w:color w:val="auto"/>
              </w:rPr>
              <w:t>Description</w:t>
            </w:r>
          </w:p>
        </w:tc>
      </w:tr>
      <w:tr>
        <w:trPr>
          <w:trHeight w:val="352"/>
        </w:trPr>
        <w:tc>
          <w:tcPr>
            <w:tcW w:w="1120" w:type="dxa"/>
            <w:vAlign w:val="bottom"/>
          </w:tcPr>
          <w:p>
            <w:pPr>
              <w:ind w:left="20"/>
              <w:spacing w:after="0"/>
              <w:rPr>
                <w:sz w:val="20"/>
                <w:szCs w:val="20"/>
                <w:color w:val="auto"/>
              </w:rPr>
            </w:pPr>
            <w:r>
              <w:rPr>
                <w:rFonts w:ascii="Arial" w:cs="Arial" w:eastAsia="Arial" w:hAnsi="Arial"/>
                <w:sz w:val="12"/>
                <w:szCs w:val="12"/>
                <w:color w:val="auto"/>
              </w:rPr>
              <w:t>99.1</w:t>
            </w:r>
          </w:p>
        </w:tc>
        <w:tc>
          <w:tcPr>
            <w:tcW w:w="10360" w:type="dxa"/>
            <w:vAlign w:val="bottom"/>
          </w:tcPr>
          <w:p>
            <w:pPr>
              <w:ind w:left="520"/>
              <w:spacing w:after="0"/>
              <w:rPr>
                <w:sz w:val="20"/>
                <w:szCs w:val="20"/>
                <w:color w:val="auto"/>
              </w:rPr>
            </w:pPr>
            <w:r>
              <w:rPr>
                <w:rFonts w:ascii="Arial" w:cs="Arial" w:eastAsia="Arial" w:hAnsi="Arial"/>
                <w:sz w:val="12"/>
                <w:szCs w:val="12"/>
                <w:color w:val="auto"/>
              </w:rPr>
              <w:t>Department of Health and Human Services, Food and Drug Administration, Warning Letter.</w:t>
            </w:r>
          </w:p>
        </w:tc>
      </w:tr>
      <w:tr>
        <w:trPr>
          <w:trHeight w:val="181"/>
        </w:trPr>
        <w:tc>
          <w:tcPr>
            <w:tcW w:w="1120" w:type="dxa"/>
            <w:vAlign w:val="bottom"/>
          </w:tcPr>
          <w:p>
            <w:pPr>
              <w:ind w:left="20"/>
              <w:spacing w:after="0"/>
              <w:rPr>
                <w:sz w:val="20"/>
                <w:szCs w:val="20"/>
                <w:color w:val="auto"/>
              </w:rPr>
            </w:pPr>
            <w:r>
              <w:rPr>
                <w:rFonts w:ascii="Arial" w:cs="Arial" w:eastAsia="Arial" w:hAnsi="Arial"/>
                <w:sz w:val="12"/>
                <w:szCs w:val="12"/>
                <w:color w:val="auto"/>
              </w:rPr>
              <w:t>99.2</w:t>
            </w:r>
          </w:p>
        </w:tc>
        <w:tc>
          <w:tcPr>
            <w:tcW w:w="10360" w:type="dxa"/>
            <w:vAlign w:val="bottom"/>
          </w:tcPr>
          <w:p>
            <w:pPr>
              <w:ind w:left="520"/>
              <w:spacing w:after="0"/>
              <w:rPr>
                <w:sz w:val="20"/>
                <w:szCs w:val="20"/>
                <w:color w:val="auto"/>
              </w:rPr>
            </w:pPr>
            <w:r>
              <w:rPr>
                <w:rFonts w:ascii="Arial" w:cs="Arial" w:eastAsia="Arial" w:hAnsi="Arial"/>
                <w:sz w:val="12"/>
                <w:szCs w:val="12"/>
                <w:color w:val="auto"/>
              </w:rPr>
              <w:t>Customer Letter dated January 5, 2016.</w:t>
            </w:r>
          </w:p>
        </w:tc>
      </w:tr>
      <w:tr>
        <w:trPr>
          <w:trHeight w:val="590"/>
        </w:trPr>
        <w:tc>
          <w:tcPr>
            <w:tcW w:w="1120" w:type="dxa"/>
            <w:vAlign w:val="bottom"/>
            <w:tcBorders>
              <w:bottom w:val="single" w:sz="8" w:color="808080"/>
            </w:tcBorders>
          </w:tcPr>
          <w:p>
            <w:pPr>
              <w:spacing w:after="0"/>
              <w:rPr>
                <w:sz w:val="24"/>
                <w:szCs w:val="24"/>
                <w:color w:val="auto"/>
              </w:rPr>
            </w:pPr>
          </w:p>
        </w:tc>
        <w:tc>
          <w:tcPr>
            <w:tcW w:w="103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88" w:right="199"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88900</wp:posOffset>
            </wp:positionV>
            <wp:extent cx="7336155" cy="96456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6155" cy="9645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5427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6155" cy="9542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6456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6155" cy="9645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646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6155" cy="96462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9676130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6456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6155" cy="9645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6456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6155" cy="9645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6456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6155" cy="9645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131445</wp:posOffset>
            </wp:positionH>
            <wp:positionV relativeFrom="page">
              <wp:posOffset>151765</wp:posOffset>
            </wp:positionV>
            <wp:extent cx="7336155" cy="96456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6155" cy="96456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172720</wp:posOffset>
            </wp:positionV>
            <wp:extent cx="1238250" cy="395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38250" cy="395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2"/>
          <w:szCs w:val="12"/>
          <w:color w:val="auto"/>
        </w:rPr>
        <w:t>January 5, 2016</w:t>
      </w:r>
    </w:p>
    <w:p>
      <w:pPr>
        <w:spacing w:after="0" w:line="368" w:lineRule="exact"/>
        <w:rPr>
          <w:sz w:val="20"/>
          <w:szCs w:val="20"/>
          <w:color w:val="auto"/>
        </w:rPr>
      </w:pPr>
    </w:p>
    <w:p>
      <w:pPr>
        <w:spacing w:after="0"/>
        <w:rPr>
          <w:sz w:val="20"/>
          <w:szCs w:val="20"/>
          <w:color w:val="auto"/>
        </w:rPr>
      </w:pPr>
      <w:r>
        <w:rPr>
          <w:rFonts w:ascii="Arial" w:cs="Arial" w:eastAsia="Arial" w:hAnsi="Arial"/>
          <w:sz w:val="12"/>
          <w:szCs w:val="12"/>
          <w:color w:val="auto"/>
        </w:rPr>
        <w:t>Dear Valued Customer,</w:t>
      </w:r>
    </w:p>
    <w:p>
      <w:pPr>
        <w:spacing w:after="0" w:line="268" w:lineRule="exact"/>
        <w:rPr>
          <w:sz w:val="20"/>
          <w:szCs w:val="20"/>
          <w:color w:val="auto"/>
        </w:rPr>
      </w:pPr>
    </w:p>
    <w:p>
      <w:pPr>
        <w:spacing w:after="0" w:line="257" w:lineRule="auto"/>
        <w:rPr>
          <w:sz w:val="20"/>
          <w:szCs w:val="20"/>
          <w:color w:val="auto"/>
        </w:rPr>
      </w:pPr>
      <w:r>
        <w:rPr>
          <w:rFonts w:ascii="Arial" w:cs="Arial" w:eastAsia="Arial" w:hAnsi="Arial"/>
          <w:sz w:val="12"/>
          <w:szCs w:val="12"/>
          <w:color w:val="auto"/>
        </w:rPr>
        <w:t xml:space="preserve">The purpose of this letter is to inform you about changes in the availability of the 3T Heater-Cooler System (“3T”) in the United States resulting from a Warning Letter issued by the U.S. Food and Drug Administration (“FDA” or “the agency”) dated December 29, 2015. The Warning Letter alleged certain violations of FDA regulations applicable to medical device manufacturers at its Munich, Germany and Arvada, Colorado facilities, to which LivaNova intends to respond in a timely manner. The Warning Letter did not request that existing users cease using the 3T Heater Cooler device. Customers may continue to use the 3T device in accordance with our current Operating Instructions. To this end, we refer you to the Field Safety Notice regarding the Heater-Cooler 3T Devices (Reference #9611109-06/03/15-002-C, dated June 15, 2015 and updated August 6, 2015). Please continue to perform regular maintenance and disinfection of your 3T devices according to the latest Operating Instructions, which can be found at </w:t>
      </w:r>
      <w:r>
        <w:rPr>
          <w:rFonts w:ascii="Arial" w:cs="Arial" w:eastAsia="Arial" w:hAnsi="Arial"/>
          <w:sz w:val="12"/>
          <w:szCs w:val="12"/>
          <w:u w:val="single" w:color="auto"/>
          <w:color w:val="auto"/>
        </w:rPr>
        <w:t>http://www.livanova.sorin.com/3T</w:t>
      </w:r>
      <w:r>
        <w:rPr>
          <w:rFonts w:ascii="Arial" w:cs="Arial" w:eastAsia="Arial" w:hAnsi="Arial"/>
          <w:sz w:val="12"/>
          <w:szCs w:val="12"/>
          <w:color w:val="auto"/>
        </w:rPr>
        <w:t>.</w:t>
      </w:r>
    </w:p>
    <w:p>
      <w:pPr>
        <w:spacing w:after="0" w:line="272" w:lineRule="exact"/>
        <w:rPr>
          <w:sz w:val="20"/>
          <w:szCs w:val="20"/>
          <w:color w:val="auto"/>
        </w:rPr>
      </w:pPr>
    </w:p>
    <w:p>
      <w:pPr>
        <w:ind w:right="40"/>
        <w:spacing w:after="0" w:line="264" w:lineRule="auto"/>
        <w:rPr>
          <w:sz w:val="20"/>
          <w:szCs w:val="20"/>
          <w:color w:val="auto"/>
        </w:rPr>
      </w:pPr>
      <w:r>
        <w:rPr>
          <w:rFonts w:ascii="Arial" w:cs="Arial" w:eastAsia="Arial" w:hAnsi="Arial"/>
          <w:sz w:val="12"/>
          <w:szCs w:val="12"/>
          <w:color w:val="auto"/>
        </w:rPr>
        <w:t>As a result of these issues, FDA has decided to limit the importation of the 3T device into the United States. The Company is working constructively with FDA to reduce the impact of this decision on you, and the Company will promptly communicate to you any updates agreed upon with FDA in this regard. Manufacturing and shipment of all of the Company’s products other than the 3T Heater Cooler are unaffected by this limitation at the present time and will continue as normal.</w:t>
      </w:r>
    </w:p>
    <w:p>
      <w:pPr>
        <w:spacing w:after="0" w:line="267" w:lineRule="exact"/>
        <w:rPr>
          <w:sz w:val="20"/>
          <w:szCs w:val="20"/>
          <w:color w:val="auto"/>
        </w:rPr>
      </w:pPr>
    </w:p>
    <w:p>
      <w:pPr>
        <w:spacing w:after="0"/>
        <w:rPr>
          <w:sz w:val="20"/>
          <w:szCs w:val="20"/>
          <w:color w:val="auto"/>
        </w:rPr>
      </w:pPr>
      <w:r>
        <w:rPr>
          <w:rFonts w:ascii="Arial" w:cs="Arial" w:eastAsia="Arial" w:hAnsi="Arial"/>
          <w:sz w:val="11"/>
          <w:szCs w:val="11"/>
          <w:color w:val="auto"/>
        </w:rPr>
        <w:t>We are working diligently and in communication with FDA to resolve these issues as quickly as possible. We are committed to providing the highest quality products and service to our customers. We are also collaborating with U.S.</w:t>
      </w:r>
    </w:p>
    <w:p>
      <w:pPr>
        <w:spacing w:after="0" w:line="27" w:lineRule="exact"/>
        <w:rPr>
          <w:sz w:val="20"/>
          <w:szCs w:val="20"/>
          <w:color w:val="auto"/>
        </w:rPr>
      </w:pPr>
    </w:p>
    <w:p>
      <w:pPr>
        <w:spacing w:after="0"/>
        <w:rPr>
          <w:sz w:val="20"/>
          <w:szCs w:val="20"/>
          <w:color w:val="auto"/>
        </w:rPr>
      </w:pPr>
      <w:r>
        <w:rPr>
          <w:rFonts w:ascii="Arial" w:cs="Arial" w:eastAsia="Arial" w:hAnsi="Arial"/>
          <w:sz w:val="11"/>
          <w:szCs w:val="11"/>
          <w:color w:val="auto"/>
        </w:rPr>
        <w:t>medical societies to ensure that we properly and effectively communicate updates related to the adequate disinfection of our 3T heater-cooler devices. We will continue this practice of rapid and full disclosure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Contact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auto"/>
        </w:rPr>
        <w:t>Please contact your LivaNova account representative if you have any questions. If further assistance is required, please contact:</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Email: </w:t>
      </w:r>
      <w:r>
        <w:rPr>
          <w:rFonts w:ascii="Arial" w:cs="Arial" w:eastAsia="Arial" w:hAnsi="Arial"/>
          <w:sz w:val="12"/>
          <w:szCs w:val="12"/>
          <w:u w:val="single" w:color="auto"/>
          <w:color w:val="auto"/>
        </w:rPr>
        <w:t>3T.US@LivaNova.com</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Technical Services Hotline: 1-800-221-7943, Ext: 6355</w:t>
      </w:r>
    </w:p>
    <w:p>
      <w:pPr>
        <w:spacing w:after="0"/>
        <w:rPr>
          <w:sz w:val="20"/>
          <w:szCs w:val="20"/>
          <w:color w:val="auto"/>
        </w:rPr>
      </w:pPr>
      <w:r>
        <w:rPr>
          <w:rFonts w:ascii="Arial" w:cs="Arial" w:eastAsia="Arial" w:hAnsi="Arial"/>
          <w:sz w:val="12"/>
          <w:szCs w:val="12"/>
          <w:color w:val="auto"/>
        </w:rPr>
        <w:t>3T Voicemail Box: 1-303-467-6601</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color w:val="auto"/>
        </w:rPr>
        <w:t>Thank you for your continued support and cooperation in this matter. We apologize for any inconvenience this situation may have caused for you and your teams.</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sectPr>
      <w:pgSz w:w="11900" w:h="16838" w:orient="portrait"/>
      <w:cols w:equalWidth="0" w:num="1">
        <w:col w:w="11480"/>
      </w:cols>
      <w:pgMar w:left="220" w:top="12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2019-12-09T01:58:27Z</dcterms:created>
  <dcterms:modified xsi:type="dcterms:W3CDTF">2019-12-09T01:58:27Z</dcterms:modified>
</cp:coreProperties>
</file>