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LIVANOVA PLC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G5509L101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right="8980" w:firstLine="6"/>
        <w:spacing w:after="0" w:line="575" w:lineRule="auto"/>
        <w:tabs>
          <w:tab w:leader="none" w:pos="119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Rule 13d-1(c) Rule 13d-1(d)</w:t>
      </w:r>
    </w:p>
    <w:p>
      <w:pPr>
        <w:ind w:left="220" w:right="180" w:hanging="216"/>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G5509L101</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Harris Associates L.P.</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0"/>
              </w:rPr>
              <w:t>(b)</w:t>
            </w: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3,777,956</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84"/>
              </w:rPr>
              <w:t>Shares</w:t>
            </w: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7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3,823,266</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With:</w:t>
            </w: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3,823,266</w:t>
            </w: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IA</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80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Harris Associates Inc.</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0"/>
              </w:rPr>
              <w:t>(b)</w:t>
            </w: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3,777,956</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84"/>
              </w:rPr>
              <w:t>Shares</w:t>
            </w: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7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3,823,266</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With:</w:t>
            </w: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3,823,266</w:t>
            </w: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95" w:right="319" w:bottom="136"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131" w:lineRule="exact"/>
        <w:rPr>
          <w:sz w:val="20"/>
          <w:szCs w:val="20"/>
          <w:color w:val="auto"/>
        </w:rPr>
      </w:pPr>
    </w:p>
    <w:p>
      <w:pPr>
        <w:ind w:left="900" w:hanging="447"/>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LIVANOVA PLC</w:t>
      </w:r>
    </w:p>
    <w:p>
      <w:pPr>
        <w:spacing w:after="0" w:line="126" w:lineRule="exact"/>
        <w:rPr>
          <w:rFonts w:ascii="Arial" w:cs="Arial" w:eastAsia="Arial" w:hAnsi="Arial"/>
          <w:sz w:val="18"/>
          <w:szCs w:val="18"/>
          <w:b w:val="1"/>
          <w:bCs w:val="1"/>
          <w:color w:val="auto"/>
        </w:rPr>
      </w:pPr>
    </w:p>
    <w:p>
      <w:pPr>
        <w:ind w:left="900" w:hanging="447"/>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20 EASTBOURNE TERRACE, LONDON W2 6LG, UK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00" w:hanging="447"/>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Harris Associates L.P.("Harris")</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Harris Associates Inc. ("General Partner")</w:t>
      </w:r>
    </w:p>
    <w:p>
      <w:pPr>
        <w:spacing w:after="0" w:line="301" w:lineRule="exact"/>
        <w:rPr>
          <w:sz w:val="20"/>
          <w:szCs w:val="20"/>
          <w:color w:val="auto"/>
        </w:rPr>
      </w:pPr>
    </w:p>
    <w:p>
      <w:pPr>
        <w:ind w:left="900" w:right="4779" w:hanging="447"/>
        <w:spacing w:after="0" w:line="460" w:lineRule="auto"/>
        <w:tabs>
          <w:tab w:leader="none" w:pos="893"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Address of Principal Business Office or, if none, Residence </w:t>
      </w:r>
      <w:r>
        <w:rPr>
          <w:rFonts w:ascii="Arial" w:cs="Arial" w:eastAsia="Arial" w:hAnsi="Arial"/>
          <w:sz w:val="15"/>
          <w:szCs w:val="15"/>
          <w:color w:val="auto"/>
        </w:rPr>
        <w:t>111 South Wacker Drive Suite 4600, Chicago, IL 60606</w:t>
      </w:r>
    </w:p>
    <w:p>
      <w:pPr>
        <w:ind w:left="900" w:hanging="447"/>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See Item 4 on the cover page(s) hereto.</w:t>
      </w:r>
    </w:p>
    <w:p>
      <w:pPr>
        <w:spacing w:after="0" w:line="126" w:lineRule="exact"/>
        <w:rPr>
          <w:rFonts w:ascii="Arial" w:cs="Arial" w:eastAsia="Arial" w:hAnsi="Arial"/>
          <w:sz w:val="18"/>
          <w:szCs w:val="18"/>
          <w:b w:val="1"/>
          <w:bCs w:val="1"/>
          <w:color w:val="auto"/>
        </w:rPr>
      </w:pPr>
    </w:p>
    <w:p>
      <w:pPr>
        <w:ind w:left="900" w:right="7239" w:hanging="447"/>
        <w:spacing w:after="0" w:line="431" w:lineRule="auto"/>
        <w:tabs>
          <w:tab w:leader="none" w:pos="89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Ordinary Shares</w:t>
      </w:r>
    </w:p>
    <w:p>
      <w:pPr>
        <w:ind w:left="900" w:right="8019" w:hanging="447"/>
        <w:spacing w:after="0" w:line="445" w:lineRule="auto"/>
        <w:tabs>
          <w:tab w:leader="none" w:pos="893"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G5509L101</w:t>
      </w:r>
    </w:p>
    <w:p>
      <w:pPr>
        <w:sectPr>
          <w:pgSz w:w="11900" w:h="16838" w:orient="portrait"/>
          <w:cols w:equalWidth="0" w:num="1">
            <w:col w:w="10139"/>
          </w:cols>
          <w:pgMar w:left="320" w:top="270"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 If this statement is filed pursuant to §§240.13d-1(b) or 240.13d-2(b) or (c), check whether the person filing is:</w:t>
      </w:r>
    </w:p>
    <w:p>
      <w:pPr>
        <w:spacing w:after="0" w:line="135" w:lineRule="exact"/>
        <w:rPr>
          <w:sz w:val="20"/>
          <w:szCs w:val="20"/>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Broker or dealer registered under Section 15 of the Act (15 U.S.C. 78o);</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Bank as defined in Section 3(a)(6) of the Act (15 U.S.C. 78c);</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insurance company as defined in Section 3(a)(19) of the Act (15 U.S.C. 78c);</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60" w:hanging="515"/>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employee benefit plan or endowment fund in accordance with §240.13d-1(b)(1)(ii)(F);</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§240.13d-1(b)(1)(ii)(G);</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080" w:right="280" w:hanging="735"/>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non-U.S. institution in accordance with §240.13d-1(b)(1)(ii)(J);</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group, in accordance with §240.13d-1(b)(1)(ii)(K).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31" w:lineRule="exact"/>
        <w:rPr>
          <w:sz w:val="20"/>
          <w:szCs w:val="20"/>
          <w:color w:val="auto"/>
        </w:rPr>
      </w:pPr>
    </w:p>
    <w:p>
      <w:pPr>
        <w:ind w:left="900" w:hanging="447"/>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By reason of advisory and other relationships with the person who owns the Shares, Harris may be deemed to be the beneficial owner of the shares specified in Item 9 on the cover page(s) hereto. 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88" w:lineRule="exact"/>
        <w:rPr>
          <w:sz w:val="20"/>
          <w:szCs w:val="20"/>
          <w:color w:val="auto"/>
        </w:rPr>
      </w:pPr>
    </w:p>
    <w:p>
      <w:pPr>
        <w:ind w:left="900" w:hanging="447"/>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See Item 11 on the cover page(s) hereto.</w:t>
      </w:r>
    </w:p>
    <w:p>
      <w:pPr>
        <w:spacing w:after="0" w:line="126" w:lineRule="exact"/>
        <w:rPr>
          <w:rFonts w:ascii="Arial" w:cs="Arial" w:eastAsia="Arial" w:hAnsi="Arial"/>
          <w:sz w:val="18"/>
          <w:szCs w:val="18"/>
          <w:b w:val="1"/>
          <w:bCs w:val="1"/>
          <w:color w:val="auto"/>
        </w:rPr>
      </w:pPr>
    </w:p>
    <w:p>
      <w:pPr>
        <w:ind w:left="900" w:hanging="447"/>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0" w:lineRule="exact"/>
        <w:rPr>
          <w:rFonts w:ascii="Arial" w:cs="Arial" w:eastAsia="Arial" w:hAnsi="Arial"/>
          <w:sz w:val="18"/>
          <w:szCs w:val="18"/>
          <w:b w:val="1"/>
          <w:bCs w:val="1"/>
          <w:color w:val="auto"/>
        </w:rPr>
      </w:pPr>
    </w:p>
    <w:p>
      <w:pPr>
        <w:ind w:left="1460" w:right="6680" w:hanging="561"/>
        <w:spacing w:after="0" w:line="431" w:lineRule="auto"/>
        <w:tabs>
          <w:tab w:leader="none" w:pos="144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See Item 5 on the cover page(s) hereto.</w:t>
      </w:r>
    </w:p>
    <w:p>
      <w:pPr>
        <w:ind w:left="1460" w:right="6440" w:hanging="561"/>
        <w:spacing w:after="0" w:line="431" w:lineRule="auto"/>
        <w:tabs>
          <w:tab w:leader="none" w:pos="144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See Item 6 on the cover page(s) hereto.</w:t>
      </w:r>
    </w:p>
    <w:p>
      <w:pPr>
        <w:ind w:left="1460" w:right="5720" w:hanging="561"/>
        <w:spacing w:after="0" w:line="488" w:lineRule="auto"/>
        <w:tabs>
          <w:tab w:leader="none" w:pos="144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See Item 7 on the cover page(s) hereto.</w:t>
      </w:r>
    </w:p>
    <w:p>
      <w:pPr>
        <w:sectPr>
          <w:pgSz w:w="11900" w:h="16838" w:orient="portrait"/>
          <w:cols w:equalWidth="0" w:num="1">
            <w:col w:w="11140"/>
          </w:cols>
          <w:pgMar w:left="320" w:top="270" w:right="439" w:bottom="1440" w:gutter="0" w:footer="0" w:header="0"/>
        </w:sectPr>
      </w:pPr>
    </w:p>
    <w:bookmarkStart w:id="4" w:name="page5"/>
    <w:bookmarkEnd w:id="4"/>
    <w:p>
      <w:pPr>
        <w:ind w:left="1460" w:right="5600" w:hanging="561"/>
        <w:spacing w:after="0" w:line="488" w:lineRule="auto"/>
        <w:tabs>
          <w:tab w:leader="none" w:pos="144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Shared power to dispose or to direct the disposition of: </w:t>
      </w:r>
      <w:r>
        <w:rPr>
          <w:rFonts w:ascii="Arial" w:cs="Arial" w:eastAsia="Arial" w:hAnsi="Arial"/>
          <w:sz w:val="16"/>
          <w:szCs w:val="16"/>
          <w:color w:val="auto"/>
        </w:rPr>
        <w:t>See Item 8 on the cover page(s) hereto.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or Less of a Class.</w:t>
      </w:r>
    </w:p>
    <w:p>
      <w:pPr>
        <w:spacing w:after="0" w:line="121" w:lineRule="exact"/>
        <w:rPr>
          <w:sz w:val="20"/>
          <w:szCs w:val="20"/>
          <w:color w:val="auto"/>
        </w:rPr>
      </w:pPr>
    </w:p>
    <w:p>
      <w:pPr>
        <w:ind w:right="300" w:firstLine="89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jc w:val="both"/>
        <w:ind w:right="100" w:firstLine="898"/>
        <w:spacing w:after="0" w:line="263" w:lineRule="auto"/>
        <w:rPr>
          <w:sz w:val="20"/>
          <w:szCs w:val="20"/>
          <w:color w:val="auto"/>
        </w:rPr>
      </w:pPr>
      <w:r>
        <w:rPr>
          <w:rFonts w:ascii="Arial" w:cs="Arial" w:eastAsia="Arial" w:hAnsi="Arial"/>
          <w:sz w:val="18"/>
          <w:szCs w:val="18"/>
          <w:color w:val="auto"/>
        </w:rPr>
        <w:t>By signing below each signatory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70" w:right="3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statement is true, complete and correct.</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Date: 2022-02-11</w:t>
      </w:r>
    </w:p>
    <w:p>
      <w:pPr>
        <w:spacing w:after="0" w:line="200" w:lineRule="exact"/>
        <w:rPr>
          <w:sz w:val="20"/>
          <w:szCs w:val="20"/>
          <w:color w:val="auto"/>
        </w:rPr>
      </w:pPr>
    </w:p>
    <w:p>
      <w:pPr>
        <w:spacing w:after="0" w:line="264"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Harris Associates L.P.</w:t>
      </w:r>
    </w:p>
    <w:p>
      <w:pPr>
        <w:sectPr>
          <w:pgSz w:w="11900" w:h="16838" w:orient="portrait"/>
          <w:cols w:equalWidth="0" w:num="1">
            <w:col w:w="11140"/>
          </w:cols>
          <w:pgMar w:left="320" w:top="270" w:right="439" w:bottom="1440" w:gutter="0" w:footer="0" w:header="0"/>
        </w:sectPr>
      </w:pP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Harris Associates L.P.,</w:t>
      </w:r>
    </w:p>
    <w:p>
      <w:pPr>
        <w:spacing w:after="0" w:line="211" w:lineRule="exact"/>
        <w:rPr>
          <w:sz w:val="20"/>
          <w:szCs w:val="20"/>
          <w:color w:val="auto"/>
        </w:rPr>
      </w:pPr>
    </w:p>
    <w:p>
      <w:pPr>
        <w:sectPr>
          <w:pgSz w:w="11900" w:h="16838" w:orient="portrait"/>
          <w:cols w:equalWidth="0" w:num="2">
            <w:col w:w="6000" w:space="300"/>
            <w:col w:w="4840"/>
          </w:cols>
          <w:pgMar w:left="320" w:top="270" w:right="4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/s/Rana J. Wright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Rana J. Wright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Administrative Officer, General Counsel and Secretary</w:t>
      </w:r>
    </w:p>
    <w:p>
      <w:pPr>
        <w:spacing w:after="0" w:line="222" w:lineRule="exact"/>
        <w:rPr>
          <w:sz w:val="20"/>
          <w:szCs w:val="20"/>
          <w:color w:val="auto"/>
        </w:rPr>
      </w:pPr>
    </w:p>
    <w:p>
      <w:pPr>
        <w:sectPr>
          <w:pgSz w:w="11900" w:h="16838" w:orient="portrait"/>
          <w:cols w:equalWidth="0" w:num="2">
            <w:col w:w="6180" w:space="120"/>
            <w:col w:w="4840"/>
          </w:cols>
          <w:pgMar w:left="320" w:top="270" w:right="439" w:bottom="1440" w:gutter="0" w:footer="0" w:header="0"/>
          <w:type w:val="continuous"/>
        </w:sectPr>
      </w:pPr>
    </w:p>
    <w:p>
      <w:pPr>
        <w:spacing w:after="0" w:line="11"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**Harris Associates Inc., for itself and as General Partner of Harris</w:t>
      </w:r>
    </w:p>
    <w:p>
      <w:pPr>
        <w:spacing w:after="0" w:line="4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Associates L.P.</w:t>
      </w:r>
    </w:p>
    <w:sectPr>
      <w:pgSz w:w="11900" w:h="16838" w:orient="portrait"/>
      <w:cols w:equalWidth="0" w:num="1">
        <w:col w:w="11140"/>
      </w:cols>
      <w:pgMar w:left="32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lvl w:ilvl="1">
      <w:lvlJc w:val="left"/>
      <w:lvlText w:val="(%2)"/>
      <w:numFmt w:val="lowerRoman"/>
      <w:start w:val="1"/>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2022-02-12T02:32:58Z</dcterms:created>
  <dcterms:modified xsi:type="dcterms:W3CDTF">2022-02-12T02:32:58Z</dcterms:modified>
</cp:coreProperties>
</file>