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0"/>
          <w:szCs w:val="20"/>
          <w:b w:val="1"/>
          <w:bCs w:val="1"/>
          <w:color w:val="auto"/>
        </w:rPr>
        <w:t>UNITED STATES</w:t>
      </w:r>
    </w:p>
    <w:p>
      <w:pPr>
        <w:ind w:left="3500"/>
        <w:spacing w:after="0" w:line="19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00"/>
        <w:spacing w:after="0" w:line="209"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3960" w:right="1460" w:hanging="2588"/>
        <w:spacing w:after="0" w:line="262" w:lineRule="auto"/>
        <w:tabs>
          <w:tab w:leader="none" w:pos="16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2025</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 w:lineRule="exact"/>
        <w:rPr>
          <w:sz w:val="24"/>
          <w:szCs w:val="24"/>
          <w:color w:val="auto"/>
        </w:rPr>
      </w:pPr>
    </w:p>
    <w:p>
      <w:pPr>
        <w:ind w:left="3340" w:right="1460" w:hanging="1974"/>
        <w:spacing w:after="0" w:line="285" w:lineRule="auto"/>
        <w:tabs>
          <w:tab w:leader="none" w:pos="168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9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2752090</wp:posOffset>
            </wp:positionH>
            <wp:positionV relativeFrom="paragraph">
              <wp:posOffset>174625</wp:posOffset>
            </wp:positionV>
            <wp:extent cx="1638300" cy="409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8300" cy="409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LivaNova PLC</w:t>
      </w:r>
    </w:p>
    <w:p>
      <w:pPr>
        <w:spacing w:after="0" w:line="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52" w:lineRule="exact"/>
        <w:rPr>
          <w:sz w:val="24"/>
          <w:szCs w:val="24"/>
          <w:color w:val="auto"/>
        </w:rPr>
      </w:pPr>
    </w:p>
    <w:tbl>
      <w:tblPr>
        <w:tblLayout w:type="fixed"/>
        <w:tblInd w:w="16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xml:space="preserve">England and Wales </w:t>
            </w:r>
            <w:r>
              <w:rPr>
                <w:rFonts w:ascii="Times New Roman" w:cs="Times New Roman" w:eastAsia="Times New Roman" w:hAnsi="Times New Roman"/>
                <w:sz w:val="16"/>
                <w:szCs w:val="16"/>
                <w:i w:val="1"/>
                <w:iCs w:val="1"/>
                <w:color w:val="FFFFFF"/>
                <w:w w:val="95"/>
              </w:rPr>
              <w:t>...................</w:t>
            </w:r>
          </w:p>
        </w:tc>
        <w:tc>
          <w:tcPr>
            <w:tcW w:w="10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98-1268150</w:t>
            </w:r>
          </w:p>
        </w:tc>
        <w:tc>
          <w:tcPr>
            <w:tcW w:w="2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8"/>
        </w:trPr>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(State or other jurisdiction of </w:t>
            </w:r>
            <w:r>
              <w:rPr>
                <w:rFonts w:ascii="Times New Roman" w:cs="Times New Roman" w:eastAsia="Times New Roman" w:hAnsi="Times New Roman"/>
                <w:sz w:val="16"/>
                <w:szCs w:val="16"/>
                <w:i w:val="1"/>
                <w:iCs w:val="1"/>
                <w:color w:val="FFFFFF"/>
              </w:rPr>
              <w:t>..........</w:t>
            </w:r>
          </w:p>
        </w:tc>
        <w:tc>
          <w:tcPr>
            <w:tcW w:w="5180" w:type="dxa"/>
            <w:vAlign w:val="bottom"/>
            <w:gridSpan w:val="3"/>
          </w:tcPr>
          <w:p>
            <w:pPr>
              <w:jc w:val="center"/>
              <w:ind w:right="3880"/>
              <w:spacing w:after="0"/>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incorporation or organization) </w:t>
            </w:r>
            <w:r>
              <w:rPr>
                <w:rFonts w:ascii="Times New Roman" w:cs="Times New Roman" w:eastAsia="Times New Roman" w:hAnsi="Times New Roman"/>
                <w:sz w:val="16"/>
                <w:szCs w:val="16"/>
                <w:i w:val="1"/>
                <w:iCs w:val="1"/>
                <w:color w:val="FFFFFF"/>
              </w:rPr>
              <w:t>........</w:t>
            </w:r>
          </w:p>
        </w:tc>
        <w:tc>
          <w:tcPr>
            <w:tcW w:w="5180" w:type="dxa"/>
            <w:vAlign w:val="bottom"/>
            <w:gridSpan w:val="3"/>
          </w:tcPr>
          <w:p>
            <w:pPr>
              <w:jc w:val="center"/>
              <w:ind w:right="3860"/>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339"/>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jc w:val="center"/>
              <w:ind w:right="3240"/>
              <w:spacing w:after="0"/>
              <w:rPr>
                <w:sz w:val="20"/>
                <w:szCs w:val="20"/>
                <w:color w:val="auto"/>
              </w:rPr>
            </w:pPr>
            <w:r>
              <w:rPr>
                <w:rFonts w:ascii="Times New Roman" w:cs="Times New Roman" w:eastAsia="Times New Roman" w:hAnsi="Times New Roman"/>
                <w:sz w:val="16"/>
                <w:szCs w:val="16"/>
                <w:b w:val="1"/>
                <w:bCs w:val="1"/>
                <w:color w:val="auto"/>
              </w:rPr>
              <w:t>20 Eastbourne Terrace, London, United Kingdom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W2 6LG</w:t>
            </w:r>
          </w:p>
        </w:tc>
      </w:tr>
      <w:tr>
        <w:trPr>
          <w:trHeight w:val="212"/>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w w:val="85"/>
              </w:rPr>
              <w:t xml:space="preserve">(Address of principal executive offices) </w:t>
            </w:r>
            <w:r>
              <w:rPr>
                <w:rFonts w:ascii="Times New Roman" w:cs="Times New Roman" w:eastAsia="Times New Roman" w:hAnsi="Times New Roman"/>
                <w:sz w:val="16"/>
                <w:szCs w:val="16"/>
                <w:i w:val="1"/>
                <w:iCs w:val="1"/>
                <w:color w:val="FFFFFF"/>
                <w:w w:val="85"/>
              </w:rPr>
              <w:t>.......................</w:t>
            </w:r>
          </w:p>
        </w:tc>
        <w:tc>
          <w:tcPr>
            <w:tcW w:w="5180" w:type="dxa"/>
            <w:vAlign w:val="bottom"/>
            <w:gridSpan w:val="3"/>
          </w:tcPr>
          <w:p>
            <w:pPr>
              <w:ind w:left="880"/>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382"/>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jc w:val="center"/>
              <w:ind w:right="3260"/>
              <w:spacing w:after="0"/>
              <w:rPr>
                <w:sz w:val="20"/>
                <w:szCs w:val="20"/>
                <w:color w:val="auto"/>
              </w:rPr>
            </w:pPr>
            <w:r>
              <w:rPr>
                <w:rFonts w:ascii="Times New Roman" w:cs="Times New Roman" w:eastAsia="Times New Roman" w:hAnsi="Times New Roman"/>
                <w:sz w:val="16"/>
                <w:szCs w:val="16"/>
                <w:i w:val="1"/>
                <w:iCs w:val="1"/>
                <w:color w:val="auto"/>
              </w:rPr>
              <w:t>Registrant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s telephone number, including area code: </w:t>
            </w:r>
            <w:r>
              <w:rPr>
                <w:rFonts w:ascii="Times New Roman" w:cs="Times New Roman" w:eastAsia="Times New Roman" w:hAnsi="Times New Roman"/>
                <w:sz w:val="16"/>
                <w:szCs w:val="16"/>
                <w:b w:val="1"/>
                <w:bCs w:val="1"/>
                <w:color w:val="auto"/>
              </w:rPr>
              <w:t>(44) (0) 203 325-0660</w:t>
            </w:r>
          </w:p>
        </w:tc>
      </w:tr>
      <w:tr>
        <w:trPr>
          <w:trHeight w:val="222"/>
        </w:trPr>
        <w:tc>
          <w:tcPr>
            <w:tcW w:w="1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90"/>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ind w:left="6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15"/>
        </w:trPr>
        <w:tc>
          <w:tcPr>
            <w:tcW w:w="18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Trading Symbol(s)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394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76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LIVN</w:t>
            </w:r>
          </w:p>
        </w:tc>
        <w:tc>
          <w:tcPr>
            <w:tcW w:w="1080" w:type="dxa"/>
            <w:vAlign w:val="bottom"/>
          </w:tcPr>
          <w:p>
            <w:pPr>
              <w:spacing w:after="0"/>
              <w:rPr>
                <w:sz w:val="19"/>
                <w:szCs w:val="19"/>
                <w:color w:val="auto"/>
              </w:rPr>
            </w:pPr>
          </w:p>
        </w:tc>
        <w:tc>
          <w:tcPr>
            <w:tcW w:w="410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86" w:lineRule="exact"/>
        <w:rPr>
          <w:sz w:val="24"/>
          <w:szCs w:val="24"/>
          <w:color w:val="auto"/>
        </w:rPr>
      </w:pPr>
    </w:p>
    <w:p>
      <w:pPr>
        <w:jc w:val="both"/>
        <w:ind w:right="1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10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100"/>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114" w:lineRule="exact"/>
        <w:rPr>
          <w:sz w:val="24"/>
          <w:szCs w:val="24"/>
          <w:color w:val="auto"/>
        </w:rPr>
      </w:pPr>
    </w:p>
    <w:p>
      <w:pPr>
        <w:ind w:right="1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w:t>
            </w: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Outstanding on October 29, 2025</w:t>
            </w:r>
          </w:p>
        </w:tc>
      </w:tr>
      <w:tr>
        <w:trPr>
          <w:trHeight w:val="215"/>
        </w:trPr>
        <w:tc>
          <w:tcPr>
            <w:tcW w:w="5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5300" w:type="dxa"/>
            <w:vAlign w:val="bottom"/>
          </w:tcPr>
          <w:p>
            <w:pPr>
              <w:jc w:val="right"/>
              <w:ind w:right="2219"/>
              <w:spacing w:after="0"/>
              <w:rPr>
                <w:sz w:val="20"/>
                <w:szCs w:val="20"/>
                <w:color w:val="auto"/>
              </w:rPr>
            </w:pPr>
            <w:r>
              <w:rPr>
                <w:rFonts w:ascii="Times New Roman" w:cs="Times New Roman" w:eastAsia="Times New Roman" w:hAnsi="Times New Roman"/>
                <w:sz w:val="16"/>
                <w:szCs w:val="16"/>
                <w:color w:val="auto"/>
              </w:rPr>
              <w:t>54,605,527</w:t>
            </w:r>
          </w:p>
        </w:tc>
      </w:tr>
      <w:tr>
        <w:trPr>
          <w:trHeight w:val="684"/>
        </w:trPr>
        <w:tc>
          <w:tcPr>
            <w:tcW w:w="59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57"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LIVANOVA PLC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Item</w:t>
            </w: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2"/>
        </w:trPr>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Definitions</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r>
      <w:tr>
        <w:trPr>
          <w:trHeight w:val="228"/>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Intellectual Property, Trademarks, and Trade Names</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4</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Cautionary Note About Forward-Looking Statements</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0000FF"/>
                <w:w w:val="88"/>
              </w:rPr>
              <w:t>5</w:t>
            </w:r>
          </w:p>
        </w:tc>
      </w:tr>
      <w:tr>
        <w:trPr>
          <w:trHeight w:val="228"/>
        </w:trPr>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2"/>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0000FF"/>
                <w:w w:val="88"/>
              </w:rPr>
              <w:t>6</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28"/>
        </w:trPr>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0000FF"/>
                <w:w w:val="97"/>
              </w:rPr>
              <w:t>1A.</w:t>
            </w: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1633"/>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for the quarter ended September 30, 2025, the following terms and abbreviations have the meanings listed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and the “Company” refer to LivaNova PLC and its consolidated subsidiaries.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2"/>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40" w:type="dxa"/>
            <w:vAlign w:val="bottom"/>
            <w:tcBorders>
              <w:top w:val="single" w:sz="8" w:color="CCEEFF"/>
            </w:tcBorders>
            <w:shd w:val="clear" w:color="auto" w:fill="CCEEFF"/>
          </w:tcPr>
          <w:p>
            <w:pPr>
              <w:spacing w:after="0"/>
              <w:rPr>
                <w:sz w:val="19"/>
                <w:szCs w:val="19"/>
                <w:color w:val="auto"/>
              </w:rPr>
            </w:pPr>
          </w:p>
        </w:tc>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PLC 2015 Incentive Award Plan</w:t>
            </w:r>
          </w:p>
        </w:tc>
      </w:tr>
      <w:tr>
        <w:trPr>
          <w:trHeight w:val="183"/>
        </w:trPr>
        <w:tc>
          <w:tcPr>
            <w:tcW w:w="4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2016</w:t>
            </w:r>
          </w:p>
        </w:tc>
        <w:tc>
          <w:tcPr>
            <w:tcW w:w="226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color w:val="auto"/>
              </w:rPr>
              <w:t>Decision</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Decision by the Court of Milan in 2016 to dismiss all legal actions of SNIA and of the Public Administrations and to</w:t>
            </w:r>
          </w:p>
        </w:tc>
      </w:tr>
      <w:tr>
        <w:trPr>
          <w:trHeight w:val="233"/>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further require the Public Administrations to pay Sorin €292,000 for legal fees</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2021</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First Lien Credit Agreement</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First Lien Credit Agreement between LivaNova PLC and its wholly-owned subsidiary, LivaNova USA, Inc., and</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Goldman Sachs Bank USA, as First Lien Administrative Agent and First Lien Collateral Agent, entered into on</w:t>
            </w:r>
          </w:p>
        </w:tc>
      </w:tr>
      <w:tr>
        <w:trPr>
          <w:trHeight w:val="228"/>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13, 2021</w:t>
            </w:r>
          </w:p>
        </w:tc>
      </w:tr>
      <w:tr>
        <w:trPr>
          <w:trHeight w:val="183"/>
        </w:trPr>
        <w:tc>
          <w:tcPr>
            <w:tcW w:w="4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2024</w:t>
            </w:r>
          </w:p>
        </w:tc>
        <w:tc>
          <w:tcPr>
            <w:tcW w:w="226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color w:val="auto"/>
              </w:rPr>
              <w:t>Form 10-K</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w w:val="99"/>
              </w:rPr>
              <w:t>LivaNova PLC’s Annual Report on Form 10-K for the year ended December 31, 2024, filed with the SEC on February</w:t>
            </w:r>
          </w:p>
        </w:tc>
      </w:tr>
      <w:tr>
        <w:trPr>
          <w:trHeight w:val="233"/>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25, 2025</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2024</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Restructuring Plan</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A plan, initiated during the first quarter of 2024, to enhance LivaNova’s focus on its core Cardiopulmonary and</w:t>
            </w:r>
          </w:p>
        </w:tc>
      </w:tr>
      <w:tr>
        <w:trPr>
          <w:trHeight w:val="233"/>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Neuromodulation segments</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Incentive Plan</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PLC 2025 Director Incentive Plan</w:t>
            </w:r>
          </w:p>
        </w:tc>
      </w:tr>
      <w:tr>
        <w:trPr>
          <w:trHeight w:val="183"/>
        </w:trPr>
        <w:tc>
          <w:tcPr>
            <w:tcW w:w="4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$287.5 million aggregate principal amount 3.00% unsecured cash exchangeable senior notes due December 15, 2025,</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by private placement to qualified institutional buyers pursuant to Rule 144A under the Securities Act, issued by</w:t>
            </w:r>
          </w:p>
        </w:tc>
      </w:tr>
      <w:tr>
        <w:trPr>
          <w:trHeight w:val="228"/>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USA on June 17, 2020</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Notes Repurchase</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Repurchase of $230.0 million aggregate principal amount of the 2025 Notes in privately-negotiated transactions from</w:t>
            </w:r>
          </w:p>
        </w:tc>
      </w:tr>
      <w:tr>
        <w:trPr>
          <w:trHeight w:val="233"/>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the 2029 Notes</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$345.0 million aggregate principal amount 2.50% unsecured convertible senior notes due 2029 by private placement</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to qualified institutional buyers pursuant to Rule 144A under the Securities Act, issued by LivaNova PLC on March 8,</w:t>
            </w:r>
          </w:p>
        </w:tc>
      </w:tr>
      <w:tr>
        <w:trPr>
          <w:trHeight w:val="228"/>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A&amp;R 2022 Plan</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LivaNova PLC 2022 Incentive Award Plan</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ACS</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Circulatory Support</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AHI</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Apnea-hypopnea index</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ALung</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ALung Technologies, Inc.</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Barclays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Barclays Bank Ireland PLC</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 Transactions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2025 Capped Calls and the 2029 Capped Calls</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CMS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U.S. Centers for Medicare &amp; Medicaid Services</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Court of Appeal</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Court of Appeal in Milan</w:t>
            </w:r>
          </w:p>
        </w:tc>
      </w:tr>
      <w:tr>
        <w:trPr>
          <w:trHeight w:val="183"/>
        </w:trPr>
        <w:tc>
          <w:tcPr>
            <w:tcW w:w="2680" w:type="dxa"/>
            <w:vAlign w:val="bottom"/>
            <w:gridSpan w:val="3"/>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Delayed Draw Term Facility</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$50.0 million delayed draw term facility under the 2021 First Lien Credit Agreement, resulting from the Incremental</w:t>
            </w:r>
          </w:p>
        </w:tc>
      </w:tr>
      <w:tr>
        <w:trPr>
          <w:trHeight w:val="233"/>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Amendment No. 2</w:t>
            </w:r>
          </w:p>
        </w:tc>
      </w:tr>
      <w:tr>
        <w:trPr>
          <w:trHeight w:val="22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Drug-resistant epilepsy</w:t>
            </w:r>
          </w:p>
        </w:tc>
      </w:tr>
      <w:tr>
        <w:trPr>
          <w:trHeight w:val="188"/>
        </w:trPr>
        <w:tc>
          <w:tcPr>
            <w:tcW w:w="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DTD</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Difficult-to-treat depression - The Company’s broader business and strategic communications reference DTD as the</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preferred disease state when speaking more broadly about depression treatment, as it is a more inclusive and clinically</w:t>
            </w:r>
          </w:p>
        </w:tc>
      </w:tr>
      <w:tr>
        <w:trPr>
          <w:trHeight w:val="175"/>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evolving concept that encompasses patients whose depression continues to cause significant burden despite usual</w:t>
            </w:r>
          </w:p>
        </w:tc>
      </w:tr>
      <w:tr>
        <w:trPr>
          <w:trHeight w:val="203"/>
        </w:trPr>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treatment efforts. Meanwhile, LivaNova’s RECOVER clinical study defines the patient population using the inclusion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-469900</wp:posOffset>
            </wp:positionV>
            <wp:extent cx="7132955" cy="1057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057910"/>
                    </a:xfrm>
                    <a:prstGeom prst="rect">
                      <a:avLst/>
                    </a:prstGeom>
                    <a:noFill/>
                  </pic:spPr>
                </pic:pic>
              </a:graphicData>
            </a:graphic>
          </wp:anchor>
        </w:drawing>
      </w:r>
    </w:p>
    <w:p>
      <w:pPr>
        <w:jc w:val="both"/>
        <w:ind w:left="2700" w:right="20"/>
        <w:spacing w:after="0" w:line="207" w:lineRule="auto"/>
        <w:rPr>
          <w:sz w:val="20"/>
          <w:szCs w:val="20"/>
          <w:color w:val="auto"/>
        </w:rPr>
      </w:pPr>
      <w:r>
        <w:rPr>
          <w:rFonts w:ascii="Times New Roman" w:cs="Times New Roman" w:eastAsia="Times New Roman" w:hAnsi="Times New Roman"/>
          <w:sz w:val="18"/>
          <w:szCs w:val="18"/>
          <w:color w:val="auto"/>
        </w:rPr>
        <w:t>criteria for TRD, typically characterized by major depressive disorder that does not adequately respond to at least two different antidepressant treatments given at an appropriate dose and duration. As a result, the Company uses TRD in the context of the RECOVER study to maintain consistency with the study protocol approved by the U.S. Centers for</w:t>
      </w:r>
    </w:p>
    <w:p>
      <w:pPr>
        <w:spacing w:after="0" w:line="2" w:lineRule="exact"/>
        <w:rPr>
          <w:sz w:val="20"/>
          <w:szCs w:val="20"/>
          <w:color w:val="auto"/>
        </w:rPr>
      </w:pPr>
    </w:p>
    <w:p>
      <w:pPr>
        <w:jc w:val="both"/>
        <w:ind w:left="2700" w:right="20"/>
        <w:spacing w:after="0" w:line="225" w:lineRule="auto"/>
        <w:rPr>
          <w:sz w:val="20"/>
          <w:szCs w:val="20"/>
          <w:color w:val="auto"/>
        </w:rPr>
      </w:pPr>
      <w:r>
        <w:rPr>
          <w:rFonts w:ascii="Times New Roman" w:cs="Times New Roman" w:eastAsia="Times New Roman" w:hAnsi="Times New Roman"/>
          <w:sz w:val="18"/>
          <w:szCs w:val="18"/>
          <w:color w:val="auto"/>
        </w:rPr>
        <w:t>Medicare &amp; Medicaid Services. References to either term in this filing are context-dependent but describe overlapping populations.</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2"/>
        </w:trPr>
        <w:tc>
          <w:tcPr>
            <w:tcW w:w="2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EBT</w:t>
            </w:r>
          </w:p>
        </w:tc>
        <w:tc>
          <w:tcPr>
            <w:tcW w:w="140" w:type="dxa"/>
            <w:vAlign w:val="bottom"/>
          </w:tcPr>
          <w:p>
            <w:pPr>
              <w:spacing w:after="0"/>
              <w:rPr>
                <w:sz w:val="19"/>
                <w:szCs w:val="19"/>
                <w:color w:val="auto"/>
              </w:rPr>
            </w:pPr>
          </w:p>
        </w:tc>
        <w:tc>
          <w:tcPr>
            <w:tcW w:w="8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LivaNova PLC Employee Benefit Trust</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ECJ</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Court of Justice</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derivatives associated with the 2025 Notes and 2029 Notes, collectively</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Securities Exchange Act of 1934, as amended</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HLM</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Heart-lung machine</w:t>
            </w:r>
          </w:p>
        </w:tc>
      </w:tr>
      <w:tr>
        <w:trPr>
          <w:trHeight w:val="175"/>
        </w:trPr>
        <w:tc>
          <w:tcPr>
            <w:tcW w:w="26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ImThera</w:t>
            </w:r>
          </w:p>
        </w:tc>
        <w:tc>
          <w:tcPr>
            <w:tcW w:w="85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ImThera Medical, Inc. was a company developing an implantable neurostimulation device system for the treatment of</w:t>
            </w:r>
          </w:p>
        </w:tc>
      </w:tr>
      <w:tr>
        <w:trPr>
          <w:trHeight w:val="242"/>
        </w:trPr>
        <w:tc>
          <w:tcPr>
            <w:tcW w:w="2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obstructive sleep apnea that LivaNova acquired in 2018</w:t>
            </w:r>
          </w:p>
        </w:tc>
      </w:tr>
      <w:tr>
        <w:trPr>
          <w:trHeight w:val="175"/>
        </w:trPr>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Incremental Facility Amendment</w:t>
            </w: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An incremental facility amendment to the 2021 First Lien Credit Agreement, dated July 6, 2022</w:t>
            </w:r>
          </w:p>
        </w:tc>
      </w:tr>
      <w:tr>
        <w:trPr>
          <w:trHeight w:val="23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2</w:t>
            </w:r>
          </w:p>
        </w:tc>
        <w:tc>
          <w:tcPr>
            <w:tcW w:w="8560" w:type="dxa"/>
            <w:vAlign w:val="bottom"/>
          </w:tcPr>
          <w:p>
            <w:pPr>
              <w:spacing w:after="0"/>
              <w:rPr>
                <w:sz w:val="20"/>
                <w:szCs w:val="20"/>
                <w:color w:val="auto"/>
              </w:rPr>
            </w:pPr>
          </w:p>
        </w:tc>
      </w:tr>
      <w:tr>
        <w:trPr>
          <w:trHeight w:val="179"/>
        </w:trPr>
        <w:tc>
          <w:tcPr>
            <w:tcW w:w="26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Initial Term Facility</w:t>
            </w:r>
          </w:p>
        </w:tc>
        <w:tc>
          <w:tcPr>
            <w:tcW w:w="85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$300.0 million term facility under the 2021 First Lien Credit Agreement, resulting from the Incremental Facility</w:t>
            </w:r>
          </w:p>
        </w:tc>
      </w:tr>
      <w:tr>
        <w:trPr>
          <w:trHeight w:val="242"/>
        </w:trPr>
        <w:tc>
          <w:tcPr>
            <w:tcW w:w="2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2</w:t>
            </w:r>
          </w:p>
        </w:tc>
      </w:tr>
      <w:tr>
        <w:trPr>
          <w:trHeight w:val="175"/>
        </w:trPr>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ISIN</w:t>
            </w: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National Inspectorate for Nuclear Safety and Radiation Protection, a sub-body of the Italian Ministry of Economic</w:t>
            </w:r>
          </w:p>
        </w:tc>
      </w:tr>
      <w:tr>
        <w:trPr>
          <w:trHeight w:val="238"/>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r>
      <w:tr>
        <w:trPr>
          <w:trHeight w:val="23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PLC</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public limited company organized under the laws of England and Wales on February 20, 2015</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LivaNova USA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USA, Inc.</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LSM</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Site Management S.r.l.</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MDL</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multi-district litigation in the U.S. District Court for the Middle District of Pennsylvania</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MedTech</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technology</w:t>
            </w:r>
          </w:p>
        </w:tc>
      </w:tr>
      <w:tr>
        <w:trPr>
          <w:trHeight w:val="175"/>
        </w:trPr>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Ministry</w:t>
            </w: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Collectively, the Ministry of Ecological Transition, the Ministry of Economy and Finance, and the Prime Minister’s</w:t>
            </w:r>
          </w:p>
        </w:tc>
      </w:tr>
      <w:tr>
        <w:trPr>
          <w:trHeight w:val="238"/>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r>
      <w:tr>
        <w:trPr>
          <w:trHeight w:val="23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OBBBA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ODI</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Oxygen desaturation index</w:t>
            </w:r>
          </w:p>
        </w:tc>
      </w:tr>
      <w:tr>
        <w:trPr>
          <w:trHeight w:val="175"/>
        </w:trPr>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Option Counterparties</w:t>
            </w: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Certain financial institutions with whom LivaNova USA or LivaNova PLC, as applicable, has entered into the 2025</w:t>
            </w:r>
          </w:p>
        </w:tc>
      </w:tr>
      <w:tr>
        <w:trPr>
          <w:trHeight w:val="238"/>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Calls and 2029 Capped Calls</w:t>
            </w:r>
          </w:p>
        </w:tc>
      </w:tr>
      <w:tr>
        <w:trPr>
          <w:trHeight w:val="23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OSA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Obstructive sleep apnea</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OSPREY clinical trial</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LivaNova’s clinical trial, “Treating Obstructive Sleep Apnea using Targeted Hypoglossal Neurostimulation”</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Administrations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Italian Ministry of the Environment and other Italian government agencies</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This Quarterly Report on Form 10-Q</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A&amp;R 2022 Plan</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Amended and Restated LivaNova PLC 2022 Incentive Award Plan</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Act of 1933, as amended</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SNIA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SNIA S.p.A.</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Litigation Guarantee</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first demand bank guarantee of €270.0 million in connection with the SNIA environmental litigation</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Sorin</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Sorin S.p.A.</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Initial Term Facility, together with the Delayed Draw Term Facility</w:t>
            </w:r>
          </w:p>
        </w:tc>
      </w:tr>
      <w:tr>
        <w:trPr>
          <w:trHeight w:val="793"/>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2</w:t>
            </w:r>
          </w:p>
        </w:tc>
      </w:tr>
      <w:tr>
        <w:trPr>
          <w:trHeight w:val="235"/>
        </w:trPr>
        <w:tc>
          <w:tcPr>
            <w:tcW w:w="25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8"/>
        </w:trPr>
        <w:tc>
          <w:tcPr>
            <w:tcW w:w="2540" w:type="dxa"/>
            <w:vAlign w:val="bottom"/>
            <w:tcBorders>
              <w:top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TRD</w:t>
            </w:r>
          </w:p>
        </w:tc>
        <w:tc>
          <w:tcPr>
            <w:tcW w:w="140" w:type="dxa"/>
            <w:vAlign w:val="bottom"/>
          </w:tcPr>
          <w:p>
            <w:pPr>
              <w:spacing w:after="0"/>
              <w:rPr>
                <w:sz w:val="14"/>
                <w:szCs w:val="14"/>
                <w:color w:val="auto"/>
              </w:rPr>
            </w:pPr>
          </w:p>
        </w:tc>
        <w:tc>
          <w:tcPr>
            <w:tcW w:w="8560" w:type="dxa"/>
            <w:vAlign w:val="bottom"/>
            <w:tcBorders>
              <w:top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Treatment-resistant depression - LivaNova’s RECOVER clinical study defines the patient population using the</w:t>
            </w:r>
          </w:p>
        </w:tc>
      </w:tr>
      <w:tr>
        <w:trPr>
          <w:trHeight w:val="183"/>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inclusion criteria for TRD, typically characterized by major depressive disorder that does not adequately respond to at</w:t>
            </w:r>
          </w:p>
        </w:tc>
      </w:tr>
      <w:tr>
        <w:trPr>
          <w:trHeight w:val="180"/>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least two different antidepressant treatments given at an appropriate dose and duration. As a result, the Company uses</w:t>
            </w:r>
          </w:p>
        </w:tc>
      </w:tr>
      <w:tr>
        <w:trPr>
          <w:trHeight w:val="175"/>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TRD in the context of the RECOVER study to maintain consistency with the study protocol approved by the U.S.</w:t>
            </w:r>
          </w:p>
        </w:tc>
      </w:tr>
      <w:tr>
        <w:trPr>
          <w:trHeight w:val="183"/>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Centers  for  Medicare  and  Medicaid  Services.  Meanwhile,  the  Company’s  broader  business  and  strategic</w:t>
            </w:r>
          </w:p>
        </w:tc>
      </w:tr>
      <w:tr>
        <w:trPr>
          <w:trHeight w:val="180"/>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communications reference DTD as the preferred disease state when speaking more broadly about depression</w:t>
            </w:r>
          </w:p>
        </w:tc>
      </w:tr>
      <w:tr>
        <w:trPr>
          <w:trHeight w:val="175"/>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treatment, as it is a more inclusive and clinically evolving concept that encompasses patients whose depression</w:t>
            </w:r>
          </w:p>
        </w:tc>
      </w:tr>
      <w:tr>
        <w:trPr>
          <w:trHeight w:val="183"/>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continues to cause significant burden despite usual treatment efforts. References to either term in this filing are</w:t>
            </w:r>
          </w:p>
        </w:tc>
      </w:tr>
      <w:tr>
        <w:trPr>
          <w:trHeight w:val="233"/>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context-dependent but describe overlapping populations.</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VNS Therapy</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Vagus Nerve Stimulation Therapy</w:t>
            </w:r>
          </w:p>
        </w:tc>
      </w:tr>
      <w:tr>
        <w:trPr>
          <w:trHeight w:val="793"/>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3</w:t>
            </w:r>
          </w:p>
        </w:tc>
      </w:tr>
      <w:tr>
        <w:trPr>
          <w:trHeight w:val="235"/>
        </w:trPr>
        <w:tc>
          <w:tcPr>
            <w:tcW w:w="25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 w:name="page6"/>
    <w:bookmarkEnd w:id="5"/>
    <w:p>
      <w:pPr>
        <w:ind w:left="2320"/>
        <w:spacing w:after="0"/>
        <w:rPr>
          <w:sz w:val="20"/>
          <w:szCs w:val="20"/>
          <w:color w:val="auto"/>
        </w:rPr>
      </w:pPr>
      <w:r>
        <w:rPr>
          <w:rFonts w:ascii="Times New Roman" w:cs="Times New Roman" w:eastAsia="Times New Roman" w:hAnsi="Times New Roman"/>
          <w:sz w:val="21"/>
          <w:szCs w:val="21"/>
          <w:b w:val="1"/>
          <w:bCs w:val="1"/>
          <w:color w:val="auto"/>
        </w:rPr>
        <w:t>INTELLECTUAL PROPERTY, TRADEMARKS, AND TRADE NAMES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may contain references to LivaNova’s proprietary intellectual property, including, among others:</w:t>
      </w:r>
    </w:p>
    <w:p>
      <w:pPr>
        <w:spacing w:after="0" w:line="74" w:lineRule="exact"/>
        <w:rPr>
          <w:sz w:val="20"/>
          <w:szCs w:val="20"/>
          <w:color w:val="auto"/>
        </w:rPr>
      </w:pPr>
    </w:p>
    <w:p>
      <w:pPr>
        <w:jc w:val="both"/>
        <w:ind w:left="660" w:hanging="330"/>
        <w:spacing w:after="0" w:line="1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LivaNova’s Neuromodulation systems, the VNS Therapy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System, and LivaNova’s proprietary pulse generator products: Model 102 (Pulse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102R (Pulse Duo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103 (Demipulse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104 (Demipulse Duo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106 (AspireSR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1000 (SenTiva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1000-D (SenTiva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Duo), and Model 8103 (Symmetry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660" w:hanging="330"/>
        <w:spacing w:after="0" w:line="185"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LivaNova’s Cardiopulmonary products and systems: Essenz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S5 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B-Capta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Inspire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Heartlink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XTRA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3T Heater-Cooler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Connect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Revolution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ind w:left="660" w:hanging="330"/>
        <w:spacing w:after="0" w:line="181" w:lineRule="auto"/>
        <w:tabs>
          <w:tab w:leader="none" w:pos="65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Trademarks for LivaNova’s advanced circulatory support systems: TandemLife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TandemHeart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TandemLung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ProtekDuo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LifeSPARC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ALung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Hemolung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Respiratory Dialysis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and ActivMix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w:t>
      </w:r>
    </w:p>
    <w:p>
      <w:pPr>
        <w:ind w:left="640" w:hanging="310"/>
        <w:spacing w:after="0" w:line="228"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obstructive sleep apnea system: ImThera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and aura6000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the Company will not assert, to the fullest extent under applicable law, LivaNova’s rights to these trademarks and trade names.</w:t>
      </w: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b w:val="1"/>
          <w:bCs w:val="1"/>
          <w:color w:val="auto"/>
        </w:rPr>
        <w:t>CAUTIONARY NOTE ABOUT FORWARD-LOOKING STATEMENTS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adverse changes in export and import costs and other trade restrictions as well as uncertainty over global tariffs;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prolonged government shutdowns in the U.S. which may result in delays in FDA or CMS activities, including product approvals or reimbursement determinations;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 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200" w:lineRule="exact"/>
        <w:rPr>
          <w:sz w:val="20"/>
          <w:szCs w:val="20"/>
          <w:color w:val="auto"/>
        </w:rPr>
      </w:pPr>
    </w:p>
    <w:p>
      <w:pPr>
        <w:spacing w:after="0" w:line="2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Other factors that could cause LivaNova’s actual results to differ from projected results are described in: (1) “Part II, Item 1A. Risk Factors” and elsewhere in this Report and the Company’s other Quarterly Reports on Form 10-Q, (2) the Company’s 2024 Form 10-K, (3) the Company’s reports and registration statements filed with and furnished from time to time to the SEC, and (4) other announcements LivaNova makes from time to time.</w:t>
      </w:r>
    </w:p>
    <w:p>
      <w:pPr>
        <w:spacing w:after="0" w:line="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The following discussion and analysis should be read in conjunction with the Company’s unaudited condensed consolidated financial statements and related notes included elsewhere in this Report. Operating results for the nine months ended September 30, 2025 are not necessarily indicative of future results, including the full fiscal year. Please also refer to the Company’s “Annual Consolidated Financial Statements,” “Notes” thereto, “Management’s Discussion and Analysis of Financial Condition and Results of Operations,” and “Risk Factors” contained in LivaNova’s 2024 Form 10-K and in the Company’s Quarterly Reports on Form 10-Q.</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 and Currency of Financial Statements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All of the financial information included in this Report has been prepared in accordance with U.S. GAAP. The reporting currency of the Company’s condensed consolidated financial statements is USD.</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66" w:lineRule="exact"/>
        <w:rPr>
          <w:sz w:val="20"/>
          <w:szCs w:val="20"/>
          <w:color w:val="auto"/>
        </w:rPr>
      </w:pPr>
    </w:p>
    <w:p>
      <w:pPr>
        <w:jc w:val="center"/>
        <w:spacing w:after="0" w:line="303" w:lineRule="auto"/>
        <w:rPr>
          <w:sz w:val="20"/>
          <w:szCs w:val="20"/>
          <w:color w:val="auto"/>
        </w:rPr>
      </w:pPr>
      <w:r>
        <w:rPr>
          <w:rFonts w:ascii="Times New Roman" w:cs="Times New Roman" w:eastAsia="Times New Roman" w:hAnsi="Times New Roman"/>
          <w:sz w:val="21"/>
          <w:szCs w:val="21"/>
          <w:b w:val="1"/>
          <w:bCs w:val="1"/>
          <w:color w:val="auto"/>
        </w:rPr>
        <w:t>LIVANOVA PLC AND SUBSIDIARIES CONDENSED CONSOLIDATED STATEMENTS OF INCOME (LOSS)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95"/>
        </w:trPr>
        <w:tc>
          <w:tcPr>
            <w:tcW w:w="4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4"/>
                <w:szCs w:val="24"/>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4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931,607</w:t>
            </w:r>
          </w:p>
        </w:tc>
      </w:tr>
      <w:tr>
        <w:trPr>
          <w:trHeight w:val="228"/>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292,492</w:t>
            </w:r>
          </w:p>
        </w:tc>
      </w:tr>
      <w:tr>
        <w:trPr>
          <w:trHeight w:val="222"/>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639,115</w:t>
            </w: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378,238</w:t>
            </w:r>
          </w:p>
        </w:tc>
      </w:tr>
      <w:tr>
        <w:trPr>
          <w:trHeight w:val="228"/>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139,206</w:t>
            </w:r>
          </w:p>
        </w:tc>
      </w:tr>
      <w:tr>
        <w:trPr>
          <w:trHeight w:val="22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9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r>
      <w:tr>
        <w:trPr>
          <w:trHeight w:val="222"/>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92,030</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(47,303)</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28"/>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2"/>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24,469</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9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5"/>
        </w:trPr>
        <w:tc>
          <w:tcPr>
            <w:tcW w:w="4200" w:type="dxa"/>
            <w:vAlign w:val="bottom"/>
          </w:tcPr>
          <w:p>
            <w:pPr>
              <w:ind w:left="260"/>
              <w:spacing w:after="0" w:line="195" w:lineRule="exact"/>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26,784</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7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32,953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(273,377)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7,343</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6"/>
        </w:trPr>
        <w:tc>
          <w:tcPr>
            <w:tcW w:w="4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8"/>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28"/>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69"/>
        </w:trPr>
        <w:tc>
          <w:tcPr>
            <w:tcW w:w="4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income (loss) per share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w:t>
            </w: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diluted income (loss) per share</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COMPREHENSIVE INCOME (LOSS)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5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2"/>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4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24,179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 w:name="page10"/>
    <w:bookmarkEnd w:id="9"/>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0"/>
                <w:szCs w:val="20"/>
                <w:color w:val="auto"/>
              </w:rPr>
            </w:pPr>
          </w:p>
        </w:tc>
        <w:tc>
          <w:tcPr>
            <w:tcW w:w="178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6"/>
        </w:trPr>
        <w:tc>
          <w:tcPr>
            <w:tcW w:w="72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Assets:</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428,858</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294,698</w:t>
            </w:r>
          </w:p>
        </w:tc>
        <w:tc>
          <w:tcPr>
            <w:tcW w:w="0" w:type="dxa"/>
            <w:vAlign w:val="bottom"/>
          </w:tcPr>
          <w:p>
            <w:pPr>
              <w:spacing w:after="0"/>
              <w:rPr>
                <w:sz w:val="1"/>
                <w:szCs w:val="1"/>
                <w:color w:val="auto"/>
              </w:rPr>
            </w:pPr>
          </w:p>
        </w:tc>
      </w:tr>
      <w:tr>
        <w:trPr>
          <w:trHeight w:val="164"/>
        </w:trPr>
        <w:tc>
          <w:tcPr>
            <w:tcW w:w="72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Accounts receivable, net of allowance of $13,313 at September 30, 2025 and $11,275 at December 31,</w:t>
            </w: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211,579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193,158</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30,544</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32,362</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1,127,186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170,260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237,294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46,837</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derivative assets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0" w:type="dxa"/>
            <w:vAlign w:val="bottom"/>
          </w:tcPr>
          <w:p>
            <w:pPr>
              <w:spacing w:after="0"/>
              <w:rPr>
                <w:sz w:val="1"/>
                <w:szCs w:val="1"/>
                <w:color w:val="auto"/>
              </w:rPr>
            </w:pP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2,557,583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2,506,389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Liabilities:</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debt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78,004</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118,485</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contingent consideration</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litigation provision liability</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payable</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32,456</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related benefits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80,536</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392,125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549,624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84,218</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employee compensation and related benefits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12,847</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derivative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51,819</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44,478</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1,400,353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1,186,131</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Stockholders’ Equity:</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Ordinary Shares, £1.00 par value: unlimited shares authorized; 55,503,264 shares issued and 54,605,279</w:t>
            </w: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shares outstanding at September 30, 2025; 54,437,670 shares issued and 54,348,542 shares outstanding at</w:t>
            </w: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83,156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2,220,658</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(1,176,627)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(903,250)</w:t>
            </w: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Treasury stock at cost, 897,985 ordinary shares at September 30, 2025; 89,128 ordinary shares at</w:t>
            </w: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1,157,230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1,320,258</w:t>
            </w:r>
          </w:p>
        </w:tc>
        <w:tc>
          <w:tcPr>
            <w:tcW w:w="0" w:type="dxa"/>
            <w:vAlign w:val="bottom"/>
          </w:tcPr>
          <w:p>
            <w:pPr>
              <w:spacing w:after="0"/>
              <w:rPr>
                <w:sz w:val="1"/>
                <w:szCs w:val="1"/>
                <w:color w:val="auto"/>
              </w:rPr>
            </w:pP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2,557,583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2,506,389</w:t>
            </w:r>
          </w:p>
        </w:tc>
        <w:tc>
          <w:tcPr>
            <w:tcW w:w="0" w:type="dxa"/>
            <w:vAlign w:val="bottom"/>
          </w:tcPr>
          <w:p>
            <w:pPr>
              <w:spacing w:after="0"/>
              <w:rPr>
                <w:sz w:val="1"/>
                <w:szCs w:val="1"/>
                <w:color w:val="auto"/>
              </w:rPr>
            </w:pPr>
          </w:p>
        </w:tc>
      </w:tr>
      <w:tr>
        <w:trPr>
          <w:trHeight w:val="23"/>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40" w:right="339" w:bottom="1440" w:gutter="0" w:footer="0" w:header="0"/>
        </w:sectPr>
      </w:pPr>
    </w:p>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0" w:name="page11"/>
    <w:bookmarkEnd w:id="10"/>
    <w:p>
      <w:pPr>
        <w:jc w:val="center"/>
        <w:ind w:left="500" w:right="2300"/>
        <w:spacing w:after="0" w:line="303" w:lineRule="auto"/>
        <w:rPr>
          <w:sz w:val="20"/>
          <w:szCs w:val="20"/>
          <w:color w:val="auto"/>
        </w:rPr>
      </w:pPr>
      <w:r>
        <w:rPr>
          <w:rFonts w:ascii="Times New Roman" w:cs="Times New Roman" w:eastAsia="Times New Roman" w:hAnsi="Times New Roman"/>
          <w:sz w:val="21"/>
          <w:szCs w:val="21"/>
          <w:b w:val="1"/>
          <w:bCs w:val="1"/>
          <w:color w:val="auto"/>
        </w:rPr>
        <w:t>LIVANOVA PLC AND SUBSIDIARIES CONDENSED CONSOLIDATED STATEMENTS OF CASH FLOWS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40" w:type="dxa"/>
            <w:vAlign w:val="bottom"/>
          </w:tcPr>
          <w:p>
            <w:pPr>
              <w:spacing w:after="0"/>
              <w:rPr>
                <w:sz w:val="19"/>
                <w:szCs w:val="19"/>
                <w:color w:val="auto"/>
              </w:rPr>
            </w:pPr>
          </w:p>
        </w:tc>
        <w:tc>
          <w:tcPr>
            <w:tcW w:w="3340" w:type="dxa"/>
            <w:vAlign w:val="bottom"/>
            <w:tcBorders>
              <w:bottom w:val="single" w:sz="8" w:color="auto"/>
            </w:tcBorders>
            <w:gridSpan w:val="4"/>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2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(273,377)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7"/>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7,343</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26,984</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18,683</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15,692</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Remeasurement of derivative instruments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12,960</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10,732</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contingent consideration to fair value</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investment revaluation - Ceribell, Inc.</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25,482</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Impairments of investments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(13,895)</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50,582</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(14,841)</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current and non-current liabilities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(23,383)</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363,815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Litigation provision liability</w:t>
            </w: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5,283</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171,943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104,331</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(36,701)</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investments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6,522</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06"/>
        </w:trPr>
        <w:tc>
          <w:tcPr>
            <w:tcW w:w="72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(42,653)</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(37,452)</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long-term debt obligations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(216,813)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(243,174)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repurchased from employees for minimum tax withholding</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obligations</w:t>
            </w: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335,513</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(38,953)</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capped calls</w:t>
            </w: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(31,637)</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unwind of capped calls</w:t>
            </w: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22,523</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6"/>
        </w:trPr>
        <w:tc>
          <w:tcPr>
            <w:tcW w:w="72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(222,776)</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16,009</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6"/>
        </w:trPr>
        <w:tc>
          <w:tcPr>
            <w:tcW w:w="72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(77,477)</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88,704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723,556</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577,872</w:t>
            </w:r>
          </w:p>
        </w:tc>
        <w:tc>
          <w:tcPr>
            <w:tcW w:w="0" w:type="dxa"/>
            <w:vAlign w:val="bottom"/>
          </w:tcPr>
          <w:p>
            <w:pPr>
              <w:spacing w:after="0"/>
              <w:rPr>
                <w:sz w:val="1"/>
                <w:szCs w:val="1"/>
                <w:color w:val="auto"/>
              </w:rPr>
            </w:pPr>
          </w:p>
        </w:tc>
      </w:tr>
      <w:tr>
        <w:trPr>
          <w:trHeight w:val="20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22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646,079</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666,576</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investing and financing transaction:</w:t>
            </w: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obtained in exchange for finance lease obligation</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7"/>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 w:name="page12"/>
    <w:bookmarkEnd w:id="11"/>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NOTES TO THE CONDENSED CONSOLIDATED 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Unaudited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Presentation</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LivaNova and the notes thereto as of and for the three and nine months ended September 30, 2025 and 2024 have been prepared in accordance with U.S. GAAP for interim financial information and the instructions to Form 10-Q and Article 10 of Regulation S-X. The accompanying condensed consolidated balance sheet of LivaNova as of December 31, 2024 has been derived from audited consolidated financial statements contained in LivaNova’s 2024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nine months ended September 30, 2025, and are not necessarily indicative of the results that may be expected for the year ending December 31, 2025. The financial information presented herein should be read in conjunction with the audited consolidated financial statements and notes thereto accompanying LivaNova’s 2024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Cybersecurity Incident</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previously disclosed, in November 2023, LivaNova detected a cybersecurity incident that resulted in a disruption of portions of the Company’s information technology systems. As a result, the Company engaged external cybersecurity experts, coordinated with law enforcement, implemented remediation measures, and notified affected individuals and regulators as required by applicable law. The incident was contained, and the Company’s mitigation efforts are considered complete. For further discussion on legal and regulatory developments, refer to “Note 5. Commitments and Contingencies.”</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 September 30, 2025, LivaNova incurred direct costs totaling $13.1 million in connection with this cybersecurity incident, including $0.1 million and $2.5 million for the three months ended September 30, 2025 and 2024, respectively, and $1.5 million and $8.2 million for the nine months ended September 30, 2025 and 2024, respectively. The total direct costs incurred primarily include external cybersecurity expert and legal fees, system restoration costs, and $1.2 million related to a class action settlement, and do not include business interruption losses. The Company may incur additional costs related to this incident in the future. LivaNova maintains insurance, including cyber insurance, which is subject to certain retentions and policy limitations that will likely limit the amount that the insurers may reimburse the Company. LivaNova has filed claims for insurance reimbursement of direct costs and business interruption losses related to this incident and has submitted additional claims and supplemental requests for reimbursement as new costs have been incurred. Through September 30, 2025, LivaNova has received $9.6 million, including $6.2 million in reimbursement of direct costs and $3.4 million in reimbursement of business interruption losses. For the nine months ended September 30, 2025, LivaNova received $1.2 million in reimbursement of direct costs. The Company’s insurance coverage may be insufficient to cover all costs and expenses related to this cybersecurity incident or may be unavailable to cover all costs and expenses related to this cybersecurity incident.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Revision of Previously Issued Financial Statements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2025, the Company identified and corrected an immaterial error related to the classification of certain employee costs in the Cardiopulmonary segment between cost of sales and selling, general, and administrative expense in the consolidated statements of income (loss). This misclassification understated cost of sales and overstated selling, general, and administrative expense by equal and offsetting amounts, with no impact to operating income (loss) or net income (loss) for annual and interim periods for the years ended December 31, 2023 and 2024 and the three months ended March 31, 2025. The Company evaluated the error and determined that the related impact was not material to the consolidated statements of income for any prior period and had no impact on the consolidated balance sheets, statements of comprehensive income (loss), statements of cash flows, or statements of stockholders’ equity for any of the above periods. The Company has revised the previously issued condensed consolidated statements of income (loss) for the three and nine months ended September 30, 2024 to correct for the error, and these revisions are reflected in this Form 10-Q. The Company will also correct previously reported financial information for this error in its future filings, as applicable. A summary of the corrections to the impacted financial statement line items in the previously issued consolidated statements of income (loss) and disaggregated Cardiopulmonary segment income disclosure for each affected period is presented in “Note 13. Revision of Previously Issued Financial Statements.”</w:t>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Significant Accounting Policies</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LivaNova’s significant accounting policies are included within “Note 2. Basis of Presentation, Use of Accounting Estimates, and Significant Accounting Policies” and “Note 3. Revenue Recognition” of LivaNova’s 2024 Form 10-K.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Derivatives and Risk Management</w:t>
      </w:r>
    </w:p>
    <w:p>
      <w:pPr>
        <w:spacing w:after="0" w:line="11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Due to the global nature of LivaNova’s operations, the Company is exposed to FX fluctuations. LivaNova enters into FX derivative contracts to reduce the impact of FX fluctuations on earnings and cash flow.</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 is also exposed to equity price risk in connection with its 2025 Notes and 2029 Notes, including exchange/conversion and settlement provisions based on the price of its ordinary shares at exchange/conversion or maturity of the 2025 Notes and 2029 Notes. The Capped Call Transactions associated with the 2025 Notes and 2029 Notes also include settlement provisions that are based on the price of LivaNova’s ordinary shares, subject to a capped price per share. LivaNova does not enter into derivative contracts for speculative purposes.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measures all outstanding derivatives each period-end at fair value and reports the fair value as either financial assets or liabilities on the condensed consolidated balance sheets. At the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in LivaNova’s condensed consolidated statements of cash flows. LivaNova had no designated hedging instruments as of September 30, 2025 and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Freestanding FX Derivatives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gross notional amount of freestanding FX derivative contracts outstanding as of September 30, 2025 and December 31, 2024 was $96.8 million and $442.3 million, respectively. These derivative contracts are designed to offset the FX effects in earnings of various intercompany loans and trade receivables. LivaNova recorded net losses of $0.2 million and $5.0 million for the three months ended September 30, 2025 and 2024, respectively, and net gains of $25.2 million and net losses of $0.1 million for the nine months ended September 30, 2025 and 2024, respectively, from freestanding derivatives. These amounts are included in foreign exchange and other income/(expense) in LivaNova’s condensed consolidated statements of income (loss).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Capped Call Derivatives</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Capped Call Transactions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For additional information, refer to “Note 11. Supplemental Financial Information.” The Capped Call Transactions are measured at fair value using the Black-Scholes model utilizing observable and unobservable market data, including stock price, remaining contractual term, expected volatility, risk-free interest rate, and expected dividend yield, as applicable. For additional information regarding the Capped Call Transactions, refer to LivaNova’s 2024 Form 10-K.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Embedded Derivatives</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2025 Notes and 2029 Notes each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condensed consolidated statements of income (loss). For additional information, refer to “Note 11. Supplemental Financial Information.”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Counterparty Credit Risk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is exposed to credit risk in the event of non-performance by the counterparties to the Company’s derivatives.</w:t>
      </w:r>
    </w:p>
    <w:p>
      <w:pPr>
        <w:spacing w:after="0" w:line="1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one or more of the Option Counterparties becomes subject to insolvency proceedings, LivaNova will become an unsecured creditor in those proceedings, with a claim equal to the Company’s exposure at that time under the 2025 Capped Calls and/or 2029 Capped Calls, as applicable, with that Option Counterparty.</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3" w:name="page14"/>
    <w:bookmarkEnd w:id="13"/>
    <w:p>
      <w:pPr>
        <w:jc w:val="both"/>
        <w:spacing w:after="0" w:line="269" w:lineRule="auto"/>
        <w:rPr>
          <w:sz w:val="20"/>
          <w:szCs w:val="20"/>
          <w:color w:val="auto"/>
        </w:rPr>
      </w:pPr>
      <w:r>
        <w:rPr>
          <w:rFonts w:ascii="Times New Roman" w:cs="Times New Roman" w:eastAsia="Times New Roman" w:hAnsi="Times New Roman"/>
          <w:sz w:val="18"/>
          <w:szCs w:val="18"/>
          <w:color w:val="auto"/>
        </w:rPr>
        <w:t>To manage credit risk with respect to LivaNova’s FX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losses for the Company.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Presentation</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LivaNova offsets fair value amounts associated with its derivative instruments that are executed with the same counterparty under master netting arrangements on the Company’s condensed consolidated balance sheets. Master netting arrangements include a right to set off or net together purchases and sales of similar products in the settlement process.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and the location of derivative contracts reported on the condensed consolidated balance sheets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25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w w:val="98"/>
              </w:rPr>
              <w:t>Derivative Assets</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r>
      <w:tr>
        <w:trPr>
          <w:trHeight w:val="22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line="222" w:lineRule="exact"/>
              <w:rPr>
                <w:sz w:val="20"/>
                <w:szCs w:val="20"/>
                <w:color w:val="auto"/>
              </w:rPr>
            </w:pPr>
            <w:r>
              <w:rPr>
                <w:rFonts w:ascii="Times New Roman" w:cs="Times New Roman" w:eastAsia="Times New Roman" w:hAnsi="Times New Roman"/>
                <w:sz w:val="18"/>
                <w:szCs w:val="18"/>
                <w:b w:val="1"/>
                <w:bCs w:val="1"/>
                <w:color w:val="auto"/>
                <w:w w:val="93"/>
              </w:rPr>
              <w:t xml:space="preserve">Fair Value </w:t>
            </w:r>
            <w:r>
              <w:rPr>
                <w:rFonts w:ascii="Times New Roman" w:cs="Times New Roman" w:eastAsia="Times New Roman" w:hAnsi="Times New Roman"/>
                <w:sz w:val="23"/>
                <w:szCs w:val="23"/>
                <w:b w:val="1"/>
                <w:bCs w:val="1"/>
                <w:color w:val="auto"/>
                <w:w w:val="93"/>
                <w:vertAlign w:val="superscript"/>
              </w:rPr>
              <w:t>(1)</w:t>
            </w: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60" w:type="dxa"/>
            <w:vAlign w:val="bottom"/>
            <w:tcBorders>
              <w:bottom w:val="single" w:sz="8" w:color="auto"/>
            </w:tcBorders>
          </w:tcPr>
          <w:p>
            <w:pPr>
              <w:ind w:left="26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3"/>
                <w:szCs w:val="23"/>
                <w:b w:val="1"/>
                <w:bCs w:val="1"/>
                <w:color w:val="auto"/>
                <w:vertAlign w:val="superscript"/>
              </w:rPr>
              <w:t>(1)</w:t>
            </w:r>
          </w:p>
        </w:tc>
      </w:tr>
      <w:tr>
        <w:trPr>
          <w:trHeight w:val="22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75"/>
        </w:trPr>
        <w:tc>
          <w:tcPr>
            <w:tcW w:w="36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Capped call derivatives (2025 Notes)</w:t>
            </w:r>
          </w:p>
        </w:tc>
        <w:tc>
          <w:tcPr>
            <w:tcW w:w="2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2"/>
        </w:trPr>
        <w:tc>
          <w:tcPr>
            <w:tcW w:w="368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call derivatives (2029 Notes)</w:t>
            </w: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(2025 Notes)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Embedded derivative (2029 Notes)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40" w:type="dxa"/>
            <w:vAlign w:val="bottom"/>
          </w:tcPr>
          <w:p>
            <w:pPr>
              <w:ind w:left="120"/>
              <w:spacing w:after="0" w:line="175" w:lineRule="exact"/>
              <w:rPr>
                <w:sz w:val="20"/>
                <w:szCs w:val="20"/>
                <w:color w:val="auto"/>
              </w:rPr>
            </w:pPr>
            <w:r>
              <w:rPr>
                <w:rFonts w:ascii="Times New Roman" w:cs="Times New Roman" w:eastAsia="Times New Roman" w:hAnsi="Times New Roman"/>
                <w:sz w:val="18"/>
                <w:szCs w:val="18"/>
                <w:color w:val="auto"/>
              </w:rPr>
              <w:t>Long-term derivative</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55"/>
        </w:trPr>
        <w:tc>
          <w:tcPr>
            <w:tcW w:w="60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derivatives not designated as hedging</w:t>
            </w: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2440" w:type="dxa"/>
            <w:vAlign w:val="bottom"/>
          </w:tcPr>
          <w:p>
            <w:pPr>
              <w:spacing w:after="0"/>
              <w:rPr>
                <w:sz w:val="13"/>
                <w:szCs w:val="13"/>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0" w:type="dxa"/>
            <w:vAlign w:val="bottom"/>
          </w:tcPr>
          <w:p>
            <w:pPr>
              <w:spacing w:after="0"/>
              <w:rPr>
                <w:sz w:val="1"/>
                <w:szCs w:val="1"/>
                <w:color w:val="auto"/>
              </w:rPr>
            </w:pPr>
          </w:p>
        </w:tc>
      </w:tr>
      <w:tr>
        <w:trPr>
          <w:trHeight w:val="22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4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40" w:hanging="310"/>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classification of inputs used to evaluate the fair value of LivaNova’s derivatives, refer to “Note 3. Fair Value Measurements.”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p>
        </w:tc>
        <w:tc>
          <w:tcPr>
            <w:tcW w:w="25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w w:val="98"/>
              </w:rPr>
              <w:t>Derivative Assets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0" w:type="dxa"/>
            <w:vAlign w:val="bottom"/>
          </w:tcPr>
          <w:p>
            <w:pPr>
              <w:spacing w:after="0"/>
              <w:rPr>
                <w:sz w:val="1"/>
                <w:szCs w:val="1"/>
                <w:color w:val="auto"/>
              </w:rPr>
            </w:pPr>
          </w:p>
        </w:tc>
      </w:tr>
      <w:tr>
        <w:trPr>
          <w:trHeight w:val="222"/>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line="222" w:lineRule="exact"/>
              <w:rPr>
                <w:sz w:val="20"/>
                <w:szCs w:val="20"/>
                <w:color w:val="auto"/>
              </w:rPr>
            </w:pPr>
            <w:r>
              <w:rPr>
                <w:rFonts w:ascii="Times New Roman" w:cs="Times New Roman" w:eastAsia="Times New Roman" w:hAnsi="Times New Roman"/>
                <w:sz w:val="18"/>
                <w:szCs w:val="18"/>
                <w:b w:val="1"/>
                <w:bCs w:val="1"/>
                <w:color w:val="auto"/>
                <w:w w:val="93"/>
              </w:rPr>
              <w:t xml:space="preserve">Fair Value </w:t>
            </w:r>
            <w:r>
              <w:rPr>
                <w:rFonts w:ascii="Times New Roman" w:cs="Times New Roman" w:eastAsia="Times New Roman" w:hAnsi="Times New Roman"/>
                <w:sz w:val="23"/>
                <w:szCs w:val="23"/>
                <w:b w:val="1"/>
                <w:bCs w:val="1"/>
                <w:color w:val="auto"/>
                <w:w w:val="93"/>
                <w:vertAlign w:val="superscript"/>
              </w:rPr>
              <w:t>(1)</w:t>
            </w: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line="222"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Capped call derivatives (2025 Notes)</w:t>
            </w:r>
          </w:p>
        </w:tc>
        <w:tc>
          <w:tcPr>
            <w:tcW w:w="23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spacing w:after="0"/>
              <w:rPr>
                <w:sz w:val="20"/>
                <w:szCs w:val="20"/>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call derivatives (2029 Notes)</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(2025 Notes)</w:t>
            </w:r>
          </w:p>
        </w:tc>
        <w:tc>
          <w:tcPr>
            <w:tcW w:w="2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Embedded derivative (2029 Notes)</w:t>
            </w: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Long-term derivative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FX derivative contracts</w:t>
            </w:r>
          </w:p>
        </w:tc>
        <w:tc>
          <w:tcPr>
            <w:tcW w:w="23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spacing w:after="0"/>
              <w:rPr>
                <w:sz w:val="20"/>
                <w:szCs w:val="20"/>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370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3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27,097</w:t>
            </w: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54,734</w:t>
            </w:r>
          </w:p>
        </w:tc>
        <w:tc>
          <w:tcPr>
            <w:tcW w:w="0" w:type="dxa"/>
            <w:vAlign w:val="bottom"/>
          </w:tcPr>
          <w:p>
            <w:pPr>
              <w:spacing w:after="0"/>
              <w:rPr>
                <w:sz w:val="1"/>
                <w:szCs w:val="1"/>
                <w:color w:val="auto"/>
              </w:rPr>
            </w:pPr>
          </w:p>
        </w:tc>
      </w:tr>
      <w:tr>
        <w:trPr>
          <w:trHeight w:val="21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34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classification of inputs used to evaluate the fair value of LivaNova’s derivatives, refer to “Note 3. Fair Value Measurements.”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for the three and nine months ended September 30, 2025 and 2024.</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Assets and Liabilities Measured at Fair Value on a Recurring Basis</w:t>
      </w:r>
    </w:p>
    <w:p>
      <w:pPr>
        <w:spacing w:after="0" w:line="11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following tables present the level in the fair value hierarchy at which the Company’s assets and liabilities are measured on a recurring basis (in thousands):</w:t>
      </w:r>
    </w:p>
    <w:p>
      <w:pPr>
        <w:spacing w:after="0" w:line="9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Fair Value Measurements Using Inputs</w:t>
      </w: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12700</wp:posOffset>
            </wp:positionV>
            <wp:extent cx="19792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929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right="520"/>
        <w:spacing w:after="0" w:line="233" w:lineRule="auto"/>
        <w:rPr>
          <w:sz w:val="20"/>
          <w:szCs w:val="20"/>
          <w:color w:val="auto"/>
        </w:rPr>
      </w:pPr>
      <w:r>
        <w:rPr>
          <w:rFonts w:ascii="Times New Roman" w:cs="Times New Roman" w:eastAsia="Times New Roman" w:hAnsi="Times New Roman"/>
          <w:sz w:val="18"/>
          <w:szCs w:val="18"/>
          <w:color w:val="auto"/>
        </w:rPr>
        <w:t>Derivative assets - capped call derivatives (2025 Notes)</w:t>
      </w:r>
    </w:p>
    <w:p>
      <w:pPr>
        <w:spacing w:after="0" w:line="9" w:lineRule="exact"/>
        <w:rPr>
          <w:sz w:val="20"/>
          <w:szCs w:val="20"/>
          <w:color w:val="auto"/>
        </w:rPr>
      </w:pPr>
    </w:p>
    <w:p>
      <w:pPr>
        <w:ind w:left="140" w:right="520"/>
        <w:spacing w:after="0" w:line="236" w:lineRule="auto"/>
        <w:rPr>
          <w:sz w:val="20"/>
          <w:szCs w:val="20"/>
          <w:color w:val="auto"/>
        </w:rPr>
      </w:pPr>
      <w:r>
        <w:rPr>
          <w:rFonts w:ascii="Times New Roman" w:cs="Times New Roman" w:eastAsia="Times New Roman" w:hAnsi="Times New Roman"/>
          <w:sz w:val="18"/>
          <w:szCs w:val="18"/>
          <w:color w:val="auto"/>
        </w:rPr>
        <w:t>Derivative assets - capped call derivatives (2029 Notes)</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p>
      <w:pPr>
        <w:spacing w:after="0" w:line="21" w:lineRule="exact"/>
        <w:rPr>
          <w:sz w:val="20"/>
          <w:szCs w:val="20"/>
          <w:color w:val="auto"/>
        </w:rPr>
      </w:pPr>
    </w:p>
    <w:p>
      <w:pPr>
        <w:ind w:left="140" w:right="400"/>
        <w:spacing w:after="0" w:line="233" w:lineRule="auto"/>
        <w:rPr>
          <w:sz w:val="20"/>
          <w:szCs w:val="20"/>
          <w:color w:val="auto"/>
        </w:rPr>
      </w:pPr>
      <w:r>
        <w:rPr>
          <w:rFonts w:ascii="Times New Roman" w:cs="Times New Roman" w:eastAsia="Times New Roman" w:hAnsi="Times New Roman"/>
          <w:sz w:val="18"/>
          <w:szCs w:val="18"/>
          <w:color w:val="auto"/>
        </w:rPr>
        <w:t>Derivative liabilities - embedded derivative (2025 Notes)</w:t>
      </w:r>
    </w:p>
    <w:p>
      <w:pPr>
        <w:spacing w:after="0" w:line="9" w:lineRule="exact"/>
        <w:rPr>
          <w:sz w:val="20"/>
          <w:szCs w:val="20"/>
          <w:color w:val="auto"/>
        </w:rPr>
      </w:pPr>
    </w:p>
    <w:p>
      <w:pPr>
        <w:ind w:left="140" w:right="400"/>
        <w:spacing w:after="0" w:line="236" w:lineRule="auto"/>
        <w:rPr>
          <w:sz w:val="20"/>
          <w:szCs w:val="20"/>
          <w:color w:val="auto"/>
        </w:rPr>
      </w:pPr>
      <w:r>
        <w:rPr>
          <w:rFonts w:ascii="Times New Roman" w:cs="Times New Roman" w:eastAsia="Times New Roman" w:hAnsi="Times New Roman"/>
          <w:sz w:val="18"/>
          <w:szCs w:val="18"/>
          <w:color w:val="auto"/>
        </w:rPr>
        <w:t>Derivative liabilities - embedded derivative (2029 Notes)</w:t>
      </w:r>
    </w:p>
    <w:p>
      <w:pPr>
        <w:spacing w:after="0" w:line="1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assets - freestanding instruments (FX)</w:t>
      </w:r>
    </w:p>
    <w:p>
      <w:pPr>
        <w:spacing w:after="0" w:line="3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Derivative assets - capped call derivatives (2025 Notes)</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Derivative assets - capped call derivatives (2029 Notes)</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Investment with readily determinable fair value</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right="400"/>
        <w:spacing w:after="0" w:line="241" w:lineRule="auto"/>
        <w:rPr>
          <w:sz w:val="20"/>
          <w:szCs w:val="20"/>
          <w:color w:val="auto"/>
        </w:rPr>
      </w:pPr>
      <w:r>
        <w:rPr>
          <w:rFonts w:ascii="Times New Roman" w:cs="Times New Roman" w:eastAsia="Times New Roman" w:hAnsi="Times New Roman"/>
          <w:sz w:val="18"/>
          <w:szCs w:val="18"/>
          <w:color w:val="auto"/>
        </w:rPr>
        <w:t>Derivative liabilities - embedded derivative (2025 Notes)</w:t>
      </w:r>
    </w:p>
    <w:p>
      <w:pPr>
        <w:spacing w:after="0" w:line="1" w:lineRule="exact"/>
        <w:rPr>
          <w:sz w:val="20"/>
          <w:szCs w:val="20"/>
          <w:color w:val="auto"/>
        </w:rPr>
      </w:pPr>
    </w:p>
    <w:p>
      <w:pPr>
        <w:ind w:left="140" w:right="400"/>
        <w:spacing w:after="0" w:line="242" w:lineRule="auto"/>
        <w:rPr>
          <w:sz w:val="20"/>
          <w:szCs w:val="20"/>
          <w:color w:val="auto"/>
        </w:rPr>
      </w:pPr>
      <w:r>
        <w:rPr>
          <w:rFonts w:ascii="Times New Roman" w:cs="Times New Roman" w:eastAsia="Times New Roman" w:hAnsi="Times New Roman"/>
          <w:sz w:val="18"/>
          <w:szCs w:val="18"/>
          <w:color w:val="auto"/>
        </w:rPr>
        <w:t>Derivative liabilities - embedded derivative (2029 Notes)</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0" w:type="dxa"/>
            <w:vAlign w:val="bottom"/>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38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32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5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5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94"/>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Long-term derivative</w:t>
            </w:r>
          </w:p>
        </w:tc>
        <w:tc>
          <w:tcPr>
            <w:tcW w:w="5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20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0" w:type="dxa"/>
            <w:vAlign w:val="bottom"/>
          </w:tcPr>
          <w:p>
            <w:pPr>
              <w:spacing w:after="0"/>
              <w:rPr>
                <w:sz w:val="1"/>
                <w:szCs w:val="1"/>
                <w:color w:val="auto"/>
              </w:rPr>
            </w:pPr>
          </w:p>
        </w:tc>
      </w:tr>
      <w:tr>
        <w:trPr>
          <w:trHeight w:val="180"/>
        </w:trPr>
        <w:tc>
          <w:tcPr>
            <w:tcW w:w="22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Current contingent</w:t>
            </w: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49,041</w:t>
            </w:r>
          </w:p>
        </w:tc>
        <w:tc>
          <w:tcPr>
            <w:tcW w:w="0" w:type="dxa"/>
            <w:vAlign w:val="bottom"/>
          </w:tcPr>
          <w:p>
            <w:pPr>
              <w:spacing w:after="0"/>
              <w:rPr>
                <w:sz w:val="1"/>
                <w:szCs w:val="1"/>
                <w:color w:val="auto"/>
              </w:rPr>
            </w:pPr>
          </w:p>
        </w:tc>
      </w:tr>
      <w:tr>
        <w:trPr>
          <w:trHeight w:val="180"/>
        </w:trPr>
        <w:tc>
          <w:tcPr>
            <w:tcW w:w="22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Long-term contingent</w:t>
            </w: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40,641</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155,882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-2234565</wp:posOffset>
            </wp:positionV>
            <wp:extent cx="7132955" cy="264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-1705610</wp:posOffset>
            </wp:positionV>
            <wp:extent cx="7132955" cy="170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-1390015</wp:posOffset>
            </wp:positionV>
            <wp:extent cx="7132955" cy="144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-980440</wp:posOffset>
            </wp:positionV>
            <wp:extent cx="7132955" cy="264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-451485</wp:posOffset>
            </wp:positionV>
            <wp:extent cx="7132955" cy="264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8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 Inputs</w:t>
            </w:r>
          </w:p>
        </w:tc>
      </w:tr>
      <w:tr>
        <w:trPr>
          <w:trHeight w:val="237"/>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Considered as: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35"/>
        </w:trPr>
        <w:tc>
          <w:tcPr>
            <w:tcW w:w="2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39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22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23,735</w:t>
            </w:r>
          </w:p>
        </w:tc>
      </w:tr>
      <w:tr>
        <w:trPr>
          <w:trHeight w:val="23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26,359</w:t>
            </w: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7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188"/>
        </w:trPr>
        <w:tc>
          <w:tcPr>
            <w:tcW w:w="22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Long-term derivative</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w:t>
            </w:r>
          </w:p>
        </w:tc>
      </w:tr>
      <w:tr>
        <w:trPr>
          <w:trHeight w:val="188"/>
        </w:trPr>
        <w:tc>
          <w:tcPr>
            <w:tcW w:w="22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Long-term contingent</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84,218</w:t>
            </w: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138,952</w:t>
            </w: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-2286000</wp:posOffset>
            </wp:positionV>
            <wp:extent cx="7132955" cy="264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-1757045</wp:posOffset>
            </wp:positionV>
            <wp:extent cx="7132955" cy="144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-1466850</wp:posOffset>
            </wp:positionV>
            <wp:extent cx="7132955" cy="17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-1125855</wp:posOffset>
            </wp:positionV>
            <wp:extent cx="7132955" cy="144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-716280</wp:posOffset>
            </wp:positionV>
            <wp:extent cx="7132955" cy="264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-187325</wp:posOffset>
            </wp:positionV>
            <wp:extent cx="7132955" cy="170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120"/>
            <w:col w:w="7000"/>
          </w:cols>
          <w:pgMar w:left="320" w:top="896"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Reconciliation of Level 3 Assets and Liabilities</w:t>
      </w:r>
    </w:p>
    <w:p>
      <w:pPr>
        <w:spacing w:after="0" w:line="11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8"/>
          <w:szCs w:val="18"/>
          <w:color w:val="auto"/>
        </w:rPr>
        <w:t>The tables below present reconciliations of recurring fair value measurements that use significant unobservable inputs (Level 3) as of and for the three and nine months ended September 30, 2025 and 2024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Capped Call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Capped Call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Embedded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ImThera</w:t>
            </w: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75" w:lineRule="exact"/>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80"/>
              <w:spacing w:after="0" w:line="17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80"/>
              <w:spacing w:after="0" w:line="17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40"/>
              <w:spacing w:after="0" w:line="179"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79"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2"/>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87,927</w:t>
            </w:r>
          </w:p>
        </w:tc>
        <w:tc>
          <w:tcPr>
            <w:tcW w:w="0" w:type="dxa"/>
            <w:vAlign w:val="bottom"/>
          </w:tcPr>
          <w:p>
            <w:pPr>
              <w:spacing w:after="0"/>
              <w:rPr>
                <w:sz w:val="1"/>
                <w:szCs w:val="1"/>
                <w:color w:val="auto"/>
              </w:rPr>
            </w:pPr>
          </w:p>
        </w:tc>
      </w:tr>
      <w:tr>
        <w:trPr>
          <w:trHeight w:val="22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4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89,682</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Capped Call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Embedded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00"/>
              <w:spacing w:after="0" w:line="18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180"/>
              <w:spacing w:after="0" w:line="183" w:lineRule="exact"/>
              <w:rPr>
                <w:sz w:val="20"/>
                <w:szCs w:val="20"/>
                <w:color w:val="auto"/>
              </w:rPr>
            </w:pPr>
            <w:r>
              <w:rPr>
                <w:rFonts w:ascii="Times New Roman" w:cs="Times New Roman" w:eastAsia="Times New Roman" w:hAnsi="Times New Roman"/>
                <w:sz w:val="18"/>
                <w:szCs w:val="18"/>
                <w:b w:val="1"/>
                <w:bCs w:val="1"/>
                <w:color w:val="auto"/>
                <w:w w:val="97"/>
              </w:rPr>
              <w:t>Derivative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40"/>
              <w:spacing w:after="0" w:line="18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40"/>
              <w:spacing w:after="0" w:line="183" w:lineRule="exact"/>
              <w:rPr>
                <w:sz w:val="20"/>
                <w:szCs w:val="20"/>
                <w:color w:val="auto"/>
              </w:rPr>
            </w:pPr>
            <w:r>
              <w:rPr>
                <w:rFonts w:ascii="Times New Roman" w:cs="Times New Roman" w:eastAsia="Times New Roman" w:hAnsi="Times New Roman"/>
                <w:sz w:val="18"/>
                <w:szCs w:val="18"/>
                <w:b w:val="1"/>
                <w:bCs w:val="1"/>
                <w:color w:val="auto"/>
                <w:w w:val="97"/>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180"/>
              <w:spacing w:after="0" w:line="175" w:lineRule="exact"/>
              <w:rPr>
                <w:sz w:val="20"/>
                <w:szCs w:val="20"/>
                <w:color w:val="auto"/>
              </w:rPr>
            </w:pPr>
            <w:r>
              <w:rPr>
                <w:rFonts w:ascii="Times New Roman" w:cs="Times New Roman" w:eastAsia="Times New Roman" w:hAnsi="Times New Roman"/>
                <w:sz w:val="18"/>
                <w:szCs w:val="18"/>
                <w:b w:val="1"/>
                <w:bCs w:val="1"/>
                <w:color w:val="auto"/>
                <w:w w:val="97"/>
              </w:rPr>
              <w:t>Notes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0"/>
              <w:spacing w:after="0" w:line="175" w:lineRule="exact"/>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228"/>
        </w:trPr>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(2025 Notes)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(2029 Notes)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(2029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2"/>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7,439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81,174</w:t>
            </w:r>
          </w:p>
        </w:tc>
        <w:tc>
          <w:tcPr>
            <w:tcW w:w="0" w:type="dxa"/>
            <w:vAlign w:val="bottom"/>
          </w:tcPr>
          <w:p>
            <w:pPr>
              <w:spacing w:after="0"/>
              <w:rPr>
                <w:sz w:val="1"/>
                <w:szCs w:val="1"/>
                <w:color w:val="auto"/>
              </w:rPr>
            </w:pPr>
          </w:p>
        </w:tc>
      </w:tr>
      <w:tr>
        <w:trPr>
          <w:trHeight w:val="22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8"/>
              </w:rPr>
              <w:t>(1,668)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5,771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Capped Call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Capped Call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Embedded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ImThera</w:t>
            </w: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79" w:lineRule="exact"/>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80"/>
              <w:spacing w:after="0" w:line="183"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80"/>
              <w:spacing w:after="0" w:line="183"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40"/>
              <w:spacing w:after="0" w:line="183"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20"/>
              <w:spacing w:after="0" w:line="183"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83"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228"/>
        </w:trPr>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2"/>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0" w:type="dxa"/>
            <w:vAlign w:val="bottom"/>
          </w:tcPr>
          <w:p>
            <w:pPr>
              <w:spacing w:after="0"/>
              <w:rPr>
                <w:sz w:val="1"/>
                <w:szCs w:val="1"/>
                <w:color w:val="auto"/>
              </w:rPr>
            </w:pPr>
          </w:p>
        </w:tc>
      </w:tr>
      <w:tr>
        <w:trPr>
          <w:trHeight w:val="22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0" w:type="dxa"/>
            <w:vAlign w:val="bottom"/>
          </w:tcPr>
          <w:p>
            <w:pPr>
              <w:spacing w:after="0"/>
              <w:rPr>
                <w:sz w:val="1"/>
                <w:szCs w:val="1"/>
                <w:color w:val="auto"/>
              </w:rPr>
            </w:pPr>
          </w:p>
        </w:tc>
      </w:tr>
      <w:tr>
        <w:trPr>
          <w:trHeight w:val="24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89,682</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Capped Call</w:t>
            </w: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Capped Call</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Embedded</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8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7"/>
              </w:rPr>
              <w:t>Derivative</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2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5"/>
                <w:szCs w:val="15"/>
                <w:color w:val="auto"/>
              </w:rPr>
            </w:pPr>
          </w:p>
        </w:tc>
        <w:tc>
          <w:tcPr>
            <w:tcW w:w="1460" w:type="dxa"/>
            <w:vAlign w:val="bottom"/>
          </w:tcPr>
          <w:p>
            <w:pPr>
              <w:jc w:val="center"/>
              <w:ind w:right="90"/>
              <w:spacing w:after="0" w:line="175"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15"/>
                <w:szCs w:val="15"/>
                <w:color w:val="auto"/>
              </w:rPr>
            </w:pPr>
          </w:p>
        </w:tc>
        <w:tc>
          <w:tcPr>
            <w:tcW w:w="126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1540" w:type="dxa"/>
            <w:vAlign w:val="bottom"/>
            <w:gridSpan w:val="3"/>
            <w:vMerge w:val="continue"/>
          </w:tcPr>
          <w:p>
            <w:pPr>
              <w:spacing w:after="0"/>
              <w:rPr>
                <w:sz w:val="15"/>
                <w:szCs w:val="15"/>
                <w:color w:val="auto"/>
              </w:rPr>
            </w:pPr>
          </w:p>
        </w:tc>
        <w:tc>
          <w:tcPr>
            <w:tcW w:w="1720" w:type="dxa"/>
            <w:vAlign w:val="bottom"/>
            <w:gridSpan w:val="3"/>
          </w:tcPr>
          <w:p>
            <w:pPr>
              <w:jc w:val="center"/>
              <w:ind w:right="14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 Liability</w:t>
            </w:r>
          </w:p>
        </w:tc>
        <w:tc>
          <w:tcPr>
            <w:tcW w:w="140" w:type="dxa"/>
            <w:vAlign w:val="bottom"/>
          </w:tcPr>
          <w:p>
            <w:pPr>
              <w:spacing w:after="0"/>
              <w:rPr>
                <w:sz w:val="15"/>
                <w:szCs w:val="15"/>
                <w:color w:val="auto"/>
              </w:rPr>
            </w:pPr>
          </w:p>
        </w:tc>
        <w:tc>
          <w:tcPr>
            <w:tcW w:w="124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6"/>
              </w:rPr>
              <w:t>Liability</w:t>
            </w:r>
          </w:p>
        </w:tc>
        <w:tc>
          <w:tcPr>
            <w:tcW w:w="180" w:type="dxa"/>
            <w:vAlign w:val="bottom"/>
          </w:tcPr>
          <w:p>
            <w:pPr>
              <w:spacing w:after="0"/>
              <w:rPr>
                <w:sz w:val="15"/>
                <w:szCs w:val="15"/>
                <w:color w:val="auto"/>
              </w:rPr>
            </w:pPr>
          </w:p>
        </w:tc>
        <w:tc>
          <w:tcPr>
            <w:tcW w:w="1460" w:type="dxa"/>
            <w:vAlign w:val="bottom"/>
          </w:tcPr>
          <w:p>
            <w:pPr>
              <w:jc w:val="center"/>
              <w:ind w:right="90"/>
              <w:spacing w:after="0" w:line="175" w:lineRule="exact"/>
              <w:rPr>
                <w:sz w:val="20"/>
                <w:szCs w:val="20"/>
                <w:color w:val="auto"/>
              </w:rPr>
            </w:pPr>
            <w:r>
              <w:rPr>
                <w:rFonts w:ascii="Times New Roman" w:cs="Times New Roman" w:eastAsia="Times New Roman" w:hAnsi="Times New Roman"/>
                <w:sz w:val="18"/>
                <w:szCs w:val="18"/>
                <w:b w:val="1"/>
                <w:bCs w:val="1"/>
                <w:color w:val="auto"/>
                <w:w w:val="96"/>
              </w:rPr>
              <w:t>Liability</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(2025 Notes)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(2029 Notes)</w:t>
            </w:r>
          </w:p>
        </w:tc>
        <w:tc>
          <w:tcPr>
            <w:tcW w:w="22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20" w:type="dxa"/>
            <w:vAlign w:val="bottom"/>
          </w:tcPr>
          <w:p>
            <w:pPr>
              <w:spacing w:after="0"/>
              <w:rPr>
                <w:sz w:val="21"/>
                <w:szCs w:val="21"/>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(2025 Notes)</w:t>
            </w:r>
          </w:p>
        </w:tc>
        <w:tc>
          <w:tcPr>
            <w:tcW w:w="1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18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Arrangements</w:t>
            </w:r>
          </w:p>
        </w:tc>
        <w:tc>
          <w:tcPr>
            <w:tcW w:w="0" w:type="dxa"/>
            <w:vAlign w:val="bottom"/>
          </w:tcPr>
          <w:p>
            <w:pPr>
              <w:spacing w:after="0"/>
              <w:rPr>
                <w:sz w:val="1"/>
                <w:szCs w:val="1"/>
                <w:color w:val="auto"/>
              </w:rPr>
            </w:pPr>
          </w:p>
        </w:tc>
      </w:tr>
      <w:tr>
        <w:trPr>
          <w:trHeight w:val="222"/>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94,652</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receipt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2"/>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Price Volatility</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stock price volatility utilized in determining the fair value of LivaNova’s capped call derivative assets and embedded derivative liabilities: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Capped Call Derivative</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Capped Call Derivative</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Embedded Derivative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Embedded Derivative</w:t>
            </w:r>
          </w:p>
        </w:tc>
        <w:tc>
          <w:tcPr>
            <w:tcW w:w="0" w:type="dxa"/>
            <w:vAlign w:val="bottom"/>
          </w:tcPr>
          <w:p>
            <w:pPr>
              <w:spacing w:after="0"/>
              <w:rPr>
                <w:sz w:val="1"/>
                <w:szCs w:val="1"/>
                <w:color w:val="auto"/>
              </w:rPr>
            </w:pPr>
          </w:p>
        </w:tc>
      </w:tr>
      <w:tr>
        <w:trPr>
          <w:trHeight w:val="179"/>
        </w:trPr>
        <w:tc>
          <w:tcPr>
            <w:tcW w:w="2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Stock Price Volatility </w:t>
            </w:r>
            <w:r>
              <w:rPr>
                <w:rFonts w:ascii="Times New Roman" w:cs="Times New Roman" w:eastAsia="Times New Roman" w:hAnsi="Times New Roman"/>
                <w:sz w:val="23"/>
                <w:szCs w:val="23"/>
                <w:b w:val="1"/>
                <w:bCs w:val="1"/>
                <w:color w:val="auto"/>
                <w:vertAlign w:val="superscript"/>
              </w:rPr>
              <w:t>(1)</w:t>
            </w:r>
          </w:p>
        </w:tc>
        <w:tc>
          <w:tcPr>
            <w:tcW w:w="2240" w:type="dxa"/>
            <w:vAlign w:val="bottom"/>
            <w:gridSpan w:val="2"/>
          </w:tcPr>
          <w:p>
            <w:pPr>
              <w:jc w:val="center"/>
              <w:ind w:right="1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280" w:type="dxa"/>
            <w:vAlign w:val="bottom"/>
            <w:gridSpan w:val="2"/>
          </w:tcPr>
          <w:p>
            <w:pPr>
              <w:jc w:val="center"/>
              <w:ind w:right="1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280" w:type="dxa"/>
            <w:vAlign w:val="bottom"/>
            <w:gridSpan w:val="2"/>
          </w:tcPr>
          <w:p>
            <w:pPr>
              <w:jc w:val="center"/>
              <w:ind w:right="180"/>
              <w:spacing w:after="0" w:line="179"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1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37"/>
        </w:trPr>
        <w:tc>
          <w:tcPr>
            <w:tcW w:w="2300" w:type="dxa"/>
            <w:vAlign w:val="bottom"/>
            <w:gridSpan w:val="2"/>
            <w:vMerge w:val="continue"/>
          </w:tcPr>
          <w:p>
            <w:pPr>
              <w:spacing w:after="0"/>
              <w:rPr>
                <w:sz w:val="20"/>
                <w:szCs w:val="20"/>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(2025 Notes)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(2029 Notes)</w:t>
            </w: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30"/>
        <w:spacing w:after="0" w:line="248" w:lineRule="auto"/>
        <w:tabs>
          <w:tab w:leader="none" w:pos="632"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embedded and capped call derivatives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income (loss) depends</w:t>
      </w: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6"/>
          <w:szCs w:val="16"/>
          <w:color w:val="auto"/>
        </w:rPr>
        <w:t>on how significant inputs, such as stock price, stock price volatility, and time to the expiration of the derivatives, change in relation to other inputs.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Contingent Consideration Arrangements</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ImThera business combination involved contingent consideration arrangements comprised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September 30,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ImThera Acquisition</w:t>
            </w:r>
          </w:p>
        </w:tc>
        <w:tc>
          <w:tcPr>
            <w:tcW w:w="28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9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9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22"/>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milestone-based payment</w:t>
            </w:r>
          </w:p>
        </w:tc>
        <w:tc>
          <w:tcPr>
            <w:tcW w:w="12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69"/>
        </w:trPr>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8"/>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Monte-Carlo simulation</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- 13.1%</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risk discount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years of earnout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- 2030</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Financing Arrangements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LivaNova’s long-term debt obligations (in thousands, except interest rates):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22"/>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7.38%</w:t>
            </w: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258,043</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March 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w:t>
            </w:r>
          </w:p>
        </w:tc>
      </w:tr>
      <w:tr>
        <w:trPr>
          <w:trHeight w:val="22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53,887</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2025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America, U.S.</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facilities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626,963</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2"/>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 obligations</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349,031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549,624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 and Term Facilities</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outstanding principal amount of LivaNova’s short-term unsecured revolving credit agreements and other agreements with various banks was $17 thousand and $0.7 million at September 30, 2025 and December 31, 2024, respectively.</w:t>
      </w:r>
    </w:p>
    <w:p>
      <w:pPr>
        <w:spacing w:after="0" w:line="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There were no outstanding borrowings under the $225.0 million revolving facilities under the 2021 First Lien Credit Agreement as of September 30, 2025 and December 31, 2024. As of September 30, 2025 and December 31, 2024, the applicable commitment fee percentage was 0.25% per annum and 0.5% per annum, respectively. As of September 30, 2025, the Company was in compliance with the financial covenants contained in the 2021 First Lien Credit Agreement.</w:t>
      </w:r>
    </w:p>
    <w:p>
      <w:pPr>
        <w:spacing w:after="0" w:line="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Debt discount and issuance costs related to the Initial Term Facility were $9.6 million. The unamortized debt discount and issuance costs related to the Initial Term Facility were $1.1 million and $4.8 million as of September 30, 2025 and December 31, 2024, respectively.</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On May 2, 2025, LivaNova made an early repayment of $200 million on principal borrowings under the Term Facilities. The early repayment resulted in the recognition of a loss on debt extinguishment of $2.7 million for the nine months ended September 30, 2025, associated with the write-off of unamortized debt issuance costs, and is included within loss on debt extinguishment on the condensed consolidated statements of income (loss).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2029 Notes</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effective interest rate of the 2029 Notes was 9.84% as of September 30, 2025. The unamortized debt discount and issuance costs related to the 2029 Notes as of September 30, 2025 and December 31, 2024 were $74.0 million and $87.0 million,</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7" w:name="page18"/>
    <w:bookmarkEnd w:id="17"/>
    <w:p>
      <w:pPr>
        <w:jc w:val="both"/>
        <w:spacing w:after="0" w:line="272" w:lineRule="auto"/>
        <w:rPr>
          <w:sz w:val="20"/>
          <w:szCs w:val="20"/>
          <w:color w:val="auto"/>
        </w:rPr>
      </w:pPr>
      <w:r>
        <w:rPr>
          <w:rFonts w:ascii="Times New Roman" w:cs="Times New Roman" w:eastAsia="Times New Roman" w:hAnsi="Times New Roman"/>
          <w:sz w:val="18"/>
          <w:szCs w:val="18"/>
          <w:color w:val="auto"/>
        </w:rPr>
        <w:t>respectively. As of September 30, 2025, the conditions for conversion were not met. The Company included its obligations from the 2029 Notes and the associated embedded derivative as long-term liabilities on the condensed consolidated balance sheet as of September 30, 2025, and the 2029 Notes are not convertible for the three months ended December 31, 2025. For additional information regarding the 2029 Notes, refer to LivaNova’s 2024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Notes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effective interest rate of the 2025 Notes was 9.92% as of September 30, 2025. The unamortized debt discount and issuance costs related to the 2025 Notes as of September 30, 2025 and December 31, 2024 were $0.8 million and $3.6 million, respectively. Beginning on September 15, 2025, the 2025 Notes became exchangeable at the holder’s option, without any additional conditions, and remain exchangeable through the second scheduled trading day immediately preceding the maturity date of the 2025 Notes. The Company included its obligations from the 2025 Notes and the associated embedded derivative as current liabilities on the condensed consolidated balance sheet as of September 30, 2025. As of September 30, 2025, LivaNova held $57.5 million in cash designated for the December 2025 repayment of the 2025 Notes principal amount in a LivaNova-controlled depository account, which is included within cash and cash equivalents on the condensed consolidated balance sheet. For additional information regarding the 2025 Notes, refer to LivaNova’s 2024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Commitments and Contingencies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Saluggia Site Hazardous Substances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Although there is no legal obligation to deliver any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September 30, 2025 was $40.3 million (€34.3 million), which represented the estimated low end of the range of loss, with an estimated maximum end of the range of loss of $55.2 million (€47.0 million). The estimated liability as of December 31, 2024 was $36.7 million (€35.4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Litigation</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Sorin was created as a result of a spin-off from SNIA in 2004. SNIA subsequently became insolvent, and the Public Administrations sought compensation from SNIA in an aggregate amount of approximately $4.0 billion for remediation costs relating to the environmental damage at chemical sites previously operated by SNIA’s other subsidiaries. Thereafter, in 2015, Sorin was merged into LivaNova.</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Italian Supreme Court. Similarly, in 2014, the Bankruptcy Court of Milan held that the Public Administrations were not creditors of either SNIA or its subsidiaries. The Public Administrations appealed. In April 2022, the Bankruptcy Court of Milan declared the Public Administrations to be a non-privileged creditor of SNIA for up to €453.6 million ($532.2 million as of September 30, 2025), and the Public Administrations appealed to the Italian Supreme Court.</w:t>
      </w:r>
    </w:p>
    <w:p>
      <w:pPr>
        <w:spacing w:after="0" w:line="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€292,000 ($342,602 as of September 30,</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spacing w:after="0" w:line="269" w:lineRule="auto"/>
        <w:rPr>
          <w:sz w:val="20"/>
          <w:szCs w:val="20"/>
          <w:color w:val="auto"/>
        </w:rPr>
      </w:pPr>
      <w:r>
        <w:rPr>
          <w:rFonts w:ascii="Times New Roman" w:cs="Times New Roman" w:eastAsia="Times New Roman" w:hAnsi="Times New Roman"/>
          <w:sz w:val="18"/>
          <w:szCs w:val="18"/>
          <w:color w:val="auto"/>
        </w:rPr>
        <w:t>2025)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spin-off of Sorin from SNIA in 2004, an estimated €572.1 million ($671.2 million as of September 30, 2025). LivaNova appealed the partial decision on liability to the Italian Supreme Court in August 2019.</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2021, the Court of Appeal delivered the remainder of its decision, ordering LivaNova to pay damages of €453.6 million ($532.2 million as of September 30, 2025). LivaNova appealed the decision on damages in December 2021. On February 21, 2022, the Court of Appeal notified the Company that it granted the Company a suspension with respect to the payment of damages until a decision was reached on the appeal to the Italian Supreme Court. This suspension was subject to LivaNova providing a first demand bank guarantee of €270.0 million ($316.8 million as of September 30, 2025) within 30 calendar days, and on March 21, 2022, LivaNova delivered the SNIA Litigation Guarantee, thereby satisfying the condition.</w:t>
      </w:r>
    </w:p>
    <w:p>
      <w:pPr>
        <w:spacing w:after="0" w:line="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2022, in response to one of a number of appeals asserted by LivaNova, the Italian Supreme Court issued an ordinance, a procedural document, whereby the Italian Supreme Court referred a question on the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On July 29, 2024, the ECJ issued a judgment in response to the ordinance. The ECJ judgment states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in the amount of €157.3 million ($184.5 million as of September 30, 2025). The case has been referred back to the Court of Appeal to implement the decisions respecting costs and damages in accordance with the judgment of the Italian Supreme Court.</w:t>
      </w:r>
    </w:p>
    <w:p>
      <w:pPr>
        <w:spacing w:after="0" w:line="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result of the decision by the Italian Supreme Court, the Company recorded a current liability in the first quarter of 2025 and has continued to accrue interest on the liability since that time. As of September 30, 2025, the Company has a current liability of €336.3 million ($394.6 million) on the condensed consolidated balance sheet, representing its best estimate of the liability, inclusive of estimated costs, fees, interest, and taxes. These estimated costs do not include the Company’s legal fees, which are expensed as incurred and included in SG&amp;A in LivaNova’s condensed consolidated statements of income (loss). The Company has determined that it has sufficient resources to cover the liability as of September 30, 2025.</w:t>
      </w:r>
    </w:p>
    <w:p>
      <w:pPr>
        <w:spacing w:after="0" w:line="8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On March 31, 2025, as a result of the decision by the Italian Supreme Court, the SNIA Litigation Guarantee was terminated, and the restriction on the cash deposit held as collateral was released. For additional information on the financing of the guarantee, refer to “Note 11. Supplemental Financial Information.”</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15, 2025, as a procedural step outlined above, the Ministry served the Company with a filing to return the proceedings to the Court of Appeal. In addition to seeking a return of the case to the Court of Appeal, the Ministry asserted that the Court of Appeal forgo an examination of the amounts disapproved by the Italian Supreme Court and instead impose costs of €108.8 million ($127.7 million as of September 30, 2025) at a minimum. These assertions are counter to the decision of the Italian Supreme Court’s judgment, which disapproved costs of €157.3 million ($184.5 million as of September 30, 2025). The Ministry’s filing is not a legal judgment or demand for payment. The Company disagrees with the assertions made in the Ministry’s filing and believes they contradict the decisions of the Italian Supreme Court. The Company intends to challenge the Ministry’s assertions and purported costs and to defend its position in accordance with the Italian Supreme Court’s judgment. The Company continues to believe that its recorded liability remains the best estimate of the liability associated with the SNIA matter, and, as such, no adjustments were made to the accrual in response to the filing on May 15, 2025. A hearing has been scheduled for January 28, 2026.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Liability Litigation</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continues to be involved in litigation involving LivaNova’s 3T device. The litigation includes the cases remaining in the MDL and various U.S. state courts, as well as claims in jurisdictions outside the United States. As of</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72" w:lineRule="auto"/>
        <w:rPr>
          <w:sz w:val="20"/>
          <w:szCs w:val="20"/>
          <w:color w:val="auto"/>
        </w:rPr>
      </w:pPr>
      <w:r>
        <w:rPr>
          <w:rFonts w:ascii="Times New Roman" w:cs="Times New Roman" w:eastAsia="Times New Roman" w:hAnsi="Times New Roman"/>
          <w:sz w:val="18"/>
          <w:szCs w:val="18"/>
          <w:color w:val="auto"/>
        </w:rPr>
        <w:t>November 5, 2025, the Company was aware of approximately 65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three and nine months ended September 30, 2025, LivaNova recorded an additional liability of $4.4 million and $5.0 million, respectively, upon receiving new information regarding the nature of certain claims. As of September 30, 2025 and December 31, 2024, the provision for these matters was $19.8 million and $15.8 million, respectively.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A provision has not been recorded for any claims where a potential loss is not determined to be probable, or a potential loss or range of potential loss is not reasonably estimable at this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litigation provision liability for the nine months ended September 30, 2025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r>
      <w:tr>
        <w:trPr>
          <w:trHeight w:val="22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28"/>
        </w:trPr>
        <w:tc>
          <w:tcPr>
            <w:tcW w:w="88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28"/>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FX and other</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22"/>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2025</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w:t>
            </w:r>
          </w:p>
        </w:tc>
      </w:tr>
      <w:tr>
        <w:trPr>
          <w:trHeight w:val="228"/>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as of September 30, 2025</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w:t>
            </w:r>
          </w:p>
        </w:tc>
      </w:tr>
      <w:tr>
        <w:trPr>
          <w:trHeight w:val="247"/>
        </w:trPr>
        <w:tc>
          <w:tcPr>
            <w:tcW w:w="882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Long-term portion as of September 30, 2025 </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40" w:hanging="310"/>
        <w:spacing w:after="0"/>
        <w:tabs>
          <w:tab w:leader="none" w:pos="6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Adjustments to the litigation provision are included in other operating expense on the condensed consolidated statements of income (loss).</w:t>
      </w:r>
    </w:p>
    <w:p>
      <w:pPr>
        <w:spacing w:after="0" w:line="9" w:lineRule="exact"/>
        <w:rPr>
          <w:rFonts w:ascii="Times New Roman" w:cs="Times New Roman" w:eastAsia="Times New Roman" w:hAnsi="Times New Roman"/>
          <w:sz w:val="21"/>
          <w:szCs w:val="21"/>
          <w:color w:val="auto"/>
          <w:vertAlign w:val="superscript"/>
        </w:rPr>
      </w:pPr>
    </w:p>
    <w:p>
      <w:pPr>
        <w:ind w:left="640" w:hanging="310"/>
        <w:spacing w:after="0" w:line="190" w:lineRule="auto"/>
        <w:tabs>
          <w:tab w:leader="none" w:pos="6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Italian MedTech Payback Measure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the Italian Parliament introduced a law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August 2022, a decree was published that provided guidance and timetables for the payback measure. In response, LivaNova filed an appeal at the Administrative Court against the decree of the Ministry of Health, assessing the amount payable and against the payback law. LivaNova also filed appeals against the regions requesting payments. In July 2024, the Constitutional Court determined that the payback law is compliant with the Italian Constitution. Furthermore, on June 30, 2025, the Italian Government introduced a decree that would allow companies to settle their 2015-2018 payment obligations by paying 25% of the originally requested amounts if those companies were to withdraw any outstanding appeals related to that period and remit payment within 30 days of the law entering into force. The Italian Parliament subsequently converted the decree into law, and it entered into force on August 10, 2025. In September 2025, the Company paid €3.5 million ($4.1 million as of September 30, 2025), representing 25% of the originally requested amounts in full settlement of its 2015-2018 payment obligations and reversed the remaining $3.8 million reserve for that period. The related pending appeals are in the process of being withdrawn. As of September 30, 2025, the Company had a reserve of $12.3 million for the years 2019 to the present reflecting its best estimate of the full potential obligation; however, the actual liability could vary. As of December 31, 2024, the reserve was $16.0 million, including $7.0 million for the years 2015-2018. The reserve is included in accrued liabilities and other in the condensed consolidated balance sheets. Amounts recognized associated with the Italian MedTech payback measure are recorded as a reduction to net revenue in the condensed consolidated statements of income (loss).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Cyber Litigation</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cybersecurity incident initially reported on November 20, 2023, LivaNova USA was named as a defendant in six putative class action lawsuits filed in the United States District Court for the Southern District of Texas in June and July 2024. Those cases were consolidated in a single action, and the plaintiffs filed against LivaNova USA a consolidated class action complaint, which asserted claims of negligence, breach of contract, and violation of various state consumer protection laws. The plaintiffs sought damages, equitable/injunctive relief, and attorneys’ fees, costs, and expenses, among other relief. The parties entered into mediation and agreed to a class action settlement, with respect to which the Company recorded an accrual of $1.2 million for the quarter ended September 30, 2024. The class action settlement received approval from the court on April 4, 2025. The Company expects all settlement administration activities to be completed in 2025.</w:t>
      </w: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HHS’s Office for Civil Rights is investigating the incident pursuant to its authority to enforce the HIPAA rules regarding privacy, security, and breach notification. The Office for Civil Rights issued a request for information regarding the Company’s response to the incident and the Company’s compliance with HIPAA rules, to which the Company responded. The Office for Civil Rights may issue additional requests for information and documentation. In connection with its investigation, the Office for Civil Rights may, among other measures, seek to impose civil monetary penalties against LivaNova and seek to require that the Company implement a corrective action plan. Furthermore, the Company has received, and may receive in the future, additional government requests for information about the incident, to which LivaNova will respond. For example, the Italian data protection authority requested that LivaNova provide certain information regarding the incident, and the Company responded to the request. On September 29, 2025, the Italian data protection authority closed its inquiry.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Matters</w:t>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Stockholders’ Equity</w:t>
      </w:r>
    </w:p>
    <w:p>
      <w:pPr>
        <w:spacing w:after="0" w:line="1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tables below present the condensed consolidated statements of stockholders’ equity as of and for the three and nine months ended September 30, 2025 and 2024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Shares -</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1,122,839</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1,157,230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1,242,542</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32,953</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1,310,044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00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 -</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1,320,258</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 EBT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24,671</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(273,377)</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0" w:type="dxa"/>
            <w:vAlign w:val="bottom"/>
          </w:tcPr>
          <w:p>
            <w:pPr>
              <w:spacing w:after="0"/>
              <w:rPr>
                <w:sz w:val="1"/>
                <w:szCs w:val="1"/>
                <w:color w:val="auto"/>
              </w:rPr>
            </w:pPr>
          </w:p>
        </w:tc>
      </w:tr>
      <w:tr>
        <w:trPr>
          <w:trHeight w:val="222"/>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2,245,024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1,157,230</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2,189,517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1,277,628</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 - EBT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47"/>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1,310,044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changes in AOCI, net of tax, for the nine months ended September 30, 2025 and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78"/>
        </w:trPr>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0"/>
              <w:spacing w:after="0" w:line="178" w:lineRule="exact"/>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39"/>
        </w:trPr>
        <w:tc>
          <w:tcPr>
            <w:tcW w:w="95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70"/>
              <w:spacing w:after="0" w:line="239"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 before tax</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net of tax</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22"/>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0"/>
        </w:trPr>
        <w:tc>
          <w:tcPr>
            <w:tcW w:w="9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75"/>
        </w:trPr>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0"/>
              <w:spacing w:after="0" w:line="175" w:lineRule="exact"/>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2"/>
        </w:trPr>
        <w:tc>
          <w:tcPr>
            <w:tcW w:w="95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70"/>
              <w:spacing w:after="0" w:line="242"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 before tax</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net of tax</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2"/>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(26,703)</w:t>
            </w:r>
          </w:p>
        </w:tc>
      </w:tr>
      <w:tr>
        <w:trPr>
          <w:trHeight w:val="20"/>
        </w:trPr>
        <w:tc>
          <w:tcPr>
            <w:tcW w:w="9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660" w:hanging="330"/>
        <w:spacing w:after="0" w:line="231"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Stock-Based Incentive Plans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Plans</w:t>
      </w:r>
    </w:p>
    <w:p>
      <w:pPr>
        <w:spacing w:after="0" w:line="11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On June 11, 2025, the Company’s shareholders approved the 2025 Director Incentive Plan and the Second A&amp;R 2022 Plan. The 2025 Director Incentive Plan provides equity-based compensation to non-executive directors by making available a total of</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8"/>
          <w:szCs w:val="18"/>
          <w:color w:val="auto"/>
        </w:rPr>
        <w:t>300,000 shares for awards granted on or after the date on which the 2025 Director Incentive Plan was approved by the Company’s shareholders. The 2025 Director Incentive Plan is intended to be the successor to the 2015 Plan. No further awards may be made under the 2015 Plan, although any outstanding awards under the 2015 Plan will continue to remain in full force and effect. The Second A&amp;R 2022 Plan provides for an aggregate of 2,200,000 shares that can be issued pursuant to awards granted on or after the date on which the Second A&amp;R 2022 Plan was approved by the Company’s shareholders. The other terms of the Second A&amp;R 2022 Plan, including its expiration date, remain unchanged from the A&amp;R 2022 Plan. As of September 30, 2025, under the 2025 Director Incentive Plan, there were 259,423 shares available for future grants to LivaNova’s non-executive directors, and under the Second A&amp;R 2022 Plan, there were 2,297,696 shares available for future grants to LivaNova’s employees.</w:t>
      </w:r>
    </w:p>
    <w:p>
      <w:pPr>
        <w:spacing w:after="0" w:line="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nine months ended September 30, 2025, LivaNova issued stock-based compensatory awards to its employees and Board of Directors with terms approved by the Compensation and Human Capital Management Committee of LivaNova’s Board of Directors and LivaNova’s Board of Directors, respectively. The employee awards with service conditions generally vest ratably over three years for RSUs and four years for SARs, and are subject to forfeiture unless service conditions are met. The employee market performance-based awards that were issued generally cliff vest after three years, subject to the rank of LivaNova’s total shareholder return for the three-year period ending December 31, 2027, relative to the total shareholder returns of the S&amp;P Healthcare Equipment Select Industry Index. The employee adjusted free cash flow and return on invested capital operating performance-based awards that were issued generally cliff vest after three years, subject to the achievement of certain thresholds of cumulative results for the three-year period ending December 31, 2027. The Board of Director RSU awards with service conditions generally cliff vest at one year. Compensation expense related to awards granted during 2025 for the three and nine months ended September 30, 2025 was $3.7 million and $6.0 million,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 Expense</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amounts of stock-based compensation expense recognized in LivaNova’s condensed consolidated statements of income (loss) by type of arrangement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37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39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w:t>
            </w:r>
          </w:p>
        </w:tc>
      </w:tr>
      <w:tr>
        <w:trPr>
          <w:trHeight w:val="22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r>
      <w:tr>
        <w:trPr>
          <w:trHeight w:val="22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2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share purchase plan</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2"/>
        </w:trPr>
        <w:tc>
          <w:tcPr>
            <w:tcW w:w="39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26,984</w:t>
            </w: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Stock-based compensation agreements issued for the nine months ended September 30, 2025, representing potential shares and their weighted average grant date fair values by type, are as follows (shares in thousands, fair value in dollars):</w:t>
      </w:r>
    </w:p>
    <w:p>
      <w:pPr>
        <w:spacing w:after="0" w:line="104"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0" w:type="dxa"/>
            <w:vAlign w:val="bottom"/>
          </w:tcPr>
          <w:p>
            <w:pPr>
              <w:spacing w:after="0"/>
              <w:rPr>
                <w:sz w:val="14"/>
                <w:szCs w:val="14"/>
                <w:color w:val="auto"/>
              </w:rPr>
            </w:pPr>
          </w:p>
        </w:tc>
        <w:tc>
          <w:tcPr>
            <w:tcW w:w="138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8"/>
                <w:szCs w:val="18"/>
                <w:b w:val="1"/>
                <w:bCs w:val="1"/>
                <w:color w:val="auto"/>
                <w:w w:val="98"/>
              </w:rPr>
              <w:t>Weighted Average Grant</w:t>
            </w: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8"/>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28"/>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r>
        <w:trPr>
          <w:trHeight w:val="234"/>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Income Taxes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PLC is a resident in the UK. LivaNova’s effective income tax rate fluctuates based on, among other factors, changes in pre-tax income in countries with varying statutory tax rates, discrete tax items,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w:t>
      </w: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95" w:lineRule="auto"/>
        <w:rPr>
          <w:sz w:val="20"/>
          <w:szCs w:val="20"/>
          <w:color w:val="auto"/>
        </w:rPr>
      </w:pPr>
      <w:r>
        <w:rPr>
          <w:rFonts w:ascii="Times New Roman" w:cs="Times New Roman" w:eastAsia="Times New Roman" w:hAnsi="Times New Roman"/>
          <w:sz w:val="18"/>
          <w:szCs w:val="18"/>
          <w:color w:val="auto"/>
        </w:rPr>
        <w:t>release of a valuation allowance could occur within the next 12 months. The timing and amount of the valuation allowance release could vary based on the Company’s assessment of all available evidence.</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effective income tax rate for the three and nine months ended September 30, 2025 was 21.0% and (10.0)%, respectively, compared to 25.9% and 76.9% for the three and nine months ended September 30, 2024, respectively. The changes in the effective tax rates for the three and nine months ended September 30, 2025, compared to the prior year periods, were primarily attributable to year-over-year changes in income before tax in countries with varying statutory tax rates, certain discrete tax items, including the SNIA environmental liability, and changes in valuation allowances.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OBBBA was enacted in the U.S. on July 4, 2025 and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in 2026. LivaNova has accounted for the relevant changes effective for the 2025 tax year within its annual effective tax rate and continues to evaluate certain provisions that will take effect beginning in 2026, which may or may not affect the Company’s 2025 tax return elections.</w:t>
      </w:r>
    </w:p>
    <w:p>
      <w:pPr>
        <w:spacing w:after="0" w:line="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LivaNova is subject to income taxes as well as non-income-based taxes in the U.S., the UK, the EU, and various other jurisdictions. LivaNova will continue to monitor developments globally that may impact the Company’s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Income (Loss)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basic and diluted income (loss)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29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54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34"/>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1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following table presents the reconciliations of net income (loss) and weighted average shares outstanding used in the calculations of basic and diluted income (loss) per share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p>
        </w:tc>
        <w:tc>
          <w:tcPr>
            <w:tcW w:w="2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5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54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 basic and diluted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69"/>
        </w:trPr>
        <w:tc>
          <w:tcPr>
            <w:tcW w:w="5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54,194</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rPr>
              <w:t>Add: Dilutive effect of share-based compensation and convertible debt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40"/>
              <w:spacing w:after="0" w:line="236" w:lineRule="exact"/>
              <w:rPr>
                <w:sz w:val="20"/>
                <w:szCs w:val="20"/>
                <w:color w:val="auto"/>
              </w:rPr>
            </w:pPr>
            <w:r>
              <w:rPr>
                <w:rFonts w:ascii="Times New Roman" w:cs="Times New Roman" w:eastAsia="Times New Roman" w:hAnsi="Times New Roman"/>
                <w:sz w:val="18"/>
                <w:szCs w:val="18"/>
                <w:color w:val="auto"/>
              </w:rPr>
              <w:t xml:space="preserve">instruments </w:t>
            </w:r>
            <w:r>
              <w:rPr>
                <w:rFonts w:ascii="Times New Roman" w:cs="Times New Roman" w:eastAsia="Times New Roman" w:hAnsi="Times New Roman"/>
                <w:sz w:val="23"/>
                <w:szCs w:val="23"/>
                <w:color w:val="auto"/>
                <w:vertAlign w:val="superscript"/>
              </w:rPr>
              <w:t>(1) (2)</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2"/>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30"/>
        <w:spacing w:after="0" w:line="231"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nine months ended September 30, 2025, the 2029 Notes were outstanding and potentially dilutive securities, but were excluded from the computation of diluted income (loss) per share because their effect would have been anti-dilutive.</w:t>
      </w:r>
    </w:p>
    <w:p>
      <w:pPr>
        <w:spacing w:after="0" w:line="1" w:lineRule="exact"/>
        <w:rPr>
          <w:rFonts w:ascii="Times New Roman" w:cs="Times New Roman" w:eastAsia="Times New Roman" w:hAnsi="Times New Roman"/>
          <w:sz w:val="21"/>
          <w:szCs w:val="21"/>
          <w:color w:val="auto"/>
          <w:vertAlign w:val="superscript"/>
        </w:rPr>
      </w:pPr>
    </w:p>
    <w:p>
      <w:pPr>
        <w:jc w:val="both"/>
        <w:ind w:left="660" w:hanging="330"/>
        <w:spacing w:after="0" w:line="238"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Excluded from the computation of diluted income (loss) per share were shares underlying stock options, SARs, and RSUs totaling 0.5 million and 3.1 million for the three months ended September 30, 2025 and 2024, respectively, and 2.6 million and 2.8 million for the nine months ended September 30, 2025 and 2024, respectively, because to include them would have been anti-dilutive under the treasury stock method.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Geographic and Segment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Information</w:t>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Net revenue of the Company’s reportable segments includes revenues from the sale of products developed, manufactured, and distributed by each segment, as well as from services related to certain products.</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w:t>
      </w:r>
    </w:p>
    <w:p>
      <w:pPr>
        <w:spacing w:after="0" w:line="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w:t>
      </w:r>
    </w:p>
    <w:p>
      <w:pPr>
        <w:spacing w:after="0" w:line="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operates under three geographic regions: U.S., Europe, and Rest of World. The following table presents net revenue by operating segment and geographic region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29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54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177,954</w:t>
            </w:r>
          </w:p>
        </w:tc>
        <w:tc>
          <w:tcPr>
            <w:tcW w:w="0" w:type="dxa"/>
            <w:vAlign w:val="bottom"/>
          </w:tcPr>
          <w:p>
            <w:pPr>
              <w:spacing w:after="0"/>
              <w:rPr>
                <w:sz w:val="1"/>
                <w:szCs w:val="1"/>
                <w:color w:val="auto"/>
              </w:rPr>
            </w:pPr>
          </w:p>
        </w:tc>
      </w:tr>
      <w:tr>
        <w:trPr>
          <w:trHeight w:val="228"/>
        </w:trPr>
        <w:tc>
          <w:tcPr>
            <w:tcW w:w="546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120,387</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203,503</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501,844</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330,518</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0" w:type="dxa"/>
            <w:vAlign w:val="bottom"/>
          </w:tcPr>
          <w:p>
            <w:pPr>
              <w:spacing w:after="0"/>
              <w:rPr>
                <w:sz w:val="1"/>
                <w:szCs w:val="1"/>
                <w:color w:val="auto"/>
              </w:rPr>
            </w:pPr>
          </w:p>
        </w:tc>
      </w:tr>
      <w:tr>
        <w:trPr>
          <w:trHeight w:val="228"/>
        </w:trPr>
        <w:tc>
          <w:tcPr>
            <w:tcW w:w="5460" w:type="dxa"/>
            <w:vAlign w:val="bottom"/>
            <w:tcBorders>
              <w:bottom w:val="single" w:sz="8" w:color="CCEEFF"/>
            </w:tcBorders>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416,609</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Other Revenue </w:t>
            </w:r>
            <w:r>
              <w:rPr>
                <w:rFonts w:ascii="Times New Roman" w:cs="Times New Roman" w:eastAsia="Times New Roman" w:hAnsi="Times New Roman"/>
                <w:sz w:val="23"/>
                <w:szCs w:val="23"/>
                <w:b w:val="1"/>
                <w:bCs w:val="1"/>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8"/>
                <w:szCs w:val="18"/>
                <w:b w:val="1"/>
                <w:bCs w:val="1"/>
                <w:color w:val="auto"/>
              </w:rPr>
              <w:t xml:space="preserve">Totals </w:t>
            </w:r>
            <w:r>
              <w:rPr>
                <w:rFonts w:ascii="Times New Roman" w:cs="Times New Roman" w:eastAsia="Times New Roman" w:hAnsi="Times New Roman"/>
                <w:sz w:val="23"/>
                <w:szCs w:val="23"/>
                <w:b w:val="1"/>
                <w:bCs w:val="1"/>
                <w:color w:val="auto"/>
                <w:vertAlign w:val="superscript"/>
              </w:rPr>
              <w:t>(3)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519,985</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158,414</w:t>
            </w:r>
          </w:p>
        </w:tc>
        <w:tc>
          <w:tcPr>
            <w:tcW w:w="0" w:type="dxa"/>
            <w:vAlign w:val="bottom"/>
          </w:tcPr>
          <w:p>
            <w:pPr>
              <w:spacing w:after="0"/>
              <w:rPr>
                <w:sz w:val="1"/>
                <w:szCs w:val="1"/>
                <w:color w:val="auto"/>
              </w:rPr>
            </w:pPr>
          </w:p>
        </w:tc>
      </w:tr>
      <w:tr>
        <w:trPr>
          <w:trHeight w:val="228"/>
        </w:trPr>
        <w:tc>
          <w:tcPr>
            <w:tcW w:w="5460" w:type="dxa"/>
            <w:vAlign w:val="bottom"/>
            <w:tcBorders>
              <w:bottom w:val="single" w:sz="8" w:color="CCEEFF"/>
            </w:tcBorders>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253,208</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931,607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24"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5" w:lineRule="exact"/>
        <w:rPr>
          <w:rFonts w:ascii="Times New Roman" w:cs="Times New Roman" w:eastAsia="Times New Roman" w:hAnsi="Times New Roman"/>
          <w:sz w:val="21"/>
          <w:szCs w:val="21"/>
          <w:color w:val="auto"/>
          <w:vertAlign w:val="superscript"/>
        </w:rPr>
      </w:pPr>
    </w:p>
    <w:p>
      <w:pPr>
        <w:ind w:left="660" w:hanging="330"/>
        <w:spacing w:after="0" w:line="231"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Revenue” includes rental and site services income not allocated to segments. In addition, for the three and nine months ended September 30, 2024, “Other Revenue” includes revenue from the Company’s former ACS reportable segment.</w:t>
      </w:r>
    </w:p>
    <w:p>
      <w:pPr>
        <w:spacing w:after="0" w:line="1" w:lineRule="exact"/>
        <w:rPr>
          <w:rFonts w:ascii="Times New Roman" w:cs="Times New Roman" w:eastAsia="Times New Roman" w:hAnsi="Times New Roman"/>
          <w:sz w:val="21"/>
          <w:szCs w:val="21"/>
          <w:color w:val="auto"/>
          <w:vertAlign w:val="superscript"/>
        </w:rPr>
      </w:pPr>
    </w:p>
    <w:p>
      <w:pPr>
        <w:ind w:left="660" w:hanging="330"/>
        <w:spacing w:after="0" w:line="227"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single customer represented over 10% of the Company’s consolidated net revenue. No country’s net revenue exceeded 10% of the Company’s consolidated net revenue except for the U.S.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rental income, and the results of LivaNova’s former ACS reportable segment.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income to consolidated income (loss) before tax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56,007</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151,023</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207,030</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92,030</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(47,303)</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(248,415)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31,830</w:t>
            </w: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left="660" w:hanging="330"/>
        <w:spacing w:after="0" w:line="241"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expense” includes contractual interest expense associated with LivaNova’s short- and long-term financing arrangements and the amortization of debt discount and issuance costs of $5.9 million and $17.3 million for the three and nine months ended September 30, 2025, respectively, and $5.5 million and $15.7 million for the three and nine months ended September 30, 2024,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segment income, including significant expenses, of LivaNova’s reportable segments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120" w:type="dxa"/>
            <w:vAlign w:val="bottom"/>
          </w:tcPr>
          <w:p>
            <w:pPr>
              <w:spacing w:after="0"/>
              <w:rPr>
                <w:sz w:val="20"/>
                <w:szCs w:val="20"/>
                <w:color w:val="auto"/>
              </w:rPr>
            </w:pPr>
          </w:p>
        </w:tc>
        <w:tc>
          <w:tcPr>
            <w:tcW w:w="28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Neuromodulation</w:t>
            </w:r>
          </w:p>
        </w:tc>
      </w:tr>
      <w:tr>
        <w:trPr>
          <w:trHeight w:val="222"/>
        </w:trPr>
        <w:tc>
          <w:tcPr>
            <w:tcW w:w="5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139,861</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45,529</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33,414</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3T litigation provision</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140" w:type="dxa"/>
            <w:vAlign w:val="bottom"/>
          </w:tcPr>
          <w:p>
            <w:pPr>
              <w:spacing w:after="0"/>
              <w:rPr>
                <w:sz w:val="20"/>
                <w:szCs w:val="20"/>
                <w:color w:val="auto"/>
              </w:rPr>
            </w:pPr>
          </w:p>
        </w:tc>
        <w:tc>
          <w:tcPr>
            <w:tcW w:w="28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Neuromodulation</w:t>
            </w:r>
          </w:p>
        </w:tc>
      </w:tr>
      <w:tr>
        <w:trPr>
          <w:trHeight w:val="222"/>
        </w:trPr>
        <w:tc>
          <w:tcPr>
            <w:tcW w:w="5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416,609</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33,916</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137,322</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94,348</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3T litigation provision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713"/>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51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presents assets by reportable segment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 w:type="dxa"/>
            <w:vAlign w:val="bottom"/>
            <w:tcBorders>
              <w:bottom w:val="single" w:sz="8" w:color="CCEEFF"/>
            </w:tcBorders>
          </w:tcPr>
          <w:p>
            <w:pPr>
              <w:spacing w:after="0"/>
              <w:rPr>
                <w:sz w:val="20"/>
                <w:szCs w:val="20"/>
                <w:color w:val="auto"/>
              </w:rPr>
            </w:pPr>
          </w:p>
        </w:tc>
        <w:tc>
          <w:tcPr>
            <w:tcW w:w="46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2"/>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1,018,811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900,672</w:t>
            </w:r>
          </w:p>
        </w:tc>
        <w:tc>
          <w:tcPr>
            <w:tcW w:w="0" w:type="dxa"/>
            <w:vAlign w:val="bottom"/>
          </w:tcPr>
          <w:p>
            <w:pPr>
              <w:spacing w:after="0"/>
              <w:rPr>
                <w:sz w:val="1"/>
                <w:szCs w:val="1"/>
                <w:color w:val="auto"/>
              </w:rPr>
            </w:pPr>
          </w:p>
        </w:tc>
      </w:tr>
      <w:tr>
        <w:trPr>
          <w:trHeight w:val="22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640,956</w:t>
            </w:r>
          </w:p>
        </w:tc>
        <w:tc>
          <w:tcPr>
            <w:tcW w:w="0" w:type="dxa"/>
            <w:vAlign w:val="bottom"/>
          </w:tcPr>
          <w:p>
            <w:pPr>
              <w:spacing w:after="0"/>
              <w:rPr>
                <w:sz w:val="1"/>
                <w:szCs w:val="1"/>
                <w:color w:val="auto"/>
              </w:rPr>
            </w:pPr>
          </w:p>
        </w:tc>
      </w:tr>
      <w:tr>
        <w:trPr>
          <w:trHeight w:val="228"/>
        </w:trPr>
        <w:tc>
          <w:tcPr>
            <w:tcW w:w="51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898,802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964,761</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2,557,583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2,506,389</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(1)</w:t>
            </w:r>
          </w:p>
        </w:tc>
        <w:tc>
          <w:tcPr>
            <w:tcW w:w="61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auto"/>
              </w:rPr>
              <w:t>“Other assets” primarily includes corporate assets not allocated to segments.</w:t>
            </w: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540" w:type="dxa"/>
            <w:vAlign w:val="bottom"/>
            <w:vMerge w:val="continue"/>
          </w:tcPr>
          <w:p>
            <w:pPr>
              <w:spacing w:after="0"/>
              <w:rPr>
                <w:sz w:val="24"/>
                <w:szCs w:val="24"/>
                <w:color w:val="auto"/>
              </w:rPr>
            </w:pPr>
          </w:p>
        </w:tc>
        <w:tc>
          <w:tcPr>
            <w:tcW w:w="618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540" w:type="dxa"/>
            <w:vAlign w:val="bottom"/>
          </w:tcPr>
          <w:p>
            <w:pPr>
              <w:spacing w:after="0"/>
              <w:rPr>
                <w:sz w:val="6"/>
                <w:szCs w:val="6"/>
                <w:color w:val="auto"/>
              </w:rPr>
            </w:pPr>
          </w:p>
        </w:tc>
        <w:tc>
          <w:tcPr>
            <w:tcW w:w="618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6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by reportable segment (in thousands):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4"/>
                <w:szCs w:val="24"/>
                <w:color w:val="auto"/>
              </w:rPr>
            </w:pPr>
          </w:p>
        </w:tc>
        <w:tc>
          <w:tcPr>
            <w:tcW w:w="2860" w:type="dxa"/>
            <w:vAlign w:val="bottom"/>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2"/>
        </w:trPr>
        <w:tc>
          <w:tcPr>
            <w:tcW w:w="54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2"/>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0" w:type="dxa"/>
            <w:vAlign w:val="bottom"/>
          </w:tcPr>
          <w:p>
            <w:pPr>
              <w:spacing w:after="0"/>
              <w:rPr>
                <w:sz w:val="1"/>
                <w:szCs w:val="1"/>
                <w:color w:val="auto"/>
              </w:rPr>
            </w:pPr>
          </w:p>
        </w:tc>
      </w:tr>
      <w:tr>
        <w:trPr>
          <w:trHeight w:val="22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28"/>
        </w:trPr>
        <w:tc>
          <w:tcPr>
            <w:tcW w:w="51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capital expenditures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51,061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capital expenditures” primarily includes corporate capital expenditures not allocated to segments.</w:t>
      </w:r>
    </w:p>
    <w:p>
      <w:pPr>
        <w:spacing w:after="0" w:line="9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presents changes in the carrying amount of goodwill by reportable segment for the nine months ended September 30, 2025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750,006</w:t>
            </w: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41,028</w:t>
            </w:r>
          </w:p>
        </w:tc>
      </w:tr>
      <w:tr>
        <w:trPr>
          <w:trHeight w:val="24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791,034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Geographic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property, plant, and equipment, net by geographic region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94,394</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22"/>
        </w:trPr>
        <w:tc>
          <w:tcPr>
            <w:tcW w:w="7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170,260</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Supplemental Financial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inventories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w:t>
            </w:r>
          </w:p>
        </w:tc>
      </w:tr>
      <w:tr>
        <w:trPr>
          <w:trHeight w:val="222"/>
        </w:trPr>
        <w:tc>
          <w:tcPr>
            <w:tcW w:w="7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147,566</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of September 30, 2025 and December 31, 2024, inventories included adjustments totaling $20.7 million and $16.4 million, respectively, to record balances at the lower of cost or net realizable value.</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accrued liabilities and other (in thousands):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6"/>
        </w:trPr>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professional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Italian MedTech payback measure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15,981</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accrual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33,463</w:t>
            </w:r>
          </w:p>
        </w:tc>
      </w:tr>
      <w:tr>
        <w:trPr>
          <w:trHeight w:val="222"/>
        </w:trPr>
        <w:tc>
          <w:tcPr>
            <w:tcW w:w="7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118,485</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As of September 30, 2025 and December 31, 2024, contract liabilities totaling $15.3 million and $14.7 million, respectively, were included in accrued liabilities and other long-term liabilities on the condensed consolidated balance sheets.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items included in foreign exchange and other income/(expense) on the condensed consolidated statements of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tcPr>
          <w:p>
            <w:pPr>
              <w:spacing w:after="0"/>
              <w:rPr>
                <w:sz w:val="20"/>
                <w:szCs w:val="20"/>
                <w:color w:val="auto"/>
              </w:rPr>
            </w:pPr>
          </w:p>
        </w:tc>
        <w:tc>
          <w:tcPr>
            <w:tcW w:w="29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54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4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Embedded derivative fair value adjustment (2025 Notes)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8"/>
        </w:trPr>
        <w:tc>
          <w:tcPr>
            <w:tcW w:w="54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Embedded derivative fair value adjustment (2029 Notes)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r>
      <w:tr>
        <w:trPr>
          <w:trHeight w:val="228"/>
        </w:trPr>
        <w:tc>
          <w:tcPr>
            <w:tcW w:w="54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Capped call fair value adjustment (2025 Notes)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r>
      <w:tr>
        <w:trPr>
          <w:trHeight w:val="228"/>
        </w:trPr>
        <w:tc>
          <w:tcPr>
            <w:tcW w:w="54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Capped call fair value adjustment (2029 Notes)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28"/>
        </w:trPr>
        <w:tc>
          <w:tcPr>
            <w:tcW w:w="54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revaluation - Ceribell, Inc.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4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Impairments of investments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w:t>
            </w: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FX fluctuations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2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2"/>
        </w:trPr>
        <w:tc>
          <w:tcPr>
            <w:tcW w:w="54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3. Fair Value Measurements.”</w:t>
      </w:r>
    </w:p>
    <w:p>
      <w:pPr>
        <w:spacing w:after="0" w:line="9" w:lineRule="exact"/>
        <w:rPr>
          <w:rFonts w:ascii="Times New Roman" w:cs="Times New Roman" w:eastAsia="Times New Roman" w:hAnsi="Times New Roman"/>
          <w:sz w:val="21"/>
          <w:szCs w:val="21"/>
          <w:color w:val="auto"/>
          <w:vertAlign w:val="superscript"/>
        </w:rPr>
      </w:pPr>
    </w:p>
    <w:p>
      <w:pPr>
        <w:ind w:left="660" w:hanging="330"/>
        <w:spacing w:after="0" w:line="221"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second quarter of 2025, LivaNova liquidated its investment in Ceribell, Inc., consisting of 391,952 common shares, in a series of transactions with an average sales price of $16.69 per common share, resulting in net proceeds of $6.5 million from an initial investment in 2018 of $3.0 million.</w:t>
      </w:r>
    </w:p>
    <w:p>
      <w:pPr>
        <w:spacing w:after="0" w:line="1" w:lineRule="exact"/>
        <w:rPr>
          <w:rFonts w:ascii="Times New Roman" w:cs="Times New Roman" w:eastAsia="Times New Roman" w:hAnsi="Times New Roman"/>
          <w:sz w:val="21"/>
          <w:szCs w:val="21"/>
          <w:color w:val="auto"/>
          <w:vertAlign w:val="superscript"/>
        </w:rPr>
      </w:pPr>
    </w:p>
    <w:p>
      <w:pPr>
        <w:ind w:left="660" w:hanging="330"/>
        <w:spacing w:after="0" w:line="227"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nine months ended September 30, 2025, LivaNova recorded an impairment of its investment in Highlife S.A.S. For the nine months ended September 30, 2024, LivaNova recorded an impairment related to the Company’s preferred share ownership converting into common stock of ShiraTronics, Inc.</w:t>
      </w:r>
    </w:p>
    <w:p>
      <w:pPr>
        <w:spacing w:after="0" w:line="9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presents a reconciliation of cash, cash equivalents, and restricted cash reported on the condensed consolidated balance sheets that sum to the total of the amounts shown on the condensed consolidated statements of cash flows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428,858</w:t>
            </w:r>
          </w:p>
        </w:tc>
      </w:tr>
      <w:tr>
        <w:trPr>
          <w:trHeight w:val="228"/>
        </w:trPr>
        <w:tc>
          <w:tcPr>
            <w:tcW w:w="72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294,698</w:t>
            </w:r>
          </w:p>
        </w:tc>
      </w:tr>
      <w:tr>
        <w:trPr>
          <w:trHeight w:val="247"/>
        </w:trPr>
        <w:tc>
          <w:tcPr>
            <w:tcW w:w="7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723,556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20" w:hanging="330"/>
        <w:spacing w:after="0" w:line="231"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March 18, 2022, LivaNova PLC, acting through its Italian branch, entered into an Indemnity Letter and an Account Pledge Agreement with Barclays, further to which Barclays issued the SNIA Litigation Guarantee. As security for the SNIA Litigation</w:t>
      </w: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ind w:left="660"/>
        <w:spacing w:after="0" w:line="274" w:lineRule="auto"/>
        <w:rPr>
          <w:sz w:val="20"/>
          <w:szCs w:val="20"/>
          <w:color w:val="auto"/>
        </w:rPr>
      </w:pPr>
      <w:r>
        <w:rPr>
          <w:rFonts w:ascii="Times New Roman" w:cs="Times New Roman" w:eastAsia="Times New Roman" w:hAnsi="Times New Roman"/>
          <w:sz w:val="16"/>
          <w:szCs w:val="16"/>
          <w:color w:val="auto"/>
        </w:rPr>
        <w:t>Guarantee, LivaNova was required to grant cash collateral to Barclays in USD in an amount equal to the USD equivalent of 105% of the amount of the SNIA Litigation Guarantee, calibrated on a biweekly basis, which is presented as restricted cash on the condensed consolidated balance sheet. On March 31, 2025, as a result of the decision by the Italian Supreme Court, the SNIA Litigation Guarantee was terminated, and the restriction on the cash deposit held as collateral was released. For additional information, refer to “Note 5. Commitments and Contingencies.”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New Accounting Pronouncements</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following table presents a description of future adoptions of new ASUs issued by the FASB that may have an impact on LivaNova’s consolidated financial statements when adopted: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Issue Date &amp; Standard</w:t>
            </w:r>
          </w:p>
        </w:tc>
        <w:tc>
          <w:tcPr>
            <w:tcW w:w="460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2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Assessment</w:t>
            </w:r>
          </w:p>
        </w:tc>
      </w:tr>
      <w:tr>
        <w:trPr>
          <w:trHeight w:val="155"/>
        </w:trPr>
        <w:tc>
          <w:tcPr>
            <w:tcW w:w="184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December 2023 ASU No.</w:t>
            </w:r>
          </w:p>
        </w:tc>
        <w:tc>
          <w:tcPr>
            <w:tcW w:w="10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This ASU expands annual income tax disclosures primarily</w:t>
            </w:r>
          </w:p>
        </w:tc>
        <w:tc>
          <w:tcPr>
            <w:tcW w:w="10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1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LivaNova does not expect</w:t>
            </w:r>
          </w:p>
        </w:tc>
      </w:tr>
      <w:tr>
        <w:trPr>
          <w:trHeight w:val="162"/>
        </w:trPr>
        <w:tc>
          <w:tcPr>
            <w:tcW w:w="194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2023-09, </w:t>
            </w:r>
            <w:r>
              <w:rPr>
                <w:rFonts w:ascii="Times New Roman" w:cs="Times New Roman" w:eastAsia="Times New Roman" w:hAnsi="Times New Roman"/>
                <w:sz w:val="17"/>
                <w:szCs w:val="17"/>
                <w:i w:val="1"/>
                <w:iCs w:val="1"/>
                <w:color w:val="auto"/>
              </w:rPr>
              <w:t>Income Taxes</w:t>
            </w:r>
          </w:p>
        </w:tc>
        <w:tc>
          <w:tcPr>
            <w:tcW w:w="460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related to the rate reconciliation and income taxes paid.</w:t>
            </w:r>
          </w:p>
        </w:tc>
        <w:tc>
          <w:tcPr>
            <w:tcW w:w="26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this standard will have a</w:t>
            </w:r>
          </w:p>
        </w:tc>
      </w:tr>
      <w:tr>
        <w:trPr>
          <w:trHeight w:val="175"/>
        </w:trPr>
        <w:tc>
          <w:tcPr>
            <w:tcW w:w="194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(Topic 740):</w:t>
            </w:r>
          </w:p>
        </w:tc>
        <w:tc>
          <w:tcPr>
            <w:tcW w:w="4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December 15, 2024, on a</w:t>
            </w:r>
          </w:p>
        </w:tc>
        <w:tc>
          <w:tcPr>
            <w:tcW w:w="2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material effect on the</w:t>
            </w:r>
          </w:p>
        </w:tc>
      </w:tr>
      <w:tr>
        <w:trPr>
          <w:trHeight w:val="174"/>
        </w:trPr>
        <w:tc>
          <w:tcPr>
            <w:tcW w:w="19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Improvements to Income</w:t>
            </w:r>
          </w:p>
        </w:tc>
        <w:tc>
          <w:tcPr>
            <w:tcW w:w="4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prospective basis, with early</w:t>
            </w:r>
          </w:p>
        </w:tc>
        <w:tc>
          <w:tcPr>
            <w:tcW w:w="2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Company’s consolidated</w:t>
            </w:r>
          </w:p>
        </w:tc>
      </w:tr>
      <w:tr>
        <w:trPr>
          <w:trHeight w:val="166"/>
        </w:trPr>
        <w:tc>
          <w:tcPr>
            <w:tcW w:w="19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i w:val="1"/>
                <w:iCs w:val="1"/>
                <w:color w:val="auto"/>
              </w:rPr>
              <w:t>Tax Disclosures</w:t>
            </w:r>
          </w:p>
        </w:tc>
        <w:tc>
          <w:tcPr>
            <w:tcW w:w="4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adoption and retrospective</w:t>
            </w:r>
          </w:p>
        </w:tc>
        <w:tc>
          <w:tcPr>
            <w:tcW w:w="2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financial statements and</w:t>
            </w:r>
          </w:p>
        </w:tc>
      </w:tr>
      <w:tr>
        <w:trPr>
          <w:trHeight w:val="237"/>
        </w:trPr>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application permitted.</w:t>
            </w: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related disclosures.</w:t>
            </w:r>
          </w:p>
        </w:tc>
      </w:tr>
      <w:tr>
        <w:trPr>
          <w:trHeight w:val="161"/>
        </w:trPr>
        <w:tc>
          <w:tcPr>
            <w:tcW w:w="19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November 2024 ASU No.</w:t>
            </w:r>
          </w:p>
        </w:tc>
        <w:tc>
          <w:tcPr>
            <w:tcW w:w="46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This ASU requires disclosure in the notes to financial statements</w:t>
            </w:r>
          </w:p>
        </w:tc>
        <w:tc>
          <w:tcPr>
            <w:tcW w:w="26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202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2024-03, </w:t>
            </w:r>
            <w:r>
              <w:rPr>
                <w:rFonts w:ascii="Times New Roman" w:cs="Times New Roman" w:eastAsia="Times New Roman" w:hAnsi="Times New Roman"/>
                <w:sz w:val="17"/>
                <w:szCs w:val="17"/>
                <w:i w:val="1"/>
                <w:iCs w:val="1"/>
                <w:color w:val="auto"/>
              </w:rPr>
              <w:t>Income</w:t>
            </w:r>
          </w:p>
        </w:tc>
        <w:tc>
          <w:tcPr>
            <w:tcW w:w="46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of additional information disaggregating specific expense</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Statement—Reporting</w:t>
            </w:r>
          </w:p>
        </w:tc>
        <w:tc>
          <w:tcPr>
            <w:tcW w:w="46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categories underlying certain income statement expense line</w:t>
            </w:r>
          </w:p>
        </w:tc>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December 15, 2026, and interim</w:t>
            </w: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standard will have on the</w:t>
            </w: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Comprehensive</w:t>
            </w:r>
          </w:p>
        </w:tc>
        <w:tc>
          <w:tcPr>
            <w:tcW w:w="4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items, including employee compensation, depreciation, and</w:t>
            </w: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beginning after December</w:t>
            </w:r>
          </w:p>
        </w:tc>
        <w:tc>
          <w:tcPr>
            <w:tcW w:w="202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Company’s consolidated</w:t>
            </w: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Income—Expense</w:t>
            </w:r>
          </w:p>
        </w:tc>
        <w:tc>
          <w:tcPr>
            <w:tcW w:w="46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intangible asset amortization, as well as certain other disclosures</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15, 2027. This ASU may be applied</w:t>
            </w: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financial statements and</w:t>
            </w: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Disaggregation</w:t>
            </w:r>
          </w:p>
        </w:tc>
        <w:tc>
          <w:tcPr>
            <w:tcW w:w="46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to provide enhanced transparency into the nature and function of</w:t>
            </w:r>
          </w:p>
        </w:tc>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on either a prospective or</w:t>
            </w: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related disclosures.</w:t>
            </w: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Disclosures</w:t>
            </w:r>
          </w:p>
        </w:tc>
        <w:tc>
          <w:tcPr>
            <w:tcW w:w="4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expenses.</w:t>
            </w: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retrospective basis, with early</w:t>
            </w:r>
          </w:p>
        </w:tc>
        <w:tc>
          <w:tcPr>
            <w:tcW w:w="2020" w:type="dxa"/>
            <w:vAlign w:val="bottom"/>
          </w:tcPr>
          <w:p>
            <w:pPr>
              <w:spacing w:after="0"/>
              <w:rPr>
                <w:sz w:val="15"/>
                <w:szCs w:val="15"/>
                <w:color w:val="auto"/>
              </w:rPr>
            </w:pP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(Subtopic 220-40):</w:t>
            </w: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adoption permitted.</w:t>
            </w:r>
          </w:p>
        </w:tc>
        <w:tc>
          <w:tcPr>
            <w:tcW w:w="2020" w:type="dxa"/>
            <w:vAlign w:val="bottom"/>
          </w:tcPr>
          <w:p>
            <w:pPr>
              <w:spacing w:after="0"/>
              <w:rPr>
                <w:sz w:val="14"/>
                <w:szCs w:val="14"/>
                <w:color w:val="auto"/>
              </w:rPr>
            </w:pP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Disaggregation of Income</w:t>
            </w: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33"/>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Statement Expenses</w:t>
            </w: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69"/>
        </w:trPr>
        <w:tc>
          <w:tcPr>
            <w:tcW w:w="194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July 2025 ASU No. 2025-</w:t>
            </w:r>
          </w:p>
        </w:tc>
        <w:tc>
          <w:tcPr>
            <w:tcW w:w="460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This ASU provides a practical expedient related to the estimation</w:t>
            </w:r>
          </w:p>
        </w:tc>
        <w:tc>
          <w:tcPr>
            <w:tcW w:w="26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2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2"/>
        </w:trPr>
        <w:tc>
          <w:tcPr>
            <w:tcW w:w="194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05, </w:t>
            </w:r>
            <w:r>
              <w:rPr>
                <w:rFonts w:ascii="Times New Roman" w:cs="Times New Roman" w:eastAsia="Times New Roman" w:hAnsi="Times New Roman"/>
                <w:sz w:val="17"/>
                <w:szCs w:val="17"/>
                <w:i w:val="1"/>
                <w:iCs w:val="1"/>
                <w:color w:val="auto"/>
              </w:rPr>
              <w:t>Financial Instruments</w:t>
            </w:r>
          </w:p>
        </w:tc>
        <w:tc>
          <w:tcPr>
            <w:tcW w:w="460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of expected credit losses for current accounts receivable and</w:t>
            </w:r>
          </w:p>
        </w:tc>
        <w:tc>
          <w:tcPr>
            <w:tcW w:w="26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5"/>
        </w:trPr>
        <w:tc>
          <w:tcPr>
            <w:tcW w:w="194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—Credit Losses (Topic</w:t>
            </w:r>
          </w:p>
        </w:tc>
        <w:tc>
          <w:tcPr>
            <w:tcW w:w="46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current contract assets arising from transactions accounted for</w:t>
            </w:r>
          </w:p>
        </w:tc>
        <w:tc>
          <w:tcPr>
            <w:tcW w:w="26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December 15, 2025, and interim</w:t>
            </w:r>
          </w:p>
        </w:tc>
        <w:tc>
          <w:tcPr>
            <w:tcW w:w="2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standard will have on the</w:t>
            </w:r>
          </w:p>
        </w:tc>
      </w:tr>
      <w:tr>
        <w:trPr>
          <w:trHeight w:val="174"/>
        </w:trPr>
        <w:tc>
          <w:tcPr>
            <w:tcW w:w="19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326): Measurement of</w:t>
            </w:r>
          </w:p>
        </w:tc>
        <w:tc>
          <w:tcPr>
            <w:tcW w:w="46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under Topic 606, including those assets acquired in a business</w:t>
            </w:r>
          </w:p>
        </w:tc>
        <w:tc>
          <w:tcPr>
            <w:tcW w:w="26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within those annual</w:t>
            </w:r>
          </w:p>
        </w:tc>
        <w:tc>
          <w:tcPr>
            <w:tcW w:w="2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Company’s consolidated</w:t>
            </w:r>
          </w:p>
        </w:tc>
      </w:tr>
      <w:tr>
        <w:trPr>
          <w:trHeight w:val="162"/>
        </w:trPr>
        <w:tc>
          <w:tcPr>
            <w:tcW w:w="194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Credit Losses for</w:t>
            </w:r>
          </w:p>
        </w:tc>
        <w:tc>
          <w:tcPr>
            <w:tcW w:w="460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combination. The practical expedient permits an entity to assume</w:t>
            </w:r>
          </w:p>
        </w:tc>
        <w:tc>
          <w:tcPr>
            <w:tcW w:w="26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reporting periods, on a prospective</w:t>
            </w:r>
          </w:p>
        </w:tc>
        <w:tc>
          <w:tcPr>
            <w:tcW w:w="2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financial statements and</w:t>
            </w:r>
          </w:p>
        </w:tc>
      </w:tr>
      <w:tr>
        <w:trPr>
          <w:trHeight w:val="175"/>
        </w:trPr>
        <w:tc>
          <w:tcPr>
            <w:tcW w:w="194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Accounts Receivable and</w:t>
            </w:r>
          </w:p>
        </w:tc>
        <w:tc>
          <w:tcPr>
            <w:tcW w:w="46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that current conditions as of the balance sheet date do not change</w:t>
            </w:r>
          </w:p>
        </w:tc>
        <w:tc>
          <w:tcPr>
            <w:tcW w:w="26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basis, with early adoption permitted.</w:t>
            </w:r>
          </w:p>
        </w:tc>
        <w:tc>
          <w:tcPr>
            <w:tcW w:w="2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related disclosures.</w:t>
            </w:r>
          </w:p>
        </w:tc>
      </w:tr>
      <w:tr>
        <w:trPr>
          <w:trHeight w:val="174"/>
        </w:trPr>
        <w:tc>
          <w:tcPr>
            <w:tcW w:w="19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Contract Assets</w:t>
            </w:r>
          </w:p>
        </w:tc>
        <w:tc>
          <w:tcPr>
            <w:tcW w:w="46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for the remaining life of the current accounts receivable and</w:t>
            </w:r>
          </w:p>
        </w:tc>
        <w:tc>
          <w:tcPr>
            <w:tcW w:w="2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228"/>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contract assets.</w:t>
            </w:r>
          </w:p>
        </w:tc>
        <w:tc>
          <w:tcPr>
            <w:tcW w:w="2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161"/>
        </w:trPr>
        <w:tc>
          <w:tcPr>
            <w:tcW w:w="19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September 2025 ASU No.</w:t>
            </w:r>
          </w:p>
        </w:tc>
        <w:tc>
          <w:tcPr>
            <w:tcW w:w="46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This ASU updates the cost capitalization threshold for internal-</w:t>
            </w:r>
          </w:p>
        </w:tc>
        <w:tc>
          <w:tcPr>
            <w:tcW w:w="26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202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2025-06, </w:t>
            </w:r>
            <w:r>
              <w:rPr>
                <w:rFonts w:ascii="Times New Roman" w:cs="Times New Roman" w:eastAsia="Times New Roman" w:hAnsi="Times New Roman"/>
                <w:sz w:val="17"/>
                <w:szCs w:val="17"/>
                <w:i w:val="1"/>
                <w:iCs w:val="1"/>
                <w:color w:val="auto"/>
              </w:rPr>
              <w:t>Intangibles—</w:t>
            </w:r>
          </w:p>
        </w:tc>
        <w:tc>
          <w:tcPr>
            <w:tcW w:w="46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use software development costs by removing all references to</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Goodwill and Other—</w:t>
            </w:r>
          </w:p>
        </w:tc>
        <w:tc>
          <w:tcPr>
            <w:tcW w:w="46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software project development stages and providing new</w:t>
            </w:r>
          </w:p>
        </w:tc>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December 15, 2027, and interim</w:t>
            </w: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standard will have on the</w:t>
            </w: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Internal-Use Software</w:t>
            </w:r>
          </w:p>
        </w:tc>
        <w:tc>
          <w:tcPr>
            <w:tcW w:w="4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guidance on how to evaluate whether the probable-to-complete</w:t>
            </w: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within those annual</w:t>
            </w:r>
          </w:p>
        </w:tc>
        <w:tc>
          <w:tcPr>
            <w:tcW w:w="202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Company’s consolidated</w:t>
            </w: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(Subtopic 350-40):</w:t>
            </w:r>
          </w:p>
        </w:tc>
        <w:tc>
          <w:tcPr>
            <w:tcW w:w="46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recognition threshold has been met.</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reporting periods, with early</w:t>
            </w: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financial statements and</w:t>
            </w: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Targeted Improvements to</w:t>
            </w: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adoption permitted. The transition</w:t>
            </w: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related disclosures.</w:t>
            </w: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the Accounting for</w:t>
            </w: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method may be prospective,</w:t>
            </w:r>
          </w:p>
        </w:tc>
        <w:tc>
          <w:tcPr>
            <w:tcW w:w="2020" w:type="dxa"/>
            <w:vAlign w:val="bottom"/>
          </w:tcPr>
          <w:p>
            <w:pPr>
              <w:spacing w:after="0"/>
              <w:rPr>
                <w:sz w:val="15"/>
                <w:szCs w:val="15"/>
                <w:color w:val="auto"/>
              </w:rPr>
            </w:pPr>
          </w:p>
        </w:tc>
      </w:tr>
      <w:tr>
        <w:trPr>
          <w:trHeight w:val="22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Internal-Use Software</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modified, or retrospective.</w:t>
            </w:r>
          </w:p>
        </w:tc>
        <w:tc>
          <w:tcPr>
            <w:tcW w:w="202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Revision of Previously Issued Financial Statements</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As discussed in “Note 1. Unaudited Condensed Consolidated Financial Statements,” the Company identified and corrected an immaterial error related to the classification of certain employee costs in the Cardiopulmonary segment between cost of sales and selling, general, and administrative expense in the consolidated statements of income (loss).</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9" w:name="page30"/>
    <w:bookmarkEnd w:id="29"/>
    <w:p>
      <w:pPr>
        <w:jc w:val="both"/>
        <w:spacing w:after="0" w:line="295" w:lineRule="auto"/>
        <w:rPr>
          <w:sz w:val="20"/>
          <w:szCs w:val="20"/>
          <w:color w:val="auto"/>
        </w:rPr>
      </w:pPr>
      <w:r>
        <w:rPr>
          <w:rFonts w:ascii="Times New Roman" w:cs="Times New Roman" w:eastAsia="Times New Roman" w:hAnsi="Times New Roman"/>
          <w:sz w:val="18"/>
          <w:szCs w:val="18"/>
          <w:color w:val="auto"/>
        </w:rPr>
        <w:t>The following tables present a summary of the corrections to the impacted financial statement line items in the Company’s financial statements previously issued in the Annual Report on Form 10-K and unaudited Quarterly Reports on Form 10-Q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2023</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6"/>
              </w:rPr>
              <w:t>15,430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397,725</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(15,430)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755,820</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(15,430)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502,699</w:t>
            </w:r>
          </w:p>
        </w:tc>
        <w:tc>
          <w:tcPr>
            <w:tcW w:w="0" w:type="dxa"/>
            <w:vAlign w:val="bottom"/>
          </w:tcPr>
          <w:p>
            <w:pPr>
              <w:spacing w:after="0"/>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4,182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91,704</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8"/>
              </w:rPr>
              <w:t>(4,521)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8"/>
              </w:rPr>
              <w:t>(4,182)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203,208</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(4,521)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(4,182)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125,681</w:t>
            </w:r>
          </w:p>
        </w:tc>
        <w:tc>
          <w:tcPr>
            <w:tcW w:w="0" w:type="dxa"/>
            <w:vAlign w:val="bottom"/>
          </w:tcPr>
          <w:p>
            <w:pPr>
              <w:spacing w:after="0"/>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6"/>
              </w:rPr>
              <w:t>12,404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292,492</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8"/>
              </w:rPr>
              <w:t>(4,235)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(12,404)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639,115</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(4,235)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(12,404)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378,238</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tables present a summary of the corrections to the impacted Cardiopulmonary disaggregated segment income table line items in “Note 17. Geographic and Segment Information” and “Notre 10. Geographic and Segment Information” previously included in the 2024 Annual Report on Form 10-K and in the unaudited March 31, 2025 Quarterly Report on Form 10-Q, respectively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2023</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306,359</w:t>
            </w:r>
          </w:p>
        </w:tc>
        <w:tc>
          <w:tcPr>
            <w:tcW w:w="0" w:type="dxa"/>
            <w:vAlign w:val="bottom"/>
          </w:tcPr>
          <w:p>
            <w:pPr>
              <w:spacing w:after="0"/>
              <w:rPr>
                <w:sz w:val="1"/>
                <w:szCs w:val="1"/>
                <w:color w:val="auto"/>
              </w:rPr>
            </w:pP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191,571</w:t>
            </w: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1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w:t>
            </w:r>
          </w:p>
        </w:tc>
        <w:tc>
          <w:tcPr>
            <w:tcW w:w="0" w:type="dxa"/>
            <w:vAlign w:val="bottom"/>
          </w:tcPr>
          <w:p>
            <w:pPr>
              <w:spacing w:after="0"/>
              <w:rPr>
                <w:sz w:val="1"/>
                <w:szCs w:val="1"/>
                <w:color w:val="auto"/>
              </w:rPr>
            </w:pP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0" w:type="dxa"/>
            <w:vAlign w:val="bottom"/>
          </w:tcPr>
          <w:p>
            <w:pPr>
              <w:spacing w:after="0"/>
              <w:rPr>
                <w:sz w:val="1"/>
                <w:szCs w:val="1"/>
                <w:color w:val="auto"/>
              </w:rPr>
            </w:pPr>
          </w:p>
        </w:tc>
      </w:tr>
      <w:tr>
        <w:trPr>
          <w:trHeight w:val="842"/>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jc w:val="both"/>
        <w:ind w:right="20"/>
        <w:spacing w:after="0" w:line="308" w:lineRule="auto"/>
        <w:rPr>
          <w:sz w:val="20"/>
          <w:szCs w:val="20"/>
          <w:color w:val="auto"/>
        </w:rPr>
      </w:pPr>
      <w:r>
        <w:rPr>
          <w:rFonts w:ascii="Times New Roman" w:cs="Times New Roman" w:eastAsia="Times New Roman" w:hAnsi="Times New Roman"/>
          <w:sz w:val="21"/>
          <w:szCs w:val="21"/>
          <w:b w:val="1"/>
          <w:bCs w:val="1"/>
          <w:color w:val="auto"/>
        </w:rPr>
        <w:t>ITEM 2. MANAGEMENT’S DISCUSSION AND ANALYSIS OF FINANCIAL CONDITION AND RESULTS OF OPERATIONS</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condensed consolidated financial statements and related notes, which appear elsewhere in this Report, and with LivaNova’s 2024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2024 Form 10-K, as updated and supplemented by LivaNova’s Quarterly Reports on Form 10-Q, including in Part II, Item 1A. and elsewhere in this Report. The accompanying unaudited condensed consolidated financial statements of LivaNova and its consolidated subsidiaries have been prepared in accordance with U.S. GAAP on an interim basis. The capitalized terms used below are defined in the “Definitions” section and in the notes to LivaNova’s condensed consolidated financial statements in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Environment and Global Supply Chain</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current macroeconomic environment, including FX volatility, inflationary pressures, and geopolitical instability, and global supply chain challenges have impacted and may continue to impact LivaNova’s business, results of operations, cash flows, and financial condition.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While LivaNova has business continuity plans in place, the impact of the ongoing challenges the Company is navigating, along with their potential escalation, may adversely affect its business.</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the impact that the imposition of tariffs and changes to global trade policies could have on the Company’s results of operations is uncertain. A significant number of LivaNova’s Cardiopulmonary products and component parts are sourced and produced outside of the U.S., including in Italy and Germany. Similarly, LivaNova manufactures its Neuromodulation products in the U.S., which are then often distributed internationally. For additional information, see (1) “Part II, Item 1A. Risk Factors” and elsewhere in this Report and the Company’s other Quarterly Reports on Form 10-Q and (2) “Part I, Item 1A. Risk Factors” of the Company’s 2024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Incident</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previously disclosed, in November 2023, LivaNova detected a cybersecurity incident that resulted in a disruption of portions of the Company’s information technology systems. As a result, the Company engaged external cybersecurity experts, coordinated with law enforcement, implemented remediation measures, and notified affected individuals and regulators as required by applicable law. The incident was contained, and the Company’s mitigation efforts are considered complete. For further discussion on legal and regulatory developments, refer to “Note 5. Commitments and Contingencies” in the condensed consolidated financial statements in this Report.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September 30, 2025, LivaNova incurred direct costs totaling $13.1 million in connection with this cybersecurity incident, including $0.1 million and $2.5 million for the three months ended September 30, 2025 and 2024, respectively, and $1.5 million and $8.2 million for the nine months ended September 30, 2025 and 2024, respectively. The total direct costs incurred primarily include external cybersecurity expert and legal fees, system restoration costs, and $1.2 million related to a class action settlement, and do not include business interruption losses. The Company may incur additional costs related to this incident in the future. LivaNova maintains insurance, including cyber insurance, which is subject to certain retentions and policy limitations that will likely limit the amount that the insurers may reimburse the Company. LivaNova has filed claims for insurance reimbursement of direct costs and business interruption losses related to this incident and has submitted additional claims and supplemental requests for reimbursement as new costs have been incurred. Through September 30, 2025, LivaNova has received $9.6 million, including $6.2 million in reimbursement of direct costs and $3.4 million in reimbursement of business interruption losses. For the nine months ended September 30, 2025, LivaNova received $1.2 million in reimbursement of direct costs. The Company’s insurance coverage may be insufficient to cover all costs and expenses related to this cybersecurity incident or may be unavailable to cover all costs and expenses related to this cybersecurity incident.</w:t>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Business Segments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has two reportable segments: Cardiopulmonary and Neuromodulation. For additional information regarding LivaNova’s reportable segments, historical financial information, and its methodology for the presentation of financial results, refer to the condensed consolidated financial statements and accompanying notes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 In particular, the Cardiopulmonary segment includes the Essenz Perfusion System, the Company’s next-generation HLM with an embedded patient monitor for tailored patient care strategies and sensing technology for data-driven decision-making during cardiopulmonary bypass procedures.</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Information on the Cardiopulmonary segment that could potentially impact LivaNova’s condensed consolidated financial statements and related disclosures is incorporated by reference to “Note 5. Commitments and Contingencies: Product Liability Litigation” in the condensed consolidated financial statements in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Epilepsy</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LivaNova’s principal Neuromodulation product, the VNS Therapy System, is designed as an adjunctive treatment to reduce seizures in people with DRE, and is approved in many jurisdictions globally, including in the U.S. for patients 4 years of age or older with partial onset seizures. The VNS Therapy System consists of an implantable pulse generator and connective lead that stimulates the left vagus nerve, surgical equipment to assist with the implant procedure, and equipment and instruction manuals that enable a treating physician to set parameters for a patient’s pulse generator. The lead does not need to be removed to replace a generator with a depleted battery.</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June 2025, the Company announced the completion of the CORE-VNS study, evaluating comprehensive outcomes of real-world evidence for more than 800 people with drug-resistant epilepsy treated with VNS Therapy worldwide. With the clinical study report now complete, the final 36-month data further validate the effectiveness of VNS Therapy for severe focal seizures in both children and adults with DRE and demonstrate early and lasting outcomes of adjunctive VNS Therapy on severe focal seizures in pediatric and adult patients. Additionally, LivaNova announced that 24-month data on generalized tonic-clonic seizures in people with DRE from the CORE-VNS three-year study have been published in </w:t>
      </w:r>
      <w:r>
        <w:rPr>
          <w:rFonts w:ascii="Times New Roman" w:cs="Times New Roman" w:eastAsia="Times New Roman" w:hAnsi="Times New Roman"/>
          <w:sz w:val="18"/>
          <w:szCs w:val="18"/>
          <w:i w:val="1"/>
          <w:iCs w:val="1"/>
          <w:color w:val="auto"/>
        </w:rPr>
        <w:t>Epilepsia</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Obstructive Sleep Apnea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Neuromodulation segment is also engaged in the development and management of clinical testing for LivaNova’s aura6000 System for treating OSA.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aura6000 device stimulates the hypoglossal nerve, which engages specific tongue and palate muscles to open the airway while a patient sleeps.</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May 2025, the Company announced the 12-month top-line data from its OSPREY clinical trial, evaluating outcomes with the aura6000 System for the treatment of moderate to severe OSA. At 12 months of therapy, the treatment arm responder rate was 65%, with responders defined as those who realized at least a 50% improvement from the baseline AHI and an AHI value below 20. When comparing baseline median values to six and 12 months of therapy (assessed at the seven- and 13-month follow-up visits, respectively), OSPREY subjects showed significant reductions in AHI and ODI over time. Further, after 12 months of treatment, OSPREY subjects in the device stimulation group experienced clinically meaningful improvements in the Epworth Sleepiness Scale and the Functional Outcomes of Sleep Questionnaire.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Depression</w:t>
      </w:r>
    </w:p>
    <w:p>
      <w:pPr>
        <w:spacing w:after="0" w:line="1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Neuromodulation segment also includes the VNS Therapy System for the adjunctive treatment of chronic or recurrent depression for patients 18 years or older who are experiencing a major depressive episode and have not had an adequate response to four or more antidepressant treatments. LivaNova initiated the RECOVER clinical study, a CMS-approved, double-blind, randomized, placebo-controlled trial, in connection with its request that CMS reconsider its previous non-coverage determination.</w:t>
      </w:r>
    </w:p>
    <w:p>
      <w:pPr>
        <w:spacing w:after="0" w:line="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June 2024, the Company announced the preliminary results for the unipolar patient cohort of the RECOVER clinical study, assessing the use of VNS Therapy for TRD. The study did not meet its primary endpoint for the unipolar cohort; however,</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spacing w:after="0" w:line="264" w:lineRule="auto"/>
        <w:rPr>
          <w:sz w:val="20"/>
          <w:szCs w:val="20"/>
          <w:color w:val="auto"/>
        </w:rPr>
      </w:pPr>
      <w:r>
        <w:rPr>
          <w:rFonts w:ascii="Times New Roman" w:cs="Times New Roman" w:eastAsia="Times New Roman" w:hAnsi="Times New Roman"/>
          <w:sz w:val="18"/>
          <w:szCs w:val="18"/>
          <w:color w:val="auto"/>
        </w:rPr>
        <w:t>statistical significance and clinically meaningful benefit were achieved in select secondary endpoints as detailed in two articles published in a peer-reviewed journal in December 2024. Three subsequent peer-reviewed articles, published between March and July 2025, evaluated the sensitivity of symptom measures and demonstrated that symptoms, daily function, and quality of life, taken together as a composite or “tripartite” measure, present a more complete picture of treatment effectiveness in patients with DTD and can inform clinical decision-making by identifying patient features that may be associated with greater benefit from adjunctive active VNS Therapy, such as patients who received prior interventional treatments. Together, the Company believes these articles support the use of VNS Therapy in patients with DTD.</w:t>
      </w:r>
    </w:p>
    <w:p>
      <w:pPr>
        <w:spacing w:after="0" w:line="8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June 2025, the Company announced that it had initiated the process with CMS to seek reconsideration of national Medicare coverage for VNS Therapy in unipolar patients with TRD.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For a discussion of LivaNova’s critical accounting estimates, see “Management’s Discussion and Analysis of Financial Condition and Results of Operations” included in the 2024 Form 10-K. For the nine months ended September 30, 2025, there were no material changes to the application of critical accounting policies and estimates previously disclosed in LivaNova’s 2024 Form 10-K.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LivaNova’s condensed consolidated results of operations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931,607</w:t>
            </w:r>
          </w:p>
        </w:tc>
      </w:tr>
      <w:tr>
        <w:trPr>
          <w:trHeight w:val="228"/>
        </w:trPr>
        <w:tc>
          <w:tcPr>
            <w:tcW w:w="516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292,492</w:t>
            </w:r>
          </w:p>
        </w:tc>
      </w:tr>
      <w:tr>
        <w:trPr>
          <w:trHeight w:val="222"/>
        </w:trPr>
        <w:tc>
          <w:tcPr>
            <w:tcW w:w="516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639,115</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6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378,238</w:t>
            </w:r>
          </w:p>
        </w:tc>
      </w:tr>
      <w:tr>
        <w:trPr>
          <w:trHeight w:val="228"/>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139,206</w:t>
            </w:r>
          </w:p>
        </w:tc>
      </w:tr>
      <w:tr>
        <w:trPr>
          <w:trHeight w:val="228"/>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r>
      <w:tr>
        <w:trPr>
          <w:trHeight w:val="222"/>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92,030</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(47,303)</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24,469</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660" w:hanging="330"/>
        <w:spacing w:after="0" w:line="231" w:lineRule="auto"/>
        <w:tabs>
          <w:tab w:leader="none" w:pos="64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above table presents revised financial results, as discussed in “Note 1. Unaudited Condensed Consolidated Financial Statements” and “Note 13. Revision of Previously Issued Financial Statements” in the condensed consolidated financial statements in this Report.</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Net Revenue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by operating segment and geographic region (in thousands, except for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6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82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8"/>
        </w:trPr>
        <w:tc>
          <w:tcPr>
            <w:tcW w:w="29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8"/>
        </w:trPr>
        <w:tc>
          <w:tcPr>
            <w:tcW w:w="296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2"/>
        </w:trPr>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172,239</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501,844</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0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2"/>
        </w:trPr>
        <w:tc>
          <w:tcPr>
            <w:tcW w:w="29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Other Revenue </w:t>
            </w:r>
            <w:r>
              <w:rPr>
                <w:rFonts w:ascii="Times New Roman" w:cs="Times New Roman" w:eastAsia="Times New Roman" w:hAnsi="Times New Roman"/>
                <w:sz w:val="23"/>
                <w:szCs w:val="23"/>
                <w:b w:val="1"/>
                <w:bCs w:val="1"/>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85,477</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253,208</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47"/>
        </w:trPr>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318,120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931,607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24" w:lineRule="auto"/>
        <w:tabs>
          <w:tab w:leader="none" w:pos="64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5" w:lineRule="exact"/>
        <w:rPr>
          <w:rFonts w:ascii="Times New Roman" w:cs="Times New Roman" w:eastAsia="Times New Roman" w:hAnsi="Times New Roman"/>
          <w:sz w:val="21"/>
          <w:szCs w:val="21"/>
          <w:color w:val="auto"/>
          <w:vertAlign w:val="superscript"/>
        </w:rPr>
      </w:pPr>
    </w:p>
    <w:p>
      <w:pPr>
        <w:ind w:left="660" w:right="20" w:hanging="330"/>
        <w:spacing w:after="0" w:line="296" w:lineRule="auto"/>
        <w:tabs>
          <w:tab w:leader="none" w:pos="651"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“Other Revenue” includes rental and site services income not allocated to segments. In addition, for the three and nine months ended September 30, 2024, “Other Revenue” includes revenue from the Company’s former ACS reportable segment.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segment income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thousands, except for percentages):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800" w:type="dxa"/>
            <w:vAlign w:val="bottom"/>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3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top w:val="single" w:sz="8" w:color="auto"/>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r>
      <w:tr>
        <w:trPr>
          <w:trHeight w:val="228"/>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49,533</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151,023</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7"/>
        </w:trPr>
        <w:tc>
          <w:tcPr>
            <w:tcW w:w="3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245,354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a reconciliation of segment income to consolidated income (loss) before tax, refer to “Note 10. Geographic and Segment Information” in the condensed consolidated financial statements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Cardiopulmonary net revenue for the three and nine months ended September 30, 2025 increased 18.0% to $203.2 million and 15.3% to $578.8 million, respectively, compared to the three and nine months ended September 30, 2024, with growth across all regions, driven by Essenz Perfusion System sales and strong consumables demand.</w:t>
      </w:r>
    </w:p>
    <w:p>
      <w:pPr>
        <w:spacing w:after="0" w:line="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Cardiopulmonary segment income for the three and nine months ended September 30, 2025 was $24.7 million and $80.8 million, respectively, compared to segment income of $21.7 million and $56.0 million for the three and nine months ended September 30, 2024, respectively. These increases in segment income primarily resulted from increases in net revenue, as described above, as well as decreases in the amounts recorded for the litigation provision related to LivaNova’s 3T Heater-Cooler device of $4.0 million and $12.4 million for the three- and nine-month comparative periods, respectively.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Neuromodulation net revenue for the three and nine months ended September 30, 2025 increased 6.9% to $149.5 million and 5.6% to $440.1 million, respectively, compared to the three and nine months ended September 30, 2024, with growth across all regions.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4" w:name="page35"/>
    <w:bookmarkEnd w:id="34"/>
    <w:p>
      <w:pPr>
        <w:jc w:val="both"/>
        <w:spacing w:after="0" w:line="269" w:lineRule="auto"/>
        <w:rPr>
          <w:sz w:val="20"/>
          <w:szCs w:val="20"/>
          <w:color w:val="auto"/>
        </w:rPr>
      </w:pPr>
      <w:r>
        <w:rPr>
          <w:rFonts w:ascii="Times New Roman" w:cs="Times New Roman" w:eastAsia="Times New Roman" w:hAnsi="Times New Roman"/>
          <w:sz w:val="18"/>
          <w:szCs w:val="18"/>
          <w:color w:val="auto"/>
        </w:rPr>
        <w:t>Neuromodulation segment income for the three and nine months ended September 30, 2025 was $56.2 million and $164.6 million, respectively, compared to $49.5 million and $151.0 million for the three and nine months ended September 30, 2024, respectively. These increases in segment income primarily resulted from increases in net revenue, as described above, as well as net decreases in R&amp;D expense for the three- and nine-month comparative periods, primarily resulting from $9.7 million and $19.1 million reductions in costs associated with the Company’s DTD program, respectively.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 and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costs and expenses as a percentage of net 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0" w:type="dxa"/>
            <w:vAlign w:val="bottom"/>
          </w:tcPr>
          <w:p>
            <w:pPr>
              <w:spacing w:after="0"/>
              <w:rPr>
                <w:sz w:val="20"/>
                <w:szCs w:val="20"/>
                <w:color w:val="auto"/>
              </w:rPr>
            </w:pPr>
          </w:p>
        </w:tc>
        <w:tc>
          <w:tcPr>
            <w:tcW w:w="396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8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34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2"/>
        </w:trPr>
        <w:tc>
          <w:tcPr>
            <w:tcW w:w="34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8"/>
        </w:trPr>
        <w:tc>
          <w:tcPr>
            <w:tcW w:w="34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3"/>
                <w:szCs w:val="23"/>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69" w:lineRule="exact"/>
        <w:rPr>
          <w:sz w:val="20"/>
          <w:szCs w:val="20"/>
          <w:color w:val="auto"/>
        </w:rPr>
      </w:pPr>
    </w:p>
    <w:p>
      <w:pPr>
        <w:ind w:left="660" w:hanging="330"/>
        <w:spacing w:after="0" w:line="231" w:lineRule="auto"/>
        <w:tabs>
          <w:tab w:leader="none" w:pos="64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above table and commentary below present revised financial results, as discussed in “Note 1. Unaudited Condensed Consolidated Financial Statements” and “Note 13. Revision of Previously Issued Financial Statements” in the condensed consolidated financial statements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primarily consists of direct labor, allocated overhead, and the acquisition of raw materials and components.</w:t>
      </w:r>
    </w:p>
    <w:p>
      <w:pPr>
        <w:spacing w:after="0" w:line="1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Cost of sales as a percentage of net revenue was 31.6% and 31.8% for the three and nine months ended September 30, 2025, respectively, representing increases of 1.1 and 0.4 percentage points compared to the three and nine months ended September 30, 2024, respectively, primarily resulting from accruals related to increases in the fair value of the ImThera sales-based contingent consideration arrangement of $1.2 million and $3.1 million for the three- and nine-month comparative periods, respectively, as well as unfavorable product mix.</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 primarily consists of sales, marketing, general, and administrative activities.</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SG&amp;A expense as a percentage of net revenue was 38.7% and 39.5% for the three and nine months ended September 30, 2025, respectively, representing decreases of 1.4 and 1.1 percentage points compared to the three and nine months ended September 30, 2024, respectively, primarily due to the decline in costs associated with the November 2023 cybersecurity incident and the impact of related insurance recoveries.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primarily consists of product design and development efforts, clinical study programs, and regulatory activities.</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R&amp;D expense as a percentage of net revenue was 13.6% and 13.0% for the three and nine months ended September 30, 2025, respectively, representing decreases of 1.7 and 1.9 percentage points compared to the three and nine months ended September 30, 2024, respectively, primarily due to reductions in costs associated with the Company’s DTD program of $9.7 million and $19.1 million,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Operating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 primarily consists of charges related to LivaNova’s 3T Heater-Cooler device litigation provision and restructuring expense.</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Other operating expense as a percentage of net revenue was 1.0% and 0.4% for the three and nine months ended September 30, 2025, respectively, representing decreases of 1.9 and 2.8 percentage points compared to the three and nine months ended September 30, 2024, respectively. The decreases were due to decreases of $4.0 million and $12.4 million in the amount recorded for the litigation provision related to LivaNova’s 3T Heater-Cooler device for the three- and nine-month comparative periods, respectively, as well as decreases of $1.5 million and $13.0 million in restructuring costs associated with the 2024 Restructuring Plan for the same periods. For additional information, please refer to “Note 5. Commitments and Contingencies” in the condensed consolidated financial statements in this Report.</w:t>
      </w: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SNIA Environmental Liability Expense</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As a result of the decision by the Italian Supreme Court, the Company recorded the SNIA environmental liability expense in the quarter ended March 31, 2025, and has continued to accrue interest since that time. For additional information, please refer to “Note 5. Commitments and Contingencies” in the condensed consolidated financial statements in this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 on Debt Extinguishment</w:t>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For the nine months ended September 30, 2025, LivaNova incurred a loss on debt extinguishment of $2.7 million associated with the write-off of unamortized debt issuance costs in connection with the early repayment of $200 million on principal borrowings under the Term Facilities in May 2025. For the nine months ended September 30, 2024, LivaNova incurred a loss on debt extinguishment of $25.5 million in connection with the 2025 Notes Repurchase Transaction in March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to $10.9 million and $38.4 million for the three and nine months ended September 30, 2025, respectively, compared to $15.9 million and $47.3 million for the three and nine months ended September 30, 2024, respectively, primarily due to an early repayment on May 2, 2025 of $200 million on principal borrowings under the Term Facilities, as well as decreases in interest rates, partially offset by an increase in amortization of debt issuance costs. For additional information, refer to “Note 4. Financing Arrangements” in the condensed consolidated financial statements in this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Exchange and Other Income/(Expense)</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Foreign exchange and other income/(expense) was expense of $7.5 million and $0.3 million for the three and nine months ended September 30, 2025, respectively, compared to income of $24.7 million and $12.6 million for the three and nine months ended September 30, 2024, respectively. For additional information, refer to “Note 11. Supplemental Financial Information” in the condensed consolidated financial statements in this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PLC is a resident in the UK. LivaNova’s effective income tax rate fluctuates based on, among other factors, changes in pre-tax income in countries with varying statutory tax rates, discrete tax items,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effective income tax rate for the three and nine months ended September 30, 2025 was 21.0% and (10.0)%, respectively, compared to 25.9% and 76.9% for the three and nine months ended September 30, 2024, respectively. The changes in the effective tax rates for the three and nine months ended September 30, 2025, compared to the prior year periods, were primarily attributable to year-over-year changes in income before tax in countries with varying statutory tax rates, certain discrete tax items, including the SNIA environmental liability, and changes in valuation allowances.</w:t>
      </w:r>
    </w:p>
    <w:p>
      <w:pPr>
        <w:spacing w:after="0" w:line="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OBBBA was enacted in the U.S. on July 4, 2025 and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in 2026. LivaNova has accounted for the relevant changes effective for the 2025 tax year within its annual effective tax rate and continues to evaluate certain provisions that will take effect beginning in 2026, which may or may not affect the Company’s 2025 tax return elections.</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6" w:name="page37"/>
    <w:bookmarkEnd w:id="36"/>
    <w:p>
      <w:pPr>
        <w:jc w:val="both"/>
        <w:spacing w:after="0" w:line="295" w:lineRule="auto"/>
        <w:rPr>
          <w:sz w:val="20"/>
          <w:szCs w:val="20"/>
          <w:color w:val="auto"/>
        </w:rPr>
      </w:pPr>
      <w:r>
        <w:rPr>
          <w:rFonts w:ascii="Times New Roman" w:cs="Times New Roman" w:eastAsia="Times New Roman" w:hAnsi="Times New Roman"/>
          <w:sz w:val="18"/>
          <w:szCs w:val="18"/>
          <w:color w:val="auto"/>
        </w:rPr>
        <w:t>LivaNova is subject to income taxes as well as non-income-based taxes in the U.S., the UK, the EU, and various other jurisdictions. LivaNova will continue to monitor developments globally that may impact the Company’s operations.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Based on LivaNova’s current business plan, which includes estimates and assumptions regarding the amount and timing of cash receipts and payments,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commitments and contingencies, including the SNIA environmental liability,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in the 2024 Form 10-K, as well as “Note 5. Commitments and Contingencies” in the condensed consolidated financial statements in this Report.</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LivaNova’s operating and working capital obligations primarily consist of liabilities arising in the normal course of business, including inventory supply contracts, the future settlement of derivative instruments, and future lease payments, as well as contingent consideration arrangements resulting from acquisitions and obligations associated with legal and other accruals.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related to LivaNova’s liquidity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Short-term Liquidity</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428,858</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Availability under the 2021 First Lien Credit Agreement</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53"/>
        </w:trPr>
        <w:tc>
          <w:tcPr>
            <w:tcW w:w="7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653,858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1,127,186</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392,125</w:t>
            </w:r>
          </w:p>
        </w:tc>
        <w:tc>
          <w:tcPr>
            <w:tcW w:w="0" w:type="dxa"/>
            <w:vAlign w:val="bottom"/>
          </w:tcPr>
          <w:p>
            <w:pPr>
              <w:spacing w:after="0"/>
              <w:rPr>
                <w:sz w:val="1"/>
                <w:szCs w:val="1"/>
                <w:color w:val="auto"/>
              </w:rPr>
            </w:pPr>
          </w:p>
        </w:tc>
      </w:tr>
      <w:tr>
        <w:trPr>
          <w:trHeight w:val="253"/>
        </w:trPr>
        <w:tc>
          <w:tcPr>
            <w:tcW w:w="7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735,061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77,339</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Short-term unsecured borrowing arrangements</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42"/>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debt obligations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78,004</w:t>
            </w: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549,624</w:t>
            </w:r>
          </w:p>
        </w:tc>
        <w:tc>
          <w:tcPr>
            <w:tcW w:w="0" w:type="dxa"/>
            <w:vAlign w:val="bottom"/>
          </w:tcPr>
          <w:p>
            <w:pPr>
              <w:spacing w:after="0"/>
              <w:rPr>
                <w:sz w:val="1"/>
                <w:szCs w:val="1"/>
                <w:color w:val="auto"/>
              </w:rPr>
            </w:pPr>
          </w:p>
        </w:tc>
      </w:tr>
      <w:tr>
        <w:trPr>
          <w:trHeight w:val="247"/>
        </w:trPr>
        <w:tc>
          <w:tcPr>
            <w:tcW w:w="7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627,628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40" w:hanging="310"/>
        <w:spacing w:after="0"/>
        <w:tabs>
          <w:tab w:leader="none" w:pos="6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2, 2025, LivaNova made an early repayment of $200 million on principal borrowings under the Term Facilities.</w:t>
      </w:r>
    </w:p>
    <w:p>
      <w:pPr>
        <w:spacing w:after="0" w:line="9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For information on LivaNova’s debt obligations, refer to “Note 4. Financing Arrangements” in the condensed consolidated financial statements in this Report.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w:t>
      </w:r>
    </w:p>
    <w:p>
      <w:pPr>
        <w:spacing w:after="0" w:line="1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presents net cash, cash equivalents, and restricted cash provided by (used in) operating, investing, and financing activities and the net (decrease) increase in the balance of cash, cash equivalents, and restricted cash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60" w:type="dxa"/>
            <w:vAlign w:val="bottom"/>
            <w:tcBorders>
              <w:bottom w:val="single" w:sz="8" w:color="auto"/>
            </w:tcBorders>
          </w:tcPr>
          <w:p>
            <w:pPr>
              <w:spacing w:after="0"/>
              <w:rPr>
                <w:sz w:val="20"/>
                <w:szCs w:val="20"/>
                <w:color w:val="auto"/>
              </w:rPr>
            </w:pPr>
          </w:p>
        </w:tc>
      </w:tr>
      <w:tr>
        <w:trPr>
          <w:trHeight w:val="222"/>
        </w:trPr>
        <w:tc>
          <w:tcPr>
            <w:tcW w:w="7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104,331</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(37,452)</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21,995</w:t>
            </w:r>
          </w:p>
        </w:tc>
      </w:tr>
      <w:tr>
        <w:trPr>
          <w:trHeight w:val="228"/>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7"/>
        </w:trPr>
        <w:tc>
          <w:tcPr>
            <w:tcW w:w="720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Net (decrease) increase in cash, cash equivalents, and restricted cash </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March 31, 2025, as a result of the decision by the Italian Supreme Court, the SNIA Litigation Guarantee was terminated, and the</w:t>
      </w:r>
    </w:p>
    <w:p>
      <w:pPr>
        <w:spacing w:after="0" w:line="200" w:lineRule="exact"/>
        <w:rPr>
          <w:rFonts w:ascii="Times New Roman" w:cs="Times New Roman" w:eastAsia="Times New Roman" w:hAnsi="Times New Roman"/>
          <w:sz w:val="21"/>
          <w:szCs w:val="21"/>
          <w:color w:val="auto"/>
          <w:vertAlign w:val="superscript"/>
        </w:rPr>
      </w:pPr>
    </w:p>
    <w:p>
      <w:pPr>
        <w:spacing w:after="0" w:line="217" w:lineRule="exact"/>
        <w:rPr>
          <w:rFonts w:ascii="Times New Roman" w:cs="Times New Roman" w:eastAsia="Times New Roman" w:hAnsi="Times New Roman"/>
          <w:sz w:val="21"/>
          <w:szCs w:val="21"/>
          <w:color w:val="auto"/>
          <w:vertAlign w:val="superscript"/>
        </w:rPr>
      </w:pPr>
    </w:p>
    <w:p>
      <w:pPr>
        <w:ind w:left="562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ind w:left="660"/>
        <w:spacing w:after="0" w:line="296" w:lineRule="auto"/>
        <w:rPr>
          <w:sz w:val="20"/>
          <w:szCs w:val="20"/>
          <w:color w:val="auto"/>
        </w:rPr>
      </w:pPr>
      <w:r>
        <w:rPr>
          <w:rFonts w:ascii="Times New Roman" w:cs="Times New Roman" w:eastAsia="Times New Roman" w:hAnsi="Times New Roman"/>
          <w:sz w:val="16"/>
          <w:szCs w:val="16"/>
          <w:color w:val="auto"/>
        </w:rPr>
        <w:t>restriction on the cash deposit held as collateral was released. For additional information, refer to “Note 5. Commitments and Contingencies” in the condensed consolidated financial statements in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2025 increased by $67.6 million compared to the same prior year period, primarily due to higher customer collections resulting from an increase in sales and lower payments related to LivaNova’s 3T Heater-Cooler device litigation provision, as well as restructuring activities, partially offset by an increase in cash outflows for inventories and income taxes.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increased by $5.2 million compared to the same prior year period, primarily due to an increase in purchases of property, plant, and equipment of $12.1 million, principally related to purchases and development of internal-use software, partially offset by proceeds from the sale of LivaNova’s investment in Ceribell, Inc. of $6.5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2025 increased by $244.8 million compared to the same prior year period, primarily due to a decrease in proceeds from net debt borrowings and repayments of $255.3 million, partially offset by the payment of $13.8 million related to the ALung contingent consideration arrangement in the prior year period.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Report in “Part I, Item 1. Financial Statements, Note 2. Derivatives and Risk Management,” “Part I, Item 2. Management’s Discussion and Analysis of Financial Condition and Results of Operations,” and “Part II, Item 1A. Risk Factors” and in LivaNova’s 2024 Form 10-K in “Part II, Item 7. Management’s Discussion and Analysis of Financial Condition and Results of Operations” and “Part I, Item 1A. Risk Factors.”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September 30, 2025, the design and operation of the Company’s disclosure controls and procedures were effective to accomplish their objectives at the reasonable assurance level.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There have been no changes in LivaNova’s internal control over financial reporting (as defined in Rules 13a-15(f) and 15d-15(f) under the Exchange Act) during the quarter ended September 30, 2025 that have materially affected, or are reasonably likely to materially affect, LivaNova’s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1"/>
          <w:szCs w:val="21"/>
          <w:b w:val="1"/>
          <w:bCs w:val="1"/>
          <w:color w:val="auto"/>
        </w:rPr>
        <w:t>PART II.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1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For a description of LivaNova’s material pending legal and regulatory proceedings and settlements, refer to “Note 5. Commitments and Contingencies” in the Company’s condensed consolidated financial statements included in this Report.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1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There have been no material changes in LivaNova’s risk factors from those disclosed in Part I, Item 1A of the Company’s 2024 Annual Report on Form 10-K, and Part II, Item 1A of the Company’s Quarterly Report on Form 10-Q for the quarter ended March 31,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DEFAULTS UPON SENIOR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MINE SAFETY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 OTHER INFORMATION</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During the quarter ended September 30, 2025, none of the Company’s directors or officers (as defined in Rule 16a-1(f) of the Exchange Act) adopted, terminated, or modified a Rule 10b5-1 trading arrangement or non-Rule 10b5-1 trading arrangement (as such terms are defined in Item 408 of Regulation S-K of the Securities 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Pursuant to Section 13(r) of the Exchange Act of 1934</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Section 13(r) of the Exchange Act requires issuers to disclose in quarterly reports, among other things, certain types of dealings with Iran and other entities, including transactions or dealings with government-owned entities, even when those activities are lawful and do not involve U.S. persons. Two of LivaNova’s non-U.S. subsidiaries currently sell medical devices, including cardiopulmonary and neuromodulation products, to distributors and a non-governmental organization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7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LivaNova’s gross revenue and net profits attributable to the above-mentioned Iranian activities were $2.1 million and $1.0 million for the three months ended September 30, 2025, respectively, and $10.8 million and $5.8 million for the nine months ended September 30, 2025, respectively.</w:t>
      </w:r>
    </w:p>
    <w:p>
      <w:pPr>
        <w:spacing w:after="0" w:line="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believes its activities are consistent with applicable law, including U.S., UK, European Union, and other applicable sanctions laws, though such laws are complex and continue to evolve rapidly. The Company intends to continue its business in Iran.</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13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(for example, in the case of Exhibit 32.1) with this Report. Exhibits marked with the cross symbol (†), if any, are management contracts or compensatory plans or arrangements filed pursuant to Item 601(b)(10)(iii) of Regulation S-K.</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80" w:type="dxa"/>
            <w:vAlign w:val="bottom"/>
            <w:vMerge w:val="restart"/>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8"/>
              </w:rPr>
              <w:t>31.1*</w:t>
            </w:r>
          </w:p>
        </w:tc>
        <w:tc>
          <w:tcPr>
            <w:tcW w:w="100" w:type="dxa"/>
            <w:vAlign w:val="bottom"/>
            <w:tcBorders>
              <w:top w:val="single" w:sz="8" w:color="CCEEFF"/>
            </w:tcBorders>
            <w:shd w:val="clear" w:color="auto" w:fill="CCEEFF"/>
          </w:tcPr>
          <w:p>
            <w:pPr>
              <w:spacing w:after="0"/>
              <w:rPr>
                <w:sz w:val="19"/>
                <w:szCs w:val="19"/>
                <w:color w:val="auto"/>
              </w:rPr>
            </w:pPr>
          </w:p>
        </w:tc>
        <w:tc>
          <w:tcPr>
            <w:tcW w:w="10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2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31.2*</w:t>
            </w:r>
          </w:p>
        </w:tc>
        <w:tc>
          <w:tcPr>
            <w:tcW w:w="100" w:type="dxa"/>
            <w:vAlign w:val="bottom"/>
          </w:tcPr>
          <w:p>
            <w:pPr>
              <w:spacing w:after="0"/>
              <w:rPr>
                <w:sz w:val="19"/>
                <w:szCs w:val="19"/>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0000FF"/>
                <w:w w:val="98"/>
              </w:rPr>
              <w:t>32.1*</w:t>
            </w: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of LivaNova PLC pursuant to Section 906 of the Sarbanes-Oxley</w:t>
            </w:r>
          </w:p>
        </w:tc>
        <w:tc>
          <w:tcPr>
            <w:tcW w:w="0" w:type="dxa"/>
            <w:vAlign w:val="bottom"/>
          </w:tcPr>
          <w:p>
            <w:pPr>
              <w:spacing w:after="0"/>
              <w:rPr>
                <w:sz w:val="1"/>
                <w:szCs w:val="1"/>
                <w:color w:val="auto"/>
              </w:rPr>
            </w:pPr>
          </w:p>
        </w:tc>
      </w:tr>
      <w:tr>
        <w:trPr>
          <w:trHeight w:val="233"/>
        </w:trPr>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83"/>
        </w:trPr>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15"/>
                <w:szCs w:val="15"/>
                <w:color w:val="auto"/>
              </w:rPr>
            </w:pP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XBRL: (i) the Condensed Consolidated Statements of</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Income (Loss) for the three and nine months ended September 30, 2025 and 2024, (ii) the Condensed Consolidated Statements of</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Comprehensive Income (Loss) for the three and nine months ended September 30, 2025 and 2024, (iii) the Condensed Consolidated</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Balance Sheets as of September 30, 2025 and December 31, 2024, (iv) the Condensed Consolidated Statements of Cash Flows for the nine</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months ended September 30, 2025 and 2024, and (v) the Notes to the Condensed Consolidated Financial Statements</w:t>
            </w:r>
          </w:p>
        </w:tc>
        <w:tc>
          <w:tcPr>
            <w:tcW w:w="0" w:type="dxa"/>
            <w:vAlign w:val="bottom"/>
          </w:tcPr>
          <w:p>
            <w:pPr>
              <w:spacing w:after="0"/>
              <w:rPr>
                <w:sz w:val="1"/>
                <w:szCs w:val="1"/>
                <w:color w:val="auto"/>
              </w:rPr>
            </w:pPr>
          </w:p>
        </w:tc>
      </w:tr>
      <w:tr>
        <w:trPr>
          <w:trHeight w:val="228"/>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9"/>
                <w:szCs w:val="19"/>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3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5"/>
        </w:trPr>
        <w:tc>
          <w:tcPr>
            <w:tcW w:w="10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13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LIVANOVA PLC</w:t>
            </w:r>
          </w:p>
        </w:tc>
      </w:tr>
      <w:tr>
        <w:trPr>
          <w:trHeight w:val="81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VLADIMIR MAKATSARIA</w:t>
            </w:r>
          </w:p>
        </w:tc>
      </w:tr>
      <w:tr>
        <w:trPr>
          <w:trHeight w:val="227"/>
        </w:trPr>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Vladimir Makatsaria</w:t>
            </w:r>
          </w:p>
        </w:tc>
      </w:tr>
      <w:tr>
        <w:trPr>
          <w:trHeight w:val="237"/>
        </w:trPr>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5"/>
        </w:trPr>
        <w:tc>
          <w:tcPr>
            <w:tcW w:w="1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03"/>
        </w:trPr>
        <w:tc>
          <w:tcPr>
            <w:tcW w:w="1880" w:type="dxa"/>
            <w:vAlign w:val="bottom"/>
          </w:tcPr>
          <w:p>
            <w:pPr>
              <w:spacing w:after="0"/>
              <w:rPr>
                <w:sz w:val="24"/>
                <w:szCs w:val="24"/>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LIVANOVA PLC</w:t>
            </w:r>
          </w:p>
        </w:tc>
      </w:tr>
      <w:tr>
        <w:trPr>
          <w:trHeight w:val="82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ALEX SHVARTSBURG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0</wp:posOffset>
            </wp:positionV>
            <wp:extent cx="4215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15130" cy="8255"/>
                    </a:xfrm>
                    <a:prstGeom prst="rect">
                      <a:avLst/>
                    </a:prstGeom>
                    <a:noFill/>
                  </pic:spPr>
                </pic:pic>
              </a:graphicData>
            </a:graphic>
          </wp:anchor>
        </w:drawing>
      </w:r>
    </w:p>
    <w:p>
      <w:pPr>
        <w:ind w:left="274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3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Vladimir Makatsaria, certify that:</w:t>
      </w:r>
    </w:p>
    <w:p>
      <w:pPr>
        <w:spacing w:after="0" w:line="115" w:lineRule="exact"/>
        <w:rPr>
          <w:sz w:val="20"/>
          <w:szCs w:val="20"/>
          <w:color w:val="auto"/>
        </w:rPr>
      </w:pPr>
    </w:p>
    <w:p>
      <w:pPr>
        <w:ind w:firstLine="330"/>
        <w:spacing w:after="0" w:line="280" w:lineRule="auto"/>
        <w:tabs>
          <w:tab w:leader="none" w:pos="5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LivaNova PLC and its consolidated subsidiaries;</w:t>
      </w:r>
    </w:p>
    <w:p>
      <w:pPr>
        <w:spacing w:after="0" w:line="54" w:lineRule="exact"/>
        <w:rPr>
          <w:rFonts w:ascii="Times New Roman" w:cs="Times New Roman" w:eastAsia="Times New Roman" w:hAnsi="Times New Roman"/>
          <w:sz w:val="18"/>
          <w:szCs w:val="18"/>
          <w:color w:val="auto"/>
        </w:rPr>
      </w:pPr>
    </w:p>
    <w:p>
      <w:pPr>
        <w:ind w:right="20" w:firstLine="330"/>
        <w:spacing w:after="0" w:line="280" w:lineRule="auto"/>
        <w:tabs>
          <w:tab w:leader="none" w:pos="5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5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5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jc w:val="both"/>
        <w:ind w:firstLine="330"/>
        <w:spacing w:after="0" w:line="264"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firstLine="330"/>
        <w:spacing w:after="0" w:line="264"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firstLine="330"/>
        <w:spacing w:after="0" w:line="280" w:lineRule="auto"/>
        <w:tabs>
          <w:tab w:leader="none" w:pos="7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6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0" w:firstLine="330"/>
        <w:spacing w:after="0" w:line="280" w:lineRule="auto"/>
        <w:tabs>
          <w:tab w:leader="none" w:pos="5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firstLine="330"/>
        <w:spacing w:after="0" w:line="280"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63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16510</wp:posOffset>
            </wp:positionV>
            <wp:extent cx="3369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3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Alex Shvartsburg, certify that:</w:t>
      </w:r>
    </w:p>
    <w:p>
      <w:pPr>
        <w:spacing w:after="0" w:line="115" w:lineRule="exact"/>
        <w:rPr>
          <w:sz w:val="20"/>
          <w:szCs w:val="20"/>
          <w:color w:val="auto"/>
        </w:rPr>
      </w:pPr>
    </w:p>
    <w:p>
      <w:pPr>
        <w:ind w:firstLine="330"/>
        <w:spacing w:after="0" w:line="280" w:lineRule="auto"/>
        <w:tabs>
          <w:tab w:leader="none" w:pos="5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LivaNova PLC and its consolidated subsidiaries;</w:t>
      </w:r>
    </w:p>
    <w:p>
      <w:pPr>
        <w:spacing w:after="0" w:line="54" w:lineRule="exact"/>
        <w:rPr>
          <w:rFonts w:ascii="Times New Roman" w:cs="Times New Roman" w:eastAsia="Times New Roman" w:hAnsi="Times New Roman"/>
          <w:sz w:val="18"/>
          <w:szCs w:val="18"/>
          <w:color w:val="auto"/>
        </w:rPr>
      </w:pPr>
    </w:p>
    <w:p>
      <w:pPr>
        <w:ind w:right="20" w:firstLine="330"/>
        <w:spacing w:after="0" w:line="280" w:lineRule="auto"/>
        <w:tabs>
          <w:tab w:leader="none" w:pos="5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5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5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jc w:val="both"/>
        <w:ind w:firstLine="330"/>
        <w:spacing w:after="0" w:line="264"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firstLine="330"/>
        <w:spacing w:after="0" w:line="264"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firstLine="330"/>
        <w:spacing w:after="0" w:line="280" w:lineRule="auto"/>
        <w:tabs>
          <w:tab w:leader="none" w:pos="7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6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0" w:firstLine="330"/>
        <w:spacing w:after="0" w:line="280" w:lineRule="auto"/>
        <w:tabs>
          <w:tab w:leader="none" w:pos="5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firstLine="330"/>
        <w:spacing w:after="0" w:line="280"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6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369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ectPr>
          <w:pgSz w:w="11900" w:h="16838" w:orient="portrait"/>
          <w:cols w:equalWidth="0" w:num="1">
            <w:col w:w="11240"/>
          </w:cols>
          <w:pgMar w:left="320" w:top="104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3"/>
        <w:spacing w:after="0" w:line="373" w:lineRule="auto"/>
        <w:rPr>
          <w:sz w:val="20"/>
          <w:szCs w:val="20"/>
          <w:color w:val="auto"/>
        </w:rPr>
      </w:pPr>
      <w:r>
        <w:rPr>
          <w:rFonts w:ascii="Times New Roman" w:cs="Times New Roman" w:eastAsia="Times New Roman" w:hAnsi="Times New Roman"/>
          <w:sz w:val="18"/>
          <w:szCs w:val="18"/>
          <w:color w:val="auto"/>
        </w:rPr>
        <w:t>Each of Vladimir Makatsaria,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32" w:lineRule="exact"/>
        <w:rPr>
          <w:sz w:val="20"/>
          <w:szCs w:val="20"/>
          <w:color w:val="auto"/>
        </w:rPr>
      </w:pPr>
    </w:p>
    <w:p>
      <w:pPr>
        <w:jc w:val="both"/>
        <w:ind w:firstLine="532"/>
        <w:spacing w:after="0" w:line="373"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and its consolidated subsidiaries for the quarterly period ended September 30, 2025, as filed with the Securities and Exchange Commission on the date hereof (the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20" w:hanging="288"/>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369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16510</wp:posOffset>
            </wp:positionV>
            <wp:extent cx="3369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ind w:firstLine="323"/>
        <w:spacing w:after="0" w:line="29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2025-11-05T11:34:10Z</dcterms:created>
  <dcterms:modified xsi:type="dcterms:W3CDTF">2025-11-05T11:34:10Z</dcterms:modified>
</cp:coreProperties>
</file>