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480" w:type="dxa"/>
            <w:vAlign w:val="bottom"/>
          </w:tcPr>
          <w:p>
            <w:pPr>
              <w:jc w:val="center"/>
              <w:ind w:right="30"/>
              <w:spacing w:after="0"/>
              <w:rPr>
                <w:sz w:val="20"/>
                <w:szCs w:val="20"/>
                <w:color w:val="auto"/>
              </w:rPr>
            </w:pPr>
            <w:r>
              <w:rPr>
                <w:rFonts w:ascii="Arial" w:cs="Arial" w:eastAsia="Arial" w:hAnsi="Arial"/>
                <w:sz w:val="18"/>
                <w:szCs w:val="18"/>
                <w:color w:val="auto"/>
                <w:w w:val="91"/>
              </w:rPr>
              <w:t>(Commission</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2"/>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480" w:type="dxa"/>
            <w:vAlign w:val="bottom"/>
          </w:tcPr>
          <w:p>
            <w:pPr>
              <w:jc w:val="center"/>
              <w:ind w:right="30"/>
              <w:spacing w:after="0"/>
              <w:rPr>
                <w:sz w:val="20"/>
                <w:szCs w:val="20"/>
                <w:color w:val="auto"/>
              </w:rPr>
            </w:pPr>
            <w:r>
              <w:rPr>
                <w:rFonts w:ascii="Arial" w:cs="Arial" w:eastAsia="Arial" w:hAnsi="Arial"/>
                <w:sz w:val="18"/>
                <w:szCs w:val="18"/>
                <w:color w:val="auto"/>
                <w:w w:val="92"/>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12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18"/>
        </w:trPr>
        <w:tc>
          <w:tcPr>
            <w:tcW w:w="212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8" w:lineRule="exact"/>
        <w:rPr>
          <w:rFonts w:ascii="MS PGothic" w:cs="MS PGothic" w:eastAsia="MS PGothic" w:hAnsi="MS PGothic"/>
          <w:sz w:val="22"/>
          <w:szCs w:val="22"/>
          <w:color w:val="auto"/>
        </w:rPr>
      </w:pPr>
    </w:p>
    <w:p>
      <w:pPr>
        <w:ind w:right="2960" w:firstLine="8"/>
        <w:spacing w:after="0" w:line="52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780"/>
        <w:spacing w:after="0" w:line="301" w:lineRule="exact"/>
        <w:tabs>
          <w:tab w:leader="none" w:pos="107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30"/>
          <w:szCs w:val="30"/>
          <w:color w:val="auto"/>
          <w:vertAlign w:val="subscript"/>
        </w:rPr>
        <w:t>☐</w:t>
      </w: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p>
      <w:pPr>
        <w:ind w:left="107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41" w:lineRule="exact"/>
        <w:rPr>
          <w:sz w:val="20"/>
          <w:szCs w:val="20"/>
          <w:color w:val="auto"/>
        </w:rPr>
      </w:pPr>
    </w:p>
    <w:p>
      <w:pPr>
        <w:ind w:right="560"/>
        <w:spacing w:after="0" w:line="260" w:lineRule="auto"/>
        <w:rPr>
          <w:sz w:val="20"/>
          <w:szCs w:val="20"/>
          <w:color w:val="auto"/>
        </w:rPr>
      </w:pPr>
      <w:r>
        <w:rPr>
          <w:rFonts w:ascii="Arial" w:cs="Arial" w:eastAsia="Arial" w:hAnsi="Arial"/>
          <w:sz w:val="19"/>
          <w:szCs w:val="19"/>
          <w:color w:val="auto"/>
        </w:rPr>
        <w:t>On April 23, 2020, LivaNova PLC (“LivaNova” or the “Company”) concluded execution on a series of debt covenant amendments, (together, the “Debt Amendments”) which taken together, materially modify the status of our current debt agreements. The Debt Amendments temporarily amend financial covenants relating to consolidated net financial indebtedness to consolidated EBITDA and consolidated EBITDA to consolidated total net interest payable, waive certain events of default prior to December 31, 2020 relating to COVID-19, and implement a test period of 12 months for certification purposes.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Club Facility</w:t>
      </w:r>
    </w:p>
    <w:p>
      <w:pPr>
        <w:spacing w:after="0" w:line="135"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On April 9, 2020, LivaNova and Barclays Bank PLC (the “Agent”) amended a facility agreement (the “First Club Facility Amendment”) dated March 26, 2019 made between the Company and Bank of America Merrill Lynch International DAC, Barclays Bank plc, BNP Paribas, London Branch and Intesa Sanpaolo S.P.A. as Arranger, Bookrunners and Original Lenders; Bank of America Merrill Lynch International DAC as Documentation Agent and Coordinator; and Barclays Bank plc as Agent (the “Club Facility Agreement”). Capitalized words used herein without definition have the meanings assigned in the Club Facility Agreement, as amended.</w:t>
      </w:r>
    </w:p>
    <w:p>
      <w:pPr>
        <w:spacing w:after="0" w:line="9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First Club Facility Amendment waives any Event of Default occurring on or prior to December 31, 2020 arising under Clause 21.10 (Cessation of business) or Clause 21.13 (Expropriation) (a) caused directly by any suspension of business by any Material Subsidiary or temporary closure of any Material Subsidiary’s manufacturing plants, in each case lasting no more than 45 days in aggregate in the financial year ending on December 31, 2020, resulting from mandatory orders or restrictions imposed by any government or local authority as a result of the COVID-19 pandemic; or (b) under Clause 21.16 (Material adverse change) by virtue of any event or circumstance directly caused by the COVID-19 pandemic, as it currently exists as at the date hereof (and taking into account its anticipated development).</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Further, pursuant to the original Club Facility Agreement, the Company was required to maintain (i) a ratio of Consolidated Net Financial Indebtedness to Consolidated EBITDA ratio of no more than 2.50 and (ii) a ratio of Consolidated EBITDA to Consolidated Total Net Interest Payable of no less than 6.30, in each case of as of certain measurement dates (the “Existing Metrics”). Under the First Club Facility Amendment, beginning with the date thereof and continuing through December 31, 2020, the Company is not required to comply with the Existing Metrics, but is instead required to maintain (i) a ratio of Consolidated Net Financial Indebtedness to Consolidated EBITDA ratio of no more than 3.50 and (ii) a ratio of Consolidated EBITDA to Consolidated Total Net Interest Payable of no less than 5.0, in each case of as of certain measurement dates (such amended ratios, the “Temporary Metrics”).</w:t>
      </w:r>
    </w:p>
    <w:p>
      <w:pPr>
        <w:spacing w:after="0" w:line="104"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On April 23, 2020, the Company and Agent subsequently made an additional amendment (the “Second Club Facility Amendment”) to the aforementioned Club Facility Agreement, defining the term “Test Period” to mean “each period of twelve months ending on an Accounting Date” versus a “period of six or, as the case may be, twelve months” ending on an Accounting Date.</w:t>
      </w:r>
    </w:p>
    <w:p>
      <w:pPr>
        <w:spacing w:after="0" w:line="89"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The description above does not purport to be complete and is qualified in its entirety by the complete text of the First Club Facility Amendment and Second Club Facility Amendment filed as Exhibits 10.1 and 10.2, respectively, to this Current Report on Form 8-K and incorporated herein by reference.</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333" w:right="35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i w:val="1"/>
          <w:iCs w:val="1"/>
          <w:color w:val="auto"/>
        </w:rPr>
        <w:t>Lavoro Facility Agreement</w:t>
      </w:r>
    </w:p>
    <w:p>
      <w:pPr>
        <w:spacing w:after="0" w:line="135" w:lineRule="exact"/>
        <w:rPr>
          <w:sz w:val="20"/>
          <w:szCs w:val="20"/>
          <w:color w:val="auto"/>
        </w:rPr>
      </w:pPr>
    </w:p>
    <w:p>
      <w:pPr>
        <w:ind w:right="620"/>
        <w:spacing w:after="0" w:line="287" w:lineRule="auto"/>
        <w:rPr>
          <w:sz w:val="20"/>
          <w:szCs w:val="20"/>
          <w:color w:val="auto"/>
        </w:rPr>
      </w:pPr>
      <w:r>
        <w:rPr>
          <w:rFonts w:ascii="Arial" w:cs="Arial" w:eastAsia="Arial" w:hAnsi="Arial"/>
          <w:sz w:val="19"/>
          <w:szCs w:val="19"/>
          <w:color w:val="auto"/>
        </w:rPr>
        <w:t>On April 17, 2020, the Company and Banca Nazionale Del Lavoro S.P.A. (the “Lender”) amended a facility agreement (“First Lavoro Amendment”) dated July 25, 2019 made between the Company and the Lender (“Lavoro Facility Agreement”).</w:t>
      </w:r>
    </w:p>
    <w:p>
      <w:pPr>
        <w:spacing w:after="0" w:line="71"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First Lavoro Amendment waives any Event of Default arising under Clause 21.10 (Cessation of business) or Clause 21.13 (Expropriation) caused directly by any suspension of business by any Material Subsidiary or temporary closure of any Material Subsidiary’s manufacturing plants, in each case lasting no more than 45 days in aggregate in the financial year ending December 31, 2020 and resulting directly from mandatory orders or restrictions imposed by any government or local authority as a result of the COVID-19 pandemic (such suspension or closure, a “COVID-19 Closure”); and occurring during the financial year ending December 31, 2020 by virtue of any COVID-19 Closure. Capitalized words used herein without definition have the meanings assigned in the Lavoro Facility Agreement, as amended.</w:t>
      </w:r>
    </w:p>
    <w:p>
      <w:pPr>
        <w:spacing w:after="0" w:line="84"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First Lavoro Amendment also modifies certain financial covenants of the Lavoro Facility Agreement consistent with the changes to the Club Facility Agreement, as amended, by providing that for the period beginning as of the date of the First Lavoro Amendment and ended on December 31, 2020, the Company does not need to comply with the Existing Metrics, and is instead subject to compliance with the Temporary Metrics, in each case as defined above.</w:t>
      </w:r>
    </w:p>
    <w:p>
      <w:pPr>
        <w:spacing w:after="0" w:line="11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On April 21, 2020, the Company and the Lender subsequently made an additional amendment (the “Second Lavoro Amendment”) to the aforementioned Lavoro Facility Agreement, defining the term “Test Period” to mean “each period of twelve months ending on an Accounting Date” versus a “period of six or, as the case may be, twelve months” ending on an Accounting Date.</w:t>
      </w:r>
    </w:p>
    <w:p>
      <w:pPr>
        <w:spacing w:after="0" w:line="89"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The description above does not purport to be complete and is qualified in its entirety by the complete text of the First Lavoro Amendment and Second Lavoro Amendment filed as Exhibits 10.3 and 10.4, respectively, to this Current Report on Form 8-K and incorporated herein by reference. The Lavoro Facility Agreement is filed as Exhibit 10.5 to this Current Report on Form 8-K and incorporated herein by reference.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EIB Finance Contracts</w:t>
      </w:r>
    </w:p>
    <w:p>
      <w:pPr>
        <w:spacing w:after="0" w:line="135"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On April 21, 2020, the Company, Sorin Group Italia S.r.l. and the European Investment Bank (“EIB”) amended (the “EIB Amendment”) (1) the Finance Contract entered into by and between (i) the European Investment Bank and (ii) Sorin S.p.A., Sorin Group Italia S.r.l. and Sorin CRM S.A.S on May 6, 2014 in Luxembourg, as subsequently amended on October 2, 2015, April 26, 2018 and June 6, 2019 (the "</w:t>
      </w:r>
      <w:r>
        <w:rPr>
          <w:rFonts w:ascii="Arial" w:cs="Arial" w:eastAsia="Arial" w:hAnsi="Arial"/>
          <w:sz w:val="18"/>
          <w:szCs w:val="18"/>
          <w:u w:val="single" w:color="auto"/>
          <w:color w:val="auto"/>
        </w:rPr>
        <w:t>Finance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 83.445</w:t>
      </w:r>
      <w:r>
        <w:rPr>
          <w:rFonts w:ascii="Arial" w:cs="Arial" w:eastAsia="Arial" w:hAnsi="Arial"/>
          <w:sz w:val="18"/>
          <w:szCs w:val="18"/>
          <w:color w:val="auto"/>
        </w:rPr>
        <w:t>") and (2) the Finance Contract entered into by and between (i) the European Investment Bank and (ii) Sorin Group Italia S.r.l., Sorin CRM S.A.S and LivaNova PLC on June 21, 2017 in Milan, on June 23, 2017 in Clamart, on June 27, 2017 in London and on June 29, 2017 in Luxembourg, as subsequently amended on April 26, 2008 and on June 6, 2019 (the "</w:t>
      </w:r>
      <w:r>
        <w:rPr>
          <w:rFonts w:ascii="Arial" w:cs="Arial" w:eastAsia="Arial" w:hAnsi="Arial"/>
          <w:sz w:val="18"/>
          <w:szCs w:val="18"/>
          <w:u w:val="single" w:color="auto"/>
          <w:color w:val="auto"/>
        </w:rPr>
        <w:t>Finance Contract 86.677</w:t>
      </w:r>
      <w:r>
        <w:rPr>
          <w:rFonts w:ascii="Arial" w:cs="Arial" w:eastAsia="Arial" w:hAnsi="Arial"/>
          <w:sz w:val="18"/>
          <w:szCs w:val="18"/>
          <w:color w:val="auto"/>
        </w:rPr>
        <w:t>"), (the Finance Contract 83.445 and the Finance Contract 86.677 jointly referred to as the “Finance Contracts”). Capitalized words used herein without definition have the meanings assigned in the Finance Contracts, as amended.</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339" w:right="339" w:bottom="1440" w:gutter="0" w:footer="0" w:header="0"/>
        </w:sectPr>
      </w:pPr>
    </w:p>
    <w:bookmarkStart w:id="3" w:name="page4"/>
    <w:bookmarkEnd w:id="3"/>
    <w:p>
      <w:pPr>
        <w:spacing w:after="0" w:line="243" w:lineRule="auto"/>
        <w:rPr>
          <w:sz w:val="20"/>
          <w:szCs w:val="20"/>
          <w:color w:val="auto"/>
        </w:rPr>
      </w:pPr>
      <w:r>
        <w:rPr>
          <w:rFonts w:ascii="Arial" w:cs="Arial" w:eastAsia="Arial" w:hAnsi="Arial"/>
          <w:sz w:val="20"/>
          <w:szCs w:val="20"/>
          <w:color w:val="auto"/>
        </w:rPr>
        <w:t>Specifically, the EIB Amendment modifies the definition of “Non-Recurring Items” such that the Company can forego compliance on the 35% consolidated EBITDA cap on subsidiary financial indebtedness for the test period ended June 30, 2020. The EIB Amendment also modifies certain financial conditions of the Finance Contracts consistent with the changes to the Club Facility Agreement and the Lavoro Facility Agreement, in each case as amended, by providing that for the period beginning as of the date of the EIB Amendment and ended on December 31, 2020, the Company does not need to comply with the Existing Metrics, and is instead subject to compliance with the Temporary Metrics, in each case as defined above.</w:t>
      </w:r>
    </w:p>
    <w:p>
      <w:pPr>
        <w:spacing w:after="0" w:line="115"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The description above does not purport to be complete and is qualified in its entirety by the complete text of the EIB Amendment filed as Exhibit 10.6, to this Current Report on Form 8-K and incorporated herein by reference.</w:t>
      </w:r>
    </w:p>
    <w:p>
      <w:pPr>
        <w:spacing w:after="0" w:line="90" w:lineRule="exact"/>
        <w:rPr>
          <w:sz w:val="20"/>
          <w:szCs w:val="20"/>
          <w:color w:val="auto"/>
        </w:rPr>
      </w:pPr>
    </w:p>
    <w:p>
      <w:pPr>
        <w:ind w:right="320"/>
        <w:spacing w:after="0" w:line="382" w:lineRule="auto"/>
        <w:rPr>
          <w:sz w:val="20"/>
          <w:szCs w:val="20"/>
          <w:color w:val="auto"/>
        </w:rPr>
      </w:pPr>
      <w:r>
        <w:rPr>
          <w:rFonts w:ascii="Arial" w:cs="Arial" w:eastAsia="Arial" w:hAnsi="Arial"/>
          <w:sz w:val="20"/>
          <w:szCs w:val="20"/>
          <w:b w:val="1"/>
          <w:bCs w:val="1"/>
          <w:color w:val="auto"/>
        </w:rPr>
        <w:t xml:space="preserve">Item 2.03 Creation of a Direct Financial Obligation or an Obligation under an Off-Balance Sheet Arrangement of a Registrant </w:t>
      </w:r>
      <w:r>
        <w:rPr>
          <w:rFonts w:ascii="Arial" w:cs="Arial" w:eastAsia="Arial" w:hAnsi="Arial"/>
          <w:sz w:val="20"/>
          <w:szCs w:val="20"/>
          <w:color w:val="auto"/>
        </w:rPr>
        <w:t>The information set forth under Item 1.01 above is incorporated by reference into this Item 2.03.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900" w:type="dxa"/>
            <w:vAlign w:val="bottom"/>
            <w:gridSpan w:val="3"/>
          </w:tcPr>
          <w:p>
            <w:pPr>
              <w:ind w:left="4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60" w:type="dxa"/>
            <w:vAlign w:val="bottom"/>
            <w:gridSpan w:val="2"/>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First Club Facility Amendment</w:t>
              </w:r>
            </w:hyperlink>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3"/>
                <w:szCs w:val="23"/>
                <w:color w:val="auto"/>
              </w:rPr>
            </w:pPr>
          </w:p>
        </w:tc>
        <w:tc>
          <w:tcPr>
            <w:tcW w:w="2900" w:type="dxa"/>
            <w:vAlign w:val="bottom"/>
            <w:gridSpan w:val="3"/>
          </w:tcPr>
          <w:p>
            <w:pPr>
              <w:ind w:left="440"/>
              <w:spacing w:after="0"/>
              <w:rPr>
                <w:rFonts w:ascii="Arial" w:cs="Arial" w:eastAsia="Arial" w:hAnsi="Arial"/>
                <w:sz w:val="18"/>
                <w:szCs w:val="18"/>
                <w:u w:val="single" w:color="auto"/>
                <w:color w:val="0000FF"/>
                <w:w w:val="91"/>
              </w:rPr>
            </w:pPr>
            <w:hyperlink w:anchor="page11">
              <w:r>
                <w:rPr>
                  <w:rFonts w:ascii="Arial" w:cs="Arial" w:eastAsia="Arial" w:hAnsi="Arial"/>
                  <w:sz w:val="18"/>
                  <w:szCs w:val="18"/>
                  <w:u w:val="single" w:color="auto"/>
                  <w:color w:val="0000FF"/>
                  <w:w w:val="91"/>
                </w:rPr>
                <w:t>Second Club Facility Amendment</w:t>
              </w:r>
            </w:hyperlink>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3"/>
                <w:szCs w:val="23"/>
                <w:color w:val="auto"/>
              </w:rPr>
            </w:pPr>
          </w:p>
        </w:tc>
        <w:tc>
          <w:tcPr>
            <w:tcW w:w="2900" w:type="dxa"/>
            <w:vAlign w:val="bottom"/>
            <w:gridSpan w:val="3"/>
          </w:tcPr>
          <w:p>
            <w:pPr>
              <w:ind w:left="44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First Lavoro Amendment</w:t>
              </w:r>
            </w:hyperlink>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3"/>
                <w:szCs w:val="23"/>
                <w:color w:val="auto"/>
              </w:rPr>
            </w:pPr>
          </w:p>
        </w:tc>
        <w:tc>
          <w:tcPr>
            <w:tcW w:w="2900" w:type="dxa"/>
            <w:vAlign w:val="bottom"/>
            <w:gridSpan w:val="3"/>
          </w:tcPr>
          <w:p>
            <w:pPr>
              <w:ind w:left="4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Second Lavoro Amendment</w:t>
              </w:r>
            </w:hyperlink>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3"/>
                <w:szCs w:val="23"/>
                <w:color w:val="auto"/>
              </w:rPr>
            </w:pPr>
          </w:p>
        </w:tc>
        <w:tc>
          <w:tcPr>
            <w:tcW w:w="2900" w:type="dxa"/>
            <w:vAlign w:val="bottom"/>
            <w:gridSpan w:val="3"/>
          </w:tcPr>
          <w:p>
            <w:pPr>
              <w:ind w:left="4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Lavoro Facility Agreement</w:t>
              </w:r>
            </w:hyperlink>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3"/>
                <w:szCs w:val="23"/>
                <w:color w:val="auto"/>
              </w:rPr>
            </w:pPr>
          </w:p>
        </w:tc>
        <w:tc>
          <w:tcPr>
            <w:tcW w:w="2900" w:type="dxa"/>
            <w:vAlign w:val="bottom"/>
            <w:gridSpan w:val="3"/>
          </w:tcPr>
          <w:p>
            <w:pPr>
              <w:ind w:left="440"/>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EIB Amendment</w:t>
              </w:r>
            </w:hyperlink>
          </w:p>
        </w:tc>
      </w:tr>
    </w:tbl>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00"/>
          </w:cols>
          <w:pgMar w:left="320" w:top="339" w:right="47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April 23,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80"/>
          </w:cols>
          <w:pgMar w:left="320" w:top="337" w:right="59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u w:val="single" w:color="auto"/>
          <w:color w:val="auto"/>
        </w:rPr>
        <w:t>Exhibit 10.1</w:t>
      </w:r>
    </w:p>
    <w:p>
      <w:pPr>
        <w:spacing w:after="0" w:line="200" w:lineRule="exact"/>
        <w:rPr>
          <w:sz w:val="20"/>
          <w:szCs w:val="20"/>
          <w:color w:val="auto"/>
        </w:rPr>
      </w:pP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b w:val="1"/>
          <w:bCs w:val="1"/>
          <w:color w:val="auto"/>
        </w:rPr>
        <w:t xml:space="preserve">LIVANOVA PLC </w:t>
      </w:r>
      <w:r>
        <w:rPr>
          <w:rFonts w:ascii="Arial" w:cs="Arial" w:eastAsia="Arial" w:hAnsi="Arial"/>
          <w:sz w:val="20"/>
          <w:szCs w:val="20"/>
          <w:color w:val="auto"/>
        </w:rPr>
        <w:t>a company incorporated in England and Wales with registration number 09451374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20"/>
          <w:szCs w:val="20"/>
          <w:b w:val="1"/>
          <w:bCs w:val="1"/>
          <w:color w:val="auto"/>
        </w:rPr>
        <w:t>BARCLAYS BANK PLC as Agent</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 9 April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Sirs/Madams</w:t>
      </w:r>
    </w:p>
    <w:p>
      <w:pPr>
        <w:spacing w:after="0" w:line="210" w:lineRule="exact"/>
        <w:rPr>
          <w:sz w:val="20"/>
          <w:szCs w:val="20"/>
          <w:color w:val="auto"/>
        </w:rPr>
      </w:pPr>
    </w:p>
    <w:p>
      <w:pPr>
        <w:spacing w:after="0" w:line="230" w:lineRule="exact"/>
        <w:rPr>
          <w:sz w:val="20"/>
          <w:szCs w:val="20"/>
          <w:color w:val="auto"/>
        </w:rPr>
      </w:pPr>
      <w:r>
        <w:rPr>
          <w:rFonts w:ascii="Arial" w:cs="Arial" w:eastAsia="Arial" w:hAnsi="Arial"/>
          <w:sz w:val="20"/>
          <w:szCs w:val="20"/>
          <w:b w:val="1"/>
          <w:bCs w:val="1"/>
          <w:color w:val="auto"/>
        </w:rPr>
        <w:t xml:space="preserve">LIVANOVA PLC </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AMENDMENT LETTER</w:t>
      </w:r>
    </w:p>
    <w:p>
      <w:pPr>
        <w:spacing w:after="0" w:line="21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w:t>
      </w:r>
    </w:p>
    <w:p>
      <w:pPr>
        <w:spacing w:after="0" w:line="221" w:lineRule="exact"/>
        <w:rPr>
          <w:rFonts w:ascii="Arial" w:cs="Arial" w:eastAsia="Arial" w:hAnsi="Arial"/>
          <w:sz w:val="20"/>
          <w:szCs w:val="20"/>
          <w:b w:val="1"/>
          <w:bCs w:val="1"/>
          <w:color w:val="auto"/>
        </w:rPr>
      </w:pPr>
    </w:p>
    <w:p>
      <w:pPr>
        <w:jc w:val="both"/>
        <w:ind w:left="1300" w:hanging="644"/>
        <w:spacing w:after="0" w:line="263" w:lineRule="auto"/>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color w:val="auto"/>
        </w:rPr>
        <w:t xml:space="preserve">We refer to the facility agreement dated 26 March 2019 and made between (1) LivaNova plc as Company, (2) Bank of America Merrill Lynch International DAC, Barclays Bank plc, BNP Paribas, London Branch, and Intesa Sanpaolo S.P. as Arranger, Bookrunners and Original Lenders, (3) Bank of America Merrill Lynch International DAC as Documentation Agent and Co-ordinator and (4) Barclays Bank plc as Agent (the </w:t>
      </w:r>
      <w:r>
        <w:rPr>
          <w:rFonts w:ascii="Arial" w:cs="Arial" w:eastAsia="Arial" w:hAnsi="Arial"/>
          <w:sz w:val="19"/>
          <w:szCs w:val="19"/>
          <w:b w:val="1"/>
          <w:bCs w:val="1"/>
          <w:color w:val="auto"/>
        </w:rPr>
        <w:t>“Facility Agreement”</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left="1300" w:hanging="644"/>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This Letter is supplemental to and amends the Facility Agreement.</w:t>
      </w:r>
    </w:p>
    <w:p>
      <w:pPr>
        <w:spacing w:after="0" w:line="215" w:lineRule="exact"/>
        <w:rPr>
          <w:rFonts w:ascii="Arial" w:cs="Arial" w:eastAsia="Arial" w:hAnsi="Arial"/>
          <w:sz w:val="20"/>
          <w:szCs w:val="20"/>
          <w:color w:val="auto"/>
        </w:rPr>
      </w:pPr>
    </w:p>
    <w:p>
      <w:pPr>
        <w:jc w:val="both"/>
        <w:ind w:left="1300" w:hanging="644"/>
        <w:spacing w:after="0" w:line="291"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has requested that the Finance Parties agree to certain amendments to the Facility Agreement. Pursuant to clause 33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Facility Agreement, the Majority Lenders have consented to the amendments contemplated by this Letter. Accordingly, the Agent is authorized to execute this Letter on behalf of the Finance Parties.</w:t>
      </w:r>
    </w:p>
    <w:p>
      <w:pPr>
        <w:spacing w:after="0" w:line="14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Letter terms defined in, or construed for the purposes of, the Facility Agreement have the same meanings when used in this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Letter (unless the same are otherwise defined in this Letter):</w:t>
      </w:r>
    </w:p>
    <w:p>
      <w:pPr>
        <w:spacing w:after="0" w:line="194"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b w:val="1"/>
          <w:bCs w:val="1"/>
          <w:color w:val="auto"/>
        </w:rPr>
        <w:t xml:space="preserve">“Amended Facility Agreement” </w:t>
      </w:r>
      <w:r>
        <w:rPr>
          <w:rFonts w:ascii="Arial" w:cs="Arial" w:eastAsia="Arial" w:hAnsi="Arial"/>
          <w:sz w:val="20"/>
          <w:szCs w:val="20"/>
          <w:color w:val="auto"/>
        </w:rPr>
        <w:t>means the Facility Agreement as amended pursuant to paragraph 3.1 (</w:t>
      </w:r>
      <w:r>
        <w:rPr>
          <w:rFonts w:ascii="Arial" w:cs="Arial" w:eastAsia="Arial" w:hAnsi="Arial"/>
          <w:sz w:val="20"/>
          <w:szCs w:val="20"/>
          <w:i w:val="1"/>
          <w:iCs w:val="1"/>
          <w:color w:val="auto"/>
        </w:rPr>
        <w:t>Amendments</w:t>
      </w:r>
      <w:r>
        <w:rPr>
          <w:rFonts w:ascii="Arial" w:cs="Arial" w:eastAsia="Arial" w:hAnsi="Arial"/>
          <w:sz w:val="20"/>
          <w:szCs w:val="20"/>
          <w:color w:val="auto"/>
        </w:rPr>
        <w:t>) of this Letter;</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“Effective Date” </w:t>
      </w:r>
      <w:r>
        <w:rPr>
          <w:rFonts w:ascii="Arial" w:cs="Arial" w:eastAsia="Arial" w:hAnsi="Arial"/>
          <w:sz w:val="20"/>
          <w:szCs w:val="20"/>
          <w:color w:val="auto"/>
        </w:rPr>
        <w:t>means the date of your acknowledgment of this Letter.</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Paragraphs</w:t>
      </w:r>
    </w:p>
    <w:p>
      <w:pPr>
        <w:spacing w:after="0" w:line="216" w:lineRule="exact"/>
        <w:rPr>
          <w:sz w:val="20"/>
          <w:szCs w:val="20"/>
          <w:color w:val="auto"/>
        </w:rPr>
      </w:pPr>
    </w:p>
    <w:p>
      <w:pPr>
        <w:ind w:left="1300" w:hanging="644"/>
        <w:spacing w:after="0" w:line="267" w:lineRule="auto"/>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In this Letter, any reference to a </w:t>
      </w:r>
      <w:r>
        <w:rPr>
          <w:rFonts w:ascii="Arial" w:cs="Arial" w:eastAsia="Arial" w:hAnsi="Arial"/>
          <w:sz w:val="20"/>
          <w:szCs w:val="20"/>
          <w:b w:val="1"/>
          <w:bCs w:val="1"/>
          <w:color w:val="auto"/>
        </w:rPr>
        <w:t>“paragraph”</w:t>
      </w:r>
      <w:r>
        <w:rPr>
          <w:rFonts w:ascii="Arial" w:cs="Arial" w:eastAsia="Arial" w:hAnsi="Arial"/>
          <w:sz w:val="20"/>
          <w:szCs w:val="20"/>
          <w:color w:val="auto"/>
        </w:rPr>
        <w:t xml:space="preserve"> or </w:t>
      </w:r>
      <w:r>
        <w:rPr>
          <w:rFonts w:ascii="Arial" w:cs="Arial" w:eastAsia="Arial" w:hAnsi="Arial"/>
          <w:sz w:val="20"/>
          <w:szCs w:val="20"/>
          <w:b w:val="1"/>
          <w:bCs w:val="1"/>
          <w:color w:val="auto"/>
        </w:rPr>
        <w:t>“schedule”</w:t>
      </w:r>
      <w:r>
        <w:rPr>
          <w:rFonts w:ascii="Arial" w:cs="Arial" w:eastAsia="Arial" w:hAnsi="Arial"/>
          <w:sz w:val="20"/>
          <w:szCs w:val="20"/>
          <w:color w:val="auto"/>
        </w:rPr>
        <w:t xml:space="preserve"> is, unless the context otherwise requires, a reference to a paragraph or schedule of this Letter.</w:t>
      </w:r>
    </w:p>
    <w:p>
      <w:pPr>
        <w:spacing w:after="0" w:line="16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Paragraph and schedule headings are for ease of reference only.</w:t>
      </w:r>
    </w:p>
    <w:p>
      <w:pPr>
        <w:sectPr>
          <w:pgSz w:w="11900" w:h="16838" w:orient="portrait"/>
          <w:cols w:equalWidth="0" w:num="1">
            <w:col w:w="11240"/>
          </w:cols>
          <w:pgMar w:left="320" w:top="333" w:right="339" w:bottom="1440" w:gutter="0" w:footer="0" w:header="0"/>
        </w:sectPr>
      </w:pPr>
    </w:p>
    <w:bookmarkStart w:id="6" w:name="page7"/>
    <w:bookmarkEnd w:id="6"/>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Continuing obligations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Subject to the provisions of this Letter:</w:t>
      </w:r>
    </w:p>
    <w:p>
      <w:pPr>
        <w:spacing w:after="0" w:line="21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Facility Agreement and all the other Finance Documents shall remain in full force and effect;</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as from the Effective Date, the Facility Agreement shall be read and construed as one document with this Letter; and</w:t>
      </w:r>
    </w:p>
    <w:p>
      <w:pPr>
        <w:spacing w:after="0" w:line="227" w:lineRule="exact"/>
        <w:rPr>
          <w:rFonts w:ascii="Arial" w:cs="Arial" w:eastAsia="Arial" w:hAnsi="Arial"/>
          <w:sz w:val="19"/>
          <w:szCs w:val="19"/>
          <w:color w:val="auto"/>
        </w:rPr>
      </w:pPr>
    </w:p>
    <w:p>
      <w:pPr>
        <w:jc w:val="both"/>
        <w:ind w:left="1300" w:hanging="644"/>
        <w:spacing w:after="0" w:line="291"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nothing in this Letter shall constitute or be construed as a waiver (save as specifically and expressly waived under paragraph 3 of this Letter) or release of any right or remedy of a Finance Party under the Finance Documents, nor otherwise prejudice any right or remedy of a Finance Party under the Facility Agreement or any other Finance Document.</w:t>
      </w:r>
    </w:p>
    <w:p>
      <w:pPr>
        <w:spacing w:after="0" w:line="14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CONFIRMATIONS AND FURTHER ASSURANCE</w:t>
      </w:r>
    </w:p>
    <w:p>
      <w:pPr>
        <w:spacing w:after="0" w:line="215"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3.1</w:t>
      </w:r>
      <w:r>
        <w:rPr>
          <w:rFonts w:ascii="Arial" w:cs="Arial" w:eastAsia="Arial" w:hAnsi="Arial"/>
          <w:sz w:val="16"/>
          <w:szCs w:val="16"/>
          <w:b w:val="1"/>
          <w:bCs w:val="1"/>
          <w:color w:val="auto"/>
        </w:rPr>
        <w:t>Amendments</w:t>
      </w:r>
    </w:p>
    <w:p>
      <w:pPr>
        <w:spacing w:after="0" w:line="22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With effect from the Effective Date, the Facility Agreement shall be amended in accordance with schedule 1 (</w:t>
      </w:r>
      <w:r>
        <w:rPr>
          <w:rFonts w:ascii="Arial" w:cs="Arial" w:eastAsia="Arial" w:hAnsi="Arial"/>
          <w:sz w:val="20"/>
          <w:szCs w:val="20"/>
          <w:i w:val="1"/>
          <w:iCs w:val="1"/>
          <w:color w:val="auto"/>
        </w:rPr>
        <w:t>Amendment</w:t>
      </w:r>
      <w:r>
        <w:rPr>
          <w:rFonts w:ascii="Arial" w:cs="Arial" w:eastAsia="Arial" w:hAnsi="Arial"/>
          <w:sz w:val="20"/>
          <w:szCs w:val="20"/>
          <w:color w:val="auto"/>
        </w:rPr>
        <w:t>) to this Letter.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Further assurance</w:t>
      </w:r>
    </w:p>
    <w:p>
      <w:pPr>
        <w:spacing w:after="0" w:line="22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Company shall, at the request of the Lender and at its own expense, do all such acts and things necessary or desirable to give effect to the amendments effected or to be effected pursuant to this Letter.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Waivers</w:t>
      </w:r>
    </w:p>
    <w:p>
      <w:pPr>
        <w:spacing w:after="0" w:line="22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Agent, on behalf of and acting on the instructions of the Majority Lenders, hereby waives any Event of Default occurring on or prior to 31 December 2020:</w:t>
      </w:r>
    </w:p>
    <w:p>
      <w:pPr>
        <w:spacing w:after="0" w:line="177" w:lineRule="exact"/>
        <w:rPr>
          <w:sz w:val="20"/>
          <w:szCs w:val="20"/>
          <w:color w:val="auto"/>
        </w:rPr>
      </w:pPr>
    </w:p>
    <w:p>
      <w:pPr>
        <w:jc w:val="both"/>
        <w:ind w:left="1300" w:hanging="644"/>
        <w:spacing w:after="0" w:line="244" w:lineRule="auto"/>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arising under Clause 21.10 (</w:t>
      </w:r>
      <w:r>
        <w:rPr>
          <w:rFonts w:ascii="Arial" w:cs="Arial" w:eastAsia="Arial" w:hAnsi="Arial"/>
          <w:sz w:val="20"/>
          <w:szCs w:val="20"/>
          <w:i w:val="1"/>
          <w:iCs w:val="1"/>
          <w:color w:val="auto"/>
        </w:rPr>
        <w:t>Cessation of business</w:t>
      </w:r>
      <w:r>
        <w:rPr>
          <w:rFonts w:ascii="Arial" w:cs="Arial" w:eastAsia="Arial" w:hAnsi="Arial"/>
          <w:sz w:val="20"/>
          <w:szCs w:val="20"/>
          <w:color w:val="auto"/>
        </w:rPr>
        <w:t>) or Clause 21.13 (</w:t>
      </w:r>
      <w:r>
        <w:rPr>
          <w:rFonts w:ascii="Arial" w:cs="Arial" w:eastAsia="Arial" w:hAnsi="Arial"/>
          <w:sz w:val="20"/>
          <w:szCs w:val="20"/>
          <w:i w:val="1"/>
          <w:iCs w:val="1"/>
          <w:color w:val="auto"/>
        </w:rPr>
        <w:t>Expropriation</w:t>
      </w:r>
      <w:r>
        <w:rPr>
          <w:rFonts w:ascii="Arial" w:cs="Arial" w:eastAsia="Arial" w:hAnsi="Arial"/>
          <w:sz w:val="20"/>
          <w:szCs w:val="20"/>
          <w:color w:val="auto"/>
        </w:rPr>
        <w:t>) of the Amended Facility Agreement caused directly by any suspension of business by any Material Subsidiary or temporary closure of any Material Subsidiary’s manufacturing plants, in each case lasting no more than 45 days in aggregate in the financial year ending on 31 December 2020, resulting from mandatory orders or restrictions imposed by any government or local authority as a result of the COVID-19 pandemic; and</w:t>
      </w:r>
    </w:p>
    <w:p>
      <w:pPr>
        <w:spacing w:after="0" w:line="194" w:lineRule="exact"/>
        <w:rPr>
          <w:rFonts w:ascii="Arial" w:cs="Arial" w:eastAsia="Arial" w:hAnsi="Arial"/>
          <w:sz w:val="20"/>
          <w:szCs w:val="20"/>
          <w:color w:val="auto"/>
        </w:rPr>
      </w:pPr>
    </w:p>
    <w:p>
      <w:pPr>
        <w:ind w:left="1300" w:right="20" w:hanging="644"/>
        <w:spacing w:after="0" w:line="287" w:lineRule="auto"/>
        <w:tabs>
          <w:tab w:leader="none" w:pos="1300" w:val="left"/>
        </w:tabs>
        <w:numPr>
          <w:ilvl w:val="1"/>
          <w:numId w:val="7"/>
        </w:numPr>
        <w:rPr>
          <w:rFonts w:ascii="Arial" w:cs="Arial" w:eastAsia="Arial" w:hAnsi="Arial"/>
          <w:sz w:val="19"/>
          <w:szCs w:val="19"/>
          <w:color w:val="auto"/>
        </w:rPr>
      </w:pPr>
      <w:r>
        <w:rPr>
          <w:rFonts w:ascii="Arial" w:cs="Arial" w:eastAsia="Arial" w:hAnsi="Arial"/>
          <w:sz w:val="19"/>
          <w:szCs w:val="19"/>
          <w:color w:val="auto"/>
        </w:rPr>
        <w:t>under Clause 21.16 (</w:t>
      </w:r>
      <w:r>
        <w:rPr>
          <w:rFonts w:ascii="Arial" w:cs="Arial" w:eastAsia="Arial" w:hAnsi="Arial"/>
          <w:sz w:val="19"/>
          <w:szCs w:val="19"/>
          <w:i w:val="1"/>
          <w:iCs w:val="1"/>
          <w:color w:val="auto"/>
        </w:rPr>
        <w:t>Material adverse change</w:t>
      </w:r>
      <w:r>
        <w:rPr>
          <w:rFonts w:ascii="Arial" w:cs="Arial" w:eastAsia="Arial" w:hAnsi="Arial"/>
          <w:sz w:val="19"/>
          <w:szCs w:val="19"/>
          <w:color w:val="auto"/>
        </w:rPr>
        <w:t>) by virtue of any event or circumstance directly caused by the COVID-19 pandemic, as it currently exists as at the date hereof (and taking into account its anticipated development).</w:t>
      </w:r>
    </w:p>
    <w:p>
      <w:pPr>
        <w:spacing w:after="0" w:line="146" w:lineRule="exact"/>
        <w:rPr>
          <w:rFonts w:ascii="Arial" w:cs="Arial" w:eastAsia="Arial" w:hAnsi="Arial"/>
          <w:sz w:val="19"/>
          <w:szCs w:val="19"/>
          <w:color w:val="auto"/>
        </w:rPr>
      </w:pPr>
    </w:p>
    <w:p>
      <w:pPr>
        <w:ind w:left="660" w:hanging="652"/>
        <w:spacing w:after="0"/>
        <w:tabs>
          <w:tab w:leader="none" w:pos="6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RELIANCE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6"/>
          <w:szCs w:val="16"/>
          <w:b w:val="1"/>
          <w:bCs w:val="1"/>
          <w:color w:val="auto"/>
        </w:rPr>
        <w:t>Representations</w:t>
      </w:r>
    </w:p>
    <w:p>
      <w:pPr>
        <w:spacing w:after="0" w:line="222"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Company makes the Repeating Representations (as defined in the Amended Facility Agreement) in relation to itself and, where relevant, each of its Subsidiaries on the Effective Date, by reference to the facts and circumstances existing at that date and assuming, in respect of paragraph (a) of Clause 17.11 (</w:t>
      </w:r>
      <w:r>
        <w:rPr>
          <w:rFonts w:ascii="Arial" w:cs="Arial" w:eastAsia="Arial" w:hAnsi="Arial"/>
          <w:sz w:val="16"/>
          <w:szCs w:val="16"/>
          <w:i w:val="1"/>
          <w:iCs w:val="1"/>
          <w:color w:val="auto"/>
        </w:rPr>
        <w:t>No default</w:t>
      </w:r>
      <w:r>
        <w:rPr>
          <w:rFonts w:ascii="Arial" w:cs="Arial" w:eastAsia="Arial" w:hAnsi="Arial"/>
          <w:sz w:val="16"/>
          <w:szCs w:val="16"/>
          <w:color w:val="auto"/>
        </w:rPr>
        <w:t>), the waivers set out in paragraph 3.3 of this Letter have been granted.</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333" w:right="339" w:bottom="1440" w:gutter="0" w:footer="0" w:header="0"/>
        </w:sectPr>
      </w:pPr>
    </w:p>
    <w:bookmarkStart w:id="7" w:name="page8"/>
    <w:bookmarkEnd w:id="7"/>
    <w:p>
      <w:pPr>
        <w:spacing w:after="0"/>
        <w:tabs>
          <w:tab w:leader="none" w:pos="6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Reliance</w:t>
      </w:r>
    </w:p>
    <w:p>
      <w:pPr>
        <w:spacing w:after="0" w:line="22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Company acknowledges that the Lender has entered into this Letter in full reliance on the representations and warranties made by it in the terms stated in this paragraph 4.</w:t>
      </w:r>
    </w:p>
    <w:p>
      <w:pPr>
        <w:spacing w:after="0" w:line="17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COSTS AND EXPENSES</w:t>
      </w:r>
    </w:p>
    <w:p>
      <w:pPr>
        <w:spacing w:after="0" w:line="221" w:lineRule="exact"/>
        <w:rPr>
          <w:rFonts w:ascii="Arial" w:cs="Arial" w:eastAsia="Arial" w:hAnsi="Arial"/>
          <w:sz w:val="20"/>
          <w:szCs w:val="20"/>
          <w:b w:val="1"/>
          <w:bCs w:val="1"/>
          <w:color w:val="auto"/>
        </w:rPr>
      </w:pPr>
    </w:p>
    <w:p>
      <w:pPr>
        <w:jc w:val="both"/>
        <w:ind w:left="660" w:right="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In accordance with clause 16 (</w:t>
      </w:r>
      <w:r>
        <w:rPr>
          <w:rFonts w:ascii="Arial" w:cs="Arial" w:eastAsia="Arial" w:hAnsi="Arial"/>
          <w:sz w:val="20"/>
          <w:szCs w:val="20"/>
          <w:i w:val="1"/>
          <w:iCs w:val="1"/>
          <w:color w:val="auto"/>
        </w:rPr>
        <w:t>Amendments Costs</w:t>
      </w:r>
      <w:r>
        <w:rPr>
          <w:rFonts w:ascii="Arial" w:cs="Arial" w:eastAsia="Arial" w:hAnsi="Arial"/>
          <w:sz w:val="20"/>
          <w:szCs w:val="20"/>
          <w:color w:val="auto"/>
        </w:rPr>
        <w:t>) of the Facility Agreement, the Company shall within three Business Days of demand pay the Agent the amount of all costs and expenses (including legal fees) reasonably incurred by the Agent in responding to the Company’s request and in connection with the negotiation, preparation, printing and execution of this Letter and any other documents referred to in this Letter.</w:t>
      </w:r>
    </w:p>
    <w:p>
      <w:pPr>
        <w:spacing w:after="0" w:line="185" w:lineRule="exact"/>
        <w:rPr>
          <w:rFonts w:ascii="Arial" w:cs="Arial" w:eastAsia="Arial" w:hAnsi="Arial"/>
          <w:sz w:val="20"/>
          <w:szCs w:val="20"/>
          <w:b w:val="1"/>
          <w:bCs w:val="1"/>
          <w:color w:val="auto"/>
        </w:rPr>
      </w:pPr>
    </w:p>
    <w:p>
      <w:pPr>
        <w:ind w:left="660" w:hanging="652"/>
        <w:spacing w:after="0"/>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Counterparts</w:t>
      </w:r>
    </w:p>
    <w:p>
      <w:pPr>
        <w:spacing w:after="0" w:line="222"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This Letter may be executed in any number of counterparts, and this has the same effect as if the signatures on the counterparts were on a single copy of this Letter.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8"/>
          <w:szCs w:val="18"/>
          <w:b w:val="1"/>
          <w:bCs w:val="1"/>
          <w:color w:val="auto"/>
        </w:rPr>
        <w:t>Third party rights</w:t>
      </w:r>
    </w:p>
    <w:p>
      <w:pPr>
        <w:spacing w:after="0" w:line="222" w:lineRule="exact"/>
        <w:rPr>
          <w:sz w:val="20"/>
          <w:szCs w:val="20"/>
          <w:color w:val="auto"/>
        </w:rPr>
      </w:pPr>
    </w:p>
    <w:p>
      <w:pPr>
        <w:jc w:val="both"/>
        <w:ind w:left="1300" w:hanging="644"/>
        <w:spacing w:after="0" w:line="250" w:lineRule="auto"/>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Unless expressly provided to the contrary in a Finance Document, a person (other than a Finance Party) who is not a party to this Letter has no right under the Contracts (Rights of Third Parties) Act 1999 to enforce or enjoy the benefit of any term of this Letter.</w:t>
      </w:r>
    </w:p>
    <w:p>
      <w:pPr>
        <w:spacing w:after="0" w:line="185"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Subject to clause 33 (</w:t>
      </w:r>
      <w:r>
        <w:rPr>
          <w:rFonts w:ascii="Arial" w:cs="Arial" w:eastAsia="Arial" w:hAnsi="Arial"/>
          <w:sz w:val="20"/>
          <w:szCs w:val="20"/>
          <w:i w:val="1"/>
          <w:iCs w:val="1"/>
          <w:color w:val="auto"/>
        </w:rPr>
        <w:t>Amendments and Waivers</w:t>
      </w:r>
      <w:r>
        <w:rPr>
          <w:rFonts w:ascii="Arial" w:cs="Arial" w:eastAsia="Arial" w:hAnsi="Arial"/>
          <w:sz w:val="20"/>
          <w:szCs w:val="20"/>
          <w:color w:val="auto"/>
        </w:rPr>
        <w:t>) of the Facility Agreement, the consent of any person who is not a party to this Letter is not required to rescind or vary this Letter at any time.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Finance Document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Agent and the Company agree that this Letter is a Finance Document.</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6"/>
          <w:szCs w:val="16"/>
          <w:b w:val="1"/>
          <w:bCs w:val="1"/>
          <w:color w:val="auto"/>
        </w:rPr>
        <w:t>Governing law</w:t>
      </w:r>
    </w:p>
    <w:p>
      <w:pPr>
        <w:spacing w:after="0" w:line="22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This Letter and any non</w:t>
      </w:r>
      <w:r>
        <w:rPr>
          <w:rFonts w:ascii="MS PGothic" w:cs="MS PGothic" w:eastAsia="MS PGothic" w:hAnsi="MS PGothic"/>
          <w:sz w:val="20"/>
          <w:szCs w:val="20"/>
          <w:color w:val="auto"/>
        </w:rPr>
        <w:t>‑</w:t>
      </w:r>
      <w:r>
        <w:rPr>
          <w:rFonts w:ascii="Arial" w:cs="Arial" w:eastAsia="Arial" w:hAnsi="Arial"/>
          <w:sz w:val="20"/>
          <w:szCs w:val="20"/>
          <w:color w:val="auto"/>
        </w:rPr>
        <w:t>contractual obligations arising out of or in connection with it shall be governed by English law.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Please confirm your agreement to the above by signing and returning the enclosed copy of this Letter.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Lisa Mariconda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188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Lisa Mariconda</w:t>
      </w:r>
    </w:p>
    <w:p>
      <w:pPr>
        <w:spacing w:after="0"/>
        <w:rPr>
          <w:sz w:val="20"/>
          <w:szCs w:val="20"/>
          <w:color w:val="auto"/>
        </w:rPr>
      </w:pPr>
      <w:r>
        <w:rPr>
          <w:rFonts w:ascii="Arial" w:cs="Arial" w:eastAsia="Arial" w:hAnsi="Arial"/>
          <w:sz w:val="20"/>
          <w:szCs w:val="20"/>
          <w:color w:val="auto"/>
        </w:rPr>
        <w:t>Assistant Vice President</w:t>
      </w:r>
    </w:p>
    <w:p>
      <w:pPr>
        <w:spacing w:after="0"/>
        <w:rPr>
          <w:sz w:val="20"/>
          <w:szCs w:val="20"/>
          <w:color w:val="auto"/>
        </w:rPr>
      </w:pPr>
      <w:r>
        <w:rPr>
          <w:rFonts w:ascii="Arial" w:cs="Arial" w:eastAsia="Arial" w:hAnsi="Arial"/>
          <w:sz w:val="20"/>
          <w:szCs w:val="20"/>
          <w:color w:val="auto"/>
        </w:rPr>
        <w:t>IB Wholesale Lending Operations</w:t>
      </w: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b w:val="1"/>
          <w:bCs w:val="1"/>
          <w:color w:val="auto"/>
        </w:rPr>
        <w:t xml:space="preserve">BARCLAYS BANK PLC </w:t>
      </w:r>
      <w:r>
        <w:rPr>
          <w:rFonts w:ascii="Arial" w:cs="Arial" w:eastAsia="Arial" w:hAnsi="Arial"/>
          <w:sz w:val="20"/>
          <w:szCs w:val="20"/>
          <w:color w:val="auto"/>
        </w:rPr>
        <w:t>as Agent</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SCHEDULE 1: AMENDMENT</w:t>
      </w:r>
    </w:p>
    <w:p>
      <w:pPr>
        <w:spacing w:after="0" w:line="21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AMENDMENT</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The Facility Agreement will be amended as follows:</w:t>
      </w:r>
    </w:p>
    <w:p>
      <w:pPr>
        <w:spacing w:after="0" w:line="215" w:lineRule="exact"/>
        <w:rPr>
          <w:rFonts w:ascii="Arial" w:cs="Arial" w:eastAsia="Arial" w:hAnsi="Arial"/>
          <w:sz w:val="20"/>
          <w:szCs w:val="20"/>
          <w:b w:val="1"/>
          <w:bCs w:val="1"/>
          <w:color w:val="auto"/>
        </w:rPr>
      </w:pPr>
    </w:p>
    <w:p>
      <w:pPr>
        <w:ind w:left="1300" w:right="2400" w:hanging="671"/>
        <w:spacing w:after="0" w:line="464" w:lineRule="auto"/>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following definition shall be inserted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xml:space="preserve">) of the Facility Agreement: </w:t>
      </w:r>
      <w:r>
        <w:rPr>
          <w:rFonts w:ascii="Arial" w:cs="Arial" w:eastAsia="Arial" w:hAnsi="Arial"/>
          <w:sz w:val="20"/>
          <w:szCs w:val="20"/>
          <w:b w:val="1"/>
          <w:bCs w:val="1"/>
          <w:color w:val="auto"/>
        </w:rPr>
        <w:t xml:space="preserve">“First Amendment Date” </w:t>
      </w:r>
      <w:r>
        <w:rPr>
          <w:rFonts w:ascii="Arial" w:cs="Arial" w:eastAsia="Arial" w:hAnsi="Arial"/>
          <w:sz w:val="20"/>
          <w:szCs w:val="20"/>
          <w:color w:val="auto"/>
        </w:rPr>
        <w:t>means 9 April 2020.</w:t>
      </w:r>
    </w:p>
    <w:p>
      <w:pPr>
        <w:spacing w:after="0" w:line="1" w:lineRule="exact"/>
        <w:rPr>
          <w:rFonts w:ascii="Arial" w:cs="Arial" w:eastAsia="Arial" w:hAnsi="Arial"/>
          <w:sz w:val="20"/>
          <w:szCs w:val="20"/>
          <w:color w:val="auto"/>
        </w:rPr>
      </w:pPr>
    </w:p>
    <w:p>
      <w:pPr>
        <w:ind w:left="1300" w:hanging="671"/>
        <w:spacing w:after="0" w:line="260" w:lineRule="auto"/>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Paragraphs (a) and (b) of Clause 19.1 (</w:t>
      </w:r>
      <w:r>
        <w:rPr>
          <w:rFonts w:ascii="Arial" w:cs="Arial" w:eastAsia="Arial" w:hAnsi="Arial"/>
          <w:sz w:val="20"/>
          <w:szCs w:val="20"/>
          <w:i w:val="1"/>
          <w:iCs w:val="1"/>
          <w:color w:val="auto"/>
        </w:rPr>
        <w:t>Financial Condition</w:t>
      </w:r>
      <w:r>
        <w:rPr>
          <w:rFonts w:ascii="Arial" w:cs="Arial" w:eastAsia="Arial" w:hAnsi="Arial"/>
          <w:sz w:val="20"/>
          <w:szCs w:val="20"/>
          <w:color w:val="auto"/>
        </w:rPr>
        <w:t>) of the Facility Agreement shall be deleted and replaced with the following:</w:t>
      </w:r>
    </w:p>
    <w:p>
      <w:pPr>
        <w:spacing w:after="0" w:line="171" w:lineRule="exact"/>
        <w:rPr>
          <w:sz w:val="20"/>
          <w:szCs w:val="20"/>
          <w:color w:val="auto"/>
        </w:rPr>
      </w:pPr>
    </w:p>
    <w:p>
      <w:pPr>
        <w:ind w:left="1280"/>
        <w:spacing w:after="0"/>
        <w:tabs>
          <w:tab w:leader="none" w:pos="186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6"/>
          <w:szCs w:val="16"/>
          <w:b w:val="1"/>
          <w:bCs w:val="1"/>
          <w:color w:val="auto"/>
        </w:rPr>
        <w:t>Financial condition</w:t>
      </w:r>
    </w:p>
    <w:p>
      <w:pPr>
        <w:spacing w:after="0" w:line="200" w:lineRule="exact"/>
        <w:rPr>
          <w:sz w:val="20"/>
          <w:szCs w:val="20"/>
          <w:color w:val="auto"/>
        </w:rPr>
      </w:pPr>
    </w:p>
    <w:p>
      <w:pPr>
        <w:spacing w:after="0" w:line="218" w:lineRule="exact"/>
        <w:rPr>
          <w:sz w:val="20"/>
          <w:szCs w:val="20"/>
          <w:color w:val="auto"/>
        </w:rPr>
      </w:pPr>
    </w:p>
    <w:p>
      <w:pPr>
        <w:ind w:left="1920" w:hanging="643"/>
        <w:spacing w:after="0"/>
        <w:tabs>
          <w:tab w:leader="none" w:pos="19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Consolidated Net Financial Indebtedness to Consolidated EBITDA</w:t>
      </w:r>
      <w:r>
        <w:rPr>
          <w:rFonts w:ascii="Arial" w:cs="Arial" w:eastAsia="Arial" w:hAnsi="Arial"/>
          <w:sz w:val="20"/>
          <w:szCs w:val="20"/>
          <w:color w:val="auto"/>
        </w:rPr>
        <w:t>:</w:t>
      </w:r>
    </w:p>
    <w:p>
      <w:pPr>
        <w:spacing w:after="0" w:line="208" w:lineRule="exact"/>
        <w:rPr>
          <w:rFonts w:ascii="Arial" w:cs="Arial" w:eastAsia="Arial" w:hAnsi="Arial"/>
          <w:sz w:val="20"/>
          <w:szCs w:val="20"/>
          <w:color w:val="auto"/>
        </w:rPr>
      </w:pPr>
    </w:p>
    <w:p>
      <w:pPr>
        <w:jc w:val="both"/>
        <w:ind w:left="2560" w:hanging="635"/>
        <w:spacing w:after="0" w:line="264" w:lineRule="auto"/>
        <w:tabs>
          <w:tab w:leader="none" w:pos="2560" w:val="left"/>
        </w:tabs>
        <w:numPr>
          <w:ilvl w:val="1"/>
          <w:numId w:val="12"/>
        </w:numPr>
        <w:rPr>
          <w:rFonts w:ascii="Arial" w:cs="Arial" w:eastAsia="Arial" w:hAnsi="Arial"/>
          <w:sz w:val="20"/>
          <w:szCs w:val="20"/>
          <w:color w:val="auto"/>
        </w:rPr>
      </w:pPr>
      <w:r>
        <w:rPr>
          <w:rFonts w:ascii="Arial" w:cs="Arial" w:eastAsia="Arial" w:hAnsi="Arial"/>
          <w:sz w:val="20"/>
          <w:szCs w:val="20"/>
          <w:color w:val="auto"/>
        </w:rPr>
        <w:t>Save for the exception provided in the following paragraph, the Company shall ensure that Consolidated Net Financial Indebtedness as at any Accounting Date shall not be more than 2.50 times the Consolidated EBITDA for the applicable Test Period ending on that Accounting Date.</w:t>
      </w:r>
    </w:p>
    <w:p>
      <w:pPr>
        <w:spacing w:after="0" w:line="159" w:lineRule="exact"/>
        <w:rPr>
          <w:rFonts w:ascii="Arial" w:cs="Arial" w:eastAsia="Arial" w:hAnsi="Arial"/>
          <w:sz w:val="20"/>
          <w:szCs w:val="20"/>
          <w:color w:val="auto"/>
        </w:rPr>
      </w:pPr>
    </w:p>
    <w:p>
      <w:pPr>
        <w:jc w:val="both"/>
        <w:ind w:left="2560" w:hanging="635"/>
        <w:spacing w:after="0" w:line="257" w:lineRule="auto"/>
        <w:tabs>
          <w:tab w:leader="none" w:pos="2560" w:val="left"/>
        </w:tabs>
        <w:numPr>
          <w:ilvl w:val="1"/>
          <w:numId w:val="12"/>
        </w:numPr>
        <w:rPr>
          <w:rFonts w:ascii="Arial" w:cs="Arial" w:eastAsia="Arial" w:hAnsi="Arial"/>
          <w:sz w:val="20"/>
          <w:szCs w:val="20"/>
          <w:color w:val="auto"/>
        </w:rPr>
      </w:pPr>
      <w:r>
        <w:rPr>
          <w:rFonts w:ascii="Arial" w:cs="Arial" w:eastAsia="Arial" w:hAnsi="Arial"/>
          <w:sz w:val="20"/>
          <w:szCs w:val="20"/>
          <w:color w:val="auto"/>
        </w:rPr>
        <w:t>During the period from the First Amendment Date to and including the day on which the Compliance Certificate for the financial year ending on 31 December 2020 is (A) delivered or (B) required to be delivered by the Company in accordance with Clause 18.2 (</w:t>
      </w:r>
      <w:r>
        <w:rPr>
          <w:rFonts w:ascii="Arial" w:cs="Arial" w:eastAsia="Arial" w:hAnsi="Arial"/>
          <w:sz w:val="20"/>
          <w:szCs w:val="20"/>
          <w:i w:val="1"/>
          <w:iCs w:val="1"/>
          <w:color w:val="auto"/>
        </w:rPr>
        <w:t>Compliance Certificate</w:t>
      </w:r>
      <w:r>
        <w:rPr>
          <w:rFonts w:ascii="Arial" w:cs="Arial" w:eastAsia="Arial" w:hAnsi="Arial"/>
          <w:sz w:val="20"/>
          <w:szCs w:val="20"/>
          <w:color w:val="auto"/>
        </w:rPr>
        <w:t>) of the Facility Agreement, the Company shall ensure that Consolidated Net Financial Indebtedness as at any Accounting Date during that period shall not be more than 3.50 times the Consolidated EBITDA for the applicable Test Period ending on that Accounting Date.</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Consolidated EBITDA to Consolidated Total Net Interest Payable</w:t>
      </w:r>
      <w:r>
        <w:rPr>
          <w:rFonts w:ascii="Arial" w:cs="Arial" w:eastAsia="Arial" w:hAnsi="Arial"/>
          <w:sz w:val="20"/>
          <w:szCs w:val="20"/>
          <w:color w:val="auto"/>
        </w:rPr>
        <w:t>:</w:t>
      </w:r>
    </w:p>
    <w:p>
      <w:pPr>
        <w:spacing w:after="0" w:line="208" w:lineRule="exact"/>
        <w:rPr>
          <w:rFonts w:ascii="Arial" w:cs="Arial" w:eastAsia="Arial" w:hAnsi="Arial"/>
          <w:sz w:val="20"/>
          <w:szCs w:val="20"/>
          <w:color w:val="auto"/>
        </w:rPr>
      </w:pPr>
    </w:p>
    <w:p>
      <w:pPr>
        <w:jc w:val="both"/>
        <w:ind w:left="2560" w:hanging="635"/>
        <w:spacing w:after="0" w:line="264" w:lineRule="auto"/>
        <w:tabs>
          <w:tab w:leader="none" w:pos="2560" w:val="left"/>
        </w:tabs>
        <w:numPr>
          <w:ilvl w:val="1"/>
          <w:numId w:val="12"/>
        </w:numPr>
        <w:rPr>
          <w:rFonts w:ascii="Arial" w:cs="Arial" w:eastAsia="Arial" w:hAnsi="Arial"/>
          <w:sz w:val="20"/>
          <w:szCs w:val="20"/>
          <w:color w:val="auto"/>
        </w:rPr>
      </w:pPr>
      <w:r>
        <w:rPr>
          <w:rFonts w:ascii="Arial" w:cs="Arial" w:eastAsia="Arial" w:hAnsi="Arial"/>
          <w:sz w:val="20"/>
          <w:szCs w:val="20"/>
          <w:color w:val="auto"/>
        </w:rPr>
        <w:t>Save for the exception provided in the following paragraph, Consolidated EBITDA for the applicable Test Period ending on an Accounting Date shall not be lower than 6.30 times the Consolidated Total Net Interest Payable for that Test Period.</w:t>
      </w:r>
    </w:p>
    <w:p>
      <w:pPr>
        <w:spacing w:after="0" w:line="159" w:lineRule="exact"/>
        <w:rPr>
          <w:rFonts w:ascii="Arial" w:cs="Arial" w:eastAsia="Arial" w:hAnsi="Arial"/>
          <w:sz w:val="20"/>
          <w:szCs w:val="20"/>
          <w:color w:val="auto"/>
        </w:rPr>
      </w:pPr>
    </w:p>
    <w:p>
      <w:pPr>
        <w:jc w:val="both"/>
        <w:ind w:left="2560" w:hanging="635"/>
        <w:spacing w:after="0" w:line="275" w:lineRule="auto"/>
        <w:tabs>
          <w:tab w:leader="none" w:pos="25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During the period from the First Amendment Date to and including the day on the earlier of which the Compliance Certificate for the financial year ending on 31 December 2020 is (A) delivered or (B) required to be delivered by the Company in accordance with Clause 18.2 (</w:t>
      </w:r>
      <w:r>
        <w:rPr>
          <w:rFonts w:ascii="Arial" w:cs="Arial" w:eastAsia="Arial" w:hAnsi="Arial"/>
          <w:sz w:val="19"/>
          <w:szCs w:val="19"/>
          <w:i w:val="1"/>
          <w:iCs w:val="1"/>
          <w:color w:val="auto"/>
        </w:rPr>
        <w:t>Compliance Certificate</w:t>
      </w:r>
      <w:r>
        <w:rPr>
          <w:rFonts w:ascii="Arial" w:cs="Arial" w:eastAsia="Arial" w:hAnsi="Arial"/>
          <w:sz w:val="19"/>
          <w:szCs w:val="19"/>
          <w:color w:val="auto"/>
        </w:rPr>
        <w:t>) of the Facility Agreement, Consolidated EBITDA for the applicable Test Period ending on an Accounting Date shall not be lower than 5 times the Consolidated Total Net Interest Payable for that Test Period.</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ON COPY</w:t>
      </w:r>
      <w:r>
        <w:rPr>
          <w:rFonts w:ascii="Arial" w:cs="Arial" w:eastAsia="Arial" w:hAnsi="Arial"/>
          <w:sz w:val="20"/>
          <w:szCs w:val="20"/>
          <w:color w:val="auto"/>
        </w:rPr>
        <w:t>]</w:t>
      </w:r>
    </w:p>
    <w:p>
      <w:pPr>
        <w:spacing w:after="0" w:line="21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b w:val="1"/>
          <w:bCs w:val="1"/>
          <w:color w:val="auto"/>
        </w:rPr>
        <w:t xml:space="preserve">BARCLAYS BANK PLC </w:t>
      </w:r>
      <w:r>
        <w:rPr>
          <w:rFonts w:ascii="Arial" w:cs="Arial" w:eastAsia="Arial" w:hAnsi="Arial"/>
          <w:sz w:val="20"/>
          <w:szCs w:val="20"/>
          <w:color w:val="auto"/>
        </w:rPr>
        <w:t>as Agent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We acknowledge, agree and accept the above terms: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04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56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b w:val="1"/>
          <w:bCs w:val="1"/>
          <w:u w:val="single" w:color="auto"/>
          <w:color w:val="auto"/>
        </w:rPr>
        <w:t>EXHIBIT 10.2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COVENANT TEST AMENDMENT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b w:val="1"/>
          <w:bCs w:val="1"/>
          <w:color w:val="auto"/>
        </w:rPr>
        <w:t xml:space="preserve">LIVANOVA PLC </w:t>
      </w:r>
      <w:r>
        <w:rPr>
          <w:rFonts w:ascii="Arial" w:cs="Arial" w:eastAsia="Arial" w:hAnsi="Arial"/>
          <w:sz w:val="20"/>
          <w:szCs w:val="20"/>
          <w:color w:val="auto"/>
        </w:rPr>
        <w:t>a company incorporated in England and Wales with registration number 09451374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20"/>
          <w:szCs w:val="20"/>
          <w:b w:val="1"/>
          <w:bCs w:val="1"/>
          <w:color w:val="auto"/>
        </w:rPr>
        <w:t xml:space="preserve">BARCLAYS BANK PLC </w:t>
      </w:r>
      <w:r>
        <w:rPr>
          <w:rFonts w:ascii="Arial" w:cs="Arial" w:eastAsia="Arial" w:hAnsi="Arial"/>
          <w:sz w:val="20"/>
          <w:szCs w:val="20"/>
          <w:color w:val="auto"/>
        </w:rPr>
        <w:t>as Agent</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 23 April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Sirs/Madams</w:t>
      </w:r>
    </w:p>
    <w:p>
      <w:pPr>
        <w:spacing w:after="0" w:line="210" w:lineRule="exact"/>
        <w:rPr>
          <w:sz w:val="20"/>
          <w:szCs w:val="20"/>
          <w:color w:val="auto"/>
        </w:rPr>
      </w:pPr>
    </w:p>
    <w:p>
      <w:pPr>
        <w:spacing w:after="0" w:line="230" w:lineRule="exact"/>
        <w:rPr>
          <w:sz w:val="20"/>
          <w:szCs w:val="20"/>
          <w:color w:val="auto"/>
        </w:rPr>
      </w:pPr>
      <w:r>
        <w:rPr>
          <w:rFonts w:ascii="Arial" w:cs="Arial" w:eastAsia="Arial" w:hAnsi="Arial"/>
          <w:sz w:val="20"/>
          <w:szCs w:val="20"/>
          <w:b w:val="1"/>
          <w:bCs w:val="1"/>
          <w:color w:val="auto"/>
        </w:rPr>
        <w:t xml:space="preserve">LIVANOVA PLC </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AMENDMENT LETTER</w:t>
      </w:r>
    </w:p>
    <w:p>
      <w:pPr>
        <w:spacing w:after="0" w:line="21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w:t>
      </w:r>
    </w:p>
    <w:p>
      <w:pPr>
        <w:spacing w:after="0" w:line="221" w:lineRule="exact"/>
        <w:rPr>
          <w:rFonts w:ascii="Arial" w:cs="Arial" w:eastAsia="Arial" w:hAnsi="Arial"/>
          <w:sz w:val="20"/>
          <w:szCs w:val="20"/>
          <w:b w:val="1"/>
          <w:bCs w:val="1"/>
          <w:color w:val="auto"/>
        </w:rPr>
      </w:pPr>
    </w:p>
    <w:p>
      <w:pPr>
        <w:jc w:val="both"/>
        <w:ind w:left="1300" w:hanging="644"/>
        <w:spacing w:after="0" w:line="28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We refer to a facility agreement dated 26 March 2019 and made between (1) LivaNova plc as Company, (2) Bank of America Merrill Lynch International DAC, Barclays Bank plc, BNP Paribas, London Branch and Intesa Sanpaolo S.P.A. as Arranger, Bookrunners and Original Lenders, (3) Bank of America Merrill Lynch International DAC as Documentation Agent and Co-ordinator and (4) Barclays Bank plc as Agent (as amended from time to time, the </w:t>
      </w:r>
      <w:r>
        <w:rPr>
          <w:rFonts w:ascii="Arial" w:cs="Arial" w:eastAsia="Arial" w:hAnsi="Arial"/>
          <w:sz w:val="18"/>
          <w:szCs w:val="18"/>
          <w:b w:val="1"/>
          <w:bCs w:val="1"/>
          <w:color w:val="auto"/>
        </w:rPr>
        <w:t>“Facility Agreement”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This Letter is supplemental to and amends the Facility Agreement.</w:t>
      </w:r>
    </w:p>
    <w:p>
      <w:pPr>
        <w:spacing w:after="0" w:line="215" w:lineRule="exact"/>
        <w:rPr>
          <w:rFonts w:ascii="Arial" w:cs="Arial" w:eastAsia="Arial" w:hAnsi="Arial"/>
          <w:sz w:val="20"/>
          <w:szCs w:val="20"/>
          <w:color w:val="auto"/>
        </w:rPr>
      </w:pPr>
    </w:p>
    <w:p>
      <w:pPr>
        <w:jc w:val="both"/>
        <w:ind w:left="1300" w:hanging="644"/>
        <w:spacing w:after="0" w:line="29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has requested that the Finance Parties agree to certain amendments to the Facility Agreement. Pursuant to clause 33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Facility Agreement, the Majority Lenders have consented to the amendments contemplated by this Letter. Accordingly, the Agent is authorised to execute this Letter on behalf of the Finance Parties.</w:t>
      </w:r>
    </w:p>
    <w:p>
      <w:pPr>
        <w:spacing w:after="0" w:line="14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Letter terms defined in, or construed for the purposes of, the Facility Agreement have the same meanings when used in this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Letter (unless the same are otherwise defined in this Letter):</w:t>
      </w:r>
    </w:p>
    <w:p>
      <w:pPr>
        <w:spacing w:after="0" w:line="194"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b w:val="1"/>
          <w:bCs w:val="1"/>
          <w:color w:val="auto"/>
        </w:rPr>
        <w:t xml:space="preserve">“Amended Facility Agreement” </w:t>
      </w:r>
      <w:r>
        <w:rPr>
          <w:rFonts w:ascii="Arial" w:cs="Arial" w:eastAsia="Arial" w:hAnsi="Arial"/>
          <w:sz w:val="20"/>
          <w:szCs w:val="20"/>
          <w:color w:val="auto"/>
        </w:rPr>
        <w:t>means the Facility Agreement as amended pursuant to paragraph 3.1 (</w:t>
      </w:r>
      <w:r>
        <w:rPr>
          <w:rFonts w:ascii="Arial" w:cs="Arial" w:eastAsia="Arial" w:hAnsi="Arial"/>
          <w:sz w:val="20"/>
          <w:szCs w:val="20"/>
          <w:i w:val="1"/>
          <w:iCs w:val="1"/>
          <w:color w:val="auto"/>
        </w:rPr>
        <w:t>Amendments</w:t>
      </w:r>
      <w:r>
        <w:rPr>
          <w:rFonts w:ascii="Arial" w:cs="Arial" w:eastAsia="Arial" w:hAnsi="Arial"/>
          <w:sz w:val="20"/>
          <w:szCs w:val="20"/>
          <w:color w:val="auto"/>
        </w:rPr>
        <w:t>) of this Letter;</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“Effective Date” </w:t>
      </w:r>
      <w:r>
        <w:rPr>
          <w:rFonts w:ascii="Arial" w:cs="Arial" w:eastAsia="Arial" w:hAnsi="Arial"/>
          <w:sz w:val="20"/>
          <w:szCs w:val="20"/>
          <w:color w:val="auto"/>
        </w:rPr>
        <w:t>means the date of your acknowledgment of this Letter.</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Paragraphs</w:t>
      </w:r>
    </w:p>
    <w:p>
      <w:pPr>
        <w:spacing w:after="0" w:line="216" w:lineRule="exact"/>
        <w:rPr>
          <w:sz w:val="20"/>
          <w:szCs w:val="20"/>
          <w:color w:val="auto"/>
        </w:rPr>
      </w:pPr>
    </w:p>
    <w:p>
      <w:pPr>
        <w:ind w:left="1300" w:hanging="644"/>
        <w:spacing w:after="0" w:line="267" w:lineRule="auto"/>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In this Letter, any reference to a </w:t>
      </w:r>
      <w:r>
        <w:rPr>
          <w:rFonts w:ascii="Arial" w:cs="Arial" w:eastAsia="Arial" w:hAnsi="Arial"/>
          <w:sz w:val="20"/>
          <w:szCs w:val="20"/>
          <w:b w:val="1"/>
          <w:bCs w:val="1"/>
          <w:color w:val="auto"/>
        </w:rPr>
        <w:t>“paragraph”</w:t>
      </w:r>
      <w:r>
        <w:rPr>
          <w:rFonts w:ascii="Arial" w:cs="Arial" w:eastAsia="Arial" w:hAnsi="Arial"/>
          <w:sz w:val="20"/>
          <w:szCs w:val="20"/>
          <w:color w:val="auto"/>
        </w:rPr>
        <w:t xml:space="preserve"> or </w:t>
      </w:r>
      <w:r>
        <w:rPr>
          <w:rFonts w:ascii="Arial" w:cs="Arial" w:eastAsia="Arial" w:hAnsi="Arial"/>
          <w:sz w:val="20"/>
          <w:szCs w:val="20"/>
          <w:b w:val="1"/>
          <w:bCs w:val="1"/>
          <w:color w:val="auto"/>
        </w:rPr>
        <w:t>“schedule”</w:t>
      </w:r>
      <w:r>
        <w:rPr>
          <w:rFonts w:ascii="Arial" w:cs="Arial" w:eastAsia="Arial" w:hAnsi="Arial"/>
          <w:sz w:val="20"/>
          <w:szCs w:val="20"/>
          <w:color w:val="auto"/>
        </w:rPr>
        <w:t xml:space="preserve"> is, unless the context otherwise requires, a reference to a paragraph or schedule of this Letter.</w:t>
      </w:r>
    </w:p>
    <w:p>
      <w:pPr>
        <w:spacing w:after="0" w:line="169"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Paragraph and schedule headings are for ease of reference only.</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Continuing obligations</w:t>
      </w:r>
    </w:p>
    <w:p>
      <w:pPr>
        <w:sectPr>
          <w:pgSz w:w="11900" w:h="16838" w:orient="portrait"/>
          <w:cols w:equalWidth="0" w:num="1">
            <w:col w:w="11240"/>
          </w:cols>
          <w:pgMar w:left="320" w:top="576"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20"/>
          <w:szCs w:val="20"/>
          <w:color w:val="auto"/>
        </w:rPr>
        <w:t>Subject to the provisions of this Letter:</w:t>
      </w:r>
    </w:p>
    <w:p>
      <w:pPr>
        <w:spacing w:after="0" w:line="216" w:lineRule="exact"/>
        <w:rPr>
          <w:sz w:val="20"/>
          <w:szCs w:val="20"/>
          <w:color w:val="auto"/>
        </w:rPr>
      </w:pPr>
    </w:p>
    <w:p>
      <w:pPr>
        <w:ind w:left="1300" w:hanging="644"/>
        <w:spacing w:after="0"/>
        <w:tabs>
          <w:tab w:leader="none" w:pos="13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Facility Agreement and all the other Finance Documents shall remain in full force and effect;</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as from the Effective Date, the Facility Agreement shall be read and construed as one document with this Letter; and</w:t>
      </w:r>
    </w:p>
    <w:p>
      <w:pPr>
        <w:spacing w:after="0" w:line="227" w:lineRule="exact"/>
        <w:rPr>
          <w:rFonts w:ascii="Arial" w:cs="Arial" w:eastAsia="Arial" w:hAnsi="Arial"/>
          <w:sz w:val="19"/>
          <w:szCs w:val="19"/>
          <w:color w:val="auto"/>
        </w:rPr>
      </w:pPr>
    </w:p>
    <w:p>
      <w:pPr>
        <w:jc w:val="both"/>
        <w:ind w:left="1300" w:hanging="644"/>
        <w:spacing w:after="0" w:line="291"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nothing in this Letter shall constitute or be construed as a waiver (save as specifically and expressly waived under paragraph 3 of this Letter) or release of any right or remedy of a Finance Party under the Finance Documents, nor otherwise prejudice any right or remedy of a Finance Party under the Facility Agreement or any other Finance Document.</w:t>
      </w:r>
    </w:p>
    <w:p>
      <w:pPr>
        <w:spacing w:after="0" w:line="14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CONFIRMATIONS AND FURTHER ASSURANCE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b w:val="1"/>
          <w:bCs w:val="1"/>
          <w:color w:val="auto"/>
        </w:rPr>
        <w:t>Amendments</w:t>
      </w:r>
    </w:p>
    <w:p>
      <w:pPr>
        <w:spacing w:after="0" w:line="222"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With effect from the Effective Date, the Facility Agreement shall be amended in accordance with schedule 1 (</w:t>
      </w:r>
      <w:r>
        <w:rPr>
          <w:rFonts w:ascii="Arial" w:cs="Arial" w:eastAsia="Arial" w:hAnsi="Arial"/>
          <w:sz w:val="20"/>
          <w:szCs w:val="20"/>
          <w:i w:val="1"/>
          <w:iCs w:val="1"/>
          <w:color w:val="auto"/>
        </w:rPr>
        <w:t>Amendment</w:t>
      </w:r>
      <w:r>
        <w:rPr>
          <w:rFonts w:ascii="Arial" w:cs="Arial" w:eastAsia="Arial" w:hAnsi="Arial"/>
          <w:sz w:val="20"/>
          <w:szCs w:val="20"/>
          <w:color w:val="auto"/>
        </w:rPr>
        <w:t>) to this Letter.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Further assurance</w:t>
      </w:r>
    </w:p>
    <w:p>
      <w:pPr>
        <w:spacing w:after="0" w:line="222"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The Company shall, at the request of the Agent and at its own expense, do all such acts and things necessary or desirable to give effect to the amendments effected or to be effected pursuant to this Letter.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Consent and waiver</w:t>
      </w:r>
    </w:p>
    <w:p>
      <w:pPr>
        <w:spacing w:after="0" w:line="222"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Company hereby confirms that the Compliance Certificate dated 10 September 2019, supplied to the Agent in respect of the first half of the Company’s 2019 financial year, set out computations as to compliance with Clause 19.1(b) (</w:t>
      </w:r>
      <w:r>
        <w:rPr>
          <w:rFonts w:ascii="Arial" w:cs="Arial" w:eastAsia="Arial" w:hAnsi="Arial"/>
          <w:sz w:val="20"/>
          <w:szCs w:val="20"/>
          <w:i w:val="1"/>
          <w:iCs w:val="1"/>
          <w:color w:val="auto"/>
        </w:rPr>
        <w:t>Financial Covenants</w:t>
      </w:r>
      <w:r>
        <w:rPr>
          <w:rFonts w:ascii="Arial" w:cs="Arial" w:eastAsia="Arial" w:hAnsi="Arial"/>
          <w:sz w:val="20"/>
          <w:szCs w:val="20"/>
          <w:color w:val="auto"/>
        </w:rPr>
        <w:t>) in accordance with the Amended Facilities Agreement.</w:t>
      </w:r>
    </w:p>
    <w:p>
      <w:pPr>
        <w:spacing w:after="0" w:line="186" w:lineRule="exact"/>
        <w:rPr>
          <w:sz w:val="20"/>
          <w:szCs w:val="20"/>
          <w:color w:val="auto"/>
        </w:rPr>
      </w:pPr>
    </w:p>
    <w:p>
      <w:pPr>
        <w:jc w:val="both"/>
        <w:ind w:left="660"/>
        <w:spacing w:after="0" w:line="272" w:lineRule="auto"/>
        <w:rPr>
          <w:sz w:val="20"/>
          <w:szCs w:val="20"/>
          <w:color w:val="auto"/>
        </w:rPr>
      </w:pPr>
      <w:r>
        <w:rPr>
          <w:rFonts w:ascii="Arial" w:cs="Arial" w:eastAsia="Arial" w:hAnsi="Arial"/>
          <w:sz w:val="18"/>
          <w:szCs w:val="18"/>
          <w:color w:val="auto"/>
        </w:rPr>
        <w:t>The Company requests that, and the Agent on behalf of and acting on the instructions of the Majority Lenders confirms that, where a Compliance Certificate has been provided prior to the Effective Date and contains computations as to compliance with Clause 19.1(b) (</w:t>
      </w:r>
      <w:r>
        <w:rPr>
          <w:rFonts w:ascii="Arial" w:cs="Arial" w:eastAsia="Arial" w:hAnsi="Arial"/>
          <w:sz w:val="18"/>
          <w:szCs w:val="18"/>
          <w:i w:val="1"/>
          <w:iCs w:val="1"/>
          <w:color w:val="auto"/>
        </w:rPr>
        <w:t>Financial Covenants</w:t>
      </w:r>
      <w:r>
        <w:rPr>
          <w:rFonts w:ascii="Arial" w:cs="Arial" w:eastAsia="Arial" w:hAnsi="Arial"/>
          <w:sz w:val="18"/>
          <w:szCs w:val="18"/>
          <w:color w:val="auto"/>
        </w:rPr>
        <w:t>) in accordance with the Amended Facilities Agreement, any Event of Default arising under Clause</w:t>
      </w:r>
    </w:p>
    <w:p>
      <w:pPr>
        <w:spacing w:after="0" w:line="1"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21.3 (</w:t>
      </w:r>
      <w:r>
        <w:rPr>
          <w:rFonts w:ascii="Arial" w:cs="Arial" w:eastAsia="Arial" w:hAnsi="Arial"/>
          <w:sz w:val="20"/>
          <w:szCs w:val="20"/>
          <w:i w:val="1"/>
          <w:iCs w:val="1"/>
          <w:color w:val="auto"/>
        </w:rPr>
        <w:t>Other obligations</w:t>
      </w:r>
      <w:r>
        <w:rPr>
          <w:rFonts w:ascii="Arial" w:cs="Arial" w:eastAsia="Arial" w:hAnsi="Arial"/>
          <w:sz w:val="20"/>
          <w:szCs w:val="20"/>
          <w:color w:val="auto"/>
        </w:rPr>
        <w:t>) or Clause 21.4 (</w:t>
      </w:r>
      <w:r>
        <w:rPr>
          <w:rFonts w:ascii="Arial" w:cs="Arial" w:eastAsia="Arial" w:hAnsi="Arial"/>
          <w:sz w:val="20"/>
          <w:szCs w:val="20"/>
          <w:i w:val="1"/>
          <w:iCs w:val="1"/>
          <w:color w:val="auto"/>
        </w:rPr>
        <w:t>Misrepresentation</w:t>
      </w:r>
      <w:r>
        <w:rPr>
          <w:rFonts w:ascii="Arial" w:cs="Arial" w:eastAsia="Arial" w:hAnsi="Arial"/>
          <w:sz w:val="20"/>
          <w:szCs w:val="20"/>
          <w:color w:val="auto"/>
        </w:rPr>
        <w:t>) in respect of such computation shall be waived and no replacement Compliance Certificate shall be required as a result of the calculation being conducted in accordance with the Amended Facilities Agreement.</w:t>
      </w:r>
    </w:p>
    <w:p>
      <w:pPr>
        <w:spacing w:after="0" w:line="19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RELIANCE</w:t>
      </w:r>
    </w:p>
    <w:p>
      <w:pPr>
        <w:spacing w:after="0" w:line="215"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4.1</w:t>
      </w:r>
      <w:r>
        <w:rPr>
          <w:rFonts w:ascii="Arial" w:cs="Arial" w:eastAsia="Arial" w:hAnsi="Arial"/>
          <w:sz w:val="16"/>
          <w:szCs w:val="16"/>
          <w:b w:val="1"/>
          <w:bCs w:val="1"/>
          <w:color w:val="auto"/>
        </w:rPr>
        <w:t>Representations</w:t>
      </w:r>
    </w:p>
    <w:p>
      <w:pPr>
        <w:spacing w:after="0" w:line="235" w:lineRule="exact"/>
        <w:rPr>
          <w:sz w:val="20"/>
          <w:szCs w:val="20"/>
          <w:color w:val="auto"/>
        </w:rPr>
      </w:pPr>
    </w:p>
    <w:p>
      <w:pPr>
        <w:jc w:val="both"/>
        <w:ind w:left="660"/>
        <w:spacing w:after="0" w:line="350" w:lineRule="auto"/>
        <w:rPr>
          <w:sz w:val="20"/>
          <w:szCs w:val="20"/>
          <w:color w:val="auto"/>
        </w:rPr>
      </w:pPr>
      <w:r>
        <w:rPr>
          <w:rFonts w:ascii="Arial" w:cs="Arial" w:eastAsia="Arial" w:hAnsi="Arial"/>
          <w:sz w:val="17"/>
          <w:szCs w:val="17"/>
          <w:color w:val="auto"/>
        </w:rPr>
        <w:t>The Company makes the Repeating Representations (as defined in the Amended Facility Agreement) in relation to itself and, where relevant, each of its Subsidiaries on the Effective Date, by reference to the facts and circumstances existing at that date and assuming, in respect of paragraph (a) of Clause 17.11 (</w:t>
      </w:r>
      <w:r>
        <w:rPr>
          <w:rFonts w:ascii="Arial" w:cs="Arial" w:eastAsia="Arial" w:hAnsi="Arial"/>
          <w:sz w:val="17"/>
          <w:szCs w:val="17"/>
          <w:i w:val="1"/>
          <w:iCs w:val="1"/>
          <w:color w:val="auto"/>
        </w:rPr>
        <w:t>No default</w:t>
      </w:r>
      <w:r>
        <w:rPr>
          <w:rFonts w:ascii="Arial" w:cs="Arial" w:eastAsia="Arial" w:hAnsi="Arial"/>
          <w:sz w:val="17"/>
          <w:szCs w:val="17"/>
          <w:color w:val="auto"/>
        </w:rPr>
        <w:t>), the waivers set out in paragraph 3.3 of this Letter have been granted</w:t>
      </w:r>
      <w:r>
        <w:rPr>
          <w:rFonts w:ascii="Arial" w:cs="Arial" w:eastAsia="Arial" w:hAnsi="Arial"/>
          <w:sz w:val="18"/>
          <w:szCs w:val="18"/>
          <w:color w:val="auto"/>
        </w:rPr>
        <w:t>.</w:t>
      </w:r>
    </w:p>
    <w:p>
      <w:pPr>
        <w:spacing w:after="0" w:line="330"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339" w:right="339" w:bottom="1440" w:gutter="0" w:footer="0" w:header="0"/>
        </w:sectPr>
      </w:pPr>
    </w:p>
    <w:bookmarkStart w:id="12" w:name="page13"/>
    <w:bookmarkEnd w:id="12"/>
    <w:p>
      <w:pPr>
        <w:spacing w:after="0"/>
        <w:tabs>
          <w:tab w:leader="none" w:pos="6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Reliance</w:t>
      </w:r>
    </w:p>
    <w:p>
      <w:pPr>
        <w:spacing w:after="0" w:line="222"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The Company acknowledges that the Finance Parties have entered into this Letter in full reliance on the representations and warranties made by it in the terms stated in this paragraph 4.</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COSTS AND EXPENSES</w:t>
      </w:r>
    </w:p>
    <w:p>
      <w:pPr>
        <w:spacing w:after="0" w:line="221" w:lineRule="exact"/>
        <w:rPr>
          <w:rFonts w:ascii="Arial" w:cs="Arial" w:eastAsia="Arial" w:hAnsi="Arial"/>
          <w:sz w:val="20"/>
          <w:szCs w:val="20"/>
          <w:b w:val="1"/>
          <w:bCs w:val="1"/>
          <w:color w:val="auto"/>
        </w:rPr>
      </w:pPr>
    </w:p>
    <w:p>
      <w:pPr>
        <w:jc w:val="both"/>
        <w:ind w:left="660" w:right="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In accordance with clause 16.2 (</w:t>
      </w:r>
      <w:r>
        <w:rPr>
          <w:rFonts w:ascii="Arial" w:cs="Arial" w:eastAsia="Arial" w:hAnsi="Arial"/>
          <w:sz w:val="20"/>
          <w:szCs w:val="20"/>
          <w:i w:val="1"/>
          <w:iCs w:val="1"/>
          <w:color w:val="auto"/>
        </w:rPr>
        <w:t>Amendments Costs</w:t>
      </w:r>
      <w:r>
        <w:rPr>
          <w:rFonts w:ascii="Arial" w:cs="Arial" w:eastAsia="Arial" w:hAnsi="Arial"/>
          <w:sz w:val="20"/>
          <w:szCs w:val="20"/>
          <w:color w:val="auto"/>
        </w:rPr>
        <w:t>) of the Facility Agreement, the Company shall within three Business Days of demand pay the Agent the amount of all costs and expenses (including legal fees) reasonably incurred by the Agent in responding to the Company’s request and in connection with the negotiation, preparation, printing and execution of this Letter and any other documents referred to in this Letter.</w:t>
      </w:r>
    </w:p>
    <w:p>
      <w:pPr>
        <w:spacing w:after="0" w:line="185" w:lineRule="exact"/>
        <w:rPr>
          <w:rFonts w:ascii="Arial" w:cs="Arial" w:eastAsia="Arial" w:hAnsi="Arial"/>
          <w:sz w:val="20"/>
          <w:szCs w:val="20"/>
          <w:b w:val="1"/>
          <w:bCs w:val="1"/>
          <w:color w:val="auto"/>
        </w:rPr>
      </w:pPr>
    </w:p>
    <w:p>
      <w:pPr>
        <w:ind w:left="660" w:hanging="652"/>
        <w:spacing w:after="0"/>
        <w:tabs>
          <w:tab w:leader="none" w:pos="66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Counterparts</w:t>
      </w:r>
    </w:p>
    <w:p>
      <w:pPr>
        <w:spacing w:after="0" w:line="222"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This Letter may be executed in any number of counterparts, and this has the same effect as if the signatures on the counterparts were on a single copy of this Letter.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8"/>
          <w:szCs w:val="18"/>
          <w:b w:val="1"/>
          <w:bCs w:val="1"/>
          <w:color w:val="auto"/>
        </w:rPr>
        <w:t>Third party rights</w:t>
      </w:r>
    </w:p>
    <w:p>
      <w:pPr>
        <w:spacing w:after="0" w:line="222" w:lineRule="exact"/>
        <w:rPr>
          <w:sz w:val="20"/>
          <w:szCs w:val="20"/>
          <w:color w:val="auto"/>
        </w:rPr>
      </w:pPr>
    </w:p>
    <w:p>
      <w:pPr>
        <w:jc w:val="both"/>
        <w:ind w:left="1300" w:hanging="644"/>
        <w:spacing w:after="0" w:line="250"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Unless expressly provided to the contrary in a Finance Document, a person (other than a Finance Party) who is not a party to this Letter has no right under the Contracts (Rights of Third Parties) Act 1999 to enforce or enjoy the benefit of any term of this Letter.</w:t>
      </w:r>
    </w:p>
    <w:p>
      <w:pPr>
        <w:spacing w:after="0" w:line="185"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Subject to clause 33 (</w:t>
      </w:r>
      <w:r>
        <w:rPr>
          <w:rFonts w:ascii="Arial" w:cs="Arial" w:eastAsia="Arial" w:hAnsi="Arial"/>
          <w:sz w:val="20"/>
          <w:szCs w:val="20"/>
          <w:i w:val="1"/>
          <w:iCs w:val="1"/>
          <w:color w:val="auto"/>
        </w:rPr>
        <w:t>Amendments and Waivers</w:t>
      </w:r>
      <w:r>
        <w:rPr>
          <w:rFonts w:ascii="Arial" w:cs="Arial" w:eastAsia="Arial" w:hAnsi="Arial"/>
          <w:sz w:val="20"/>
          <w:szCs w:val="20"/>
          <w:color w:val="auto"/>
        </w:rPr>
        <w:t>) of the Facility Agreement, the consent of any person who is not a party to this Letter is not required to rescind or vary this Letter at any time.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Finance Document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Agent and the Company agree that this Letter is a Finance Document.</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6"/>
          <w:szCs w:val="16"/>
          <w:b w:val="1"/>
          <w:bCs w:val="1"/>
          <w:color w:val="auto"/>
        </w:rPr>
        <w:t>Governing law</w:t>
      </w:r>
    </w:p>
    <w:p>
      <w:pPr>
        <w:spacing w:after="0" w:line="22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This Letter and any non</w:t>
      </w:r>
      <w:r>
        <w:rPr>
          <w:rFonts w:ascii="MS PGothic" w:cs="MS PGothic" w:eastAsia="MS PGothic" w:hAnsi="MS PGothic"/>
          <w:sz w:val="20"/>
          <w:szCs w:val="20"/>
          <w:color w:val="auto"/>
        </w:rPr>
        <w:t>‑</w:t>
      </w:r>
      <w:r>
        <w:rPr>
          <w:rFonts w:ascii="Arial" w:cs="Arial" w:eastAsia="Arial" w:hAnsi="Arial"/>
          <w:sz w:val="20"/>
          <w:szCs w:val="20"/>
          <w:color w:val="auto"/>
        </w:rPr>
        <w:t>contractual obligations arising out of or in connection with it shall be governed by English law.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Please confirm your agreement to the above by signing and returning the enclosed copy of this Letter.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 Paolo Montagna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53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38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b w:val="1"/>
          <w:bCs w:val="1"/>
          <w:color w:val="auto"/>
        </w:rPr>
        <w:t xml:space="preserve">BARCLAYS BANK PLC </w:t>
      </w:r>
      <w:r>
        <w:rPr>
          <w:rFonts w:ascii="Arial" w:cs="Arial" w:eastAsia="Arial" w:hAnsi="Arial"/>
          <w:sz w:val="20"/>
          <w:szCs w:val="20"/>
          <w:color w:val="auto"/>
        </w:rPr>
        <w:t>as Agent</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SCHEDULE 1: AMENDMENT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Facility Agreement will be amended as follows: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definition of “Test Period” in Clause 19.3 (</w:t>
      </w:r>
      <w:r>
        <w:rPr>
          <w:rFonts w:ascii="Arial" w:cs="Arial" w:eastAsia="Arial" w:hAnsi="Arial"/>
          <w:sz w:val="19"/>
          <w:szCs w:val="19"/>
          <w:i w:val="1"/>
          <w:iCs w:val="1"/>
          <w:color w:val="auto"/>
        </w:rPr>
        <w:t>Definitions</w:t>
      </w:r>
      <w:r>
        <w:rPr>
          <w:rFonts w:ascii="Arial" w:cs="Arial" w:eastAsia="Arial" w:hAnsi="Arial"/>
          <w:sz w:val="19"/>
          <w:szCs w:val="19"/>
          <w:color w:val="auto"/>
        </w:rPr>
        <w:t>) of the Facility Agreement shall be deleted and replaced with the following:</w:t>
      </w:r>
    </w:p>
    <w:p>
      <w:pPr>
        <w:spacing w:after="0" w:line="22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b w:val="1"/>
          <w:bCs w:val="1"/>
          <w:color w:val="auto"/>
        </w:rPr>
        <w:t xml:space="preserve">“Test Period” </w:t>
      </w:r>
      <w:r>
        <w:rPr>
          <w:rFonts w:ascii="Arial" w:cs="Arial" w:eastAsia="Arial" w:hAnsi="Arial"/>
          <w:sz w:val="20"/>
          <w:szCs w:val="20"/>
          <w:color w:val="auto"/>
        </w:rPr>
        <w:t>shall mean for the purposes of Clause 19.1(a) and Clause 19.1(b), each period of twelve months ending on an</w:t>
      </w:r>
      <w:r>
        <w:rPr>
          <w:rFonts w:ascii="Arial" w:cs="Arial" w:eastAsia="Arial" w:hAnsi="Arial"/>
          <w:sz w:val="20"/>
          <w:szCs w:val="20"/>
          <w:b w:val="1"/>
          <w:bCs w:val="1"/>
          <w:color w:val="auto"/>
        </w:rPr>
        <w:t xml:space="preserve"> </w:t>
      </w:r>
      <w:r>
        <w:rPr>
          <w:rFonts w:ascii="Arial" w:cs="Arial" w:eastAsia="Arial" w:hAnsi="Arial"/>
          <w:sz w:val="20"/>
          <w:szCs w:val="20"/>
          <w:color w:val="auto"/>
        </w:rPr>
        <w:t>Accounting Date.</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4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ON COPY</w:t>
      </w:r>
      <w:r>
        <w:rPr>
          <w:rFonts w:ascii="Arial" w:cs="Arial" w:eastAsia="Arial" w:hAnsi="Arial"/>
          <w:sz w:val="20"/>
          <w:szCs w:val="20"/>
          <w:color w:val="auto"/>
        </w:rPr>
        <w:t>]</w:t>
      </w:r>
    </w:p>
    <w:p>
      <w:pPr>
        <w:spacing w:after="0" w:line="21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b w:val="1"/>
          <w:bCs w:val="1"/>
          <w:color w:val="auto"/>
        </w:rPr>
        <w:t>BARCLAYS BANK PLC as Agent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We acknowledge, agree and accept the above terms: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79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568"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2562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25625" cy="531495"/>
                    </a:xfrm>
                    <a:prstGeom prst="rect">
                      <a:avLst/>
                    </a:prstGeom>
                    <a:noFill/>
                  </pic:spPr>
                </pic:pic>
              </a:graphicData>
            </a:graphic>
          </wp:anchor>
        </w:drawing>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20"/>
          <w:szCs w:val="20"/>
          <w:b w:val="1"/>
          <w:bCs w:val="1"/>
          <w:color w:val="auto"/>
        </w:rPr>
        <w:t xml:space="preserve">LIVANOVA PLC </w:t>
      </w:r>
      <w:r>
        <w:rPr>
          <w:rFonts w:ascii="Arial" w:cs="Arial" w:eastAsia="Arial" w:hAnsi="Arial"/>
          <w:sz w:val="20"/>
          <w:szCs w:val="20"/>
          <w:color w:val="auto"/>
        </w:rPr>
        <w:t>a company incorporated in England and Wales with registration number 09451374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b w:val="1"/>
          <w:bCs w:val="1"/>
          <w:color w:val="auto"/>
        </w:rPr>
        <w:t xml:space="preserve">BANCA NAZIONALE DEL LAVORO S.P.A. </w:t>
      </w:r>
      <w:r>
        <w:rPr>
          <w:rFonts w:ascii="Arial" w:cs="Arial" w:eastAsia="Arial" w:hAnsi="Arial"/>
          <w:sz w:val="20"/>
          <w:szCs w:val="20"/>
          <w:color w:val="auto"/>
        </w:rPr>
        <w:t>as Original Lender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 17 April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Sirs/Madams</w:t>
      </w:r>
    </w:p>
    <w:p>
      <w:pPr>
        <w:spacing w:after="0" w:line="210" w:lineRule="exact"/>
        <w:rPr>
          <w:sz w:val="20"/>
          <w:szCs w:val="20"/>
          <w:color w:val="auto"/>
        </w:rPr>
      </w:pPr>
    </w:p>
    <w:p>
      <w:pPr>
        <w:spacing w:after="0" w:line="230" w:lineRule="exact"/>
        <w:rPr>
          <w:sz w:val="20"/>
          <w:szCs w:val="20"/>
          <w:color w:val="auto"/>
        </w:rPr>
      </w:pPr>
      <w:r>
        <w:rPr>
          <w:rFonts w:ascii="Arial" w:cs="Arial" w:eastAsia="Arial" w:hAnsi="Arial"/>
          <w:sz w:val="20"/>
          <w:szCs w:val="20"/>
          <w:b w:val="1"/>
          <w:bCs w:val="1"/>
          <w:color w:val="auto"/>
        </w:rPr>
        <w:t xml:space="preserve">LIVANOVA PLC </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AMENDMENT LETTER</w:t>
      </w:r>
    </w:p>
    <w:p>
      <w:pPr>
        <w:spacing w:after="0" w:line="21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w:t>
      </w:r>
    </w:p>
    <w:p>
      <w:pPr>
        <w:spacing w:after="0" w:line="215" w:lineRule="exact"/>
        <w:rPr>
          <w:rFonts w:ascii="Arial" w:cs="Arial" w:eastAsia="Arial" w:hAnsi="Arial"/>
          <w:sz w:val="20"/>
          <w:szCs w:val="20"/>
          <w:b w:val="1"/>
          <w:bCs w:val="1"/>
          <w:color w:val="auto"/>
        </w:rPr>
      </w:pPr>
    </w:p>
    <w:p>
      <w:pPr>
        <w:jc w:val="both"/>
        <w:ind w:left="1300" w:right="20" w:hanging="644"/>
        <w:spacing w:after="0" w:line="253"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 xml:space="preserve">We refer to the facility agreement dated 25 July 2019 (the </w:t>
      </w:r>
      <w:r>
        <w:rPr>
          <w:rFonts w:ascii="Arial" w:cs="Arial" w:eastAsia="Arial" w:hAnsi="Arial"/>
          <w:sz w:val="20"/>
          <w:szCs w:val="20"/>
          <w:b w:val="1"/>
          <w:bCs w:val="1"/>
          <w:color w:val="auto"/>
        </w:rPr>
        <w:t>“Facility Agreement”</w:t>
      </w:r>
      <w:r>
        <w:rPr>
          <w:rFonts w:ascii="Arial" w:cs="Arial" w:eastAsia="Arial" w:hAnsi="Arial"/>
          <w:sz w:val="20"/>
          <w:szCs w:val="20"/>
          <w:color w:val="auto"/>
        </w:rPr>
        <w:t>) and made between (1) LivaNova plc, Italian Branch as Company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(2) Banca Nazionale del Lavoro S.p.A. as Original Lender (the </w:t>
      </w:r>
      <w:r>
        <w:rPr>
          <w:rFonts w:ascii="Arial" w:cs="Arial" w:eastAsia="Arial" w:hAnsi="Arial"/>
          <w:sz w:val="20"/>
          <w:szCs w:val="20"/>
          <w:b w:val="1"/>
          <w:bCs w:val="1"/>
          <w:color w:val="auto"/>
        </w:rPr>
        <w:t>“Lender”</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This Letter is supplemental to and amends the Facility Agreement.</w:t>
      </w:r>
    </w:p>
    <w:p>
      <w:pPr>
        <w:spacing w:after="0" w:line="215"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Company by this Letter requests that the Lender consent to certain amendments to the Facility Agreement pursuant to clause 31 (</w:t>
      </w:r>
      <w:r>
        <w:rPr>
          <w:rFonts w:ascii="Arial" w:cs="Arial" w:eastAsia="Arial" w:hAnsi="Arial"/>
          <w:sz w:val="20"/>
          <w:szCs w:val="20"/>
          <w:i w:val="1"/>
          <w:iCs w:val="1"/>
          <w:color w:val="auto"/>
        </w:rPr>
        <w:t>Amendments and Waivers</w:t>
      </w:r>
      <w:r>
        <w:rPr>
          <w:rFonts w:ascii="Arial" w:cs="Arial" w:eastAsia="Arial" w:hAnsi="Arial"/>
          <w:sz w:val="20"/>
          <w:szCs w:val="20"/>
          <w:color w:val="auto"/>
        </w:rPr>
        <w:t>) of the Facility Agreement.</w:t>
      </w:r>
    </w:p>
    <w:p>
      <w:pPr>
        <w:spacing w:after="0" w:line="170" w:lineRule="exact"/>
        <w:rPr>
          <w:rFonts w:ascii="Arial" w:cs="Arial" w:eastAsia="Arial" w:hAnsi="Arial"/>
          <w:sz w:val="20"/>
          <w:szCs w:val="20"/>
          <w:color w:val="auto"/>
        </w:rPr>
      </w:pPr>
    </w:p>
    <w:p>
      <w:pPr>
        <w:ind w:left="660" w:hanging="652"/>
        <w:spacing w:after="0"/>
        <w:tabs>
          <w:tab w:leader="none" w:pos="66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Letter terms defined in, or construed for the purposes of, the Facility Agreement have the same meanings when used in this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Letter (unless the same are otherwise defined in this Letter):</w:t>
      </w:r>
    </w:p>
    <w:p>
      <w:pPr>
        <w:spacing w:after="0" w:line="194"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b w:val="1"/>
          <w:bCs w:val="1"/>
          <w:color w:val="auto"/>
        </w:rPr>
        <w:t xml:space="preserve">“Amended Facility Agreement” </w:t>
      </w:r>
      <w:r>
        <w:rPr>
          <w:rFonts w:ascii="Arial" w:cs="Arial" w:eastAsia="Arial" w:hAnsi="Arial"/>
          <w:sz w:val="20"/>
          <w:szCs w:val="20"/>
          <w:color w:val="auto"/>
        </w:rPr>
        <w:t>means the Facility Agreement as amended pursuant to paragraph 3.1 (</w:t>
      </w:r>
      <w:r>
        <w:rPr>
          <w:rFonts w:ascii="Arial" w:cs="Arial" w:eastAsia="Arial" w:hAnsi="Arial"/>
          <w:sz w:val="20"/>
          <w:szCs w:val="20"/>
          <w:i w:val="1"/>
          <w:iCs w:val="1"/>
          <w:color w:val="auto"/>
        </w:rPr>
        <w:t>Amendments</w:t>
      </w:r>
      <w:r>
        <w:rPr>
          <w:rFonts w:ascii="Arial" w:cs="Arial" w:eastAsia="Arial" w:hAnsi="Arial"/>
          <w:sz w:val="20"/>
          <w:szCs w:val="20"/>
          <w:color w:val="auto"/>
        </w:rPr>
        <w:t>) of this Letter;</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“Effective Date” </w:t>
      </w:r>
      <w:r>
        <w:rPr>
          <w:rFonts w:ascii="Arial" w:cs="Arial" w:eastAsia="Arial" w:hAnsi="Arial"/>
          <w:sz w:val="20"/>
          <w:szCs w:val="20"/>
          <w:color w:val="auto"/>
        </w:rPr>
        <w:t>means the date of your acknowledgment of this Letter.</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Paragraphs</w:t>
      </w:r>
    </w:p>
    <w:p>
      <w:pPr>
        <w:spacing w:after="0" w:line="216" w:lineRule="exact"/>
        <w:rPr>
          <w:sz w:val="20"/>
          <w:szCs w:val="20"/>
          <w:color w:val="auto"/>
        </w:rPr>
      </w:pPr>
    </w:p>
    <w:p>
      <w:pPr>
        <w:ind w:left="1300" w:hanging="644"/>
        <w:spacing w:after="0" w:line="267" w:lineRule="auto"/>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In this Letter, any reference to a </w:t>
      </w:r>
      <w:r>
        <w:rPr>
          <w:rFonts w:ascii="Arial" w:cs="Arial" w:eastAsia="Arial" w:hAnsi="Arial"/>
          <w:sz w:val="20"/>
          <w:szCs w:val="20"/>
          <w:b w:val="1"/>
          <w:bCs w:val="1"/>
          <w:color w:val="auto"/>
        </w:rPr>
        <w:t>“paragraph”</w:t>
      </w:r>
      <w:r>
        <w:rPr>
          <w:rFonts w:ascii="Arial" w:cs="Arial" w:eastAsia="Arial" w:hAnsi="Arial"/>
          <w:sz w:val="20"/>
          <w:szCs w:val="20"/>
          <w:color w:val="auto"/>
        </w:rPr>
        <w:t xml:space="preserve"> or </w:t>
      </w:r>
      <w:r>
        <w:rPr>
          <w:rFonts w:ascii="Arial" w:cs="Arial" w:eastAsia="Arial" w:hAnsi="Arial"/>
          <w:sz w:val="20"/>
          <w:szCs w:val="20"/>
          <w:b w:val="1"/>
          <w:bCs w:val="1"/>
          <w:color w:val="auto"/>
        </w:rPr>
        <w:t>“schedule”</w:t>
      </w:r>
      <w:r>
        <w:rPr>
          <w:rFonts w:ascii="Arial" w:cs="Arial" w:eastAsia="Arial" w:hAnsi="Arial"/>
          <w:sz w:val="20"/>
          <w:szCs w:val="20"/>
          <w:color w:val="auto"/>
        </w:rPr>
        <w:t xml:space="preserve"> is, unless the context otherwise requires, a reference to a paragraph or schedule of this Letter.</w:t>
      </w:r>
    </w:p>
    <w:p>
      <w:pPr>
        <w:spacing w:after="0" w:line="169"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Paragraph and schedule headings are for ease of reference only.</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Continuing obligations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Subject to the provisions of this Letter:</w:t>
      </w:r>
    </w:p>
    <w:p>
      <w:pPr>
        <w:spacing w:after="0" w:line="216"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Facility Agreement and all the other Finance Documents shall remain in full force and effect;</w:t>
      </w:r>
    </w:p>
    <w:p>
      <w:pPr>
        <w:sectPr>
          <w:pgSz w:w="11900" w:h="16838" w:orient="portrait"/>
          <w:cols w:equalWidth="0" w:num="1">
            <w:col w:w="11240"/>
          </w:cols>
          <w:pgMar w:left="320" w:top="954" w:right="339" w:bottom="1440" w:gutter="0" w:footer="0" w:header="0"/>
        </w:sectPr>
      </w:pPr>
    </w:p>
    <w:bookmarkStart w:id="16" w:name="page17"/>
    <w:bookmarkEnd w:id="16"/>
    <w:p>
      <w:pPr>
        <w:ind w:left="1300" w:hanging="644"/>
        <w:spacing w:after="0"/>
        <w:tabs>
          <w:tab w:leader="none" w:pos="13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as from the Effective Date, the Facility Agreement shall be read and construed as one document with this Letter; and</w:t>
      </w:r>
    </w:p>
    <w:p>
      <w:pPr>
        <w:spacing w:after="0" w:line="227" w:lineRule="exact"/>
        <w:rPr>
          <w:rFonts w:ascii="Arial" w:cs="Arial" w:eastAsia="Arial" w:hAnsi="Arial"/>
          <w:sz w:val="19"/>
          <w:szCs w:val="19"/>
          <w:color w:val="auto"/>
        </w:rPr>
      </w:pPr>
    </w:p>
    <w:p>
      <w:pPr>
        <w:jc w:val="both"/>
        <w:ind w:left="1300" w:hanging="644"/>
        <w:spacing w:after="0" w:line="291"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nothing in this Letter shall constitute or be construed as a waiver (save as specifically and expressly waived under paragraph 3.3 of this Letter) or release of any right or remedy of a Finance Party under the Finance Documents, nor otherwise prejudice any right or remedy of a Finance Party under the Facility Agreement or any other Finance Document.</w:t>
      </w:r>
    </w:p>
    <w:p>
      <w:pPr>
        <w:spacing w:after="0" w:line="14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CONFIRMATIONS AND FURTHER ASSURANCE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b w:val="1"/>
          <w:bCs w:val="1"/>
          <w:color w:val="auto"/>
        </w:rPr>
        <w:t>Amendments</w:t>
      </w:r>
    </w:p>
    <w:p>
      <w:pPr>
        <w:spacing w:after="0" w:line="22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With effect from the Effective Date, the Facility Agreement shall be amended in accordance with schedule 1 (</w:t>
      </w:r>
      <w:r>
        <w:rPr>
          <w:rFonts w:ascii="Arial" w:cs="Arial" w:eastAsia="Arial" w:hAnsi="Arial"/>
          <w:sz w:val="20"/>
          <w:szCs w:val="20"/>
          <w:i w:val="1"/>
          <w:iCs w:val="1"/>
          <w:color w:val="auto"/>
        </w:rPr>
        <w:t>Amendment</w:t>
      </w:r>
      <w:r>
        <w:rPr>
          <w:rFonts w:ascii="Arial" w:cs="Arial" w:eastAsia="Arial" w:hAnsi="Arial"/>
          <w:sz w:val="20"/>
          <w:szCs w:val="20"/>
          <w:color w:val="auto"/>
        </w:rPr>
        <w:t>) to this Letter.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Further assurance</w:t>
      </w:r>
    </w:p>
    <w:p>
      <w:pPr>
        <w:spacing w:after="0" w:line="22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Company shall, at the request of the Lender and at its own expense, do all such acts and things necessary or desirable to give effect to the amendments effected or to be effected pursuant to this Letter.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Waivers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Lender hereby waives any Event of Default:</w:t>
      </w:r>
    </w:p>
    <w:p>
      <w:pPr>
        <w:spacing w:after="0" w:line="216" w:lineRule="exact"/>
        <w:rPr>
          <w:sz w:val="20"/>
          <w:szCs w:val="20"/>
          <w:color w:val="auto"/>
        </w:rPr>
      </w:pPr>
    </w:p>
    <w:p>
      <w:pPr>
        <w:jc w:val="both"/>
        <w:ind w:left="1300" w:hanging="644"/>
        <w:spacing w:after="0" w:line="278"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arising under Clause 21.10 (</w:t>
      </w:r>
      <w:r>
        <w:rPr>
          <w:rFonts w:ascii="Arial" w:cs="Arial" w:eastAsia="Arial" w:hAnsi="Arial"/>
          <w:sz w:val="18"/>
          <w:szCs w:val="18"/>
          <w:i w:val="1"/>
          <w:iCs w:val="1"/>
          <w:color w:val="auto"/>
        </w:rPr>
        <w:t>Cessation of business</w:t>
      </w:r>
      <w:r>
        <w:rPr>
          <w:rFonts w:ascii="Arial" w:cs="Arial" w:eastAsia="Arial" w:hAnsi="Arial"/>
          <w:sz w:val="18"/>
          <w:szCs w:val="18"/>
          <w:color w:val="auto"/>
        </w:rPr>
        <w:t>) or Clause 21.13 (</w:t>
      </w:r>
      <w:r>
        <w:rPr>
          <w:rFonts w:ascii="Arial" w:cs="Arial" w:eastAsia="Arial" w:hAnsi="Arial"/>
          <w:sz w:val="18"/>
          <w:szCs w:val="18"/>
          <w:i w:val="1"/>
          <w:iCs w:val="1"/>
          <w:color w:val="auto"/>
        </w:rPr>
        <w:t>Expropriation</w:t>
      </w:r>
      <w:r>
        <w:rPr>
          <w:rFonts w:ascii="Arial" w:cs="Arial" w:eastAsia="Arial" w:hAnsi="Arial"/>
          <w:sz w:val="18"/>
          <w:szCs w:val="18"/>
          <w:color w:val="auto"/>
        </w:rPr>
        <w:t>) of the Amended Facility Agreement caused directly by any suspension of business by any Material Subsidiary or temporary closure of any Material Subsidiary’s manufacturing plants, in each case lasting no more than 45 days in aggregate in the financial year ending 31 December 2020 and resulting directly from mandatory orders or restrictions imposed by any government or local authority as a result of the COVID-19 pandemic (such suspension or closure, a “</w:t>
      </w:r>
      <w:r>
        <w:rPr>
          <w:rFonts w:ascii="Arial" w:cs="Arial" w:eastAsia="Arial" w:hAnsi="Arial"/>
          <w:sz w:val="18"/>
          <w:szCs w:val="18"/>
          <w:b w:val="1"/>
          <w:bCs w:val="1"/>
          <w:color w:val="auto"/>
        </w:rPr>
        <w:t>COVID-19 Closure</w:t>
      </w:r>
      <w:r>
        <w:rPr>
          <w:rFonts w:ascii="Arial" w:cs="Arial" w:eastAsia="Arial" w:hAnsi="Arial"/>
          <w:sz w:val="18"/>
          <w:szCs w:val="18"/>
          <w:color w:val="auto"/>
        </w:rPr>
        <w:t>”); and</w:t>
      </w:r>
    </w:p>
    <w:p>
      <w:pPr>
        <w:spacing w:after="0" w:line="164" w:lineRule="exact"/>
        <w:rPr>
          <w:rFonts w:ascii="Arial" w:cs="Arial" w:eastAsia="Arial" w:hAnsi="Arial"/>
          <w:sz w:val="18"/>
          <w:szCs w:val="18"/>
          <w:color w:val="auto"/>
        </w:rPr>
      </w:pPr>
    </w:p>
    <w:p>
      <w:pPr>
        <w:ind w:left="1300" w:hanging="644"/>
        <w:spacing w:after="0" w:line="260"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occurring during the financial year ending 31 December 2020 under Clause 21.16 (</w:t>
      </w:r>
      <w:r>
        <w:rPr>
          <w:rFonts w:ascii="Arial" w:cs="Arial" w:eastAsia="Arial" w:hAnsi="Arial"/>
          <w:sz w:val="20"/>
          <w:szCs w:val="20"/>
          <w:i w:val="1"/>
          <w:iCs w:val="1"/>
          <w:color w:val="auto"/>
        </w:rPr>
        <w:t>Material adverse change</w:t>
      </w:r>
      <w:r>
        <w:rPr>
          <w:rFonts w:ascii="Arial" w:cs="Arial" w:eastAsia="Arial" w:hAnsi="Arial"/>
          <w:sz w:val="20"/>
          <w:szCs w:val="20"/>
          <w:color w:val="auto"/>
        </w:rPr>
        <w:t>) by virtue of any COVID-19 Closure.</w:t>
      </w:r>
    </w:p>
    <w:p>
      <w:pPr>
        <w:spacing w:after="0" w:line="170" w:lineRule="exact"/>
        <w:rPr>
          <w:rFonts w:ascii="Arial" w:cs="Arial" w:eastAsia="Arial" w:hAnsi="Arial"/>
          <w:sz w:val="20"/>
          <w:szCs w:val="20"/>
          <w:color w:val="auto"/>
        </w:rPr>
      </w:pPr>
    </w:p>
    <w:p>
      <w:pPr>
        <w:ind w:left="660" w:hanging="652"/>
        <w:spacing w:after="0"/>
        <w:tabs>
          <w:tab w:leader="none" w:pos="6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RELIANCE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6"/>
          <w:szCs w:val="16"/>
          <w:b w:val="1"/>
          <w:bCs w:val="1"/>
          <w:color w:val="auto"/>
        </w:rPr>
        <w:t>Representations</w:t>
      </w:r>
    </w:p>
    <w:p>
      <w:pPr>
        <w:spacing w:after="0" w:line="222"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Company makes the Repeating Representations (as defined in the Amended Facility Agreement) in relation to itself and, where relevant, each of its Subsidiaries on the Effective Date, by reference to the facts and circumstances existing at that date and assuming, in respect of paragraph (a) of Clause 17.11 (</w:t>
      </w:r>
      <w:r>
        <w:rPr>
          <w:rFonts w:ascii="Arial" w:cs="Arial" w:eastAsia="Arial" w:hAnsi="Arial"/>
          <w:sz w:val="16"/>
          <w:szCs w:val="16"/>
          <w:i w:val="1"/>
          <w:iCs w:val="1"/>
          <w:color w:val="auto"/>
        </w:rPr>
        <w:t>No default</w:t>
      </w:r>
      <w:r>
        <w:rPr>
          <w:rFonts w:ascii="Arial" w:cs="Arial" w:eastAsia="Arial" w:hAnsi="Arial"/>
          <w:sz w:val="16"/>
          <w:szCs w:val="16"/>
          <w:color w:val="auto"/>
        </w:rPr>
        <w:t>), the waivers set out in paragraph 3.3 of this Letter have been granted.</w:t>
      </w:r>
    </w:p>
    <w:p>
      <w:pPr>
        <w:spacing w:after="0" w:line="11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Reliance</w:t>
      </w:r>
    </w:p>
    <w:p>
      <w:pPr>
        <w:spacing w:after="0" w:line="222"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The Company acknowledges that the Lender has entered into this Letter in full reliance on the representations and warranties made by it in the terms stated in this paragraph 4.</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9" w:right="339" w:bottom="1440" w:gutter="0" w:footer="0" w:header="0"/>
        </w:sectPr>
      </w:pPr>
    </w:p>
    <w:bookmarkStart w:id="17" w:name="page18"/>
    <w:bookmarkEnd w:id="17"/>
    <w:p>
      <w:pPr>
        <w:ind w:left="660" w:hanging="652"/>
        <w:spacing w:after="0"/>
        <w:tabs>
          <w:tab w:leader="none" w:pos="6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COSTS AND EXPENSES</w:t>
      </w:r>
    </w:p>
    <w:p>
      <w:pPr>
        <w:spacing w:after="0" w:line="221" w:lineRule="exact"/>
        <w:rPr>
          <w:rFonts w:ascii="Arial" w:cs="Arial" w:eastAsia="Arial" w:hAnsi="Arial"/>
          <w:sz w:val="20"/>
          <w:szCs w:val="20"/>
          <w:b w:val="1"/>
          <w:bCs w:val="1"/>
          <w:color w:val="auto"/>
        </w:rPr>
      </w:pPr>
    </w:p>
    <w:p>
      <w:pPr>
        <w:jc w:val="both"/>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In accordance with clause 16.2 (</w:t>
      </w:r>
      <w:r>
        <w:rPr>
          <w:rFonts w:ascii="Arial" w:cs="Arial" w:eastAsia="Arial" w:hAnsi="Arial"/>
          <w:sz w:val="20"/>
          <w:szCs w:val="20"/>
          <w:i w:val="1"/>
          <w:iCs w:val="1"/>
          <w:color w:val="auto"/>
        </w:rPr>
        <w:t>Amendments Costs</w:t>
      </w:r>
      <w:r>
        <w:rPr>
          <w:rFonts w:ascii="Arial" w:cs="Arial" w:eastAsia="Arial" w:hAnsi="Arial"/>
          <w:sz w:val="20"/>
          <w:szCs w:val="20"/>
          <w:color w:val="auto"/>
        </w:rPr>
        <w:t>) of the Facility Agreement, the Company shall within three Business Days of demand pay the Lender the amount of all costs and expenses (including legal fees) reasonably incurred by the Lender in responding to the Company’s request and in connection with the negotiation, preparation, printing and execution of this Letter and any other documents referred to in this Letter.</w:t>
      </w:r>
    </w:p>
    <w:p>
      <w:pPr>
        <w:spacing w:after="0" w:line="185" w:lineRule="exact"/>
        <w:rPr>
          <w:rFonts w:ascii="Arial" w:cs="Arial" w:eastAsia="Arial" w:hAnsi="Arial"/>
          <w:sz w:val="20"/>
          <w:szCs w:val="20"/>
          <w:b w:val="1"/>
          <w:bCs w:val="1"/>
          <w:color w:val="auto"/>
        </w:rPr>
      </w:pPr>
    </w:p>
    <w:p>
      <w:pPr>
        <w:ind w:left="660" w:hanging="652"/>
        <w:spacing w:after="0"/>
        <w:tabs>
          <w:tab w:leader="none" w:pos="6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Counterparts</w:t>
      </w:r>
    </w:p>
    <w:p>
      <w:pPr>
        <w:spacing w:after="0" w:line="222"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This Letter may be executed in any number of counterparts, and this has the same effect as if the signatures on the counterparts were on a single copy of this Letter.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8"/>
          <w:szCs w:val="18"/>
          <w:b w:val="1"/>
          <w:bCs w:val="1"/>
          <w:color w:val="auto"/>
        </w:rPr>
        <w:t>Third party rights</w:t>
      </w:r>
    </w:p>
    <w:p>
      <w:pPr>
        <w:spacing w:after="0" w:line="222" w:lineRule="exact"/>
        <w:rPr>
          <w:sz w:val="20"/>
          <w:szCs w:val="20"/>
          <w:color w:val="auto"/>
        </w:rPr>
      </w:pPr>
    </w:p>
    <w:p>
      <w:pPr>
        <w:jc w:val="both"/>
        <w:ind w:left="1300" w:hanging="644"/>
        <w:spacing w:after="0" w:line="250" w:lineRule="auto"/>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Unless expressly provided to the contrary in a Finance Document, a person (other than a Finance Party) who is not a party to this Letter has no right under the Contracts (Rights of Third Parties) Act 1999 to enforce or enjoy the benefit of any term of this Letter.</w:t>
      </w:r>
    </w:p>
    <w:p>
      <w:pPr>
        <w:spacing w:after="0" w:line="185"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Subject to clause 31 (</w:t>
      </w:r>
      <w:r>
        <w:rPr>
          <w:rFonts w:ascii="Arial" w:cs="Arial" w:eastAsia="Arial" w:hAnsi="Arial"/>
          <w:sz w:val="20"/>
          <w:szCs w:val="20"/>
          <w:i w:val="1"/>
          <w:iCs w:val="1"/>
          <w:color w:val="auto"/>
        </w:rPr>
        <w:t>Amendments and Waivers</w:t>
      </w:r>
      <w:r>
        <w:rPr>
          <w:rFonts w:ascii="Arial" w:cs="Arial" w:eastAsia="Arial" w:hAnsi="Arial"/>
          <w:sz w:val="20"/>
          <w:szCs w:val="20"/>
          <w:color w:val="auto"/>
        </w:rPr>
        <w:t>) of the Facility Agreement, the consent of any person who is not a party to this Letter is not required to rescind or vary this Letter at any time.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Finance Document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Lender and the Company agree that this Letter is a Finance Document.</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6"/>
          <w:szCs w:val="16"/>
          <w:b w:val="1"/>
          <w:bCs w:val="1"/>
          <w:color w:val="auto"/>
        </w:rPr>
        <w:t>Governing law</w:t>
      </w:r>
    </w:p>
    <w:p>
      <w:pPr>
        <w:spacing w:after="0" w:line="22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This Letter and any non</w:t>
      </w:r>
      <w:r>
        <w:rPr>
          <w:rFonts w:ascii="MS PGothic" w:cs="MS PGothic" w:eastAsia="MS PGothic" w:hAnsi="MS PGothic"/>
          <w:sz w:val="20"/>
          <w:szCs w:val="20"/>
          <w:color w:val="auto"/>
        </w:rPr>
        <w:t>‑</w:t>
      </w:r>
      <w:r>
        <w:rPr>
          <w:rFonts w:ascii="Arial" w:cs="Arial" w:eastAsia="Arial" w:hAnsi="Arial"/>
          <w:sz w:val="20"/>
          <w:szCs w:val="20"/>
          <w:color w:val="auto"/>
        </w:rPr>
        <w:t>contractual obligations arising out of or in connection with it shall be governed by English law.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Please confirm your agreement to the above by signing and returning the enclosed copy of this Letter.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79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Thad Huston</w:t>
      </w:r>
    </w:p>
    <w:p>
      <w:pPr>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t>SCHEDULE 1: AMENDMENT</w:t>
      </w:r>
    </w:p>
    <w:p>
      <w:pPr>
        <w:spacing w:after="0" w:line="22"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AMENDMENT</w:t>
      </w:r>
    </w:p>
    <w:p>
      <w:pPr>
        <w:spacing w:after="0" w:line="19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The Facility Agreement will be amended as follows:</w:t>
      </w:r>
    </w:p>
    <w:p>
      <w:pPr>
        <w:spacing w:after="0" w:line="215" w:lineRule="exact"/>
        <w:rPr>
          <w:rFonts w:ascii="Arial" w:cs="Arial" w:eastAsia="Arial" w:hAnsi="Arial"/>
          <w:sz w:val="20"/>
          <w:szCs w:val="20"/>
          <w:b w:val="1"/>
          <w:bCs w:val="1"/>
          <w:color w:val="auto"/>
        </w:rPr>
      </w:pPr>
    </w:p>
    <w:p>
      <w:pPr>
        <w:ind w:left="1300" w:right="2400" w:hanging="671"/>
        <w:spacing w:after="0" w:line="464" w:lineRule="auto"/>
        <w:tabs>
          <w:tab w:leader="none" w:pos="130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following definition shall be inserted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xml:space="preserve">) of the Facility Agreement: </w:t>
      </w:r>
      <w:r>
        <w:rPr>
          <w:rFonts w:ascii="Arial" w:cs="Arial" w:eastAsia="Arial" w:hAnsi="Arial"/>
          <w:sz w:val="20"/>
          <w:szCs w:val="20"/>
          <w:b w:val="1"/>
          <w:bCs w:val="1"/>
          <w:color w:val="auto"/>
        </w:rPr>
        <w:t xml:space="preserve">“First Amendment Date” </w:t>
      </w:r>
      <w:r>
        <w:rPr>
          <w:rFonts w:ascii="Arial" w:cs="Arial" w:eastAsia="Arial" w:hAnsi="Arial"/>
          <w:sz w:val="20"/>
          <w:szCs w:val="20"/>
          <w:color w:val="auto"/>
        </w:rPr>
        <w:t>means 17 April 2020.</w:t>
      </w:r>
    </w:p>
    <w:p>
      <w:pPr>
        <w:spacing w:after="0" w:line="1" w:lineRule="exact"/>
        <w:rPr>
          <w:rFonts w:ascii="Arial" w:cs="Arial" w:eastAsia="Arial" w:hAnsi="Arial"/>
          <w:sz w:val="20"/>
          <w:szCs w:val="20"/>
          <w:color w:val="auto"/>
        </w:rPr>
      </w:pPr>
    </w:p>
    <w:p>
      <w:pPr>
        <w:ind w:left="1300" w:hanging="671"/>
        <w:spacing w:after="0" w:line="260" w:lineRule="auto"/>
        <w:tabs>
          <w:tab w:leader="none" w:pos="1300" w:val="left"/>
        </w:tabs>
        <w:numPr>
          <w:ilvl w:val="1"/>
          <w:numId w:val="29"/>
        </w:numPr>
        <w:rPr>
          <w:rFonts w:ascii="Arial" w:cs="Arial" w:eastAsia="Arial" w:hAnsi="Arial"/>
          <w:sz w:val="20"/>
          <w:szCs w:val="20"/>
          <w:color w:val="auto"/>
        </w:rPr>
      </w:pPr>
      <w:r>
        <w:rPr>
          <w:rFonts w:ascii="Arial" w:cs="Arial" w:eastAsia="Arial" w:hAnsi="Arial"/>
          <w:sz w:val="20"/>
          <w:szCs w:val="20"/>
          <w:color w:val="auto"/>
        </w:rPr>
        <w:t>Paragraphs (a) and (b) of Clause 19.1 (</w:t>
      </w:r>
      <w:r>
        <w:rPr>
          <w:rFonts w:ascii="Arial" w:cs="Arial" w:eastAsia="Arial" w:hAnsi="Arial"/>
          <w:sz w:val="20"/>
          <w:szCs w:val="20"/>
          <w:i w:val="1"/>
          <w:iCs w:val="1"/>
          <w:color w:val="auto"/>
        </w:rPr>
        <w:t>Financial Condition</w:t>
      </w:r>
      <w:r>
        <w:rPr>
          <w:rFonts w:ascii="Arial" w:cs="Arial" w:eastAsia="Arial" w:hAnsi="Arial"/>
          <w:sz w:val="20"/>
          <w:szCs w:val="20"/>
          <w:color w:val="auto"/>
        </w:rPr>
        <w:t>) of the Facility Agreement shall be deleted and replaced with the following:</w:t>
      </w:r>
    </w:p>
    <w:p>
      <w:pPr>
        <w:spacing w:after="0" w:line="171" w:lineRule="exact"/>
        <w:rPr>
          <w:sz w:val="20"/>
          <w:szCs w:val="20"/>
          <w:color w:val="auto"/>
        </w:rPr>
      </w:pPr>
    </w:p>
    <w:p>
      <w:pPr>
        <w:ind w:left="1280"/>
        <w:spacing w:after="0"/>
        <w:tabs>
          <w:tab w:leader="none" w:pos="186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6"/>
          <w:szCs w:val="16"/>
          <w:b w:val="1"/>
          <w:bCs w:val="1"/>
          <w:color w:val="auto"/>
        </w:rPr>
        <w:t>Financial condition</w:t>
      </w:r>
    </w:p>
    <w:p>
      <w:pPr>
        <w:spacing w:after="0" w:line="200" w:lineRule="exact"/>
        <w:rPr>
          <w:sz w:val="20"/>
          <w:szCs w:val="20"/>
          <w:color w:val="auto"/>
        </w:rPr>
      </w:pPr>
    </w:p>
    <w:p>
      <w:pPr>
        <w:spacing w:after="0" w:line="218" w:lineRule="exact"/>
        <w:rPr>
          <w:sz w:val="20"/>
          <w:szCs w:val="20"/>
          <w:color w:val="auto"/>
        </w:rPr>
      </w:pPr>
    </w:p>
    <w:p>
      <w:pPr>
        <w:ind w:left="1920" w:hanging="643"/>
        <w:spacing w:after="0"/>
        <w:tabs>
          <w:tab w:leader="none" w:pos="1920"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Consolidated Net Financial Indebtedness to Consolidated EBITDA</w:t>
      </w:r>
      <w:r>
        <w:rPr>
          <w:rFonts w:ascii="Arial" w:cs="Arial" w:eastAsia="Arial" w:hAnsi="Arial"/>
          <w:sz w:val="20"/>
          <w:szCs w:val="20"/>
          <w:color w:val="auto"/>
        </w:rPr>
        <w:t>:</w:t>
      </w:r>
    </w:p>
    <w:p>
      <w:pPr>
        <w:spacing w:after="0" w:line="208" w:lineRule="exact"/>
        <w:rPr>
          <w:rFonts w:ascii="Arial" w:cs="Arial" w:eastAsia="Arial" w:hAnsi="Arial"/>
          <w:sz w:val="20"/>
          <w:szCs w:val="20"/>
          <w:color w:val="auto"/>
        </w:rPr>
      </w:pPr>
    </w:p>
    <w:p>
      <w:pPr>
        <w:jc w:val="both"/>
        <w:ind w:left="2560" w:hanging="635"/>
        <w:spacing w:after="0" w:line="264" w:lineRule="auto"/>
        <w:tabs>
          <w:tab w:leader="none" w:pos="25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Save as provided in sub-paragraph (ii), the Company shall ensure that Consolidated Net Financial Indebtedness as at any Accounting Date shall not be more than 2.50 times the Consolidated EBITDA for the applicable Test Period ending on that Accounting Date.</w:t>
      </w:r>
    </w:p>
    <w:p>
      <w:pPr>
        <w:spacing w:after="0" w:line="159" w:lineRule="exact"/>
        <w:rPr>
          <w:rFonts w:ascii="Arial" w:cs="Arial" w:eastAsia="Arial" w:hAnsi="Arial"/>
          <w:sz w:val="20"/>
          <w:szCs w:val="20"/>
          <w:color w:val="auto"/>
        </w:rPr>
      </w:pPr>
    </w:p>
    <w:p>
      <w:pPr>
        <w:jc w:val="both"/>
        <w:ind w:left="2560" w:hanging="635"/>
        <w:spacing w:after="0" w:line="264" w:lineRule="auto"/>
        <w:tabs>
          <w:tab w:leader="none" w:pos="25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Company shall ensure that Consolidated Net Financial Indebtedness as at the Accounting Date falling on 30 June 2020 and 31 December 2020 shall not be more than 3.50 times the Consolidated EBITDA for the applicable Test Period ending on the relevant Accounting Date.</w:t>
      </w:r>
    </w:p>
    <w:p>
      <w:pPr>
        <w:spacing w:after="0" w:line="153" w:lineRule="exact"/>
        <w:rPr>
          <w:rFonts w:ascii="Arial" w:cs="Arial" w:eastAsia="Arial" w:hAnsi="Arial"/>
          <w:sz w:val="20"/>
          <w:szCs w:val="20"/>
          <w:color w:val="auto"/>
        </w:rPr>
      </w:pPr>
    </w:p>
    <w:p>
      <w:pPr>
        <w:ind w:left="1920" w:hanging="643"/>
        <w:spacing w:after="0"/>
        <w:tabs>
          <w:tab w:leader="none" w:pos="1920"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Consolidated EBITDA to Consolidated Total Net Interest Payable</w:t>
      </w:r>
      <w:r>
        <w:rPr>
          <w:rFonts w:ascii="Arial" w:cs="Arial" w:eastAsia="Arial" w:hAnsi="Arial"/>
          <w:sz w:val="20"/>
          <w:szCs w:val="20"/>
          <w:color w:val="auto"/>
        </w:rPr>
        <w:t>:</w:t>
      </w:r>
    </w:p>
    <w:p>
      <w:pPr>
        <w:spacing w:after="0" w:line="208" w:lineRule="exact"/>
        <w:rPr>
          <w:rFonts w:ascii="Arial" w:cs="Arial" w:eastAsia="Arial" w:hAnsi="Arial"/>
          <w:sz w:val="20"/>
          <w:szCs w:val="20"/>
          <w:color w:val="auto"/>
        </w:rPr>
      </w:pPr>
    </w:p>
    <w:p>
      <w:pPr>
        <w:jc w:val="both"/>
        <w:ind w:left="2560" w:hanging="635"/>
        <w:spacing w:after="0" w:line="264" w:lineRule="auto"/>
        <w:tabs>
          <w:tab w:leader="none" w:pos="25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Save as provided in sub-paragraph (ii), Consolidated EBITDA for the applicable Test Period ending on an Accounting Date shall not be lower than 6.30 times the Consolidated Total Net Interest Payable for that Test Period.</w:t>
      </w:r>
    </w:p>
    <w:p>
      <w:pPr>
        <w:spacing w:after="0" w:line="159" w:lineRule="exact"/>
        <w:rPr>
          <w:rFonts w:ascii="Arial" w:cs="Arial" w:eastAsia="Arial" w:hAnsi="Arial"/>
          <w:sz w:val="20"/>
          <w:szCs w:val="20"/>
          <w:color w:val="auto"/>
        </w:rPr>
      </w:pPr>
    </w:p>
    <w:p>
      <w:pPr>
        <w:jc w:val="both"/>
        <w:ind w:left="2560" w:right="20" w:hanging="635"/>
        <w:spacing w:after="0" w:line="264" w:lineRule="auto"/>
        <w:tabs>
          <w:tab w:leader="none" w:pos="25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Consolidated EBITDA for the Test Period ending on the Accounting Date falling on 30June 2020 and 31 December 2020 shall not be lower than 5.00 times the Consolidated Total Net Interest Payable for the relevant Test Period.</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3" w:right="339" w:bottom="1440" w:gutter="0" w:footer="0" w:header="0"/>
        </w:sectPr>
      </w:pPr>
    </w:p>
    <w:bookmarkStart w:id="19" w:name="page20"/>
    <w:bookmarkEnd w:id="19"/>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b w:val="1"/>
          <w:bCs w:val="1"/>
          <w:color w:val="auto"/>
        </w:rPr>
        <w:t>LIVANOVA PLC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We acknowledge, agree and accept the above terms: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Paolo Montagna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79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955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b w:val="1"/>
          <w:bCs w:val="1"/>
          <w:color w:val="auto"/>
        </w:rPr>
        <w:t xml:space="preserve">BANCA NAZIONALE DEL LAVORO S.P.A. </w:t>
      </w:r>
      <w:r>
        <w:rPr>
          <w:rFonts w:ascii="Arial" w:cs="Arial" w:eastAsia="Arial" w:hAnsi="Arial"/>
          <w:sz w:val="20"/>
          <w:szCs w:val="20"/>
          <w:color w:val="auto"/>
        </w:rPr>
        <w:t>as Original Lender</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92" w:right="339" w:bottom="1440" w:gutter="0" w:footer="0" w:header="0"/>
        </w:sectPr>
      </w:pPr>
    </w:p>
    <w:bookmarkStart w:id="20" w:name="page21"/>
    <w:bookmarkEnd w:id="20"/>
    <w:p>
      <w:pPr>
        <w:ind w:left="103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2562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25625" cy="531495"/>
                    </a:xfrm>
                    <a:prstGeom prst="rect">
                      <a:avLst/>
                    </a:prstGeom>
                    <a:noFill/>
                  </pic:spPr>
                </pic:pic>
              </a:graphicData>
            </a:graphic>
          </wp:anchor>
        </w:drawing>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659"/>
        <w:spacing w:after="0" w:line="267" w:lineRule="auto"/>
        <w:tabs>
          <w:tab w:leader="none" w:pos="64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20"/>
          <w:szCs w:val="20"/>
          <w:b w:val="1"/>
          <w:bCs w:val="1"/>
          <w:color w:val="auto"/>
        </w:rPr>
        <w:t xml:space="preserve">LIVANOVA PLC </w:t>
      </w:r>
      <w:r>
        <w:rPr>
          <w:rFonts w:ascii="Arial" w:cs="Arial" w:eastAsia="Arial" w:hAnsi="Arial"/>
          <w:sz w:val="20"/>
          <w:szCs w:val="20"/>
          <w:color w:val="auto"/>
        </w:rPr>
        <w:t>a company incorporated in England and Wales with registration number 09451374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acting</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its Italian branch located at Via Benigno Crespi, 17 Italy, 20159 Milan</w:t>
      </w:r>
    </w:p>
    <w:p>
      <w:pPr>
        <w:spacing w:after="0" w:line="200" w:lineRule="exact"/>
        <w:rPr>
          <w:sz w:val="20"/>
          <w:szCs w:val="20"/>
          <w:color w:val="auto"/>
        </w:rPr>
      </w:pPr>
    </w:p>
    <w:p>
      <w:pPr>
        <w:spacing w:after="0" w:line="206"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b w:val="1"/>
          <w:bCs w:val="1"/>
          <w:color w:val="auto"/>
        </w:rPr>
        <w:t xml:space="preserve">BANCA NAZIONALE DEL LAVORO S.P.A. </w:t>
      </w:r>
      <w:r>
        <w:rPr>
          <w:rFonts w:ascii="Arial" w:cs="Arial" w:eastAsia="Arial" w:hAnsi="Arial"/>
          <w:sz w:val="20"/>
          <w:szCs w:val="20"/>
          <w:color w:val="auto"/>
        </w:rPr>
        <w:t>as Original Lender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 21 April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Sirs/Madams</w:t>
      </w:r>
    </w:p>
    <w:p>
      <w:pPr>
        <w:spacing w:after="0" w:line="210" w:lineRule="exact"/>
        <w:rPr>
          <w:sz w:val="20"/>
          <w:szCs w:val="20"/>
          <w:color w:val="auto"/>
        </w:rPr>
      </w:pPr>
    </w:p>
    <w:p>
      <w:pPr>
        <w:spacing w:after="0" w:line="230" w:lineRule="exact"/>
        <w:rPr>
          <w:sz w:val="20"/>
          <w:szCs w:val="20"/>
          <w:color w:val="auto"/>
        </w:rPr>
      </w:pPr>
      <w:r>
        <w:rPr>
          <w:rFonts w:ascii="Arial" w:cs="Arial" w:eastAsia="Arial" w:hAnsi="Arial"/>
          <w:sz w:val="20"/>
          <w:szCs w:val="20"/>
          <w:b w:val="1"/>
          <w:bCs w:val="1"/>
          <w:color w:val="auto"/>
        </w:rPr>
        <w:t xml:space="preserve">LIVANOVA PLC ITALIAN BRANCH </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 AMENDMENT LETTER</w:t>
      </w:r>
    </w:p>
    <w:p>
      <w:pPr>
        <w:spacing w:after="0" w:line="216"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w:t>
      </w:r>
    </w:p>
    <w:p>
      <w:pPr>
        <w:spacing w:after="0" w:line="215" w:lineRule="exact"/>
        <w:rPr>
          <w:rFonts w:ascii="Arial" w:cs="Arial" w:eastAsia="Arial" w:hAnsi="Arial"/>
          <w:sz w:val="20"/>
          <w:szCs w:val="20"/>
          <w:b w:val="1"/>
          <w:bCs w:val="1"/>
          <w:color w:val="auto"/>
        </w:rPr>
      </w:pPr>
    </w:p>
    <w:p>
      <w:pPr>
        <w:jc w:val="both"/>
        <w:ind w:left="1300" w:right="20" w:hanging="644"/>
        <w:spacing w:after="0" w:line="253" w:lineRule="auto"/>
        <w:tabs>
          <w:tab w:leader="none" w:pos="1300" w:val="left"/>
        </w:tabs>
        <w:numPr>
          <w:ilvl w:val="1"/>
          <w:numId w:val="31"/>
        </w:numPr>
        <w:rPr>
          <w:rFonts w:ascii="Arial" w:cs="Arial" w:eastAsia="Arial" w:hAnsi="Arial"/>
          <w:sz w:val="20"/>
          <w:szCs w:val="20"/>
          <w:color w:val="auto"/>
        </w:rPr>
      </w:pPr>
      <w:r>
        <w:rPr>
          <w:rFonts w:ascii="Arial" w:cs="Arial" w:eastAsia="Arial" w:hAnsi="Arial"/>
          <w:sz w:val="20"/>
          <w:szCs w:val="20"/>
          <w:color w:val="auto"/>
        </w:rPr>
        <w:t xml:space="preserve">We refer to the facility agreement dated 25 July 2019 (the </w:t>
      </w:r>
      <w:r>
        <w:rPr>
          <w:rFonts w:ascii="Arial" w:cs="Arial" w:eastAsia="Arial" w:hAnsi="Arial"/>
          <w:sz w:val="20"/>
          <w:szCs w:val="20"/>
          <w:b w:val="1"/>
          <w:bCs w:val="1"/>
          <w:color w:val="auto"/>
        </w:rPr>
        <w:t>“Facility Agreement”</w:t>
      </w:r>
      <w:r>
        <w:rPr>
          <w:rFonts w:ascii="Arial" w:cs="Arial" w:eastAsia="Arial" w:hAnsi="Arial"/>
          <w:sz w:val="20"/>
          <w:szCs w:val="20"/>
          <w:color w:val="auto"/>
        </w:rPr>
        <w:t>) and made between (1) LivaNova plc, Italian Branch as Company (the “</w:t>
      </w:r>
      <w:r>
        <w:rPr>
          <w:rFonts w:ascii="Arial" w:cs="Arial" w:eastAsia="Arial" w:hAnsi="Arial"/>
          <w:sz w:val="20"/>
          <w:szCs w:val="20"/>
          <w:b w:val="1"/>
          <w:bCs w:val="1"/>
          <w:color w:val="auto"/>
        </w:rPr>
        <w:t>Company</w:t>
      </w:r>
      <w:r>
        <w:rPr>
          <w:rFonts w:ascii="Arial" w:cs="Arial" w:eastAsia="Arial" w:hAnsi="Arial"/>
          <w:sz w:val="20"/>
          <w:szCs w:val="20"/>
          <w:color w:val="auto"/>
        </w:rPr>
        <w:t>”) and (2) Banca Nazionale del Lavoro S.p.A. as Original Lender as amended from time to time (the “</w:t>
      </w:r>
      <w:r>
        <w:rPr>
          <w:rFonts w:ascii="Arial" w:cs="Arial" w:eastAsia="Arial" w:hAnsi="Arial"/>
          <w:sz w:val="20"/>
          <w:szCs w:val="20"/>
          <w:b w:val="1"/>
          <w:bCs w:val="1"/>
          <w:color w:val="auto"/>
        </w:rPr>
        <w:t>Facility Agreement</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This Letter is supplemental to and amends the Facility Agreement.</w:t>
      </w:r>
    </w:p>
    <w:p>
      <w:pPr>
        <w:spacing w:after="0" w:line="215"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Company has requested that the Lender agrees to certain amendments to the Facility Agreement. The Lender has consented to the amendments contemplated by this Letter.</w:t>
      </w:r>
    </w:p>
    <w:p>
      <w:pPr>
        <w:spacing w:after="0" w:line="170" w:lineRule="exact"/>
        <w:rPr>
          <w:rFonts w:ascii="Arial" w:cs="Arial" w:eastAsia="Arial" w:hAnsi="Arial"/>
          <w:sz w:val="20"/>
          <w:szCs w:val="20"/>
          <w:color w:val="auto"/>
        </w:rPr>
      </w:pPr>
    </w:p>
    <w:p>
      <w:pPr>
        <w:ind w:left="660" w:hanging="652"/>
        <w:spacing w:after="0"/>
        <w:tabs>
          <w:tab w:leader="none" w:pos="6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Letter terms defined in, or construed for the purposes of, the Facility Agreement have the same meanings when used in this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Letter (unless the same are otherwise defined in this Letter):</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Paragraphs</w:t>
      </w:r>
    </w:p>
    <w:p>
      <w:pPr>
        <w:spacing w:after="0" w:line="216" w:lineRule="exact"/>
        <w:rPr>
          <w:sz w:val="20"/>
          <w:szCs w:val="20"/>
          <w:color w:val="auto"/>
        </w:rPr>
      </w:pPr>
    </w:p>
    <w:p>
      <w:pPr>
        <w:ind w:left="1300" w:hanging="644"/>
        <w:spacing w:after="0" w:line="267" w:lineRule="auto"/>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In this Letter, any reference to a </w:t>
      </w:r>
      <w:r>
        <w:rPr>
          <w:rFonts w:ascii="Arial" w:cs="Arial" w:eastAsia="Arial" w:hAnsi="Arial"/>
          <w:sz w:val="20"/>
          <w:szCs w:val="20"/>
          <w:b w:val="1"/>
          <w:bCs w:val="1"/>
          <w:color w:val="auto"/>
        </w:rPr>
        <w:t>“paragraph”</w:t>
      </w:r>
      <w:r>
        <w:rPr>
          <w:rFonts w:ascii="Arial" w:cs="Arial" w:eastAsia="Arial" w:hAnsi="Arial"/>
          <w:sz w:val="20"/>
          <w:szCs w:val="20"/>
          <w:color w:val="auto"/>
        </w:rPr>
        <w:t xml:space="preserve"> or </w:t>
      </w:r>
      <w:r>
        <w:rPr>
          <w:rFonts w:ascii="Arial" w:cs="Arial" w:eastAsia="Arial" w:hAnsi="Arial"/>
          <w:sz w:val="20"/>
          <w:szCs w:val="20"/>
          <w:b w:val="1"/>
          <w:bCs w:val="1"/>
          <w:color w:val="auto"/>
        </w:rPr>
        <w:t>“schedule”</w:t>
      </w:r>
      <w:r>
        <w:rPr>
          <w:rFonts w:ascii="Arial" w:cs="Arial" w:eastAsia="Arial" w:hAnsi="Arial"/>
          <w:sz w:val="20"/>
          <w:szCs w:val="20"/>
          <w:color w:val="auto"/>
        </w:rPr>
        <w:t xml:space="preserve"> is, unless the context otherwise requires, a reference to a paragraph or schedule of this Letter.</w:t>
      </w:r>
    </w:p>
    <w:p>
      <w:pPr>
        <w:spacing w:after="0" w:line="169" w:lineRule="exact"/>
        <w:rPr>
          <w:rFonts w:ascii="Arial" w:cs="Arial" w:eastAsia="Arial" w:hAnsi="Arial"/>
          <w:sz w:val="20"/>
          <w:szCs w:val="20"/>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Paragraph and schedule headings are for ease of reference only.</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Continuing obligations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Subject to the provisions of this Letter:</w:t>
      </w:r>
    </w:p>
    <w:p>
      <w:pPr>
        <w:spacing w:after="0" w:line="216"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Facility Agreement and all the other Finance Documents shall remain in full force and effect;</w:t>
      </w:r>
    </w:p>
    <w:p>
      <w:pPr>
        <w:sectPr>
          <w:pgSz w:w="11900" w:h="16838" w:orient="portrait"/>
          <w:cols w:equalWidth="0" w:num="1">
            <w:col w:w="11240"/>
          </w:cols>
          <w:pgMar w:left="320" w:top="1174" w:right="339" w:bottom="1440" w:gutter="0" w:footer="0" w:header="0"/>
        </w:sectPr>
      </w:pPr>
    </w:p>
    <w:bookmarkStart w:id="21" w:name="page22"/>
    <w:bookmarkEnd w:id="21"/>
    <w:p>
      <w:pPr>
        <w:ind w:left="1300" w:hanging="644"/>
        <w:spacing w:after="0"/>
        <w:tabs>
          <w:tab w:leader="none" w:pos="13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as from the date hereof, the Facility Agreement shall be read and construed as one document with this Letter; and</w:t>
      </w:r>
    </w:p>
    <w:p>
      <w:pPr>
        <w:spacing w:after="0" w:line="227"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nothing in this Letter shall constitute or be construed as a waiver or release of any right or remedy of a Finance Party under the Finance Documents, nor otherwise prejudice any right or remedy of a Finance Party under the Facility Agreement or any other Finance Document.</w:t>
      </w:r>
    </w:p>
    <w:p>
      <w:pPr>
        <w:spacing w:after="0" w:line="18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CONFIRMATIONS AND FURTHER ASSURANCE</w:t>
      </w:r>
    </w:p>
    <w:p>
      <w:pPr>
        <w:spacing w:after="0" w:line="215"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3.1</w:t>
      </w:r>
      <w:r>
        <w:rPr>
          <w:rFonts w:ascii="Arial" w:cs="Arial" w:eastAsia="Arial" w:hAnsi="Arial"/>
          <w:sz w:val="16"/>
          <w:szCs w:val="16"/>
          <w:b w:val="1"/>
          <w:bCs w:val="1"/>
          <w:color w:val="auto"/>
        </w:rPr>
        <w:t>Amendments</w:t>
      </w:r>
    </w:p>
    <w:p>
      <w:pPr>
        <w:spacing w:after="0" w:line="22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With effect from the Effective Date, the Facility Agreement shall be amended in accordance with Schedule 1 (</w:t>
      </w:r>
      <w:r>
        <w:rPr>
          <w:rFonts w:ascii="Arial" w:cs="Arial" w:eastAsia="Arial" w:hAnsi="Arial"/>
          <w:sz w:val="20"/>
          <w:szCs w:val="20"/>
          <w:i w:val="1"/>
          <w:iCs w:val="1"/>
          <w:color w:val="auto"/>
        </w:rPr>
        <w:t>Amendment</w:t>
      </w:r>
      <w:r>
        <w:rPr>
          <w:rFonts w:ascii="Arial" w:cs="Arial" w:eastAsia="Arial" w:hAnsi="Arial"/>
          <w:sz w:val="20"/>
          <w:szCs w:val="20"/>
          <w:color w:val="auto"/>
        </w:rPr>
        <w:t>) to this Letter.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Further assurance</w:t>
      </w:r>
    </w:p>
    <w:p>
      <w:pPr>
        <w:spacing w:after="0" w:line="22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Company shall, at the request of the Lender and at its own expense, do all such acts and things necessary or desirable to give effect to the amendments effected or to be effected pursuant to this Letter.</w:t>
      </w:r>
    </w:p>
    <w:p>
      <w:pPr>
        <w:spacing w:after="0" w:line="17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RELIANCE</w:t>
      </w:r>
    </w:p>
    <w:p>
      <w:pPr>
        <w:spacing w:after="0" w:line="215"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4.1</w:t>
      </w:r>
      <w:r>
        <w:rPr>
          <w:rFonts w:ascii="Arial" w:cs="Arial" w:eastAsia="Arial" w:hAnsi="Arial"/>
          <w:sz w:val="16"/>
          <w:szCs w:val="16"/>
          <w:b w:val="1"/>
          <w:bCs w:val="1"/>
          <w:color w:val="auto"/>
        </w:rPr>
        <w:t>Representations</w:t>
      </w:r>
    </w:p>
    <w:p>
      <w:pPr>
        <w:spacing w:after="0" w:line="222" w:lineRule="exact"/>
        <w:rPr>
          <w:sz w:val="20"/>
          <w:szCs w:val="20"/>
          <w:color w:val="auto"/>
        </w:rPr>
      </w:pPr>
    </w:p>
    <w:p>
      <w:pPr>
        <w:ind w:left="660"/>
        <w:spacing w:after="0" w:line="316" w:lineRule="auto"/>
        <w:rPr>
          <w:sz w:val="20"/>
          <w:szCs w:val="20"/>
          <w:color w:val="auto"/>
        </w:rPr>
      </w:pPr>
      <w:r>
        <w:rPr>
          <w:rFonts w:ascii="Arial" w:cs="Arial" w:eastAsia="Arial" w:hAnsi="Arial"/>
          <w:sz w:val="18"/>
          <w:szCs w:val="18"/>
          <w:color w:val="auto"/>
        </w:rPr>
        <w:t>The Company makes the Repeating Representations (as defined in the Facility Agreement) in relation to itself and, where relevant, each of its Subsidiaries on the date of acceptance of this letter, by reference to the facts and circumstances existing at that date.</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Reliance</w:t>
      </w:r>
    </w:p>
    <w:p>
      <w:pPr>
        <w:spacing w:after="0" w:line="22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Company acknowledges that the Lender has entered into this Letter in full reliance on the representations and warranties made by it in the terms stated in this paragraph 4.</w:t>
      </w:r>
    </w:p>
    <w:p>
      <w:pPr>
        <w:spacing w:after="0" w:line="17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COSTS AND EXPENSES</w:t>
      </w:r>
    </w:p>
    <w:p>
      <w:pPr>
        <w:spacing w:after="0" w:line="221" w:lineRule="exact"/>
        <w:rPr>
          <w:rFonts w:ascii="Arial" w:cs="Arial" w:eastAsia="Arial" w:hAnsi="Arial"/>
          <w:sz w:val="20"/>
          <w:szCs w:val="20"/>
          <w:b w:val="1"/>
          <w:bCs w:val="1"/>
          <w:color w:val="auto"/>
        </w:rPr>
      </w:pPr>
    </w:p>
    <w:p>
      <w:pPr>
        <w:jc w:val="both"/>
        <w:ind w:left="660" w:right="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In accordance with clause 16.2 (</w:t>
      </w:r>
      <w:r>
        <w:rPr>
          <w:rFonts w:ascii="Arial" w:cs="Arial" w:eastAsia="Arial" w:hAnsi="Arial"/>
          <w:sz w:val="20"/>
          <w:szCs w:val="20"/>
          <w:i w:val="1"/>
          <w:iCs w:val="1"/>
          <w:color w:val="auto"/>
        </w:rPr>
        <w:t>Amendments Costs</w:t>
      </w:r>
      <w:r>
        <w:rPr>
          <w:rFonts w:ascii="Arial" w:cs="Arial" w:eastAsia="Arial" w:hAnsi="Arial"/>
          <w:sz w:val="20"/>
          <w:szCs w:val="20"/>
          <w:color w:val="auto"/>
        </w:rPr>
        <w:t>) of the Facility Agreement, the Company shall within three Business Days of demand pay the Lender the amount of all costs and expenses (including legal fees) incurred by the Lender in responding to and evaluating this Letter.</w:t>
      </w:r>
    </w:p>
    <w:p>
      <w:pPr>
        <w:spacing w:after="0" w:line="179" w:lineRule="exact"/>
        <w:rPr>
          <w:rFonts w:ascii="Arial" w:cs="Arial" w:eastAsia="Arial" w:hAnsi="Arial"/>
          <w:sz w:val="20"/>
          <w:szCs w:val="20"/>
          <w:b w:val="1"/>
          <w:bCs w:val="1"/>
          <w:color w:val="auto"/>
        </w:rPr>
      </w:pPr>
    </w:p>
    <w:p>
      <w:pPr>
        <w:ind w:left="660" w:hanging="652"/>
        <w:spacing w:after="0"/>
        <w:tabs>
          <w:tab w:leader="none" w:pos="6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Counterparts</w:t>
      </w:r>
    </w:p>
    <w:p>
      <w:pPr>
        <w:spacing w:after="0" w:line="222"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This Letter may be executed in any number of counterparts, and this has the same effect as if the signatures on the counterparts were on a single copy of this Letter.</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84" w:right="339" w:bottom="1440" w:gutter="0" w:footer="0" w:header="0"/>
        </w:sectPr>
      </w:pPr>
    </w:p>
    <w:bookmarkStart w:id="22" w:name="page23"/>
    <w:bookmarkEnd w:id="22"/>
    <w:p>
      <w:pPr>
        <w:spacing w:after="0"/>
        <w:tabs>
          <w:tab w:leader="none" w:pos="6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8"/>
          <w:szCs w:val="18"/>
          <w:b w:val="1"/>
          <w:bCs w:val="1"/>
          <w:color w:val="auto"/>
        </w:rPr>
        <w:t>Third party rights</w:t>
      </w:r>
    </w:p>
    <w:p>
      <w:pPr>
        <w:spacing w:after="0" w:line="222" w:lineRule="exact"/>
        <w:rPr>
          <w:sz w:val="20"/>
          <w:szCs w:val="20"/>
          <w:color w:val="auto"/>
        </w:rPr>
      </w:pPr>
    </w:p>
    <w:p>
      <w:pPr>
        <w:jc w:val="both"/>
        <w:ind w:left="1300" w:hanging="644"/>
        <w:spacing w:after="0" w:line="250" w:lineRule="auto"/>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Unless expressly provided to the contrary in a Finance Document, a person (other than a Finance Party) who is not a party to this Letter has no right under the Contracts (Rights of Third Parties) Act 1999 to enforce or enjoy the benefit of any term of this Letter.</w:t>
      </w:r>
    </w:p>
    <w:p>
      <w:pPr>
        <w:spacing w:after="0" w:line="185"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Subject to clause 31 (</w:t>
      </w:r>
      <w:r>
        <w:rPr>
          <w:rFonts w:ascii="Arial" w:cs="Arial" w:eastAsia="Arial" w:hAnsi="Arial"/>
          <w:sz w:val="20"/>
          <w:szCs w:val="20"/>
          <w:i w:val="1"/>
          <w:iCs w:val="1"/>
          <w:color w:val="auto"/>
        </w:rPr>
        <w:t>Amendments and Waivers</w:t>
      </w:r>
      <w:r>
        <w:rPr>
          <w:rFonts w:ascii="Arial" w:cs="Arial" w:eastAsia="Arial" w:hAnsi="Arial"/>
          <w:sz w:val="20"/>
          <w:szCs w:val="20"/>
          <w:color w:val="auto"/>
        </w:rPr>
        <w:t>) of the Facility Agreement, the consent of any person who is not a party to this Letter is not required to rescind or vary this Letter at any time.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Finance Document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Lender and the Company agree that this Letter is a Finance Document.</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6"/>
          <w:szCs w:val="16"/>
          <w:b w:val="1"/>
          <w:bCs w:val="1"/>
          <w:color w:val="auto"/>
        </w:rPr>
        <w:t>Governing law</w:t>
      </w:r>
    </w:p>
    <w:p>
      <w:pPr>
        <w:spacing w:after="0" w:line="22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This Letter and any non</w:t>
      </w:r>
      <w:r>
        <w:rPr>
          <w:rFonts w:ascii="MS PGothic" w:cs="MS PGothic" w:eastAsia="MS PGothic" w:hAnsi="MS PGothic"/>
          <w:sz w:val="20"/>
          <w:szCs w:val="20"/>
          <w:color w:val="auto"/>
        </w:rPr>
        <w:t>‑</w:t>
      </w:r>
      <w:r>
        <w:rPr>
          <w:rFonts w:ascii="Arial" w:cs="Arial" w:eastAsia="Arial" w:hAnsi="Arial"/>
          <w:sz w:val="20"/>
          <w:szCs w:val="20"/>
          <w:color w:val="auto"/>
        </w:rPr>
        <w:t>contractual obligations arising out of or in connection with it shall be governed by English law.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Please confirm your agreement to the above by signing and returning the enclosed copy of this Letter.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Maurizio Borelli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935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b w:val="1"/>
          <w:bCs w:val="1"/>
          <w:color w:val="auto"/>
        </w:rPr>
        <w:t>LIVANOVA PLC, ITALIAN BRANCH</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333"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SCHEDULE 1: Amendment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The Facility Agreement will be amended as follows: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The definition of “Test Period” in Clause 19.3 (</w:t>
      </w:r>
      <w:r>
        <w:rPr>
          <w:rFonts w:ascii="Arial" w:cs="Arial" w:eastAsia="Arial" w:hAnsi="Arial"/>
          <w:sz w:val="19"/>
          <w:szCs w:val="19"/>
          <w:i w:val="1"/>
          <w:iCs w:val="1"/>
          <w:color w:val="auto"/>
        </w:rPr>
        <w:t>Definitions</w:t>
      </w:r>
      <w:r>
        <w:rPr>
          <w:rFonts w:ascii="Arial" w:cs="Arial" w:eastAsia="Arial" w:hAnsi="Arial"/>
          <w:sz w:val="19"/>
          <w:szCs w:val="19"/>
          <w:color w:val="auto"/>
        </w:rPr>
        <w:t>) of the Facility Agreement shall be deleted and replaced with the following:</w:t>
      </w:r>
    </w:p>
    <w:p>
      <w:pPr>
        <w:spacing w:after="0" w:line="275" w:lineRule="exact"/>
        <w:rPr>
          <w:sz w:val="20"/>
          <w:szCs w:val="20"/>
          <w:color w:val="auto"/>
        </w:rPr>
      </w:pPr>
    </w:p>
    <w:p>
      <w:pPr>
        <w:ind w:left="660" w:right="720"/>
        <w:spacing w:after="0" w:line="267" w:lineRule="auto"/>
        <w:rPr>
          <w:sz w:val="20"/>
          <w:szCs w:val="20"/>
          <w:color w:val="auto"/>
        </w:rPr>
      </w:pPr>
      <w:r>
        <w:rPr>
          <w:rFonts w:ascii="Arial" w:cs="Arial" w:eastAsia="Arial" w:hAnsi="Arial"/>
          <w:sz w:val="20"/>
          <w:szCs w:val="20"/>
          <w:b w:val="1"/>
          <w:bCs w:val="1"/>
          <w:color w:val="auto"/>
        </w:rPr>
        <w:t xml:space="preserve">“Test Period” </w:t>
      </w:r>
      <w:r>
        <w:rPr>
          <w:rFonts w:ascii="Arial" w:cs="Arial" w:eastAsia="Arial" w:hAnsi="Arial"/>
          <w:sz w:val="20"/>
          <w:szCs w:val="20"/>
          <w:color w:val="auto"/>
        </w:rPr>
        <w:t>shall mean for the purposes of Clause 19.1(a) and Clause 19.1(b), each period of twelve months ending on an</w:t>
      </w:r>
      <w:r>
        <w:rPr>
          <w:rFonts w:ascii="Arial" w:cs="Arial" w:eastAsia="Arial" w:hAnsi="Arial"/>
          <w:sz w:val="20"/>
          <w:szCs w:val="20"/>
          <w:b w:val="1"/>
          <w:bCs w:val="1"/>
          <w:color w:val="auto"/>
        </w:rPr>
        <w:t xml:space="preserve"> </w:t>
      </w:r>
      <w:r>
        <w:rPr>
          <w:rFonts w:ascii="Arial" w:cs="Arial" w:eastAsia="Arial" w:hAnsi="Arial"/>
          <w:sz w:val="20"/>
          <w:szCs w:val="20"/>
          <w:color w:val="auto"/>
        </w:rPr>
        <w:t>Accounting Date.</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68" w:right="339" w:bottom="1440" w:gutter="0" w:footer="0" w:header="0"/>
        </w:sectPr>
      </w:pPr>
    </w:p>
    <w:bookmarkStart w:id="24" w:name="page25"/>
    <w:bookmarkEnd w:id="24"/>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b w:val="1"/>
          <w:bCs w:val="1"/>
          <w:color w:val="auto"/>
        </w:rPr>
        <w:t>LIVANOVA PLC, ITALIAN BRANCH</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We acknowledge, agree and accept the above terms: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Paolo Montagna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538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b w:val="1"/>
          <w:bCs w:val="1"/>
          <w:color w:val="auto"/>
        </w:rPr>
        <w:t>BANCA NAZIONALE DEL LAVORO SPA</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008"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25 July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LIVANOVA PLC, Italian Branch</w:t>
      </w:r>
    </w:p>
    <w:p>
      <w:pPr>
        <w:spacing w:after="0" w:line="189"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BANCA NAZIONALE DEL LAVAORO S.p.A.</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Original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FACILITY AGREEMENT</w:t>
      </w:r>
    </w:p>
    <w:p>
      <w:pPr>
        <w:sectPr>
          <w:pgSz w:w="11900" w:h="16838" w:orient="portrait"/>
          <w:cols w:equalWidth="0" w:num="1">
            <w:col w:w="10120"/>
          </w:cols>
          <w:pgMar w:left="1440" w:top="351" w:right="3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14" w:lineRule="exact"/>
        <w:rPr>
          <w:sz w:val="20"/>
          <w:szCs w:val="20"/>
          <w:color w:val="auto"/>
        </w:rPr>
      </w:pPr>
    </w:p>
    <w:p>
      <w:pPr>
        <w:spacing w:after="0"/>
        <w:tabs>
          <w:tab w:leader="none" w:pos="10720" w:val="left"/>
        </w:tabs>
        <w:rPr>
          <w:sz w:val="20"/>
          <w:szCs w:val="20"/>
          <w:color w:val="auto"/>
        </w:rPr>
      </w:pPr>
      <w:r>
        <w:rPr>
          <w:rFonts w:ascii="Arial" w:cs="Arial" w:eastAsia="Arial" w:hAnsi="Arial"/>
          <w:sz w:val="16"/>
          <w:szCs w:val="16"/>
          <w:b w:val="1"/>
          <w:bCs w:val="1"/>
          <w:color w:val="auto"/>
        </w:rPr>
        <w:t>Clause</w:t>
      </w:r>
      <w:r>
        <w:rPr>
          <w:sz w:val="20"/>
          <w:szCs w:val="20"/>
          <w:color w:val="auto"/>
        </w:rPr>
        <w:tab/>
      </w:r>
      <w:r>
        <w:rPr>
          <w:rFonts w:ascii="Arial" w:cs="Arial" w:eastAsia="Arial" w:hAnsi="Arial"/>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DEFINITIONS AND INTERPRETATION</w:t>
            </w:r>
          </w:p>
        </w:tc>
        <w:tc>
          <w:tcPr>
            <w:tcW w:w="3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2.</w:t>
            </w:r>
          </w:p>
        </w:tc>
        <w:tc>
          <w:tcPr>
            <w:tcW w:w="7280" w:type="dxa"/>
            <w:vAlign w:val="bottom"/>
          </w:tcPr>
          <w:p>
            <w:pPr>
              <w:ind w:left="320"/>
              <w:spacing w:after="0"/>
              <w:rPr>
                <w:sz w:val="20"/>
                <w:szCs w:val="20"/>
                <w:color w:val="auto"/>
              </w:rPr>
            </w:pPr>
            <w:r>
              <w:rPr>
                <w:rFonts w:ascii="Arial" w:cs="Arial" w:eastAsia="Arial" w:hAnsi="Arial"/>
                <w:sz w:val="18"/>
                <w:szCs w:val="18"/>
                <w:color w:val="auto"/>
              </w:rPr>
              <w:t>THE FACILITY</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PURPOSE</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4.</w:t>
            </w:r>
          </w:p>
        </w:tc>
        <w:tc>
          <w:tcPr>
            <w:tcW w:w="7280" w:type="dxa"/>
            <w:vAlign w:val="bottom"/>
          </w:tcPr>
          <w:p>
            <w:pPr>
              <w:ind w:left="320"/>
              <w:spacing w:after="0"/>
              <w:rPr>
                <w:sz w:val="20"/>
                <w:szCs w:val="20"/>
                <w:color w:val="auto"/>
              </w:rPr>
            </w:pPr>
            <w:r>
              <w:rPr>
                <w:rFonts w:ascii="Arial" w:cs="Arial" w:eastAsia="Arial" w:hAnsi="Arial"/>
                <w:sz w:val="18"/>
                <w:szCs w:val="18"/>
                <w:color w:val="auto"/>
              </w:rPr>
              <w:t>CONDITIONS OF UTILISATION</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UTILISATION</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6.</w:t>
            </w:r>
          </w:p>
        </w:tc>
        <w:tc>
          <w:tcPr>
            <w:tcW w:w="7280" w:type="dxa"/>
            <w:vAlign w:val="bottom"/>
          </w:tcPr>
          <w:p>
            <w:pPr>
              <w:ind w:left="320"/>
              <w:spacing w:after="0"/>
              <w:rPr>
                <w:sz w:val="20"/>
                <w:szCs w:val="20"/>
                <w:color w:val="auto"/>
              </w:rPr>
            </w:pPr>
            <w:r>
              <w:rPr>
                <w:rFonts w:ascii="Arial" w:cs="Arial" w:eastAsia="Arial" w:hAnsi="Arial"/>
                <w:sz w:val="18"/>
                <w:szCs w:val="18"/>
                <w:color w:val="auto"/>
              </w:rPr>
              <w:t>REPAYMENT</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PREPAYMENT AND CANCELLATION</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8.</w:t>
            </w:r>
          </w:p>
        </w:tc>
        <w:tc>
          <w:tcPr>
            <w:tcW w:w="728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PERIODS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10.</w:t>
            </w:r>
          </w:p>
        </w:tc>
        <w:tc>
          <w:tcPr>
            <w:tcW w:w="7280" w:type="dxa"/>
            <w:vAlign w:val="bottom"/>
          </w:tcPr>
          <w:p>
            <w:pPr>
              <w:ind w:left="320"/>
              <w:spacing w:after="0"/>
              <w:rPr>
                <w:sz w:val="20"/>
                <w:szCs w:val="20"/>
                <w:color w:val="auto"/>
              </w:rPr>
            </w:pPr>
            <w:r>
              <w:rPr>
                <w:rFonts w:ascii="Arial" w:cs="Arial" w:eastAsia="Arial" w:hAnsi="Arial"/>
                <w:sz w:val="18"/>
                <w:szCs w:val="18"/>
                <w:color w:val="auto"/>
              </w:rPr>
              <w:t>CHANGES TO THE CALCULATION OF INTEREST</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FEES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12.</w:t>
            </w:r>
          </w:p>
        </w:tc>
        <w:tc>
          <w:tcPr>
            <w:tcW w:w="7280" w:type="dxa"/>
            <w:vAlign w:val="bottom"/>
          </w:tcPr>
          <w:p>
            <w:pPr>
              <w:ind w:left="320"/>
              <w:spacing w:after="0"/>
              <w:rPr>
                <w:sz w:val="20"/>
                <w:szCs w:val="20"/>
                <w:color w:val="auto"/>
              </w:rPr>
            </w:pPr>
            <w:r>
              <w:rPr>
                <w:rFonts w:ascii="Arial" w:cs="Arial" w:eastAsia="Arial" w:hAnsi="Arial"/>
                <w:sz w:val="18"/>
                <w:szCs w:val="18"/>
                <w:color w:val="auto"/>
              </w:rPr>
              <w:t>TAX GROSS UP AND INDEMNITIES</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INCREASED COSTS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14.</w:t>
            </w:r>
          </w:p>
        </w:tc>
        <w:tc>
          <w:tcPr>
            <w:tcW w:w="7280" w:type="dxa"/>
            <w:vAlign w:val="bottom"/>
          </w:tcPr>
          <w:p>
            <w:pPr>
              <w:ind w:left="320"/>
              <w:spacing w:after="0"/>
              <w:rPr>
                <w:sz w:val="20"/>
                <w:szCs w:val="20"/>
                <w:color w:val="auto"/>
              </w:rPr>
            </w:pPr>
            <w:r>
              <w:rPr>
                <w:rFonts w:ascii="Arial" w:cs="Arial" w:eastAsia="Arial" w:hAnsi="Arial"/>
                <w:sz w:val="18"/>
                <w:szCs w:val="18"/>
                <w:color w:val="auto"/>
              </w:rPr>
              <w:t>OTHER INDEMNITIES</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MITIGATION BY THE LENDER</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16.</w:t>
            </w:r>
          </w:p>
        </w:tc>
        <w:tc>
          <w:tcPr>
            <w:tcW w:w="7280" w:type="dxa"/>
            <w:vAlign w:val="bottom"/>
          </w:tcPr>
          <w:p>
            <w:pPr>
              <w:ind w:left="320"/>
              <w:spacing w:after="0"/>
              <w:rPr>
                <w:sz w:val="20"/>
                <w:szCs w:val="20"/>
                <w:color w:val="auto"/>
              </w:rPr>
            </w:pPr>
            <w:r>
              <w:rPr>
                <w:rFonts w:ascii="Arial" w:cs="Arial" w:eastAsia="Arial" w:hAnsi="Arial"/>
                <w:sz w:val="18"/>
                <w:szCs w:val="18"/>
                <w:color w:val="auto"/>
              </w:rPr>
              <w:t>COSTS AND EXPENSES</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17.</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REPRESENTATIONS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18.</w:t>
            </w:r>
          </w:p>
        </w:tc>
        <w:tc>
          <w:tcPr>
            <w:tcW w:w="7280" w:type="dxa"/>
            <w:vAlign w:val="bottom"/>
          </w:tcPr>
          <w:p>
            <w:pPr>
              <w:ind w:left="320"/>
              <w:spacing w:after="0"/>
              <w:rPr>
                <w:sz w:val="20"/>
                <w:szCs w:val="20"/>
                <w:color w:val="auto"/>
              </w:rPr>
            </w:pPr>
            <w:r>
              <w:rPr>
                <w:rFonts w:ascii="Arial" w:cs="Arial" w:eastAsia="Arial" w:hAnsi="Arial"/>
                <w:sz w:val="18"/>
                <w:szCs w:val="18"/>
                <w:color w:val="auto"/>
              </w:rPr>
              <w:t>INFORMATION UNDERTAKINGS</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19.</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FINANCIAL COVENANTS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20.</w:t>
            </w:r>
          </w:p>
        </w:tc>
        <w:tc>
          <w:tcPr>
            <w:tcW w:w="7280" w:type="dxa"/>
            <w:vAlign w:val="bottom"/>
          </w:tcPr>
          <w:p>
            <w:pPr>
              <w:ind w:left="320"/>
              <w:spacing w:after="0"/>
              <w:rPr>
                <w:sz w:val="20"/>
                <w:szCs w:val="20"/>
                <w:color w:val="auto"/>
              </w:rPr>
            </w:pPr>
            <w:r>
              <w:rPr>
                <w:rFonts w:ascii="Arial" w:cs="Arial" w:eastAsia="Arial" w:hAnsi="Arial"/>
                <w:sz w:val="18"/>
                <w:szCs w:val="18"/>
                <w:color w:val="auto"/>
              </w:rPr>
              <w:t>GENERAL UNDERTAKINGS</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EVENTS OF DEFAULT</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22.</w:t>
            </w:r>
          </w:p>
        </w:tc>
        <w:tc>
          <w:tcPr>
            <w:tcW w:w="7280" w:type="dxa"/>
            <w:vAlign w:val="bottom"/>
          </w:tcPr>
          <w:p>
            <w:pPr>
              <w:ind w:left="320"/>
              <w:spacing w:after="0"/>
              <w:rPr>
                <w:sz w:val="20"/>
                <w:szCs w:val="20"/>
                <w:color w:val="auto"/>
              </w:rPr>
            </w:pPr>
            <w:r>
              <w:rPr>
                <w:rFonts w:ascii="Arial" w:cs="Arial" w:eastAsia="Arial" w:hAnsi="Arial"/>
                <w:sz w:val="18"/>
                <w:szCs w:val="18"/>
                <w:color w:val="auto"/>
              </w:rPr>
              <w:t>CHANGES TO THE LENDER</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TO THE COMPANY</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24.</w:t>
            </w:r>
          </w:p>
        </w:tc>
        <w:tc>
          <w:tcPr>
            <w:tcW w:w="7280" w:type="dxa"/>
            <w:vAlign w:val="bottom"/>
          </w:tcPr>
          <w:p>
            <w:pPr>
              <w:ind w:left="320"/>
              <w:spacing w:after="0"/>
              <w:rPr>
                <w:sz w:val="20"/>
                <w:szCs w:val="20"/>
                <w:color w:val="auto"/>
              </w:rPr>
            </w:pPr>
            <w:r>
              <w:rPr>
                <w:rFonts w:ascii="Arial" w:cs="Arial" w:eastAsia="Arial" w:hAnsi="Arial"/>
                <w:sz w:val="18"/>
                <w:szCs w:val="18"/>
                <w:color w:val="auto"/>
              </w:rPr>
              <w:t>CONDUCT OF BUSINESS BY THE LENDER</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PAYMENT MECHANICS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26.</w:t>
            </w:r>
          </w:p>
        </w:tc>
        <w:tc>
          <w:tcPr>
            <w:tcW w:w="7280" w:type="dxa"/>
            <w:vAlign w:val="bottom"/>
          </w:tcPr>
          <w:p>
            <w:pPr>
              <w:ind w:left="320"/>
              <w:spacing w:after="0"/>
              <w:rPr>
                <w:sz w:val="20"/>
                <w:szCs w:val="20"/>
                <w:color w:val="auto"/>
              </w:rPr>
            </w:pPr>
            <w:r>
              <w:rPr>
                <w:rFonts w:ascii="Arial" w:cs="Arial" w:eastAsia="Arial" w:hAnsi="Arial"/>
                <w:sz w:val="18"/>
                <w:szCs w:val="18"/>
                <w:color w:val="auto"/>
              </w:rPr>
              <w:t>SET-OFF</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27.</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28.</w:t>
            </w:r>
          </w:p>
        </w:tc>
        <w:tc>
          <w:tcPr>
            <w:tcW w:w="7280" w:type="dxa"/>
            <w:vAlign w:val="bottom"/>
          </w:tcPr>
          <w:p>
            <w:pPr>
              <w:ind w:left="320"/>
              <w:spacing w:after="0"/>
              <w:rPr>
                <w:sz w:val="20"/>
                <w:szCs w:val="20"/>
                <w:color w:val="auto"/>
              </w:rPr>
            </w:pPr>
            <w:r>
              <w:rPr>
                <w:rFonts w:ascii="Arial" w:cs="Arial" w:eastAsia="Arial" w:hAnsi="Arial"/>
                <w:sz w:val="18"/>
                <w:szCs w:val="18"/>
                <w:color w:val="auto"/>
              </w:rPr>
              <w:t>CALCULATIONS AND CERTIFICATES</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29.</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PARTIAL INVALIDITY</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30.</w:t>
            </w:r>
          </w:p>
        </w:tc>
        <w:tc>
          <w:tcPr>
            <w:tcW w:w="7280" w:type="dxa"/>
            <w:vAlign w:val="bottom"/>
          </w:tcPr>
          <w:p>
            <w:pPr>
              <w:ind w:left="320"/>
              <w:spacing w:after="0"/>
              <w:rPr>
                <w:sz w:val="20"/>
                <w:szCs w:val="20"/>
                <w:color w:val="auto"/>
              </w:rPr>
            </w:pPr>
            <w:r>
              <w:rPr>
                <w:rFonts w:ascii="Arial" w:cs="Arial" w:eastAsia="Arial" w:hAnsi="Arial"/>
                <w:sz w:val="18"/>
                <w:szCs w:val="18"/>
                <w:color w:val="auto"/>
              </w:rPr>
              <w:t>REMEDIES AND WAIVERS</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AMENDMENTS AND WAIVERS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32.</w:t>
            </w:r>
          </w:p>
        </w:tc>
        <w:tc>
          <w:tcPr>
            <w:tcW w:w="7280" w:type="dxa"/>
            <w:vAlign w:val="bottom"/>
          </w:tcPr>
          <w:p>
            <w:pPr>
              <w:ind w:left="320"/>
              <w:spacing w:after="0"/>
              <w:rPr>
                <w:sz w:val="20"/>
                <w:szCs w:val="20"/>
                <w:color w:val="auto"/>
              </w:rPr>
            </w:pPr>
            <w:r>
              <w:rPr>
                <w:rFonts w:ascii="Arial" w:cs="Arial" w:eastAsia="Arial" w:hAnsi="Arial"/>
                <w:sz w:val="18"/>
                <w:szCs w:val="18"/>
                <w:color w:val="auto"/>
              </w:rPr>
              <w:t>CONFIDENTIAL INFORMATION</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33.</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CONFIDENTIALITY OF FUNDING RATES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34.</w:t>
            </w:r>
          </w:p>
        </w:tc>
        <w:tc>
          <w:tcPr>
            <w:tcW w:w="728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0"/>
        </w:trPr>
        <w:tc>
          <w:tcPr>
            <w:tcW w:w="580" w:type="dxa"/>
            <w:vAlign w:val="bottom"/>
          </w:tcPr>
          <w:p>
            <w:pPr>
              <w:ind w:left="20"/>
              <w:spacing w:after="0"/>
              <w:rPr>
                <w:sz w:val="20"/>
                <w:szCs w:val="20"/>
                <w:color w:val="auto"/>
              </w:rPr>
            </w:pPr>
            <w:r>
              <w:rPr>
                <w:rFonts w:ascii="Arial" w:cs="Arial" w:eastAsia="Arial" w:hAnsi="Arial"/>
                <w:sz w:val="18"/>
                <w:szCs w:val="18"/>
                <w:color w:val="auto"/>
              </w:rPr>
              <w:t>35.</w:t>
            </w:r>
          </w:p>
        </w:tc>
        <w:tc>
          <w:tcPr>
            <w:tcW w:w="7280" w:type="dxa"/>
            <w:vAlign w:val="bottom"/>
          </w:tcPr>
          <w:p>
            <w:pPr>
              <w:ind w:left="320"/>
              <w:spacing w:after="0"/>
              <w:rPr>
                <w:sz w:val="20"/>
                <w:szCs w:val="20"/>
                <w:color w:val="auto"/>
              </w:rPr>
            </w:pPr>
            <w:r>
              <w:rPr>
                <w:rFonts w:ascii="Arial" w:cs="Arial" w:eastAsia="Arial" w:hAnsi="Arial"/>
                <w:sz w:val="18"/>
                <w:szCs w:val="18"/>
                <w:color w:val="auto"/>
              </w:rPr>
              <w:t>CONTRACTUAL RECOGNITION OF BAIL-IN</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0"/>
        </w:trPr>
        <w:tc>
          <w:tcPr>
            <w:tcW w:w="580" w:type="dxa"/>
            <w:vAlign w:val="bottom"/>
          </w:tcPr>
          <w:p>
            <w:pPr>
              <w:ind w:left="20"/>
              <w:spacing w:after="0"/>
              <w:rPr>
                <w:sz w:val="20"/>
                <w:szCs w:val="20"/>
                <w:color w:val="auto"/>
              </w:rPr>
            </w:pPr>
            <w:r>
              <w:rPr>
                <w:rFonts w:ascii="Arial" w:cs="Arial" w:eastAsia="Arial" w:hAnsi="Arial"/>
                <w:sz w:val="18"/>
                <w:szCs w:val="18"/>
                <w:color w:val="auto"/>
              </w:rPr>
              <w:t>36.</w:t>
            </w:r>
          </w:p>
        </w:tc>
        <w:tc>
          <w:tcPr>
            <w:tcW w:w="7280" w:type="dxa"/>
            <w:vAlign w:val="bottom"/>
          </w:tcPr>
          <w:p>
            <w:pPr>
              <w:ind w:left="320"/>
              <w:spacing w:after="0"/>
              <w:rPr>
                <w:sz w:val="20"/>
                <w:szCs w:val="20"/>
                <w:color w:val="auto"/>
              </w:rPr>
            </w:pPr>
            <w:r>
              <w:rPr>
                <w:rFonts w:ascii="Arial" w:cs="Arial" w:eastAsia="Arial" w:hAnsi="Arial"/>
                <w:sz w:val="18"/>
                <w:szCs w:val="18"/>
                <w:color w:val="auto"/>
              </w:rPr>
              <w:t>ITALIAN TRANSPARENCY PROVISIONS</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5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37.</w:t>
            </w: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GOVERNING LAW</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rPr>
              <w:t>38.</w:t>
            </w:r>
          </w:p>
        </w:tc>
        <w:tc>
          <w:tcPr>
            <w:tcW w:w="7280" w:type="dxa"/>
            <w:vAlign w:val="bottom"/>
          </w:tcPr>
          <w:p>
            <w:pPr>
              <w:ind w:left="320"/>
              <w:spacing w:after="0"/>
              <w:rPr>
                <w:sz w:val="20"/>
                <w:szCs w:val="20"/>
                <w:color w:val="auto"/>
              </w:rPr>
            </w:pPr>
            <w:r>
              <w:rPr>
                <w:rFonts w:ascii="Arial" w:cs="Arial" w:eastAsia="Arial" w:hAnsi="Arial"/>
                <w:sz w:val="18"/>
                <w:szCs w:val="18"/>
                <w:color w:val="auto"/>
              </w:rPr>
              <w:t>ENFORCEMENT</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74</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60" w:top="499" w:right="3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7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SCHEDULE 1 CONDITIONS PRECEDENT</w:t>
            </w:r>
          </w:p>
        </w:tc>
        <w:tc>
          <w:tcPr>
            <w:tcW w:w="3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SCHEDULE 2 UTILISATION REQUEST</w:t>
            </w:r>
          </w:p>
        </w:tc>
        <w:tc>
          <w:tcPr>
            <w:tcW w:w="356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7"/>
        </w:trPr>
        <w:tc>
          <w:tcPr>
            <w:tcW w:w="758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SCHEDULE 3 FORM OF TRANSFER CERTIFICATE</w:t>
            </w:r>
          </w:p>
        </w:tc>
        <w:tc>
          <w:tcPr>
            <w:tcW w:w="3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SCHEDULE 4 FORM OF ASSIGNMENT AGREEMENT</w:t>
            </w:r>
          </w:p>
        </w:tc>
        <w:tc>
          <w:tcPr>
            <w:tcW w:w="356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7"/>
        </w:trPr>
        <w:tc>
          <w:tcPr>
            <w:tcW w:w="758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SCHEDULE 5 FORM OF COMPLIANCE CERTIFICATE</w:t>
            </w:r>
          </w:p>
        </w:tc>
        <w:tc>
          <w:tcPr>
            <w:tcW w:w="3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SCHEDULE 6 MATERIAL COMPANIES</w:t>
            </w:r>
          </w:p>
        </w:tc>
        <w:tc>
          <w:tcPr>
            <w:tcW w:w="3560" w:type="dxa"/>
            <w:vAlign w:val="bottom"/>
          </w:tcPr>
          <w:p>
            <w:pPr>
              <w:jc w:val="right"/>
              <w:ind w:right="30"/>
              <w:spacing w:after="0"/>
              <w:rPr>
                <w:sz w:val="20"/>
                <w:szCs w:val="20"/>
                <w:color w:val="auto"/>
              </w:rPr>
            </w:pPr>
            <w:r>
              <w:rPr>
                <w:rFonts w:ascii="Arial" w:cs="Arial" w:eastAsia="Arial" w:hAnsi="Arial"/>
                <w:sz w:val="18"/>
                <w:szCs w:val="18"/>
                <w:color w:val="auto"/>
              </w:rPr>
              <w:t>85</w:t>
            </w:r>
          </w:p>
        </w:tc>
      </w:tr>
      <w:tr>
        <w:trPr>
          <w:trHeight w:val="27"/>
        </w:trPr>
        <w:tc>
          <w:tcPr>
            <w:tcW w:w="758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4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SCHEDULE 7 EXISTING SECURITY</w:t>
            </w:r>
          </w:p>
        </w:tc>
        <w:tc>
          <w:tcPr>
            <w:tcW w:w="3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r>
      <w:tr>
        <w:trPr>
          <w:trHeight w:val="27"/>
        </w:trPr>
        <w:tc>
          <w:tcPr>
            <w:tcW w:w="758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80" w:top="490"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25 July 2019 and made between:</w:t>
      </w:r>
    </w:p>
    <w:p>
      <w:pPr>
        <w:spacing w:after="0" w:line="198" w:lineRule="exact"/>
        <w:rPr>
          <w:sz w:val="20"/>
          <w:szCs w:val="20"/>
          <w:color w:val="auto"/>
        </w:rPr>
      </w:pPr>
    </w:p>
    <w:p>
      <w:pPr>
        <w:ind w:left="620" w:right="20" w:hanging="612"/>
        <w:spacing w:after="0" w:line="282"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LIVANOVA PLC, </w:t>
      </w:r>
      <w:r>
        <w:rPr>
          <w:rFonts w:ascii="Arial" w:cs="Arial" w:eastAsia="Arial" w:hAnsi="Arial"/>
          <w:sz w:val="18"/>
          <w:szCs w:val="18"/>
          <w:color w:val="auto"/>
        </w:rPr>
        <w:t>a company incorporated in England and Wales with registration number 09451374 (the “</w:t>
      </w:r>
      <w:r>
        <w:rPr>
          <w:rFonts w:ascii="Arial" w:cs="Arial" w:eastAsia="Arial" w:hAnsi="Arial"/>
          <w:sz w:val="18"/>
          <w:szCs w:val="18"/>
          <w:b w:val="1"/>
          <w:bCs w:val="1"/>
          <w:color w:val="auto"/>
        </w:rPr>
        <w:t>Company</w:t>
      </w:r>
      <w:r>
        <w:rPr>
          <w:rFonts w:ascii="Arial" w:cs="Arial" w:eastAsia="Arial" w:hAnsi="Arial"/>
          <w:sz w:val="18"/>
          <w:szCs w:val="18"/>
          <w:color w:val="auto"/>
        </w:rPr>
        <w:t>”) acting through its Italian</w:t>
      </w:r>
      <w:r>
        <w:rPr>
          <w:rFonts w:ascii="Arial" w:cs="Arial" w:eastAsia="Arial" w:hAnsi="Arial"/>
          <w:sz w:val="18"/>
          <w:szCs w:val="18"/>
          <w:b w:val="1"/>
          <w:bCs w:val="1"/>
          <w:color w:val="auto"/>
        </w:rPr>
        <w:t xml:space="preserve"> </w:t>
      </w:r>
      <w:r>
        <w:rPr>
          <w:rFonts w:ascii="Arial" w:cs="Arial" w:eastAsia="Arial" w:hAnsi="Arial"/>
          <w:sz w:val="18"/>
          <w:szCs w:val="18"/>
          <w:color w:val="auto"/>
        </w:rPr>
        <w:t>branch located at Via Benigno Crespi, 17 Italy, 20159 Milan; and</w:t>
      </w:r>
    </w:p>
    <w:p>
      <w:pPr>
        <w:spacing w:after="0" w:line="148" w:lineRule="exact"/>
        <w:rPr>
          <w:rFonts w:ascii="Arial" w:cs="Arial" w:eastAsia="Arial" w:hAnsi="Arial"/>
          <w:sz w:val="18"/>
          <w:szCs w:val="18"/>
          <w:color w:val="auto"/>
        </w:rPr>
      </w:pPr>
    </w:p>
    <w:p>
      <w:pPr>
        <w:ind w:left="620" w:hanging="612"/>
        <w:spacing w:after="0"/>
        <w:tabs>
          <w:tab w:leader="none" w:pos="620" w:val="left"/>
        </w:tabs>
        <w:numPr>
          <w:ilvl w:val="0"/>
          <w:numId w:val="39"/>
        </w:numPr>
        <w:rPr>
          <w:rFonts w:ascii="Arial" w:cs="Arial" w:eastAsia="Arial" w:hAnsi="Arial"/>
          <w:sz w:val="20"/>
          <w:szCs w:val="20"/>
          <w:color w:val="auto"/>
        </w:rPr>
      </w:pPr>
      <w:r>
        <w:rPr>
          <w:rFonts w:ascii="Arial" w:cs="Arial" w:eastAsia="Arial" w:hAnsi="Arial"/>
          <w:sz w:val="18"/>
          <w:szCs w:val="18"/>
          <w:b w:val="1"/>
          <w:bCs w:val="1"/>
          <w:color w:val="auto"/>
        </w:rPr>
        <w:t>BANCA NAZIONALE DEL LAVORO S.p.A</w:t>
      </w:r>
      <w:r>
        <w:rPr>
          <w:rFonts w:ascii="Arial" w:cs="Arial" w:eastAsia="Arial" w:hAnsi="Arial"/>
          <w:sz w:val="18"/>
          <w:szCs w:val="18"/>
          <w:color w:val="auto"/>
        </w:rPr>
        <w:t>. as lender (the “</w:t>
      </w:r>
      <w:r>
        <w:rPr>
          <w:rFonts w:ascii="Arial" w:cs="Arial" w:eastAsia="Arial" w:hAnsi="Arial"/>
          <w:sz w:val="18"/>
          <w:szCs w:val="18"/>
          <w:b w:val="1"/>
          <w:bCs w:val="1"/>
          <w:color w:val="auto"/>
        </w:rPr>
        <w:t>Original Lender</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9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INTERPRETATION</w:t>
      </w:r>
    </w:p>
    <w:p>
      <w:pPr>
        <w:spacing w:after="0" w:line="180" w:lineRule="exact"/>
        <w:rPr>
          <w:sz w:val="20"/>
          <w:szCs w:val="20"/>
          <w:color w:val="auto"/>
        </w:rPr>
      </w:pPr>
    </w:p>
    <w:p>
      <w:pPr>
        <w:ind w:left="660" w:hanging="639"/>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0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b w:val="1"/>
          <w:bCs w:val="1"/>
          <w:color w:val="auto"/>
        </w:rPr>
        <w:t>Definitions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this Agreement: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Date</w:t>
      </w:r>
      <w:r>
        <w:rPr>
          <w:rFonts w:ascii="Arial" w:cs="Arial" w:eastAsia="Arial" w:hAnsi="Arial"/>
          <w:sz w:val="18"/>
          <w:szCs w:val="18"/>
          <w:color w:val="auto"/>
        </w:rPr>
        <w:t>” means each 30 June and 31 December.</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Principles</w:t>
      </w:r>
      <w:r>
        <w:rPr>
          <w:rFonts w:ascii="Arial" w:cs="Arial" w:eastAsia="Arial" w:hAnsi="Arial"/>
          <w:sz w:val="18"/>
          <w:szCs w:val="18"/>
          <w:color w:val="auto"/>
        </w:rPr>
        <w:t>” means generally accepted accounting principles in the United States of America, being US GAAP.</w:t>
      </w:r>
    </w:p>
    <w:p>
      <w:pPr>
        <w:spacing w:after="0" w:line="198" w:lineRule="exact"/>
        <w:rPr>
          <w:sz w:val="20"/>
          <w:szCs w:val="20"/>
          <w:color w:val="auto"/>
        </w:rPr>
      </w:pPr>
    </w:p>
    <w:p>
      <w:pPr>
        <w:ind w:lef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135" w:lineRule="exact"/>
        <w:rPr>
          <w:sz w:val="20"/>
          <w:szCs w:val="20"/>
          <w:color w:val="auto"/>
        </w:rPr>
      </w:pPr>
    </w:p>
    <w:p>
      <w:pPr>
        <w:ind w:left="6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Agreement</w:t>
      </w:r>
      <w:r>
        <w:rPr>
          <w:rFonts w:ascii="Arial" w:cs="Arial" w:eastAsia="Arial" w:hAnsi="Arial"/>
          <w:sz w:val="18"/>
          <w:szCs w:val="18"/>
          <w:color w:val="auto"/>
        </w:rPr>
        <w:t>” means an agreement substantially in the form set out in Schedule 4 (</w:t>
      </w:r>
      <w:r>
        <w:rPr>
          <w:rFonts w:ascii="Arial" w:cs="Arial" w:eastAsia="Arial" w:hAnsi="Arial"/>
          <w:sz w:val="18"/>
          <w:szCs w:val="18"/>
          <w:i w:val="1"/>
          <w:iCs w:val="1"/>
          <w:color w:val="auto"/>
        </w:rPr>
        <w:t>Form of Assignment Agreement</w:t>
      </w:r>
      <w:r>
        <w:rPr>
          <w:rFonts w:ascii="Arial" w:cs="Arial" w:eastAsia="Arial" w:hAnsi="Arial"/>
          <w:sz w:val="18"/>
          <w:szCs w:val="18"/>
          <w:color w:val="auto"/>
        </w:rPr>
        <w:t>) or any other form agreed between the Lender and the Company.</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w:t>
      </w:r>
    </w:p>
    <w:p>
      <w:pPr>
        <w:spacing w:after="0" w:line="198" w:lineRule="exact"/>
        <w:rPr>
          <w:sz w:val="20"/>
          <w:szCs w:val="20"/>
          <w:color w:val="auto"/>
        </w:rPr>
      </w:pPr>
    </w:p>
    <w:p>
      <w:pPr>
        <w:ind w:lef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from and including the date of this Agreement to and including the date falling one Month prior to the Termination Date.</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in relation to the Facility, the Commitment minus:</w:t>
      </w:r>
    </w:p>
    <w:p>
      <w:pPr>
        <w:spacing w:after="0" w:line="216" w:lineRule="exact"/>
        <w:rPr>
          <w:sz w:val="20"/>
          <w:szCs w:val="20"/>
          <w:color w:val="auto"/>
        </w:rPr>
      </w:pPr>
    </w:p>
    <w:p>
      <w:pPr>
        <w:ind w:left="1260" w:hanging="604"/>
        <w:spacing w:after="0"/>
        <w:tabs>
          <w:tab w:leader="none" w:pos="1260" w:val="left"/>
        </w:tabs>
        <w:numPr>
          <w:ilvl w:val="0"/>
          <w:numId w:val="41"/>
        </w:numPr>
        <w:rPr>
          <w:rFonts w:ascii="Arial" w:cs="Arial" w:eastAsia="Arial" w:hAnsi="Arial"/>
          <w:sz w:val="20"/>
          <w:szCs w:val="20"/>
          <w:color w:val="auto"/>
        </w:rPr>
      </w:pPr>
      <w:r>
        <w:rPr>
          <w:rFonts w:ascii="Arial" w:cs="Arial" w:eastAsia="Arial" w:hAnsi="Arial"/>
          <w:sz w:val="18"/>
          <w:szCs w:val="18"/>
          <w:color w:val="auto"/>
        </w:rPr>
        <w:t>the amount of any outstanding Loans under the Facility; and</w:t>
      </w:r>
    </w:p>
    <w:p>
      <w:pPr>
        <w:spacing w:after="0" w:line="188" w:lineRule="exact"/>
        <w:rPr>
          <w:rFonts w:ascii="Arial" w:cs="Arial" w:eastAsia="Arial" w:hAnsi="Arial"/>
          <w:sz w:val="20"/>
          <w:szCs w:val="20"/>
          <w:color w:val="auto"/>
        </w:rPr>
      </w:pPr>
    </w:p>
    <w:p>
      <w:pPr>
        <w:ind w:left="620" w:right="280" w:firstLine="36"/>
        <w:spacing w:after="0" w:line="451" w:lineRule="auto"/>
        <w:tabs>
          <w:tab w:leader="none" w:pos="1254" w:val="left"/>
        </w:tabs>
        <w:numPr>
          <w:ilvl w:val="0"/>
          <w:numId w:val="41"/>
        </w:numPr>
        <w:rPr>
          <w:rFonts w:ascii="Arial" w:cs="Arial" w:eastAsia="Arial" w:hAnsi="Arial"/>
          <w:sz w:val="20"/>
          <w:szCs w:val="20"/>
          <w:color w:val="auto"/>
        </w:rPr>
      </w:pPr>
      <w:r>
        <w:rPr>
          <w:rFonts w:ascii="Arial" w:cs="Arial" w:eastAsia="Arial" w:hAnsi="Arial"/>
          <w:sz w:val="18"/>
          <w:szCs w:val="18"/>
          <w:color w:val="auto"/>
        </w:rPr>
        <w:t>in relation to any proposed Utilisation, the amount of any Loans that are due to be made on or before the proposed Utilisation Date, save that any Loans that are due to be repaid or prepaid on or before the proposed Utilisation Date shall not be deducted from the Commitment. “</w:t>
      </w:r>
      <w:r>
        <w:rPr>
          <w:rFonts w:ascii="Arial" w:cs="Arial" w:eastAsia="Arial" w:hAnsi="Arial"/>
          <w:sz w:val="18"/>
          <w:szCs w:val="18"/>
          <w:b w:val="1"/>
          <w:bCs w:val="1"/>
          <w:color w:val="auto"/>
        </w:rPr>
        <w:t>Available Facility</w:t>
      </w:r>
      <w:r>
        <w:rPr>
          <w:rFonts w:ascii="Arial" w:cs="Arial" w:eastAsia="Arial" w:hAnsi="Arial"/>
          <w:sz w:val="18"/>
          <w:szCs w:val="18"/>
          <w:color w:val="auto"/>
        </w:rPr>
        <w:t>” means the Available Commitment in respect of the Facility.</w:t>
      </w:r>
    </w:p>
    <w:p>
      <w:pPr>
        <w:ind w:left="620" w:right="4740"/>
        <w:spacing w:after="0" w:line="501" w:lineRule="auto"/>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w:t>
      </w:r>
      <w:r>
        <w:rPr>
          <w:rFonts w:ascii="Arial" w:cs="Arial" w:eastAsia="Arial" w:hAnsi="Arial"/>
          <w:sz w:val="18"/>
          <w:szCs w:val="18"/>
          <w:b w:val="1"/>
          <w:bCs w:val="1"/>
          <w:color w:val="auto"/>
        </w:rPr>
        <w:t>Bail-In Legislation</w:t>
      </w:r>
      <w:r>
        <w:rPr>
          <w:rFonts w:ascii="Arial" w:cs="Arial" w:eastAsia="Arial" w:hAnsi="Arial"/>
          <w:sz w:val="18"/>
          <w:szCs w:val="18"/>
          <w:color w:val="auto"/>
        </w:rPr>
        <w:t>” means: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37" w:right="339" w:bottom="1440" w:gutter="0" w:footer="0" w:header="0"/>
        </w:sectPr>
      </w:pPr>
    </w:p>
    <w:bookmarkStart w:id="29" w:name="page30"/>
    <w:bookmarkEnd w:id="29"/>
    <w:p>
      <w:pPr>
        <w:jc w:val="both"/>
        <w:ind w:left="660" w:hanging="624"/>
        <w:spacing w:after="0" w:line="264" w:lineRule="auto"/>
        <w:tabs>
          <w:tab w:leader="none" w:pos="642" w:val="left"/>
        </w:tabs>
        <w:numPr>
          <w:ilvl w:val="0"/>
          <w:numId w:val="42"/>
        </w:numPr>
        <w:rPr>
          <w:rFonts w:ascii="Arial" w:cs="Arial" w:eastAsia="Arial" w:hAnsi="Arial"/>
          <w:sz w:val="20"/>
          <w:szCs w:val="20"/>
          <w:color w:val="auto"/>
        </w:rPr>
      </w:pPr>
      <w:r>
        <w:rPr>
          <w:rFonts w:ascii="Arial" w:cs="Arial" w:eastAsia="Arial" w:hAnsi="Arial"/>
          <w:sz w:val="18"/>
          <w:szCs w:val="18"/>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169" w:lineRule="exact"/>
        <w:rPr>
          <w:rFonts w:ascii="Arial" w:cs="Arial" w:eastAsia="Arial" w:hAnsi="Arial"/>
          <w:sz w:val="20"/>
          <w:szCs w:val="20"/>
          <w:color w:val="auto"/>
        </w:rPr>
      </w:pPr>
    </w:p>
    <w:p>
      <w:pPr>
        <w:ind w:left="660" w:hanging="624"/>
        <w:spacing w:after="0" w:line="266" w:lineRule="auto"/>
        <w:tabs>
          <w:tab w:leader="none" w:pos="642" w:val="left"/>
        </w:tabs>
        <w:numPr>
          <w:ilvl w:val="0"/>
          <w:numId w:val="42"/>
        </w:numPr>
        <w:rPr>
          <w:rFonts w:ascii="Arial" w:cs="Arial" w:eastAsia="Arial" w:hAnsi="Arial"/>
          <w:sz w:val="20"/>
          <w:szCs w:val="20"/>
          <w:color w:val="auto"/>
        </w:rPr>
      </w:pPr>
      <w:r>
        <w:rPr>
          <w:rFonts w:ascii="Arial" w:cs="Arial" w:eastAsia="Arial" w:hAnsi="Arial"/>
          <w:sz w:val="18"/>
          <w:szCs w:val="18"/>
          <w:color w:val="auto"/>
        </w:rPr>
        <w:t>in relation to any other state, any analogous law or regulation from time to time which requires contractual recognition of any Write-down and Conversion Powers contained in that law or regulation.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216" w:lineRule="exact"/>
        <w:rPr>
          <w:sz w:val="20"/>
          <w:szCs w:val="20"/>
          <w:color w:val="auto"/>
        </w:rPr>
      </w:pPr>
    </w:p>
    <w:p>
      <w:pPr>
        <w:jc w:val="both"/>
        <w:ind w:left="660" w:hanging="624"/>
        <w:spacing w:after="0" w:line="264" w:lineRule="auto"/>
        <w:tabs>
          <w:tab w:leader="none" w:pos="642" w:val="left"/>
        </w:tabs>
        <w:numPr>
          <w:ilvl w:val="0"/>
          <w:numId w:val="43"/>
        </w:numPr>
        <w:rPr>
          <w:rFonts w:ascii="Arial" w:cs="Arial" w:eastAsia="Arial" w:hAnsi="Arial"/>
          <w:sz w:val="20"/>
          <w:szCs w:val="20"/>
          <w:color w:val="auto"/>
        </w:rPr>
      </w:pPr>
      <w:r>
        <w:rPr>
          <w:rFonts w:ascii="Arial" w:cs="Arial" w:eastAsia="Arial" w:hAnsi="Arial"/>
          <w:sz w:val="18"/>
          <w:szCs w:val="18"/>
          <w:color w:val="auto"/>
        </w:rPr>
        <w:t>the interest (excluding the Margin) which the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exceeds:</w:t>
      </w:r>
    </w:p>
    <w:p>
      <w:pPr>
        <w:spacing w:after="0" w:line="212" w:lineRule="exact"/>
        <w:rPr>
          <w:sz w:val="20"/>
          <w:szCs w:val="20"/>
          <w:color w:val="auto"/>
        </w:rPr>
      </w:pPr>
    </w:p>
    <w:p>
      <w:pPr>
        <w:jc w:val="both"/>
        <w:ind w:left="660" w:hanging="624"/>
        <w:spacing w:after="0" w:line="264" w:lineRule="auto"/>
        <w:tabs>
          <w:tab w:leader="none" w:pos="642" w:val="left"/>
        </w:tabs>
        <w:numPr>
          <w:ilvl w:val="0"/>
          <w:numId w:val="44"/>
        </w:numPr>
        <w:rPr>
          <w:rFonts w:ascii="Arial" w:cs="Arial" w:eastAsia="Arial" w:hAnsi="Arial"/>
          <w:sz w:val="20"/>
          <w:szCs w:val="20"/>
          <w:color w:val="auto"/>
        </w:rPr>
      </w:pPr>
      <w:r>
        <w:rPr>
          <w:rFonts w:ascii="Arial" w:cs="Arial" w:eastAsia="Arial" w:hAnsi="Arial"/>
          <w:sz w:val="18"/>
          <w:szCs w:val="18"/>
          <w:color w:val="auto"/>
        </w:rPr>
        <w:t>the amount which the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London and Milan and that is a TARGET Day.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w:t>
      </w:r>
    </w:p>
    <w:p>
      <w:pPr>
        <w:spacing w:after="0" w:line="216" w:lineRule="exact"/>
        <w:rPr>
          <w:sz w:val="20"/>
          <w:szCs w:val="20"/>
          <w:color w:val="auto"/>
        </w:rPr>
      </w:pPr>
    </w:p>
    <w:p>
      <w:pPr>
        <w:ind w:left="640" w:hanging="604"/>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18"/>
          <w:szCs w:val="18"/>
          <w:color w:val="auto"/>
        </w:rPr>
        <w:t>in relation to the Original Lender, the commitment of the Original Lender in respect of the Facility, being euro 40,000,000; and</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18"/>
          <w:szCs w:val="18"/>
          <w:color w:val="auto"/>
        </w:rPr>
        <w:t>in relation to any other Lender, the amount of any Commitment transferred to it under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each case to the extent not cancelled, reduced or transferred by it under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198" w:lineRule="exact"/>
        <w:rPr>
          <w:sz w:val="20"/>
          <w:szCs w:val="20"/>
          <w:color w:val="auto"/>
        </w:rPr>
      </w:pPr>
    </w:p>
    <w:p>
      <w:pPr>
        <w:jc w:val="both"/>
        <w:ind w:left="40" w:hanging="2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relating to the Company, the Group, the Finance Documents or the Facility of which the Lender becomes aware in its capacity as Lender in relation to the Finance Documents or the Facility from any member of the Group or any of its advisers; in whatever form, and includes information given orally and any document, electronic file or any other way of representing or recording information which contains or is derived or copied from such information but excludes:</w:t>
      </w:r>
    </w:p>
    <w:p>
      <w:pPr>
        <w:spacing w:after="0" w:line="170" w:lineRule="exact"/>
        <w:rPr>
          <w:sz w:val="20"/>
          <w:szCs w:val="20"/>
          <w:color w:val="auto"/>
        </w:rPr>
      </w:pPr>
    </w:p>
    <w:p>
      <w:pPr>
        <w:ind w:left="1300" w:hanging="643"/>
        <w:spacing w:after="0"/>
        <w:tabs>
          <w:tab w:leader="none" w:pos="1300" w:val="left"/>
        </w:tabs>
        <w:numPr>
          <w:ilvl w:val="0"/>
          <w:numId w:val="46"/>
        </w:numPr>
        <w:rPr>
          <w:rFonts w:ascii="Arial" w:cs="Arial" w:eastAsia="Arial" w:hAnsi="Arial"/>
          <w:sz w:val="20"/>
          <w:szCs w:val="20"/>
          <w:color w:val="auto"/>
        </w:rPr>
      </w:pPr>
      <w:r>
        <w:rPr>
          <w:rFonts w:ascii="Arial" w:cs="Arial" w:eastAsia="Arial" w:hAnsi="Arial"/>
          <w:sz w:val="18"/>
          <w:szCs w:val="18"/>
          <w:color w:val="auto"/>
        </w:rPr>
        <w:t>information that:</w:t>
      </w:r>
    </w:p>
    <w:p>
      <w:pPr>
        <w:spacing w:after="0" w:line="39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20"/>
          </w:cols>
          <w:pgMar w:left="940" w:top="355" w:right="339" w:bottom="1440" w:gutter="0" w:footer="0" w:header="0"/>
        </w:sectPr>
      </w:pPr>
    </w:p>
    <w:bookmarkStart w:id="30" w:name="page31"/>
    <w:bookmarkEnd w:id="30"/>
    <w:p>
      <w:pPr>
        <w:ind w:left="1940" w:hanging="635"/>
        <w:spacing w:after="0" w:line="266" w:lineRule="auto"/>
        <w:tabs>
          <w:tab w:leader="none" w:pos="1922" w:val="left"/>
        </w:tabs>
        <w:numPr>
          <w:ilvl w:val="0"/>
          <w:numId w:val="47"/>
        </w:numPr>
        <w:rPr>
          <w:rFonts w:ascii="Arial" w:cs="Arial" w:eastAsia="Arial" w:hAnsi="Arial"/>
          <w:sz w:val="20"/>
          <w:szCs w:val="20"/>
          <w:color w:val="auto"/>
        </w:rPr>
      </w:pPr>
      <w:r>
        <w:rPr>
          <w:rFonts w:ascii="Arial" w:cs="Arial" w:eastAsia="Arial" w:hAnsi="Arial"/>
          <w:sz w:val="18"/>
          <w:szCs w:val="18"/>
          <w:color w:val="auto"/>
        </w:rPr>
        <w:t>is or becomes public information other than as a direct or indirect result of any breach by the Lender of Clause 32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or</w:t>
      </w:r>
    </w:p>
    <w:p>
      <w:pPr>
        <w:spacing w:after="0" w:line="163" w:lineRule="exact"/>
        <w:rPr>
          <w:rFonts w:ascii="Arial" w:cs="Arial" w:eastAsia="Arial" w:hAnsi="Arial"/>
          <w:sz w:val="20"/>
          <w:szCs w:val="20"/>
          <w:color w:val="auto"/>
        </w:rPr>
      </w:pPr>
    </w:p>
    <w:p>
      <w:pPr>
        <w:ind w:left="1920" w:hanging="615"/>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6"/>
          <w:szCs w:val="16"/>
          <w:color w:val="auto"/>
        </w:rPr>
        <w:t>is identified in writing at the time of delivery as non-confidential by any member of the Group or any of its advisers; or</w:t>
      </w:r>
    </w:p>
    <w:p>
      <w:pPr>
        <w:spacing w:after="0" w:line="211" w:lineRule="exact"/>
        <w:rPr>
          <w:rFonts w:ascii="Arial" w:cs="Arial" w:eastAsia="Arial" w:hAnsi="Arial"/>
          <w:sz w:val="18"/>
          <w:szCs w:val="18"/>
          <w:color w:val="auto"/>
        </w:rPr>
      </w:pPr>
    </w:p>
    <w:p>
      <w:pPr>
        <w:jc w:val="both"/>
        <w:ind w:left="1940" w:hanging="635"/>
        <w:spacing w:after="0" w:line="265" w:lineRule="auto"/>
        <w:tabs>
          <w:tab w:leader="none" w:pos="1922" w:val="left"/>
        </w:tabs>
        <w:numPr>
          <w:ilvl w:val="0"/>
          <w:numId w:val="47"/>
        </w:numPr>
        <w:rPr>
          <w:rFonts w:ascii="Arial" w:cs="Arial" w:eastAsia="Arial" w:hAnsi="Arial"/>
          <w:sz w:val="20"/>
          <w:szCs w:val="20"/>
          <w:color w:val="auto"/>
        </w:rPr>
      </w:pPr>
      <w:r>
        <w:rPr>
          <w:rFonts w:ascii="Arial" w:cs="Arial" w:eastAsia="Arial" w:hAnsi="Arial"/>
          <w:sz w:val="18"/>
          <w:szCs w:val="18"/>
          <w:color w:val="auto"/>
        </w:rPr>
        <w:t>is known by the Lender before the date the information is disclosed to it by any member of the Group or any of its advisers or is lawfully obtained by the Lender after that date, from a source which is, as far as the Lender is aware, unconnected with the Group and which, in either case, as far as the Lender is aware, has not been obtained in breach of, and is not otherwise subject to, any obligation of confidentiality; and</w:t>
      </w:r>
    </w:p>
    <w:p>
      <w:pPr>
        <w:spacing w:after="0" w:line="167" w:lineRule="exact"/>
        <w:rPr>
          <w:sz w:val="20"/>
          <w:szCs w:val="20"/>
          <w:color w:val="auto"/>
        </w:rPr>
      </w:pPr>
    </w:p>
    <w:p>
      <w:pPr>
        <w:ind w:left="1300" w:hanging="643"/>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18"/>
          <w:szCs w:val="18"/>
          <w:color w:val="auto"/>
        </w:rPr>
        <w:t>any Funding Rate.</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LMA or in any other form agreed between the Company and the Lender.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CTA</w:t>
      </w:r>
      <w:r>
        <w:rPr>
          <w:rFonts w:ascii="Arial" w:cs="Arial" w:eastAsia="Arial" w:hAnsi="Arial"/>
          <w:sz w:val="18"/>
          <w:szCs w:val="18"/>
          <w:color w:val="auto"/>
        </w:rPr>
        <w:t>” means the Corporation Tax Act 2009.</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21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216" w:lineRule="exact"/>
        <w:rPr>
          <w:sz w:val="20"/>
          <w:szCs w:val="20"/>
          <w:color w:val="auto"/>
        </w:rPr>
      </w:pPr>
    </w:p>
    <w:p>
      <w:pPr>
        <w:jc w:val="both"/>
        <w:ind w:left="660" w:hanging="624"/>
        <w:spacing w:after="0" w:line="286" w:lineRule="auto"/>
        <w:tabs>
          <w:tab w:leader="none" w:pos="642" w:val="left"/>
        </w:tabs>
        <w:numPr>
          <w:ilvl w:val="0"/>
          <w:numId w:val="49"/>
        </w:numPr>
        <w:rPr>
          <w:rFonts w:ascii="Arial" w:cs="Arial" w:eastAsia="Arial" w:hAnsi="Arial"/>
          <w:sz w:val="19"/>
          <w:szCs w:val="19"/>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51" w:lineRule="exact"/>
        <w:rPr>
          <w:rFonts w:ascii="Arial" w:cs="Arial" w:eastAsia="Arial" w:hAnsi="Arial"/>
          <w:sz w:val="19"/>
          <w:szCs w:val="19"/>
          <w:color w:val="auto"/>
        </w:rPr>
      </w:pPr>
    </w:p>
    <w:p>
      <w:pPr>
        <w:ind w:left="660" w:right="20" w:hanging="624"/>
        <w:spacing w:after="0" w:line="266" w:lineRule="auto"/>
        <w:tabs>
          <w:tab w:leader="none" w:pos="642" w:val="left"/>
        </w:tabs>
        <w:numPr>
          <w:ilvl w:val="0"/>
          <w:numId w:val="49"/>
        </w:numPr>
        <w:rPr>
          <w:rFonts w:ascii="Arial" w:cs="Arial" w:eastAsia="Arial" w:hAnsi="Arial"/>
          <w:sz w:val="20"/>
          <w:szCs w:val="20"/>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63" w:lineRule="exact"/>
        <w:rPr>
          <w:rFonts w:ascii="Arial" w:cs="Arial" w:eastAsia="Arial" w:hAnsi="Arial"/>
          <w:sz w:val="20"/>
          <w:szCs w:val="20"/>
          <w:color w:val="auto"/>
        </w:rPr>
      </w:pPr>
    </w:p>
    <w:p>
      <w:pPr>
        <w:ind w:left="1300" w:hanging="643"/>
        <w:spacing w:after="0"/>
        <w:tabs>
          <w:tab w:leader="none" w:pos="1300" w:val="left"/>
        </w:tabs>
        <w:numPr>
          <w:ilvl w:val="1"/>
          <w:numId w:val="49"/>
        </w:numPr>
        <w:rPr>
          <w:rFonts w:ascii="Arial" w:cs="Arial" w:eastAsia="Arial" w:hAnsi="Arial"/>
          <w:sz w:val="20"/>
          <w:szCs w:val="20"/>
          <w:color w:val="auto"/>
        </w:rPr>
      </w:pPr>
      <w:r>
        <w:rPr>
          <w:rFonts w:ascii="Arial" w:cs="Arial" w:eastAsia="Arial" w:hAnsi="Arial"/>
          <w:sz w:val="18"/>
          <w:szCs w:val="18"/>
          <w:color w:val="auto"/>
        </w:rPr>
        <w:t>from performing its payment obligations under the Finance Documents; or</w:t>
      </w:r>
    </w:p>
    <w:p>
      <w:pPr>
        <w:spacing w:after="0" w:line="188" w:lineRule="exact"/>
        <w:rPr>
          <w:rFonts w:ascii="Arial" w:cs="Arial" w:eastAsia="Arial" w:hAnsi="Arial"/>
          <w:sz w:val="20"/>
          <w:szCs w:val="20"/>
          <w:color w:val="auto"/>
        </w:rPr>
      </w:pPr>
    </w:p>
    <w:p>
      <w:pPr>
        <w:ind w:left="1300" w:hanging="643"/>
        <w:spacing w:after="0"/>
        <w:tabs>
          <w:tab w:leader="none" w:pos="1300" w:val="left"/>
        </w:tabs>
        <w:numPr>
          <w:ilvl w:val="1"/>
          <w:numId w:val="49"/>
        </w:numPr>
        <w:rPr>
          <w:rFonts w:ascii="Arial" w:cs="Arial" w:eastAsia="Arial" w:hAnsi="Arial"/>
          <w:sz w:val="20"/>
          <w:szCs w:val="20"/>
          <w:color w:val="auto"/>
        </w:rPr>
      </w:pPr>
      <w:r>
        <w:rPr>
          <w:rFonts w:ascii="Arial" w:cs="Arial" w:eastAsia="Arial" w:hAnsi="Arial"/>
          <w:sz w:val="18"/>
          <w:szCs w:val="18"/>
          <w:color w:val="auto"/>
        </w:rPr>
        <w:t>from communicating with other Parties in accordance with the terms of the Finance Documents,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9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Distressed Fund</w:t>
      </w:r>
      <w:r>
        <w:rPr>
          <w:rFonts w:ascii="Arial" w:cs="Arial" w:eastAsia="Arial" w:hAnsi="Arial"/>
          <w:sz w:val="18"/>
          <w:szCs w:val="18"/>
          <w:color w:val="auto"/>
        </w:rPr>
        <w:t>” means a fund whose investment strategy includes purchasing debt for the purpose of actively managing that debt holding to obtain ownership of equity in or gain control of the relevant borrower(s) and/or to exploit holdout or blocking positions.</w:t>
      </w:r>
    </w:p>
    <w:p>
      <w:pPr>
        <w:spacing w:after="0" w:line="35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20"/>
          </w:cols>
          <w:pgMar w:left="940" w:top="35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Institution</w:t>
      </w:r>
      <w:r>
        <w:rPr>
          <w:rFonts w:ascii="Arial" w:cs="Arial" w:eastAsia="Arial" w:hAnsi="Arial"/>
          <w:sz w:val="18"/>
          <w:szCs w:val="18"/>
          <w:color w:val="auto"/>
        </w:rPr>
        <w:t>” means any Lender or other bank, financial institution, trust, fund or other entity selected by the Company and which, in each case, is not a member of the Group.</w:t>
      </w:r>
    </w:p>
    <w:p>
      <w:pPr>
        <w:spacing w:after="0" w:line="13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humans, animals, plants and all other living organisms including the ecological systems of which they form part and the following media:</w:t>
      </w:r>
    </w:p>
    <w:p>
      <w:pPr>
        <w:spacing w:after="0" w:line="152" w:lineRule="exact"/>
        <w:rPr>
          <w:sz w:val="20"/>
          <w:szCs w:val="20"/>
          <w:color w:val="auto"/>
        </w:rPr>
      </w:pPr>
    </w:p>
    <w:p>
      <w:pPr>
        <w:ind w:left="640" w:hanging="604"/>
        <w:spacing w:after="0" w:line="230" w:lineRule="exact"/>
        <w:tabs>
          <w:tab w:leader="none" w:pos="640" w:val="left"/>
        </w:tabs>
        <w:numPr>
          <w:ilvl w:val="0"/>
          <w:numId w:val="50"/>
        </w:numPr>
        <w:rPr>
          <w:rFonts w:ascii="Arial" w:cs="Arial" w:eastAsia="Arial" w:hAnsi="Arial"/>
          <w:sz w:val="20"/>
          <w:szCs w:val="20"/>
          <w:color w:val="auto"/>
        </w:rPr>
      </w:pPr>
      <w:r>
        <w:rPr>
          <w:rFonts w:ascii="Arial" w:cs="Arial" w:eastAsia="Arial" w:hAnsi="Arial"/>
          <w:sz w:val="18"/>
          <w:szCs w:val="18"/>
          <w:color w:val="auto"/>
        </w:rPr>
        <w:t>air (including, without limitation, air within natural or man</w:t>
      </w:r>
      <w:r>
        <w:rPr>
          <w:rFonts w:ascii="MS PGothic" w:cs="MS PGothic" w:eastAsia="MS PGothic" w:hAnsi="MS PGothic"/>
          <w:sz w:val="18"/>
          <w:szCs w:val="18"/>
          <w:color w:val="auto"/>
        </w:rPr>
        <w:t>‑</w:t>
      </w:r>
      <w:r>
        <w:rPr>
          <w:rFonts w:ascii="Arial" w:cs="Arial" w:eastAsia="Arial" w:hAnsi="Arial"/>
          <w:sz w:val="18"/>
          <w:szCs w:val="18"/>
          <w:color w:val="auto"/>
        </w:rPr>
        <w:t>made structures, whether above or below ground);</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6"/>
          <w:szCs w:val="16"/>
          <w:color w:val="auto"/>
        </w:rPr>
        <w:t>water (including, without limitation, territorial, coastal and inland waters, water under or within land and water in drains and sewers); and</w:t>
      </w:r>
    </w:p>
    <w:p>
      <w:pPr>
        <w:spacing w:after="0" w:line="211" w:lineRule="exact"/>
        <w:rPr>
          <w:rFonts w:ascii="Arial" w:cs="Arial" w:eastAsia="Arial" w:hAnsi="Arial"/>
          <w:sz w:val="18"/>
          <w:szCs w:val="18"/>
          <w:color w:val="auto"/>
        </w:rPr>
      </w:pPr>
    </w:p>
    <w:p>
      <w:pPr>
        <w:ind w:left="640" w:hanging="604"/>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18"/>
          <w:szCs w:val="18"/>
          <w:color w:val="auto"/>
        </w:rPr>
        <w:t>land (including, without limitation, land under water).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Claim</w:t>
      </w:r>
      <w:r>
        <w:rPr>
          <w:rFonts w:ascii="Arial" w:cs="Arial" w:eastAsia="Arial" w:hAnsi="Arial"/>
          <w:sz w:val="17"/>
          <w:szCs w:val="17"/>
          <w:color w:val="auto"/>
        </w:rPr>
        <w:t>” means any claim, proceeding, formal notice or investigation by any person in respect of any Environmental Law.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applicable law or regulation which relates to:</w:t>
      </w:r>
    </w:p>
    <w:p>
      <w:pPr>
        <w:spacing w:after="0" w:line="216" w:lineRule="exact"/>
        <w:rPr>
          <w:sz w:val="20"/>
          <w:szCs w:val="20"/>
          <w:color w:val="auto"/>
        </w:rPr>
      </w:pPr>
    </w:p>
    <w:p>
      <w:pPr>
        <w:ind w:left="640" w:hanging="604"/>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18"/>
          <w:szCs w:val="18"/>
          <w:color w:val="auto"/>
        </w:rPr>
        <w:t>the pollution or protection of the Environment;</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18"/>
          <w:szCs w:val="18"/>
          <w:color w:val="auto"/>
        </w:rPr>
        <w:t>the conditions of the workplace; or</w:t>
      </w:r>
    </w:p>
    <w:p>
      <w:pPr>
        <w:spacing w:after="0" w:line="188" w:lineRule="exact"/>
        <w:rPr>
          <w:rFonts w:ascii="Arial" w:cs="Arial" w:eastAsia="Arial" w:hAnsi="Arial"/>
          <w:sz w:val="20"/>
          <w:szCs w:val="20"/>
          <w:color w:val="auto"/>
        </w:rPr>
      </w:pPr>
    </w:p>
    <w:p>
      <w:pPr>
        <w:ind w:left="660" w:right="20" w:hanging="624"/>
        <w:spacing w:after="0" w:line="266" w:lineRule="auto"/>
        <w:tabs>
          <w:tab w:leader="none" w:pos="642" w:val="left"/>
        </w:tabs>
        <w:numPr>
          <w:ilvl w:val="0"/>
          <w:numId w:val="51"/>
        </w:numPr>
        <w:rPr>
          <w:rFonts w:ascii="Arial" w:cs="Arial" w:eastAsia="Arial" w:hAnsi="Arial"/>
          <w:sz w:val="20"/>
          <w:szCs w:val="20"/>
          <w:color w:val="auto"/>
        </w:rPr>
      </w:pPr>
      <w:r>
        <w:rPr>
          <w:rFonts w:ascii="Arial" w:cs="Arial" w:eastAsia="Arial" w:hAnsi="Arial"/>
          <w:sz w:val="18"/>
          <w:szCs w:val="18"/>
          <w:color w:val="auto"/>
        </w:rPr>
        <w:t>the generation, handling, storage, use, release or spillage of any substance which, alone or in combination with any other, is capable of causing harm to the Environment, including, without limitation, any waste.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spacing w:after="0" w:line="1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 in relation to any Loan in euro:</w:t>
      </w:r>
    </w:p>
    <w:p>
      <w:pPr>
        <w:spacing w:after="0" w:line="216" w:lineRule="exact"/>
        <w:rPr>
          <w:sz w:val="20"/>
          <w:szCs w:val="20"/>
          <w:color w:val="auto"/>
        </w:rPr>
      </w:pPr>
    </w:p>
    <w:p>
      <w:pPr>
        <w:ind w:left="660" w:hanging="624"/>
        <w:spacing w:after="0" w:line="266" w:lineRule="auto"/>
        <w:tabs>
          <w:tab w:leader="none" w:pos="642" w:val="left"/>
        </w:tabs>
        <w:numPr>
          <w:ilvl w:val="0"/>
          <w:numId w:val="52"/>
        </w:numPr>
        <w:rPr>
          <w:rFonts w:ascii="Arial" w:cs="Arial" w:eastAsia="Arial" w:hAnsi="Arial"/>
          <w:sz w:val="20"/>
          <w:szCs w:val="20"/>
          <w:color w:val="auto"/>
        </w:rPr>
      </w:pPr>
      <w:r>
        <w:rPr>
          <w:rFonts w:ascii="Arial" w:cs="Arial" w:eastAsia="Arial" w:hAnsi="Arial"/>
          <w:sz w:val="18"/>
          <w:szCs w:val="18"/>
          <w:color w:val="auto"/>
        </w:rPr>
        <w:t>the applicable Screen Rate as of 11.00 am (Brussels time) on the Quotation Date for euro and for a period equal in length to the Interest Period of that Loan; or</w:t>
      </w:r>
    </w:p>
    <w:p>
      <w:pPr>
        <w:spacing w:after="0" w:line="163" w:lineRule="exact"/>
        <w:rPr>
          <w:rFonts w:ascii="Arial" w:cs="Arial" w:eastAsia="Arial" w:hAnsi="Arial"/>
          <w:sz w:val="20"/>
          <w:szCs w:val="20"/>
          <w:color w:val="auto"/>
        </w:rPr>
      </w:pPr>
    </w:p>
    <w:p>
      <w:pPr>
        <w:ind w:left="640" w:hanging="604"/>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21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Guarantee</w:t>
      </w:r>
      <w:r>
        <w:rPr>
          <w:rFonts w:ascii="Arial" w:cs="Arial" w:eastAsia="Arial" w:hAnsi="Arial"/>
          <w:sz w:val="18"/>
          <w:szCs w:val="18"/>
          <w:color w:val="auto"/>
        </w:rPr>
        <w:t>” means:</w:t>
      </w:r>
    </w:p>
    <w:p>
      <w:pPr>
        <w:spacing w:after="0" w:line="216" w:lineRule="exact"/>
        <w:rPr>
          <w:sz w:val="20"/>
          <w:szCs w:val="20"/>
          <w:color w:val="auto"/>
        </w:rPr>
      </w:pPr>
    </w:p>
    <w:p>
      <w:pPr>
        <w:ind w:left="660" w:right="20" w:hanging="624"/>
        <w:spacing w:after="0" w:line="230" w:lineRule="exact"/>
        <w:tabs>
          <w:tab w:leader="none" w:pos="642" w:val="left"/>
        </w:tabs>
        <w:numPr>
          <w:ilvl w:val="0"/>
          <w:numId w:val="53"/>
        </w:numPr>
        <w:rPr>
          <w:rFonts w:ascii="Arial" w:cs="Arial" w:eastAsia="Arial" w:hAnsi="Arial"/>
          <w:sz w:val="20"/>
          <w:szCs w:val="20"/>
          <w:color w:val="auto"/>
        </w:rPr>
      </w:pPr>
      <w:r>
        <w:rPr>
          <w:rFonts w:ascii="Arial" w:cs="Arial" w:eastAsia="Arial" w:hAnsi="Arial"/>
          <w:sz w:val="18"/>
          <w:szCs w:val="18"/>
          <w:color w:val="auto"/>
        </w:rPr>
        <w:t>any counter</w:t>
      </w:r>
      <w:r>
        <w:rPr>
          <w:rFonts w:ascii="MS PGothic" w:cs="MS PGothic" w:eastAsia="MS PGothic" w:hAnsi="MS PGothic"/>
          <w:sz w:val="18"/>
          <w:szCs w:val="18"/>
          <w:color w:val="auto"/>
        </w:rPr>
        <w:t>‑</w:t>
      </w:r>
      <w:r>
        <w:rPr>
          <w:rFonts w:ascii="Arial" w:cs="Arial" w:eastAsia="Arial" w:hAnsi="Arial"/>
          <w:sz w:val="18"/>
          <w:szCs w:val="18"/>
          <w:color w:val="auto"/>
        </w:rPr>
        <w:t>indemnity obligation in respect of a performance or similar bond guaranteeing performance by a member of the Group under any public tender or other contract entered into in the ordinary course of trade; or</w:t>
      </w:r>
    </w:p>
    <w:p>
      <w:pPr>
        <w:spacing w:after="0" w:line="3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20"/>
          </w:cols>
          <w:pgMar w:left="940" w:top="337" w:right="339" w:bottom="1440" w:gutter="0" w:footer="0" w:header="0"/>
        </w:sectPr>
      </w:pPr>
    </w:p>
    <w:bookmarkStart w:id="32" w:name="page33"/>
    <w:bookmarkEnd w:id="32"/>
    <w:p>
      <w:pPr>
        <w:ind w:left="660" w:hanging="624"/>
        <w:spacing w:after="0" w:line="266" w:lineRule="auto"/>
        <w:tabs>
          <w:tab w:leader="none" w:pos="642" w:val="left"/>
        </w:tabs>
        <w:numPr>
          <w:ilvl w:val="0"/>
          <w:numId w:val="54"/>
        </w:numPr>
        <w:rPr>
          <w:rFonts w:ascii="Arial" w:cs="Arial" w:eastAsia="Arial" w:hAnsi="Arial"/>
          <w:sz w:val="20"/>
          <w:szCs w:val="20"/>
          <w:color w:val="auto"/>
        </w:rPr>
      </w:pPr>
      <w:r>
        <w:rPr>
          <w:rFonts w:ascii="Arial" w:cs="Arial" w:eastAsia="Arial" w:hAnsi="Arial"/>
          <w:sz w:val="18"/>
          <w:szCs w:val="18"/>
          <w:color w:val="auto"/>
        </w:rPr>
        <w:t>any guarantee or indemnity granted or arising under legislation relating to tax or corporate law under which any member of the Group assumes general liability for the obligations of another member of the Group.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Lender</w:t>
      </w:r>
      <w:r>
        <w:rPr>
          <w:rFonts w:ascii="Arial" w:cs="Arial" w:eastAsia="Arial" w:hAnsi="Arial"/>
          <w:sz w:val="18"/>
          <w:szCs w:val="18"/>
          <w:color w:val="auto"/>
        </w:rPr>
        <w:t>” has the meaning given to it in Clause 22.1 (Assignments and transfers by the Lender).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revolving loan facility made available under this Agreement as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the Lender to the Company in writing on or before the date it becomes as Lender (or, following that date, by not less than five Business Days’ written notice) as the office or offices through which it will perform its obligations under this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Fallback Interest Period</w:t>
      </w:r>
      <w:r>
        <w:rPr>
          <w:rFonts w:ascii="Arial" w:cs="Arial" w:eastAsia="Arial" w:hAnsi="Arial"/>
          <w:sz w:val="18"/>
          <w:szCs w:val="18"/>
          <w:color w:val="auto"/>
        </w:rPr>
        <w:t>” means one week.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216" w:lineRule="exact"/>
        <w:rPr>
          <w:sz w:val="20"/>
          <w:szCs w:val="20"/>
          <w:color w:val="auto"/>
        </w:rPr>
      </w:pPr>
    </w:p>
    <w:p>
      <w:pPr>
        <w:ind w:left="640" w:hanging="604"/>
        <w:spacing w:after="0"/>
        <w:tabs>
          <w:tab w:leader="none" w:pos="640" w:val="left"/>
        </w:tabs>
        <w:numPr>
          <w:ilvl w:val="0"/>
          <w:numId w:val="55"/>
        </w:numPr>
        <w:rPr>
          <w:rFonts w:ascii="Arial" w:cs="Arial" w:eastAsia="Arial" w:hAnsi="Arial"/>
          <w:sz w:val="20"/>
          <w:szCs w:val="20"/>
          <w:color w:val="auto"/>
        </w:rPr>
      </w:pPr>
      <w:r>
        <w:rPr>
          <w:rFonts w:ascii="Arial" w:cs="Arial" w:eastAsia="Arial" w:hAnsi="Arial"/>
          <w:sz w:val="18"/>
          <w:szCs w:val="18"/>
          <w:color w:val="auto"/>
        </w:rPr>
        <w:t>sections 1471 to 1474 of the Code or any associated regulations;</w:t>
      </w:r>
    </w:p>
    <w:p>
      <w:pPr>
        <w:spacing w:after="0" w:line="188" w:lineRule="exact"/>
        <w:rPr>
          <w:rFonts w:ascii="Arial" w:cs="Arial" w:eastAsia="Arial" w:hAnsi="Arial"/>
          <w:sz w:val="20"/>
          <w:szCs w:val="20"/>
          <w:color w:val="auto"/>
        </w:rPr>
      </w:pPr>
    </w:p>
    <w:p>
      <w:pPr>
        <w:ind w:left="660" w:right="20" w:hanging="624"/>
        <w:spacing w:after="0" w:line="296" w:lineRule="auto"/>
        <w:tabs>
          <w:tab w:leader="none" w:pos="642" w:val="left"/>
        </w:tabs>
        <w:numPr>
          <w:ilvl w:val="0"/>
          <w:numId w:val="55"/>
        </w:numPr>
        <w:rPr>
          <w:rFonts w:ascii="Arial" w:cs="Arial" w:eastAsia="Arial" w:hAnsi="Arial"/>
          <w:sz w:val="19"/>
          <w:szCs w:val="19"/>
          <w:color w:val="auto"/>
        </w:rPr>
      </w:pPr>
      <w:r>
        <w:rPr>
          <w:rFonts w:ascii="Arial" w:cs="Arial" w:eastAsia="Arial" w:hAnsi="Arial"/>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37" w:lineRule="exact"/>
        <w:rPr>
          <w:rFonts w:ascii="Arial" w:cs="Arial" w:eastAsia="Arial" w:hAnsi="Arial"/>
          <w:sz w:val="19"/>
          <w:szCs w:val="19"/>
          <w:color w:val="auto"/>
        </w:rPr>
      </w:pPr>
    </w:p>
    <w:p>
      <w:pPr>
        <w:ind w:left="660" w:hanging="624"/>
        <w:spacing w:after="0" w:line="266" w:lineRule="auto"/>
        <w:tabs>
          <w:tab w:leader="none" w:pos="642" w:val="left"/>
        </w:tabs>
        <w:numPr>
          <w:ilvl w:val="0"/>
          <w:numId w:val="55"/>
        </w:numPr>
        <w:rPr>
          <w:rFonts w:ascii="Arial" w:cs="Arial" w:eastAsia="Arial" w:hAnsi="Arial"/>
          <w:sz w:val="20"/>
          <w:szCs w:val="20"/>
          <w:color w:val="auto"/>
        </w:rPr>
      </w:pPr>
      <w:r>
        <w:rPr>
          <w:rFonts w:ascii="Arial" w:cs="Arial" w:eastAsia="Arial" w:hAnsi="Arial"/>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any letter or letters dated prior to or on or about the date of this Agreement between the Lender and the Company setting out any of the fees referred to in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Finance Document</w:t>
      </w:r>
      <w:r>
        <w:rPr>
          <w:rFonts w:ascii="Arial" w:cs="Arial" w:eastAsia="Arial" w:hAnsi="Arial"/>
          <w:sz w:val="17"/>
          <w:szCs w:val="17"/>
          <w:color w:val="auto"/>
        </w:rPr>
        <w:t>” means this Agreement, any Fee Letter and any other document designated as such by the Lender and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any indebtedness for or in respect of:</w:t>
      </w:r>
    </w:p>
    <w:p>
      <w:pPr>
        <w:spacing w:after="0" w:line="216" w:lineRule="exact"/>
        <w:rPr>
          <w:sz w:val="20"/>
          <w:szCs w:val="20"/>
          <w:color w:val="auto"/>
        </w:rPr>
      </w:pPr>
    </w:p>
    <w:p>
      <w:pPr>
        <w:ind w:left="640" w:hanging="604"/>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18"/>
          <w:szCs w:val="18"/>
          <w:color w:val="auto"/>
        </w:rPr>
        <w:t>moneys borrowed;</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18"/>
          <w:szCs w:val="18"/>
          <w:color w:val="auto"/>
        </w:rPr>
        <w:t>any amount raised by acceptance under any acceptance credit facility or dematerialised equivalent;</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6"/>
          <w:szCs w:val="16"/>
          <w:color w:val="auto"/>
        </w:rPr>
        <w:t>any amount raised pursuant to any note purchase facility or the issue of bonds, notes, debentures, loan stock or any similar instrument;</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20"/>
          </w:cols>
          <w:pgMar w:left="940" w:top="355" w:right="339" w:bottom="1440" w:gutter="0" w:footer="0" w:header="0"/>
        </w:sectPr>
      </w:pPr>
    </w:p>
    <w:bookmarkStart w:id="33" w:name="page34"/>
    <w:bookmarkEnd w:id="33"/>
    <w:p>
      <w:pPr>
        <w:ind w:left="660" w:hanging="624"/>
        <w:spacing w:after="0" w:line="266" w:lineRule="auto"/>
        <w:tabs>
          <w:tab w:leader="none" w:pos="642" w:val="left"/>
        </w:tabs>
        <w:numPr>
          <w:ilvl w:val="0"/>
          <w:numId w:val="57"/>
        </w:numPr>
        <w:rPr>
          <w:rFonts w:ascii="Arial" w:cs="Arial" w:eastAsia="Arial" w:hAnsi="Arial"/>
          <w:sz w:val="20"/>
          <w:szCs w:val="20"/>
          <w:color w:val="auto"/>
        </w:rPr>
      </w:pPr>
      <w:r>
        <w:rPr>
          <w:rFonts w:ascii="Arial" w:cs="Arial" w:eastAsia="Arial" w:hAnsi="Arial"/>
          <w:sz w:val="18"/>
          <w:szCs w:val="18"/>
          <w:color w:val="auto"/>
        </w:rPr>
        <w:t>the amount of any liability in respect of any lease or hire purchase contract which would, in accordance with the Accounting Principles, be treated as a finance or capital lease;</w:t>
      </w:r>
    </w:p>
    <w:p>
      <w:pPr>
        <w:spacing w:after="0" w:line="163" w:lineRule="exact"/>
        <w:rPr>
          <w:rFonts w:ascii="Arial" w:cs="Arial" w:eastAsia="Arial" w:hAnsi="Arial"/>
          <w:sz w:val="20"/>
          <w:szCs w:val="20"/>
          <w:color w:val="auto"/>
        </w:rPr>
      </w:pPr>
    </w:p>
    <w:p>
      <w:pPr>
        <w:ind w:left="660" w:right="20" w:hanging="624"/>
        <w:spacing w:after="0" w:line="266" w:lineRule="auto"/>
        <w:tabs>
          <w:tab w:leader="none" w:pos="642" w:val="left"/>
        </w:tabs>
        <w:numPr>
          <w:ilvl w:val="0"/>
          <w:numId w:val="57"/>
        </w:numPr>
        <w:rPr>
          <w:rFonts w:ascii="Arial" w:cs="Arial" w:eastAsia="Arial" w:hAnsi="Arial"/>
          <w:sz w:val="20"/>
          <w:szCs w:val="20"/>
          <w:color w:val="auto"/>
        </w:rPr>
      </w:pPr>
      <w:r>
        <w:rPr>
          <w:rFonts w:ascii="Arial" w:cs="Arial" w:eastAsia="Arial" w:hAnsi="Arial"/>
          <w:sz w:val="18"/>
          <w:szCs w:val="18"/>
          <w:color w:val="auto"/>
        </w:rPr>
        <w:t>receivables sold or discounted (other than any receivables to the extent they are sold on a non-recourse basis, including true sale US GAAP, under an agreement other than a Permitted Receivables Disposal);</w:t>
      </w:r>
    </w:p>
    <w:p>
      <w:pPr>
        <w:spacing w:after="0" w:line="163" w:lineRule="exact"/>
        <w:rPr>
          <w:rFonts w:ascii="Arial" w:cs="Arial" w:eastAsia="Arial" w:hAnsi="Arial"/>
          <w:sz w:val="20"/>
          <w:szCs w:val="20"/>
          <w:color w:val="auto"/>
        </w:rPr>
      </w:pPr>
    </w:p>
    <w:p>
      <w:pPr>
        <w:jc w:val="both"/>
        <w:ind w:left="660" w:hanging="624"/>
        <w:spacing w:after="0" w:line="264" w:lineRule="auto"/>
        <w:tabs>
          <w:tab w:leader="none" w:pos="642" w:val="left"/>
        </w:tabs>
        <w:numPr>
          <w:ilvl w:val="0"/>
          <w:numId w:val="57"/>
        </w:numPr>
        <w:rPr>
          <w:rFonts w:ascii="Arial" w:cs="Arial" w:eastAsia="Arial" w:hAnsi="Arial"/>
          <w:sz w:val="20"/>
          <w:szCs w:val="20"/>
          <w:color w:val="auto"/>
        </w:rPr>
      </w:pPr>
      <w:r>
        <w:rPr>
          <w:rFonts w:ascii="Arial" w:cs="Arial" w:eastAsia="Arial" w:hAnsi="Arial"/>
          <w:sz w:val="18"/>
          <w:szCs w:val="18"/>
          <w:color w:val="auto"/>
        </w:rPr>
        <w:t>any amount raised under any other transaction (including any forward sale or purchase agreement, sale and lease back arrangements and sale and purchase agreements having deferred payment terms longer than terms customary on the market) having the financial effect of a borrowing;</w:t>
      </w:r>
    </w:p>
    <w:p>
      <w:pPr>
        <w:spacing w:after="0" w:line="169" w:lineRule="exact"/>
        <w:rPr>
          <w:rFonts w:ascii="Arial" w:cs="Arial" w:eastAsia="Arial" w:hAnsi="Arial"/>
          <w:sz w:val="20"/>
          <w:szCs w:val="20"/>
          <w:color w:val="auto"/>
        </w:rPr>
      </w:pPr>
    </w:p>
    <w:p>
      <w:pPr>
        <w:ind w:left="660" w:hanging="624"/>
        <w:spacing w:after="0" w:line="296" w:lineRule="auto"/>
        <w:tabs>
          <w:tab w:leader="none" w:pos="642" w:val="left"/>
        </w:tabs>
        <w:numPr>
          <w:ilvl w:val="0"/>
          <w:numId w:val="57"/>
        </w:numPr>
        <w:rPr>
          <w:rFonts w:ascii="Arial" w:cs="Arial" w:eastAsia="Arial" w:hAnsi="Arial"/>
          <w:sz w:val="19"/>
          <w:szCs w:val="19"/>
          <w:color w:val="auto"/>
        </w:rPr>
      </w:pPr>
      <w:r>
        <w:rPr>
          <w:rFonts w:ascii="Arial" w:cs="Arial" w:eastAsia="Arial" w:hAnsi="Arial"/>
          <w:sz w:val="17"/>
          <w:szCs w:val="17"/>
          <w:color w:val="auto"/>
        </w:rPr>
        <w:t>any derivative transaction entered into in connection with protection against or benefit from fluctuation in any rate or price (and, when calculating the value of any derivative transaction, only the marked to market value (fair value) shall be taken into account);</w:t>
      </w:r>
    </w:p>
    <w:p>
      <w:pPr>
        <w:spacing w:after="0" w:line="137" w:lineRule="exact"/>
        <w:rPr>
          <w:rFonts w:ascii="Arial" w:cs="Arial" w:eastAsia="Arial" w:hAnsi="Arial"/>
          <w:sz w:val="19"/>
          <w:szCs w:val="19"/>
          <w:color w:val="auto"/>
        </w:rPr>
      </w:pPr>
    </w:p>
    <w:p>
      <w:pPr>
        <w:ind w:left="660" w:hanging="624"/>
        <w:spacing w:after="0" w:line="266" w:lineRule="auto"/>
        <w:tabs>
          <w:tab w:leader="none" w:pos="642" w:val="left"/>
        </w:tabs>
        <w:numPr>
          <w:ilvl w:val="0"/>
          <w:numId w:val="57"/>
        </w:numPr>
        <w:rPr>
          <w:rFonts w:ascii="Arial" w:cs="Arial" w:eastAsia="Arial" w:hAnsi="Arial"/>
          <w:sz w:val="20"/>
          <w:szCs w:val="20"/>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163" w:lineRule="exact"/>
        <w:rPr>
          <w:rFonts w:ascii="Arial" w:cs="Arial" w:eastAsia="Arial" w:hAnsi="Arial"/>
          <w:sz w:val="20"/>
          <w:szCs w:val="20"/>
          <w:color w:val="auto"/>
        </w:rPr>
      </w:pPr>
    </w:p>
    <w:p>
      <w:pPr>
        <w:ind w:left="640" w:hanging="604"/>
        <w:spacing w:after="0"/>
        <w:tabs>
          <w:tab w:leader="none" w:pos="640" w:val="left"/>
        </w:tabs>
        <w:numPr>
          <w:ilvl w:val="0"/>
          <w:numId w:val="57"/>
        </w:numPr>
        <w:rPr>
          <w:rFonts w:ascii="Arial" w:cs="Arial" w:eastAsia="Arial" w:hAnsi="Arial"/>
          <w:sz w:val="19"/>
          <w:szCs w:val="19"/>
          <w:color w:val="auto"/>
        </w:rPr>
      </w:pPr>
      <w:r>
        <w:rPr>
          <w:rFonts w:ascii="Arial" w:cs="Arial" w:eastAsia="Arial" w:hAnsi="Arial"/>
          <w:sz w:val="17"/>
          <w:szCs w:val="17"/>
          <w:color w:val="auto"/>
        </w:rPr>
        <w:t>the amount of any liability in respect of any guarantee or indemnity for any of the items referred to in paragraphs (a) to (h) above.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Funding Rate</w:t>
      </w:r>
      <w:r>
        <w:rPr>
          <w:rFonts w:ascii="Arial" w:cs="Arial" w:eastAsia="Arial" w:hAnsi="Arial"/>
          <w:sz w:val="16"/>
          <w:szCs w:val="16"/>
          <w:color w:val="auto"/>
        </w:rPr>
        <w:t>” means any individual rate notified by the Lender to the Company pursuant to paragraph (a)(ii) of Clause 10.3 (</w:t>
      </w:r>
      <w:r>
        <w:rPr>
          <w:rFonts w:ascii="Arial" w:cs="Arial" w:eastAsia="Arial" w:hAnsi="Arial"/>
          <w:sz w:val="16"/>
          <w:szCs w:val="16"/>
          <w:i w:val="1"/>
          <w:iCs w:val="1"/>
          <w:color w:val="auto"/>
        </w:rPr>
        <w:t>Cost of funds</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Company and its Subsidiaries for the time being.</w:t>
      </w:r>
    </w:p>
    <w:p>
      <w:pPr>
        <w:spacing w:after="0" w:line="198"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Historic Screen Rate</w:t>
      </w:r>
      <w:r>
        <w:rPr>
          <w:rFonts w:ascii="Arial" w:cs="Arial" w:eastAsia="Arial" w:hAnsi="Arial"/>
          <w:sz w:val="16"/>
          <w:szCs w:val="16"/>
          <w:color w:val="auto"/>
        </w:rPr>
        <w:t>” means, in relation to any Loan, the most recent applicable Screen Rate for the currency of that Loan and for a period equal in length to the Interest Period of that Loan and which is as of a day which is no more than five Business Days before the Quotation Day.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w:t>
      </w:r>
    </w:p>
    <w:p>
      <w:pPr>
        <w:spacing w:after="0" w:line="216" w:lineRule="exact"/>
        <w:rPr>
          <w:sz w:val="20"/>
          <w:szCs w:val="20"/>
          <w:color w:val="auto"/>
        </w:rPr>
      </w:pPr>
    </w:p>
    <w:p>
      <w:pPr>
        <w:jc w:val="both"/>
        <w:ind w:left="660" w:hanging="624"/>
        <w:spacing w:after="0" w:line="264" w:lineRule="auto"/>
        <w:tabs>
          <w:tab w:leader="none" w:pos="642" w:val="left"/>
        </w:tabs>
        <w:numPr>
          <w:ilvl w:val="0"/>
          <w:numId w:val="58"/>
        </w:numPr>
        <w:rPr>
          <w:rFonts w:ascii="Arial" w:cs="Arial" w:eastAsia="Arial" w:hAnsi="Arial"/>
          <w:sz w:val="20"/>
          <w:szCs w:val="20"/>
          <w:color w:val="auto"/>
        </w:rPr>
      </w:pPr>
      <w:r>
        <w:rPr>
          <w:rFonts w:ascii="Arial" w:cs="Arial" w:eastAsia="Arial" w:hAnsi="Arial"/>
          <w:sz w:val="18"/>
          <w:szCs w:val="18"/>
          <w:color w:val="auto"/>
        </w:rPr>
        <w:t>any patents, trade marks, service marks, designs, business names, copyrights, database rights, design rights, domain names, moral rights, inventions, confidential information, knowhow and other intellectual property rights and interests (which may now or in the future subsist), whether registered or unregistered; and</w:t>
      </w:r>
    </w:p>
    <w:p>
      <w:pPr>
        <w:spacing w:after="0" w:line="169" w:lineRule="exact"/>
        <w:rPr>
          <w:rFonts w:ascii="Arial" w:cs="Arial" w:eastAsia="Arial" w:hAnsi="Arial"/>
          <w:sz w:val="20"/>
          <w:szCs w:val="20"/>
          <w:color w:val="auto"/>
        </w:rPr>
      </w:pPr>
    </w:p>
    <w:p>
      <w:pPr>
        <w:ind w:left="640" w:hanging="604"/>
        <w:spacing w:after="0"/>
        <w:tabs>
          <w:tab w:leader="none" w:pos="640" w:val="left"/>
        </w:tabs>
        <w:numPr>
          <w:ilvl w:val="0"/>
          <w:numId w:val="58"/>
        </w:numPr>
        <w:rPr>
          <w:rFonts w:ascii="Arial" w:cs="Arial" w:eastAsia="Arial" w:hAnsi="Arial"/>
          <w:sz w:val="19"/>
          <w:szCs w:val="19"/>
          <w:color w:val="auto"/>
        </w:rPr>
      </w:pPr>
      <w:r>
        <w:rPr>
          <w:rFonts w:ascii="Arial" w:cs="Arial" w:eastAsia="Arial" w:hAnsi="Arial"/>
          <w:sz w:val="17"/>
          <w:szCs w:val="17"/>
          <w:color w:val="auto"/>
        </w:rPr>
        <w:t>the benefit of all applications and rights to use such assets of each member of the Group (which may now or in the future subsist).</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xml:space="preserve">) and, in relation to an Unpaid Sum, each period determined in accordance with Clause 8.3 </w:t>
      </w:r>
      <w:r>
        <w:rPr>
          <w:rFonts w:ascii="Arial" w:cs="Arial" w:eastAsia="Arial" w:hAnsi="Arial"/>
          <w:sz w:val="18"/>
          <w:szCs w:val="18"/>
          <w:i w:val="1"/>
          <w:iCs w:val="1"/>
          <w:color w:val="auto"/>
        </w:rPr>
        <w:t>(Default interest).</w:t>
      </w:r>
    </w:p>
    <w:p>
      <w:pPr>
        <w:spacing w:after="0" w:line="35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20"/>
          </w:cols>
          <w:pgMar w:left="940" w:top="35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Interpolated Historic Screen Rate</w:t>
      </w:r>
      <w:r>
        <w:rPr>
          <w:rFonts w:ascii="Arial" w:cs="Arial" w:eastAsia="Arial" w:hAnsi="Arial"/>
          <w:sz w:val="16"/>
          <w:szCs w:val="16"/>
          <w:color w:val="auto"/>
        </w:rPr>
        <w:t>” means, in relation to any Loan, the rate (rounded to the same number of decimal places as the two relevant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Screen Rates) which results from interpolating on a linear basis between:</w:t>
      </w:r>
    </w:p>
    <w:p>
      <w:pPr>
        <w:spacing w:after="0" w:line="197" w:lineRule="exact"/>
        <w:rPr>
          <w:sz w:val="20"/>
          <w:szCs w:val="20"/>
          <w:color w:val="auto"/>
        </w:rPr>
      </w:pPr>
    </w:p>
    <w:p>
      <w:pPr>
        <w:ind w:left="660" w:right="20" w:hanging="624"/>
        <w:spacing w:after="0" w:line="266" w:lineRule="auto"/>
        <w:tabs>
          <w:tab w:leader="none" w:pos="642" w:val="left"/>
        </w:tabs>
        <w:numPr>
          <w:ilvl w:val="0"/>
          <w:numId w:val="59"/>
        </w:numPr>
        <w:rPr>
          <w:rFonts w:ascii="Arial" w:cs="Arial" w:eastAsia="Arial" w:hAnsi="Arial"/>
          <w:sz w:val="20"/>
          <w:szCs w:val="20"/>
          <w:color w:val="auto"/>
        </w:rPr>
      </w:pPr>
      <w:r>
        <w:rPr>
          <w:rFonts w:ascii="Arial" w:cs="Arial" w:eastAsia="Arial" w:hAnsi="Arial"/>
          <w:sz w:val="18"/>
          <w:szCs w:val="18"/>
          <w:color w:val="auto"/>
        </w:rPr>
        <w:t>the most recent applicable Screen Rate for the longest period (for which that Screen Rate is available) which is less than the Interest Period of that Loan; and</w:t>
      </w:r>
    </w:p>
    <w:p>
      <w:pPr>
        <w:spacing w:after="0" w:line="163" w:lineRule="exact"/>
        <w:rPr>
          <w:rFonts w:ascii="Arial" w:cs="Arial" w:eastAsia="Arial" w:hAnsi="Arial"/>
          <w:sz w:val="20"/>
          <w:szCs w:val="20"/>
          <w:color w:val="auto"/>
        </w:rPr>
      </w:pPr>
    </w:p>
    <w:p>
      <w:pPr>
        <w:ind w:left="660" w:hanging="624"/>
        <w:spacing w:after="0" w:line="266" w:lineRule="auto"/>
        <w:tabs>
          <w:tab w:leader="none" w:pos="642" w:val="left"/>
        </w:tabs>
        <w:numPr>
          <w:ilvl w:val="0"/>
          <w:numId w:val="59"/>
        </w:numPr>
        <w:rPr>
          <w:rFonts w:ascii="Arial" w:cs="Arial" w:eastAsia="Arial" w:hAnsi="Arial"/>
          <w:sz w:val="20"/>
          <w:szCs w:val="20"/>
          <w:color w:val="auto"/>
        </w:rPr>
      </w:pPr>
      <w:r>
        <w:rPr>
          <w:rFonts w:ascii="Arial" w:cs="Arial" w:eastAsia="Arial" w:hAnsi="Arial"/>
          <w:sz w:val="18"/>
          <w:szCs w:val="18"/>
          <w:color w:val="auto"/>
        </w:rPr>
        <w:t>the most recent applicable Screen Rate for the shortest period (for which that Screen Rate is available) which exceeds the Interest Period of that Loan,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each for the currency of that Loan and each of which is as of a day which is no more than five Business Days before the Quotation Day.</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 in relation to any Loan, the rate (rounded to the same number of decimal places as the two relevant Screen Rates) which results from interpolating on a linear basis between:</w:t>
      </w:r>
    </w:p>
    <w:p>
      <w:pPr>
        <w:spacing w:after="0" w:line="152" w:lineRule="exact"/>
        <w:rPr>
          <w:sz w:val="20"/>
          <w:szCs w:val="20"/>
          <w:color w:val="auto"/>
        </w:rPr>
      </w:pPr>
    </w:p>
    <w:p>
      <w:pPr>
        <w:ind w:left="660" w:hanging="624"/>
        <w:spacing w:after="0" w:line="266" w:lineRule="auto"/>
        <w:tabs>
          <w:tab w:leader="none" w:pos="642" w:val="left"/>
        </w:tabs>
        <w:numPr>
          <w:ilvl w:val="0"/>
          <w:numId w:val="60"/>
        </w:numPr>
        <w:rPr>
          <w:rFonts w:ascii="Arial" w:cs="Arial" w:eastAsia="Arial" w:hAnsi="Arial"/>
          <w:sz w:val="20"/>
          <w:szCs w:val="20"/>
          <w:color w:val="auto"/>
        </w:rPr>
      </w:pPr>
      <w:r>
        <w:rPr>
          <w:rFonts w:ascii="Arial" w:cs="Arial" w:eastAsia="Arial" w:hAnsi="Arial"/>
          <w:sz w:val="18"/>
          <w:szCs w:val="18"/>
          <w:color w:val="auto"/>
        </w:rPr>
        <w:t>the applicable Screen Rate for the longest period (for which that Screen Rate is available) which is less than the Interest Period of that Loan; and</w:t>
      </w:r>
    </w:p>
    <w:p>
      <w:pPr>
        <w:spacing w:after="0" w:line="163" w:lineRule="exact"/>
        <w:rPr>
          <w:rFonts w:ascii="Arial" w:cs="Arial" w:eastAsia="Arial" w:hAnsi="Arial"/>
          <w:sz w:val="20"/>
          <w:szCs w:val="20"/>
          <w:color w:val="auto"/>
        </w:rPr>
      </w:pPr>
    </w:p>
    <w:p>
      <w:pPr>
        <w:ind w:right="60" w:firstLine="36"/>
        <w:spacing w:after="0" w:line="467" w:lineRule="auto"/>
        <w:tabs>
          <w:tab w:leader="none" w:pos="634" w:val="left"/>
        </w:tabs>
        <w:numPr>
          <w:ilvl w:val="0"/>
          <w:numId w:val="60"/>
        </w:numPr>
        <w:rPr>
          <w:rFonts w:ascii="Arial" w:cs="Arial" w:eastAsia="Arial" w:hAnsi="Arial"/>
          <w:sz w:val="19"/>
          <w:szCs w:val="19"/>
          <w:color w:val="auto"/>
        </w:rPr>
      </w:pPr>
      <w:r>
        <w:rPr>
          <w:rFonts w:ascii="Arial" w:cs="Arial" w:eastAsia="Arial" w:hAnsi="Arial"/>
          <w:sz w:val="17"/>
          <w:szCs w:val="17"/>
          <w:color w:val="auto"/>
        </w:rPr>
        <w:t>the applicable Screen Rate for the shortest period (for which that Screen Rate is available) which exceeds the Interest Period of that Loan, each for the currency of that Loan and each of which is as of a day which is no more than two days before the Quotation Day.</w:t>
      </w:r>
    </w:p>
    <w:p>
      <w:pPr>
        <w:spacing w:after="0"/>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ITA</w:t>
      </w:r>
      <w:r>
        <w:rPr>
          <w:rFonts w:ascii="Arial" w:cs="Arial" w:eastAsia="Arial" w:hAnsi="Arial"/>
          <w:sz w:val="18"/>
          <w:szCs w:val="18"/>
          <w:color w:val="auto"/>
        </w:rPr>
        <w:t>” means the Income Tax Act 2007.</w:t>
      </w:r>
    </w:p>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Civil Code</w:t>
      </w:r>
      <w:r>
        <w:rPr>
          <w:rFonts w:ascii="Arial" w:cs="Arial" w:eastAsia="Arial" w:hAnsi="Arial"/>
          <w:sz w:val="18"/>
          <w:szCs w:val="18"/>
          <w:color w:val="auto"/>
        </w:rPr>
        <w:t>" means the Italian civil code, enacted by Italian Royal Decree No. 262 of 16 March 1942, as subsequently amended and supplemented.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Subsidiary</w:t>
      </w:r>
      <w:r>
        <w:rPr>
          <w:rFonts w:ascii="Arial" w:cs="Arial" w:eastAsia="Arial" w:hAnsi="Arial"/>
          <w:sz w:val="18"/>
          <w:szCs w:val="18"/>
          <w:color w:val="auto"/>
        </w:rPr>
        <w:t>” means Sorin Group Italia S.r.l., a company incorporated in Italy.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Italian Usury Law</w:t>
      </w:r>
      <w:r>
        <w:rPr>
          <w:rFonts w:ascii="Arial" w:cs="Arial" w:eastAsia="Arial" w:hAnsi="Arial"/>
          <w:sz w:val="16"/>
          <w:szCs w:val="16"/>
          <w:color w:val="auto"/>
        </w:rPr>
        <w:t>" means Italian law No. 108 of 7 March, 1996, as amended from time to time and related implementing rules and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Reservations</w:t>
      </w:r>
      <w:r>
        <w:rPr>
          <w:rFonts w:ascii="Arial" w:cs="Arial" w:eastAsia="Arial" w:hAnsi="Arial"/>
          <w:sz w:val="18"/>
          <w:szCs w:val="18"/>
          <w:color w:val="auto"/>
        </w:rPr>
        <w:t>” means:</w:t>
      </w:r>
    </w:p>
    <w:p>
      <w:pPr>
        <w:spacing w:after="0" w:line="216" w:lineRule="exact"/>
        <w:rPr>
          <w:sz w:val="20"/>
          <w:szCs w:val="20"/>
          <w:color w:val="auto"/>
        </w:rPr>
      </w:pPr>
    </w:p>
    <w:p>
      <w:pPr>
        <w:jc w:val="both"/>
        <w:ind w:left="660" w:hanging="624"/>
        <w:spacing w:after="0" w:line="286" w:lineRule="auto"/>
        <w:tabs>
          <w:tab w:leader="none" w:pos="642" w:val="left"/>
        </w:tabs>
        <w:numPr>
          <w:ilvl w:val="0"/>
          <w:numId w:val="61"/>
        </w:numPr>
        <w:rPr>
          <w:rFonts w:ascii="Arial" w:cs="Arial" w:eastAsia="Arial" w:hAnsi="Arial"/>
          <w:sz w:val="19"/>
          <w:szCs w:val="19"/>
          <w:color w:val="auto"/>
        </w:rPr>
      </w:pPr>
      <w:r>
        <w:rPr>
          <w:rFonts w:ascii="Arial" w:cs="Arial" w:eastAsia="Arial" w:hAnsi="Arial"/>
          <w:sz w:val="17"/>
          <w:szCs w:val="17"/>
          <w:color w:val="auto"/>
        </w:rPr>
        <w:t>the principle that equitable remedies may be granted or refused at the discretion of a court and the limitation of enforcement by laws relating to insolvency, reorganisation, liquidation, bankruptcy, moratoria, administration, court schemes and other laws generally affecting the rights of creditors and similar principles, rights, defences and limitations under the laws of any applicable jurisdiction;</w:t>
      </w:r>
    </w:p>
    <w:p>
      <w:pPr>
        <w:spacing w:after="0" w:line="151" w:lineRule="exact"/>
        <w:rPr>
          <w:rFonts w:ascii="Arial" w:cs="Arial" w:eastAsia="Arial" w:hAnsi="Arial"/>
          <w:sz w:val="19"/>
          <w:szCs w:val="19"/>
          <w:color w:val="auto"/>
        </w:rPr>
      </w:pPr>
    </w:p>
    <w:p>
      <w:pPr>
        <w:jc w:val="both"/>
        <w:ind w:left="660" w:hanging="624"/>
        <w:spacing w:after="0" w:line="230" w:lineRule="exact"/>
        <w:tabs>
          <w:tab w:leader="none" w:pos="642" w:val="left"/>
        </w:tabs>
        <w:numPr>
          <w:ilvl w:val="0"/>
          <w:numId w:val="61"/>
        </w:numPr>
        <w:rPr>
          <w:rFonts w:ascii="Arial" w:cs="Arial" w:eastAsia="Arial" w:hAnsi="Arial"/>
          <w:sz w:val="20"/>
          <w:szCs w:val="20"/>
          <w:color w:val="auto"/>
        </w:rPr>
      </w:pPr>
      <w:r>
        <w:rPr>
          <w:rFonts w:ascii="Arial" w:cs="Arial" w:eastAsia="Arial" w:hAnsi="Arial"/>
          <w:sz w:val="18"/>
          <w:szCs w:val="18"/>
          <w:color w:val="auto"/>
        </w:rPr>
        <w:t>the time barring of claims under any applicable limitation laws (including, without limitation, the Limitation Acts), the possibility that a court may strike out provisions of a contract as being invalid for reasons of oppression, undue influence or similar reasons, the possibility that an undertaking to assume liability for or indemnify a person against non</w:t>
      </w:r>
      <w:r>
        <w:rPr>
          <w:rFonts w:ascii="MS PGothic" w:cs="MS PGothic" w:eastAsia="MS PGothic" w:hAnsi="MS PGothic"/>
          <w:sz w:val="18"/>
          <w:szCs w:val="18"/>
          <w:color w:val="auto"/>
        </w:rPr>
        <w:t>‑</w:t>
      </w:r>
      <w:r>
        <w:rPr>
          <w:rFonts w:ascii="Arial" w:cs="Arial" w:eastAsia="Arial" w:hAnsi="Arial"/>
          <w:sz w:val="18"/>
          <w:szCs w:val="18"/>
          <w:color w:val="auto"/>
        </w:rPr>
        <w:t>payment of stamp duty may be void and defences of set</w:t>
      </w:r>
      <w:r>
        <w:rPr>
          <w:rFonts w:ascii="MS PGothic" w:cs="MS PGothic" w:eastAsia="MS PGothic" w:hAnsi="MS PGothic"/>
          <w:sz w:val="18"/>
          <w:szCs w:val="18"/>
          <w:color w:val="auto"/>
        </w:rPr>
        <w:t>‑</w:t>
      </w:r>
      <w:r>
        <w:rPr>
          <w:rFonts w:ascii="Arial" w:cs="Arial" w:eastAsia="Arial" w:hAnsi="Arial"/>
          <w:sz w:val="18"/>
          <w:szCs w:val="18"/>
          <w:color w:val="auto"/>
        </w:rPr>
        <w:t>off or counterclaim;</w:t>
      </w:r>
    </w:p>
    <w:p>
      <w:pPr>
        <w:spacing w:after="0" w:line="39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20"/>
          </w:cols>
          <w:pgMar w:left="940" w:top="337" w:right="339" w:bottom="1440" w:gutter="0" w:footer="0" w:header="0"/>
        </w:sectPr>
      </w:pPr>
    </w:p>
    <w:bookmarkStart w:id="35" w:name="page36"/>
    <w:bookmarkEnd w:id="35"/>
    <w:p>
      <w:pPr>
        <w:ind w:left="660" w:hanging="624"/>
        <w:spacing w:after="0" w:line="266" w:lineRule="auto"/>
        <w:tabs>
          <w:tab w:leader="none" w:pos="642" w:val="left"/>
        </w:tabs>
        <w:numPr>
          <w:ilvl w:val="0"/>
          <w:numId w:val="62"/>
        </w:numPr>
        <w:rPr>
          <w:rFonts w:ascii="Arial" w:cs="Arial" w:eastAsia="Arial" w:hAnsi="Arial"/>
          <w:sz w:val="20"/>
          <w:szCs w:val="20"/>
          <w:color w:val="auto"/>
        </w:rPr>
      </w:pPr>
      <w:r>
        <w:rPr>
          <w:rFonts w:ascii="Arial" w:cs="Arial" w:eastAsia="Arial" w:hAnsi="Arial"/>
          <w:sz w:val="18"/>
          <w:szCs w:val="18"/>
          <w:color w:val="auto"/>
        </w:rPr>
        <w:t>any applicable public policy law provisions and/or rules of mandatory application including pursuant to Italian Law no. 2018 of 31 May 1995 and EC Regulation no. 593/2008;</w:t>
      </w:r>
    </w:p>
    <w:p>
      <w:pPr>
        <w:spacing w:after="0" w:line="163" w:lineRule="exact"/>
        <w:rPr>
          <w:rFonts w:ascii="Arial" w:cs="Arial" w:eastAsia="Arial" w:hAnsi="Arial"/>
          <w:sz w:val="20"/>
          <w:szCs w:val="20"/>
          <w:color w:val="auto"/>
        </w:rPr>
      </w:pPr>
    </w:p>
    <w:p>
      <w:pPr>
        <w:ind w:left="660" w:hanging="624"/>
        <w:spacing w:after="0" w:line="266" w:lineRule="auto"/>
        <w:tabs>
          <w:tab w:leader="none" w:pos="642" w:val="left"/>
        </w:tabs>
        <w:numPr>
          <w:ilvl w:val="0"/>
          <w:numId w:val="62"/>
        </w:numPr>
        <w:rPr>
          <w:rFonts w:ascii="Arial" w:cs="Arial" w:eastAsia="Arial" w:hAnsi="Arial"/>
          <w:sz w:val="20"/>
          <w:szCs w:val="20"/>
          <w:color w:val="auto"/>
        </w:rPr>
      </w:pPr>
      <w:r>
        <w:rPr>
          <w:rFonts w:ascii="Arial" w:cs="Arial" w:eastAsia="Arial" w:hAnsi="Arial"/>
          <w:sz w:val="18"/>
          <w:szCs w:val="18"/>
          <w:color w:val="auto"/>
        </w:rPr>
        <w:t>similar principles, rights and defences under the laws of any jurisdiction in which the Company and/or a Subsidiary conducts their businesses; and</w:t>
      </w:r>
    </w:p>
    <w:p>
      <w:pPr>
        <w:spacing w:after="0" w:line="163" w:lineRule="exact"/>
        <w:rPr>
          <w:rFonts w:ascii="Arial" w:cs="Arial" w:eastAsia="Arial" w:hAnsi="Arial"/>
          <w:sz w:val="20"/>
          <w:szCs w:val="20"/>
          <w:color w:val="auto"/>
        </w:rPr>
      </w:pPr>
    </w:p>
    <w:p>
      <w:pPr>
        <w:ind w:left="660" w:hanging="624"/>
        <w:spacing w:after="0" w:line="266" w:lineRule="auto"/>
        <w:tabs>
          <w:tab w:leader="none" w:pos="642" w:val="left"/>
        </w:tabs>
        <w:numPr>
          <w:ilvl w:val="0"/>
          <w:numId w:val="62"/>
        </w:numPr>
        <w:rPr>
          <w:rFonts w:ascii="Arial" w:cs="Arial" w:eastAsia="Arial" w:hAnsi="Arial"/>
          <w:sz w:val="20"/>
          <w:szCs w:val="20"/>
          <w:color w:val="auto"/>
        </w:rPr>
      </w:pPr>
      <w:r>
        <w:rPr>
          <w:rFonts w:ascii="Arial" w:cs="Arial" w:eastAsia="Arial" w:hAnsi="Arial"/>
          <w:sz w:val="18"/>
          <w:szCs w:val="18"/>
          <w:color w:val="auto"/>
        </w:rPr>
        <w:t>any other matters which are set out as qualifications or reservations as to matters of law of general application specifically referred to in any legal opinion referred to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216" w:lineRule="exact"/>
        <w:rPr>
          <w:sz w:val="20"/>
          <w:szCs w:val="20"/>
          <w:color w:val="auto"/>
        </w:rPr>
      </w:pPr>
    </w:p>
    <w:p>
      <w:pPr>
        <w:ind w:left="640" w:hanging="604"/>
        <w:spacing w:after="0"/>
        <w:tabs>
          <w:tab w:leader="none" w:pos="640" w:val="left"/>
        </w:tabs>
        <w:numPr>
          <w:ilvl w:val="0"/>
          <w:numId w:val="63"/>
        </w:numPr>
        <w:rPr>
          <w:rFonts w:ascii="Arial" w:cs="Arial" w:eastAsia="Arial" w:hAnsi="Arial"/>
          <w:sz w:val="20"/>
          <w:szCs w:val="20"/>
          <w:color w:val="auto"/>
        </w:rPr>
      </w:pPr>
      <w:r>
        <w:rPr>
          <w:rFonts w:ascii="Arial" w:cs="Arial" w:eastAsia="Arial" w:hAnsi="Arial"/>
          <w:sz w:val="18"/>
          <w:szCs w:val="18"/>
          <w:color w:val="auto"/>
        </w:rPr>
        <w:t>the Original Lender; and</w:t>
      </w:r>
    </w:p>
    <w:p>
      <w:pPr>
        <w:spacing w:after="0" w:line="188" w:lineRule="exact"/>
        <w:rPr>
          <w:rFonts w:ascii="Arial" w:cs="Arial" w:eastAsia="Arial" w:hAnsi="Arial"/>
          <w:sz w:val="20"/>
          <w:szCs w:val="20"/>
          <w:color w:val="auto"/>
        </w:rPr>
      </w:pPr>
    </w:p>
    <w:p>
      <w:pPr>
        <w:ind w:left="660" w:hanging="624"/>
        <w:spacing w:after="0" w:line="266" w:lineRule="auto"/>
        <w:tabs>
          <w:tab w:leader="none" w:pos="642" w:val="left"/>
        </w:tabs>
        <w:numPr>
          <w:ilvl w:val="0"/>
          <w:numId w:val="63"/>
        </w:numPr>
        <w:rPr>
          <w:rFonts w:ascii="Arial" w:cs="Arial" w:eastAsia="Arial" w:hAnsi="Arial"/>
          <w:sz w:val="20"/>
          <w:szCs w:val="20"/>
          <w:color w:val="auto"/>
        </w:rPr>
      </w:pPr>
      <w:r>
        <w:rPr>
          <w:rFonts w:ascii="Arial" w:cs="Arial" w:eastAsia="Arial" w:hAnsi="Arial"/>
          <w:sz w:val="18"/>
          <w:szCs w:val="18"/>
          <w:color w:val="auto"/>
        </w:rPr>
        <w:t>any bank, financial institution, trust, fund or other entity which has become a Party as a “Lender” in accordance with Clause 22(</w:t>
      </w:r>
      <w:r>
        <w:rPr>
          <w:rFonts w:ascii="Arial" w:cs="Arial" w:eastAsia="Arial" w:hAnsi="Arial"/>
          <w:sz w:val="18"/>
          <w:szCs w:val="18"/>
          <w:i w:val="1"/>
          <w:iCs w:val="1"/>
          <w:color w:val="auto"/>
        </w:rPr>
        <w:t>Changes</w:t>
      </w:r>
      <w:r>
        <w:rPr>
          <w:rFonts w:ascii="Arial" w:cs="Arial" w:eastAsia="Arial" w:hAnsi="Arial"/>
          <w:sz w:val="18"/>
          <w:szCs w:val="18"/>
          <w:color w:val="auto"/>
        </w:rPr>
        <w:t xml:space="preserve"> </w:t>
      </w:r>
      <w:r>
        <w:rPr>
          <w:rFonts w:ascii="Arial" w:cs="Arial" w:eastAsia="Arial" w:hAnsi="Arial"/>
          <w:sz w:val="18"/>
          <w:szCs w:val="18"/>
          <w:i w:val="1"/>
          <w:iCs w:val="1"/>
          <w:color w:val="auto"/>
        </w:rPr>
        <w:t>to the Lender</w:t>
      </w:r>
      <w:r>
        <w:rPr>
          <w:rFonts w:ascii="Arial" w:cs="Arial" w:eastAsia="Arial" w:hAnsi="Arial"/>
          <w:sz w:val="18"/>
          <w:szCs w:val="18"/>
          <w:color w:val="auto"/>
        </w:rPr>
        <w:t>),</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which in each case has not ceased to be a Party as such in accordance with the terms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Limitation Acts</w:t>
      </w:r>
      <w:r>
        <w:rPr>
          <w:rFonts w:ascii="Arial" w:cs="Arial" w:eastAsia="Arial" w:hAnsi="Arial"/>
          <w:sz w:val="18"/>
          <w:szCs w:val="18"/>
          <w:color w:val="auto"/>
        </w:rPr>
        <w:t>” means the Limitation Act 1980 and the Foreign Limitation Periods Act 1984.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or to be made under the Facility or the principal amount outstanding for the time being of that loan.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0.8 per cent. per annum.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w:t>
      </w:r>
    </w:p>
    <w:p>
      <w:pPr>
        <w:spacing w:after="0" w:line="216" w:lineRule="exact"/>
        <w:rPr>
          <w:sz w:val="20"/>
          <w:szCs w:val="20"/>
          <w:color w:val="auto"/>
        </w:rPr>
      </w:pPr>
    </w:p>
    <w:p>
      <w:pPr>
        <w:ind w:left="640" w:hanging="604"/>
        <w:spacing w:after="0"/>
        <w:tabs>
          <w:tab w:leader="none" w:pos="640" w:val="left"/>
        </w:tabs>
        <w:numPr>
          <w:ilvl w:val="0"/>
          <w:numId w:val="64"/>
        </w:numPr>
        <w:rPr>
          <w:rFonts w:ascii="Arial" w:cs="Arial" w:eastAsia="Arial" w:hAnsi="Arial"/>
          <w:sz w:val="20"/>
          <w:szCs w:val="20"/>
          <w:color w:val="auto"/>
        </w:rPr>
      </w:pPr>
      <w:r>
        <w:rPr>
          <w:rFonts w:ascii="Arial" w:cs="Arial" w:eastAsia="Arial" w:hAnsi="Arial"/>
          <w:sz w:val="18"/>
          <w:szCs w:val="18"/>
          <w:color w:val="auto"/>
        </w:rPr>
        <w:t>the business, operations, property or financial condition of the Group taken as a whole; or</w:t>
      </w:r>
    </w:p>
    <w:p>
      <w:pPr>
        <w:spacing w:after="0" w:line="188" w:lineRule="exact"/>
        <w:rPr>
          <w:rFonts w:ascii="Arial" w:cs="Arial" w:eastAsia="Arial" w:hAnsi="Arial"/>
          <w:sz w:val="20"/>
          <w:szCs w:val="20"/>
          <w:color w:val="auto"/>
        </w:rPr>
      </w:pPr>
    </w:p>
    <w:p>
      <w:pPr>
        <w:ind w:left="660" w:right="20" w:hanging="624"/>
        <w:spacing w:after="0" w:line="266" w:lineRule="auto"/>
        <w:tabs>
          <w:tab w:leader="none" w:pos="642" w:val="left"/>
        </w:tabs>
        <w:numPr>
          <w:ilvl w:val="0"/>
          <w:numId w:val="64"/>
        </w:numPr>
        <w:rPr>
          <w:rFonts w:ascii="Arial" w:cs="Arial" w:eastAsia="Arial" w:hAnsi="Arial"/>
          <w:sz w:val="20"/>
          <w:szCs w:val="20"/>
          <w:color w:val="auto"/>
        </w:rPr>
      </w:pPr>
      <w:r>
        <w:rPr>
          <w:rFonts w:ascii="Arial" w:cs="Arial" w:eastAsia="Arial" w:hAnsi="Arial"/>
          <w:sz w:val="18"/>
          <w:szCs w:val="18"/>
          <w:color w:val="auto"/>
        </w:rPr>
        <w:t>the ability of the Company to perform its payment obligations under the Finance Documents and/or its obligations under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 or</w:t>
      </w:r>
    </w:p>
    <w:p>
      <w:pPr>
        <w:spacing w:after="0" w:line="163" w:lineRule="exact"/>
        <w:rPr>
          <w:rFonts w:ascii="Arial" w:cs="Arial" w:eastAsia="Arial" w:hAnsi="Arial"/>
          <w:sz w:val="20"/>
          <w:szCs w:val="20"/>
          <w:color w:val="auto"/>
        </w:rPr>
      </w:pPr>
    </w:p>
    <w:p>
      <w:pPr>
        <w:ind w:left="640" w:hanging="604"/>
        <w:spacing w:after="0"/>
        <w:tabs>
          <w:tab w:leader="none" w:pos="640" w:val="left"/>
        </w:tabs>
        <w:numPr>
          <w:ilvl w:val="0"/>
          <w:numId w:val="64"/>
        </w:numPr>
        <w:rPr>
          <w:rFonts w:ascii="Arial" w:cs="Arial" w:eastAsia="Arial" w:hAnsi="Arial"/>
          <w:sz w:val="19"/>
          <w:szCs w:val="19"/>
          <w:color w:val="auto"/>
        </w:rPr>
      </w:pPr>
      <w:r>
        <w:rPr>
          <w:rFonts w:ascii="Arial" w:cs="Arial" w:eastAsia="Arial" w:hAnsi="Arial"/>
          <w:sz w:val="17"/>
          <w:szCs w:val="17"/>
          <w:color w:val="auto"/>
        </w:rPr>
        <w:t>the validity or enforceability of the Finance Documents or the rights or remedies of the Lender under any of the Finance Documents.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Subsidiaries</w:t>
      </w:r>
      <w:r>
        <w:rPr>
          <w:rFonts w:ascii="Arial" w:cs="Arial" w:eastAsia="Arial" w:hAnsi="Arial"/>
          <w:sz w:val="18"/>
          <w:szCs w:val="18"/>
          <w:color w:val="auto"/>
        </w:rPr>
        <w:t>” means, at any time, a Subsidiary of the Company which:</w:t>
      </w:r>
    </w:p>
    <w:p>
      <w:pPr>
        <w:spacing w:after="0" w:line="202" w:lineRule="exact"/>
        <w:rPr>
          <w:sz w:val="20"/>
          <w:szCs w:val="20"/>
          <w:color w:val="auto"/>
        </w:rPr>
      </w:pPr>
    </w:p>
    <w:p>
      <w:pPr>
        <w:ind w:left="640" w:hanging="604"/>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 listed in Schedule 6 (</w:t>
      </w:r>
      <w:r>
        <w:rPr>
          <w:rFonts w:ascii="Arial" w:cs="Arial" w:eastAsia="Arial" w:hAnsi="Arial"/>
          <w:sz w:val="18"/>
          <w:szCs w:val="18"/>
          <w:i w:val="1"/>
          <w:iCs w:val="1"/>
          <w:color w:val="auto"/>
        </w:rPr>
        <w:t>Material Companies</w:t>
      </w:r>
      <w:r>
        <w:rPr>
          <w:rFonts w:ascii="Arial" w:cs="Arial" w:eastAsia="Arial" w:hAnsi="Arial"/>
          <w:sz w:val="18"/>
          <w:szCs w:val="18"/>
          <w:color w:val="auto"/>
        </w:rPr>
        <w:t>); or</w:t>
      </w:r>
    </w:p>
    <w:p>
      <w:pPr>
        <w:spacing w:after="0" w:line="198" w:lineRule="exact"/>
        <w:rPr>
          <w:rFonts w:ascii="Arial" w:cs="Arial" w:eastAsia="Arial" w:hAnsi="Arial"/>
          <w:sz w:val="18"/>
          <w:szCs w:val="18"/>
          <w:color w:val="auto"/>
        </w:rPr>
      </w:pPr>
    </w:p>
    <w:p>
      <w:pPr>
        <w:jc w:val="both"/>
        <w:ind w:left="660" w:hanging="624"/>
        <w:spacing w:after="0" w:line="220" w:lineRule="exact"/>
        <w:tabs>
          <w:tab w:leader="none" w:pos="6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has an operating profit representing 10 per cent. or more of the consolidated operating profit of the Group (determined in accordance with the Accounting Principles) or has turnover (excluding intra</w:t>
      </w:r>
      <w:r>
        <w:rPr>
          <w:rFonts w:ascii="MS PGothic" w:cs="MS PGothic" w:eastAsia="MS PGothic" w:hAnsi="MS PGothic"/>
          <w:sz w:val="18"/>
          <w:szCs w:val="18"/>
          <w:color w:val="auto"/>
        </w:rPr>
        <w:t>‑</w:t>
      </w:r>
      <w:r>
        <w:rPr>
          <w:rFonts w:ascii="Arial" w:cs="Arial" w:eastAsia="Arial" w:hAnsi="Arial"/>
          <w:sz w:val="18"/>
          <w:szCs w:val="18"/>
          <w:color w:val="auto"/>
        </w:rPr>
        <w:t>group items) representing 10 per cent., or more of the turnover of the Group, calculated on a consolidated basis.</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Compliance with the conditions set out in paragraph (b) above shall be determined by reference to the latest consolidated financial statements of the Group. However, if a Subsidiary has been acquired since the date as at which the latest consolidated financial statements of the Group were prepared, the financial statements shall be deemed to be adjusted in order to take into account the acquisition of that Subsidiary.</w:t>
      </w:r>
    </w:p>
    <w:p>
      <w:pPr>
        <w:spacing w:after="0" w:line="33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20"/>
          </w:cols>
          <w:pgMar w:left="940" w:top="355" w:right="339" w:bottom="1440" w:gutter="0" w:footer="0" w:header="0"/>
        </w:sectPr>
      </w:pPr>
    </w:p>
    <w:bookmarkStart w:id="36" w:name="page37"/>
    <w:bookmarkEnd w:id="36"/>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period starting on one day in a calendar month and ending on the numerically corresponding day in the next calendar month, except that:</w:t>
      </w:r>
    </w:p>
    <w:p>
      <w:pPr>
        <w:spacing w:after="0" w:line="152" w:lineRule="exact"/>
        <w:rPr>
          <w:sz w:val="20"/>
          <w:szCs w:val="20"/>
          <w:color w:val="auto"/>
        </w:rPr>
      </w:pPr>
    </w:p>
    <w:p>
      <w:pPr>
        <w:ind w:left="660" w:hanging="624"/>
        <w:spacing w:after="0" w:line="329" w:lineRule="auto"/>
        <w:tabs>
          <w:tab w:leader="none" w:pos="642" w:val="left"/>
        </w:tabs>
        <w:numPr>
          <w:ilvl w:val="0"/>
          <w:numId w:val="66"/>
        </w:numPr>
        <w:rPr>
          <w:rFonts w:ascii="Arial" w:cs="Arial" w:eastAsia="Arial" w:hAnsi="Arial"/>
          <w:sz w:val="18"/>
          <w:szCs w:val="18"/>
          <w:color w:val="auto"/>
        </w:rPr>
      </w:pPr>
      <w:r>
        <w:rPr>
          <w:rFonts w:ascii="Arial" w:cs="Arial" w:eastAsia="Arial" w:hAnsi="Arial"/>
          <w:sz w:val="16"/>
          <w:szCs w:val="16"/>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12" w:lineRule="exact"/>
        <w:rPr>
          <w:rFonts w:ascii="Arial" w:cs="Arial" w:eastAsia="Arial" w:hAnsi="Arial"/>
          <w:sz w:val="18"/>
          <w:szCs w:val="18"/>
          <w:color w:val="auto"/>
        </w:rPr>
      </w:pPr>
    </w:p>
    <w:p>
      <w:pPr>
        <w:ind w:left="660" w:right="20" w:hanging="624"/>
        <w:spacing w:after="0" w:line="266" w:lineRule="auto"/>
        <w:tabs>
          <w:tab w:leader="none" w:pos="642" w:val="left"/>
        </w:tabs>
        <w:numPr>
          <w:ilvl w:val="0"/>
          <w:numId w:val="66"/>
        </w:numPr>
        <w:rPr>
          <w:rFonts w:ascii="Arial" w:cs="Arial" w:eastAsia="Arial" w:hAnsi="Arial"/>
          <w:sz w:val="20"/>
          <w:szCs w:val="20"/>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63" w:lineRule="exact"/>
        <w:rPr>
          <w:rFonts w:ascii="Arial" w:cs="Arial" w:eastAsia="Arial" w:hAnsi="Arial"/>
          <w:sz w:val="20"/>
          <w:szCs w:val="20"/>
          <w:color w:val="auto"/>
        </w:rPr>
      </w:pPr>
    </w:p>
    <w:p>
      <w:pPr>
        <w:ind w:left="660" w:hanging="624"/>
        <w:spacing w:after="0" w:line="266" w:lineRule="auto"/>
        <w:tabs>
          <w:tab w:leader="none" w:pos="642" w:val="left"/>
        </w:tabs>
        <w:numPr>
          <w:ilvl w:val="0"/>
          <w:numId w:val="66"/>
        </w:numPr>
        <w:rPr>
          <w:rFonts w:ascii="Arial" w:cs="Arial" w:eastAsia="Arial" w:hAnsi="Arial"/>
          <w:sz w:val="20"/>
          <w:szCs w:val="20"/>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above rules will only apply to the last Month of any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Lender</w:t>
      </w:r>
      <w:r>
        <w:rPr>
          <w:rFonts w:ascii="Arial" w:cs="Arial" w:eastAsia="Arial" w:hAnsi="Arial"/>
          <w:sz w:val="18"/>
          <w:szCs w:val="18"/>
          <w:color w:val="auto"/>
        </w:rPr>
        <w:t>” has the meaning given to it in Clause 22.1 (Assignments and transfers by the Lender).</w:t>
      </w:r>
    </w:p>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Financial Statements</w:t>
      </w:r>
      <w:r>
        <w:rPr>
          <w:rFonts w:ascii="Arial" w:cs="Arial" w:eastAsia="Arial" w:hAnsi="Arial"/>
          <w:sz w:val="18"/>
          <w:szCs w:val="18"/>
          <w:color w:val="auto"/>
        </w:rPr>
        <w:t>” means the audited consolidated financial statements of the Group for the financial year ended 31 December 2018.</w:t>
      </w:r>
    </w:p>
    <w:p>
      <w:pPr>
        <w:spacing w:after="0" w:line="13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w:t>
      </w:r>
    </w:p>
    <w:p>
      <w:pPr>
        <w:spacing w:after="0" w:line="216" w:lineRule="exact"/>
        <w:rPr>
          <w:sz w:val="20"/>
          <w:szCs w:val="20"/>
          <w:color w:val="auto"/>
        </w:rPr>
      </w:pPr>
    </w:p>
    <w:p>
      <w:pPr>
        <w:ind w:left="640" w:hanging="604"/>
        <w:spacing w:after="0"/>
        <w:tabs>
          <w:tab w:leader="none" w:pos="640" w:val="left"/>
        </w:tabs>
        <w:numPr>
          <w:ilvl w:val="0"/>
          <w:numId w:val="67"/>
        </w:numPr>
        <w:rPr>
          <w:rFonts w:ascii="Arial" w:cs="Arial" w:eastAsia="Arial" w:hAnsi="Arial"/>
          <w:sz w:val="20"/>
          <w:szCs w:val="20"/>
          <w:color w:val="auto"/>
        </w:rPr>
      </w:pPr>
      <w:r>
        <w:rPr>
          <w:rFonts w:ascii="Arial" w:cs="Arial" w:eastAsia="Arial" w:hAnsi="Arial"/>
          <w:sz w:val="18"/>
          <w:szCs w:val="18"/>
          <w:color w:val="auto"/>
        </w:rPr>
        <w:t>a Permitted Share Buyback;</w:t>
      </w:r>
    </w:p>
    <w:p>
      <w:pPr>
        <w:spacing w:after="0" w:line="188" w:lineRule="exact"/>
        <w:rPr>
          <w:rFonts w:ascii="Arial" w:cs="Arial" w:eastAsia="Arial" w:hAnsi="Arial"/>
          <w:sz w:val="20"/>
          <w:szCs w:val="20"/>
          <w:color w:val="auto"/>
        </w:rPr>
      </w:pPr>
    </w:p>
    <w:p>
      <w:pPr>
        <w:ind w:left="660" w:hanging="624"/>
        <w:spacing w:after="0" w:line="266" w:lineRule="auto"/>
        <w:tabs>
          <w:tab w:leader="none" w:pos="642" w:val="left"/>
        </w:tabs>
        <w:numPr>
          <w:ilvl w:val="0"/>
          <w:numId w:val="67"/>
        </w:numPr>
        <w:rPr>
          <w:rFonts w:ascii="Arial" w:cs="Arial" w:eastAsia="Arial" w:hAnsi="Arial"/>
          <w:sz w:val="20"/>
          <w:szCs w:val="20"/>
          <w:color w:val="auto"/>
        </w:rPr>
      </w:pPr>
      <w:r>
        <w:rPr>
          <w:rFonts w:ascii="Arial" w:cs="Arial" w:eastAsia="Arial" w:hAnsi="Arial"/>
          <w:sz w:val="18"/>
          <w:szCs w:val="18"/>
          <w:color w:val="auto"/>
        </w:rPr>
        <w:t>an acquisition for cash consideration of (A) all or the majority of the issued share capital of a limited liability company or (B) a business or undertaking, but only if:</w:t>
      </w:r>
    </w:p>
    <w:p>
      <w:pPr>
        <w:spacing w:after="0" w:line="163" w:lineRule="exact"/>
        <w:rPr>
          <w:rFonts w:ascii="Arial" w:cs="Arial" w:eastAsia="Arial" w:hAnsi="Arial"/>
          <w:sz w:val="20"/>
          <w:szCs w:val="20"/>
          <w:color w:val="auto"/>
        </w:rPr>
      </w:pPr>
    </w:p>
    <w:p>
      <w:pPr>
        <w:ind w:left="1300" w:hanging="643"/>
        <w:spacing w:after="0"/>
        <w:tabs>
          <w:tab w:leader="none" w:pos="1300" w:val="left"/>
        </w:tabs>
        <w:numPr>
          <w:ilvl w:val="1"/>
          <w:numId w:val="67"/>
        </w:numPr>
        <w:rPr>
          <w:rFonts w:ascii="Arial" w:cs="Arial" w:eastAsia="Arial" w:hAnsi="Arial"/>
          <w:sz w:val="20"/>
          <w:szCs w:val="20"/>
          <w:color w:val="auto"/>
        </w:rPr>
      </w:pPr>
      <w:r>
        <w:rPr>
          <w:rFonts w:ascii="Arial" w:cs="Arial" w:eastAsia="Arial" w:hAnsi="Arial"/>
          <w:sz w:val="18"/>
          <w:szCs w:val="18"/>
          <w:color w:val="auto"/>
        </w:rPr>
        <w:t>no Event of Default is continuing on the closing date for the acquisition or would occur as a result of the acquisition;</w:t>
      </w:r>
    </w:p>
    <w:p>
      <w:pPr>
        <w:spacing w:after="0" w:line="188" w:lineRule="exact"/>
        <w:rPr>
          <w:rFonts w:ascii="Arial" w:cs="Arial" w:eastAsia="Arial" w:hAnsi="Arial"/>
          <w:sz w:val="20"/>
          <w:szCs w:val="20"/>
          <w:color w:val="auto"/>
        </w:rPr>
      </w:pPr>
    </w:p>
    <w:p>
      <w:pPr>
        <w:ind w:left="1300" w:hanging="643"/>
        <w:spacing w:after="0" w:line="266" w:lineRule="auto"/>
        <w:tabs>
          <w:tab w:leader="none" w:pos="1300" w:val="left"/>
        </w:tabs>
        <w:numPr>
          <w:ilvl w:val="1"/>
          <w:numId w:val="67"/>
        </w:numPr>
        <w:rPr>
          <w:rFonts w:ascii="Arial" w:cs="Arial" w:eastAsia="Arial" w:hAnsi="Arial"/>
          <w:sz w:val="20"/>
          <w:szCs w:val="20"/>
          <w:color w:val="auto"/>
        </w:rPr>
      </w:pPr>
      <w:r>
        <w:rPr>
          <w:rFonts w:ascii="Arial" w:cs="Arial" w:eastAsia="Arial" w:hAnsi="Arial"/>
          <w:sz w:val="18"/>
          <w:szCs w:val="18"/>
          <w:color w:val="auto"/>
        </w:rPr>
        <w:t>the acquired company, business or undertaking is engaged in a business substantially the same as (or ancillary or related to) that carried on by the Group;</w:t>
      </w:r>
    </w:p>
    <w:p>
      <w:pPr>
        <w:spacing w:after="0" w:line="163" w:lineRule="exact"/>
        <w:rPr>
          <w:rFonts w:ascii="Arial" w:cs="Arial" w:eastAsia="Arial" w:hAnsi="Arial"/>
          <w:sz w:val="20"/>
          <w:szCs w:val="20"/>
          <w:color w:val="auto"/>
        </w:rPr>
      </w:pPr>
    </w:p>
    <w:p>
      <w:pPr>
        <w:jc w:val="both"/>
        <w:ind w:left="1300" w:hanging="643"/>
        <w:spacing w:after="0" w:line="265" w:lineRule="auto"/>
        <w:tabs>
          <w:tab w:leader="none" w:pos="1300" w:val="left"/>
        </w:tabs>
        <w:numPr>
          <w:ilvl w:val="1"/>
          <w:numId w:val="67"/>
        </w:numPr>
        <w:rPr>
          <w:rFonts w:ascii="Arial" w:cs="Arial" w:eastAsia="Arial" w:hAnsi="Arial"/>
          <w:sz w:val="20"/>
          <w:szCs w:val="20"/>
          <w:color w:val="auto"/>
        </w:rPr>
      </w:pPr>
      <w:r>
        <w:rPr>
          <w:rFonts w:ascii="Arial" w:cs="Arial" w:eastAsia="Arial" w:hAnsi="Arial"/>
          <w:sz w:val="18"/>
          <w:szCs w:val="18"/>
          <w:color w:val="auto"/>
        </w:rPr>
        <w:t>the consideration (including associated costs and expenses) for the acquisition and any Financial Indebtedness or other assumed actual or contingent liability, remaining in the acquired company (or any such business) at the date of acquisition (the “</w:t>
      </w:r>
      <w:r>
        <w:rPr>
          <w:rFonts w:ascii="Arial" w:cs="Arial" w:eastAsia="Arial" w:hAnsi="Arial"/>
          <w:sz w:val="18"/>
          <w:szCs w:val="18"/>
          <w:b w:val="1"/>
          <w:bCs w:val="1"/>
          <w:color w:val="auto"/>
        </w:rPr>
        <w:t>Individual Purchase Price</w:t>
      </w:r>
      <w:r>
        <w:rPr>
          <w:rFonts w:ascii="Arial" w:cs="Arial" w:eastAsia="Arial" w:hAnsi="Arial"/>
          <w:sz w:val="18"/>
          <w:szCs w:val="18"/>
          <w:color w:val="auto"/>
        </w:rPr>
        <w:t>”) when aggregated with the consideration (including associated costs and expenses) for any other acquisition permitted under this Agreement and any Financial Indebtedness or other assumed actual or contingent liability, remaining in any such acquired companies or businesses at the time of acquisition) does not exceed USD 280,000,000 or its equivalent in aggregate over the life of the Facility.</w:t>
      </w:r>
    </w:p>
    <w:p>
      <w:pPr>
        <w:spacing w:after="0" w:line="37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20"/>
          </w:cols>
          <w:pgMar w:left="940" w:top="337"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Any acquisition whose Individual Purchase Price exceeds USD 75,000,000 or its equivalent will only be permitted under paragraph (b) above if the Company has delivered to the Lender not later than 30 Business Days before legally committing to make such acquisition a certificate signed by the Chief Executive Officer or two directors of the Company to which is attached a copy of the latest audited accounts (or if not available, management accounts) of the target company or business.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certificate must give calculations showing in reasonable detail that the Company would have remained in compliance with the financial covenants set out in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 if the covenant test was recalculated for the relevant period ending on the most recent Accounting Date consolidating the financial statements of the target company (consolidated if it has Subsidiaries) or business with the financial statements of the Group for such period on a pro forma basis and as if the consideration for the proposed acquisition had been paid at the start of that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Guarantee</w:t>
      </w:r>
      <w:r>
        <w:rPr>
          <w:rFonts w:ascii="Arial" w:cs="Arial" w:eastAsia="Arial" w:hAnsi="Arial"/>
          <w:sz w:val="18"/>
          <w:szCs w:val="18"/>
          <w:color w:val="auto"/>
        </w:rPr>
        <w:t>” means:</w:t>
      </w:r>
    </w:p>
    <w:p>
      <w:pPr>
        <w:spacing w:after="0" w:line="216" w:lineRule="exact"/>
        <w:rPr>
          <w:sz w:val="20"/>
          <w:szCs w:val="20"/>
          <w:color w:val="auto"/>
        </w:rPr>
      </w:pPr>
    </w:p>
    <w:p>
      <w:pPr>
        <w:ind w:left="660" w:hanging="624"/>
        <w:spacing w:after="0" w:line="230" w:lineRule="exact"/>
        <w:tabs>
          <w:tab w:leader="none" w:pos="642" w:val="left"/>
        </w:tabs>
        <w:numPr>
          <w:ilvl w:val="0"/>
          <w:numId w:val="68"/>
        </w:numPr>
        <w:rPr>
          <w:rFonts w:ascii="Arial" w:cs="Arial" w:eastAsia="Arial" w:hAnsi="Arial"/>
          <w:sz w:val="20"/>
          <w:szCs w:val="20"/>
          <w:color w:val="auto"/>
        </w:rPr>
      </w:pPr>
      <w:r>
        <w:rPr>
          <w:rFonts w:ascii="Arial" w:cs="Arial" w:eastAsia="Arial" w:hAnsi="Arial"/>
          <w:sz w:val="18"/>
          <w:szCs w:val="18"/>
          <w:color w:val="auto"/>
        </w:rPr>
        <w:t>any guarantee comprising a netting or set</w:t>
      </w:r>
      <w:r>
        <w:rPr>
          <w:rFonts w:ascii="MS PGothic" w:cs="MS PGothic" w:eastAsia="MS PGothic" w:hAnsi="MS PGothic"/>
          <w:sz w:val="18"/>
          <w:szCs w:val="18"/>
          <w:color w:val="auto"/>
        </w:rPr>
        <w:t>‑</w:t>
      </w:r>
      <w:r>
        <w:rPr>
          <w:rFonts w:ascii="Arial" w:cs="Arial" w:eastAsia="Arial" w:hAnsi="Arial"/>
          <w:sz w:val="18"/>
          <w:szCs w:val="18"/>
          <w:color w:val="auto"/>
        </w:rPr>
        <w:t>off arrangements entered into by any member of the Group in the ordinary course of its banking arrangements for the purpose of netting debit and credit balances;</w:t>
      </w:r>
    </w:p>
    <w:p>
      <w:pPr>
        <w:spacing w:after="0" w:line="189" w:lineRule="exact"/>
        <w:rPr>
          <w:rFonts w:ascii="Arial" w:cs="Arial" w:eastAsia="Arial" w:hAnsi="Arial"/>
          <w:sz w:val="20"/>
          <w:szCs w:val="20"/>
          <w:color w:val="auto"/>
        </w:rPr>
      </w:pPr>
    </w:p>
    <w:p>
      <w:pPr>
        <w:ind w:left="660" w:hanging="624"/>
        <w:spacing w:after="0" w:line="266" w:lineRule="auto"/>
        <w:tabs>
          <w:tab w:leader="none" w:pos="642" w:val="left"/>
        </w:tabs>
        <w:numPr>
          <w:ilvl w:val="0"/>
          <w:numId w:val="68"/>
        </w:numPr>
        <w:rPr>
          <w:rFonts w:ascii="Arial" w:cs="Arial" w:eastAsia="Arial" w:hAnsi="Arial"/>
          <w:sz w:val="20"/>
          <w:szCs w:val="20"/>
          <w:color w:val="auto"/>
        </w:rPr>
      </w:pPr>
      <w:r>
        <w:rPr>
          <w:rFonts w:ascii="Arial" w:cs="Arial" w:eastAsia="Arial" w:hAnsi="Arial"/>
          <w:sz w:val="18"/>
          <w:szCs w:val="18"/>
          <w:color w:val="auto"/>
        </w:rPr>
        <w:t>any indemnity given in the ordinary course of the documentation of an acquisition which is a Permitted Acquisition which indemnity is in a customary form and subject to customary limitations;</w:t>
      </w:r>
    </w:p>
    <w:p>
      <w:pPr>
        <w:spacing w:after="0" w:line="163" w:lineRule="exact"/>
        <w:rPr>
          <w:rFonts w:ascii="Arial" w:cs="Arial" w:eastAsia="Arial" w:hAnsi="Arial"/>
          <w:sz w:val="20"/>
          <w:szCs w:val="20"/>
          <w:color w:val="auto"/>
        </w:rPr>
      </w:pPr>
    </w:p>
    <w:p>
      <w:pPr>
        <w:ind w:left="640" w:hanging="604"/>
        <w:spacing w:after="0"/>
        <w:tabs>
          <w:tab w:leader="none" w:pos="640" w:val="left"/>
        </w:tabs>
        <w:numPr>
          <w:ilvl w:val="0"/>
          <w:numId w:val="68"/>
        </w:numPr>
        <w:rPr>
          <w:rFonts w:ascii="Arial" w:cs="Arial" w:eastAsia="Arial" w:hAnsi="Arial"/>
          <w:sz w:val="20"/>
          <w:szCs w:val="20"/>
          <w:color w:val="auto"/>
        </w:rPr>
      </w:pPr>
      <w:r>
        <w:rPr>
          <w:rFonts w:ascii="Arial" w:cs="Arial" w:eastAsia="Arial" w:hAnsi="Arial"/>
          <w:sz w:val="18"/>
          <w:szCs w:val="18"/>
          <w:color w:val="auto"/>
        </w:rPr>
        <w:t>the guarantee of any Financial Indebtedness permitted by this Agreement; or</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68"/>
        </w:numPr>
        <w:rPr>
          <w:rFonts w:ascii="Arial" w:cs="Arial" w:eastAsia="Arial" w:hAnsi="Arial"/>
          <w:sz w:val="20"/>
          <w:szCs w:val="20"/>
          <w:color w:val="auto"/>
        </w:rPr>
      </w:pPr>
      <w:r>
        <w:rPr>
          <w:rFonts w:ascii="Arial" w:cs="Arial" w:eastAsia="Arial" w:hAnsi="Arial"/>
          <w:sz w:val="18"/>
          <w:szCs w:val="18"/>
          <w:color w:val="auto"/>
        </w:rPr>
        <w:t>any Excluded Guarantee.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Loan</w:t>
      </w:r>
      <w:r>
        <w:rPr>
          <w:rFonts w:ascii="Arial" w:cs="Arial" w:eastAsia="Arial" w:hAnsi="Arial"/>
          <w:sz w:val="18"/>
          <w:szCs w:val="18"/>
          <w:color w:val="auto"/>
        </w:rPr>
        <w:t>” means any Financial Indebtedness or loan made by a member of the Group:</w:t>
      </w:r>
    </w:p>
    <w:p>
      <w:pPr>
        <w:spacing w:after="0" w:line="216" w:lineRule="exact"/>
        <w:rPr>
          <w:sz w:val="20"/>
          <w:szCs w:val="20"/>
          <w:color w:val="auto"/>
        </w:rPr>
      </w:pPr>
    </w:p>
    <w:p>
      <w:pPr>
        <w:ind w:left="640" w:hanging="604"/>
        <w:spacing w:after="0"/>
        <w:tabs>
          <w:tab w:leader="none" w:pos="640" w:val="left"/>
        </w:tabs>
        <w:numPr>
          <w:ilvl w:val="0"/>
          <w:numId w:val="69"/>
        </w:numPr>
        <w:rPr>
          <w:rFonts w:ascii="Arial" w:cs="Arial" w:eastAsia="Arial" w:hAnsi="Arial"/>
          <w:sz w:val="20"/>
          <w:szCs w:val="20"/>
          <w:color w:val="auto"/>
        </w:rPr>
      </w:pPr>
      <w:r>
        <w:rPr>
          <w:rFonts w:ascii="Arial" w:cs="Arial" w:eastAsia="Arial" w:hAnsi="Arial"/>
          <w:sz w:val="18"/>
          <w:szCs w:val="18"/>
          <w:color w:val="auto"/>
        </w:rPr>
        <w:t>to another member of the Group; or</w:t>
      </w:r>
    </w:p>
    <w:p>
      <w:pPr>
        <w:spacing w:after="0" w:line="188" w:lineRule="exact"/>
        <w:rPr>
          <w:rFonts w:ascii="Arial" w:cs="Arial" w:eastAsia="Arial" w:hAnsi="Arial"/>
          <w:sz w:val="20"/>
          <w:szCs w:val="20"/>
          <w:color w:val="auto"/>
        </w:rPr>
      </w:pPr>
    </w:p>
    <w:p>
      <w:pPr>
        <w:jc w:val="both"/>
        <w:ind w:left="660" w:hanging="624"/>
        <w:spacing w:after="0" w:line="286" w:lineRule="auto"/>
        <w:tabs>
          <w:tab w:leader="none" w:pos="642" w:val="left"/>
        </w:tabs>
        <w:numPr>
          <w:ilvl w:val="0"/>
          <w:numId w:val="69"/>
        </w:numPr>
        <w:rPr>
          <w:rFonts w:ascii="Arial" w:cs="Arial" w:eastAsia="Arial" w:hAnsi="Arial"/>
          <w:sz w:val="19"/>
          <w:szCs w:val="19"/>
          <w:color w:val="auto"/>
        </w:rPr>
      </w:pPr>
      <w:r>
        <w:rPr>
          <w:rFonts w:ascii="Arial" w:cs="Arial" w:eastAsia="Arial" w:hAnsi="Arial"/>
          <w:sz w:val="17"/>
          <w:szCs w:val="17"/>
          <w:color w:val="auto"/>
        </w:rPr>
        <w:t>to any other entity (i) in which a member of the Group holds a beneficial interest and (ii) which carries on the same or substantially similar business to the Group, provided such Financial Indebtedness or loans are approved by the board of directors of the Company and, in aggregate for those made in any financial year, do not exceed USD 50,000,000 or its equivalent.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Receivables Disposal</w:t>
      </w:r>
      <w:r>
        <w:rPr>
          <w:rFonts w:ascii="Arial" w:cs="Arial" w:eastAsia="Arial" w:hAnsi="Arial"/>
          <w:sz w:val="18"/>
          <w:szCs w:val="18"/>
          <w:color w:val="auto"/>
        </w:rPr>
        <w:t>” means:</w:t>
      </w:r>
    </w:p>
    <w:p>
      <w:pPr>
        <w:spacing w:after="0" w:line="216" w:lineRule="exact"/>
        <w:rPr>
          <w:sz w:val="20"/>
          <w:szCs w:val="20"/>
          <w:color w:val="auto"/>
        </w:rPr>
      </w:pPr>
    </w:p>
    <w:p>
      <w:pPr>
        <w:ind w:left="660" w:hanging="624"/>
        <w:spacing w:after="0" w:line="266" w:lineRule="auto"/>
        <w:tabs>
          <w:tab w:leader="none" w:pos="642" w:val="left"/>
        </w:tabs>
        <w:numPr>
          <w:ilvl w:val="0"/>
          <w:numId w:val="70"/>
        </w:numPr>
        <w:rPr>
          <w:rFonts w:ascii="Arial" w:cs="Arial" w:eastAsia="Arial" w:hAnsi="Arial"/>
          <w:sz w:val="20"/>
          <w:szCs w:val="20"/>
          <w:color w:val="auto"/>
        </w:rPr>
      </w:pPr>
      <w:r>
        <w:rPr>
          <w:rFonts w:ascii="Arial" w:cs="Arial" w:eastAsia="Arial" w:hAnsi="Arial"/>
          <w:sz w:val="18"/>
          <w:szCs w:val="18"/>
          <w:color w:val="auto"/>
        </w:rPr>
        <w:t>any factoring programme with recourse (</w:t>
      </w:r>
      <w:r>
        <w:rPr>
          <w:rFonts w:ascii="Arial" w:cs="Arial" w:eastAsia="Arial" w:hAnsi="Arial"/>
          <w:sz w:val="18"/>
          <w:szCs w:val="18"/>
          <w:i w:val="1"/>
          <w:iCs w:val="1"/>
          <w:color w:val="auto"/>
        </w:rPr>
        <w:t>pro solvendo</w:t>
      </w:r>
      <w:r>
        <w:rPr>
          <w:rFonts w:ascii="Arial" w:cs="Arial" w:eastAsia="Arial" w:hAnsi="Arial"/>
          <w:sz w:val="18"/>
          <w:szCs w:val="18"/>
          <w:color w:val="auto"/>
        </w:rPr>
        <w:t>) or without recourse (</w:t>
      </w:r>
      <w:r>
        <w:rPr>
          <w:rFonts w:ascii="Arial" w:cs="Arial" w:eastAsia="Arial" w:hAnsi="Arial"/>
          <w:sz w:val="18"/>
          <w:szCs w:val="18"/>
          <w:i w:val="1"/>
          <w:iCs w:val="1"/>
          <w:color w:val="auto"/>
        </w:rPr>
        <w:t>pro soluto</w:t>
      </w:r>
      <w:r>
        <w:rPr>
          <w:rFonts w:ascii="Arial" w:cs="Arial" w:eastAsia="Arial" w:hAnsi="Arial"/>
          <w:sz w:val="18"/>
          <w:szCs w:val="18"/>
          <w:color w:val="auto"/>
        </w:rPr>
        <w:t>) of receivables of the Group which is in existence at the date hereof;</w:t>
      </w:r>
    </w:p>
    <w:p>
      <w:pPr>
        <w:spacing w:after="0" w:line="163" w:lineRule="exact"/>
        <w:rPr>
          <w:rFonts w:ascii="Arial" w:cs="Arial" w:eastAsia="Arial" w:hAnsi="Arial"/>
          <w:sz w:val="20"/>
          <w:szCs w:val="20"/>
          <w:color w:val="auto"/>
        </w:rPr>
      </w:pPr>
    </w:p>
    <w:p>
      <w:pPr>
        <w:ind w:left="640" w:hanging="604"/>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6"/>
          <w:szCs w:val="16"/>
          <w:color w:val="auto"/>
        </w:rPr>
        <w:t>any securitisation and/or factoring programme of the receivables of the Group consented to by the Lender (acting reasonably); and/or</w:t>
      </w:r>
    </w:p>
    <w:p>
      <w:pPr>
        <w:spacing w:after="0" w:line="211" w:lineRule="exact"/>
        <w:rPr>
          <w:rFonts w:ascii="Arial" w:cs="Arial" w:eastAsia="Arial" w:hAnsi="Arial"/>
          <w:sz w:val="18"/>
          <w:szCs w:val="18"/>
          <w:color w:val="auto"/>
        </w:rPr>
      </w:pPr>
    </w:p>
    <w:p>
      <w:pPr>
        <w:ind w:left="660" w:hanging="624"/>
        <w:spacing w:after="0" w:line="296" w:lineRule="auto"/>
        <w:tabs>
          <w:tab w:leader="none" w:pos="642" w:val="left"/>
        </w:tabs>
        <w:numPr>
          <w:ilvl w:val="0"/>
          <w:numId w:val="70"/>
        </w:numPr>
        <w:rPr>
          <w:rFonts w:ascii="Arial" w:cs="Arial" w:eastAsia="Arial" w:hAnsi="Arial"/>
          <w:sz w:val="19"/>
          <w:szCs w:val="19"/>
          <w:color w:val="auto"/>
        </w:rPr>
      </w:pPr>
      <w:r>
        <w:rPr>
          <w:rFonts w:ascii="Arial" w:cs="Arial" w:eastAsia="Arial" w:hAnsi="Arial"/>
          <w:sz w:val="17"/>
          <w:szCs w:val="17"/>
          <w:color w:val="auto"/>
        </w:rPr>
        <w:t>any disposal of receivables not otherwise permitted under paragraphs (a) or (b) above where the net consideration receivable (when aggregated with the consideration for all such other receivables disposed of) does not exceed USD 40,000,000 in any financial year.</w:t>
      </w:r>
    </w:p>
    <w:p>
      <w:pPr>
        <w:spacing w:after="0" w:line="34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20"/>
          </w:cols>
          <w:pgMar w:left="94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w:t>
      </w:r>
      <w:r>
        <w:rPr>
          <w:rFonts w:ascii="Arial" w:cs="Arial" w:eastAsia="Arial" w:hAnsi="Arial"/>
          <w:sz w:val="18"/>
          <w:szCs w:val="18"/>
          <w:color w:val="auto"/>
        </w:rPr>
        <w:t>” means:</w:t>
      </w:r>
    </w:p>
    <w:p>
      <w:pPr>
        <w:spacing w:after="0" w:line="216" w:lineRule="exact"/>
        <w:rPr>
          <w:sz w:val="20"/>
          <w:szCs w:val="20"/>
          <w:color w:val="auto"/>
        </w:rPr>
      </w:pPr>
    </w:p>
    <w:p>
      <w:pPr>
        <w:ind w:left="660" w:hanging="624"/>
        <w:spacing w:after="0" w:line="266" w:lineRule="auto"/>
        <w:tabs>
          <w:tab w:leader="none" w:pos="642" w:val="left"/>
        </w:tabs>
        <w:numPr>
          <w:ilvl w:val="0"/>
          <w:numId w:val="71"/>
        </w:numPr>
        <w:rPr>
          <w:rFonts w:ascii="Arial" w:cs="Arial" w:eastAsia="Arial" w:hAnsi="Arial"/>
          <w:sz w:val="20"/>
          <w:szCs w:val="20"/>
          <w:color w:val="auto"/>
        </w:rPr>
      </w:pPr>
      <w:r>
        <w:rPr>
          <w:rFonts w:ascii="Arial" w:cs="Arial" w:eastAsia="Arial" w:hAnsi="Arial"/>
          <w:sz w:val="18"/>
          <w:szCs w:val="18"/>
          <w:color w:val="auto"/>
        </w:rPr>
        <w:t>any Security listed in Schedule 7 (</w:t>
      </w:r>
      <w:r>
        <w:rPr>
          <w:rFonts w:ascii="Arial" w:cs="Arial" w:eastAsia="Arial" w:hAnsi="Arial"/>
          <w:sz w:val="18"/>
          <w:szCs w:val="18"/>
          <w:i w:val="1"/>
          <w:iCs w:val="1"/>
          <w:color w:val="auto"/>
        </w:rPr>
        <w:t>Existing Security</w:t>
      </w:r>
      <w:r>
        <w:rPr>
          <w:rFonts w:ascii="Arial" w:cs="Arial" w:eastAsia="Arial" w:hAnsi="Arial"/>
          <w:sz w:val="18"/>
          <w:szCs w:val="18"/>
          <w:color w:val="auto"/>
        </w:rPr>
        <w:t>) except to the extent the principal amount secured by that Security exceeds the amount stated in that schedule;</w:t>
      </w:r>
    </w:p>
    <w:p>
      <w:pPr>
        <w:spacing w:after="0" w:line="163" w:lineRule="exact"/>
        <w:rPr>
          <w:rFonts w:ascii="Arial" w:cs="Arial" w:eastAsia="Arial" w:hAnsi="Arial"/>
          <w:sz w:val="20"/>
          <w:szCs w:val="20"/>
          <w:color w:val="auto"/>
        </w:rPr>
      </w:pPr>
    </w:p>
    <w:p>
      <w:pPr>
        <w:ind w:left="660" w:hanging="624"/>
        <w:spacing w:after="0" w:line="230" w:lineRule="exact"/>
        <w:tabs>
          <w:tab w:leader="none" w:pos="642" w:val="left"/>
        </w:tabs>
        <w:numPr>
          <w:ilvl w:val="0"/>
          <w:numId w:val="71"/>
        </w:numPr>
        <w:rPr>
          <w:rFonts w:ascii="Arial" w:cs="Arial" w:eastAsia="Arial" w:hAnsi="Arial"/>
          <w:sz w:val="20"/>
          <w:szCs w:val="20"/>
          <w:color w:val="auto"/>
        </w:rPr>
      </w:pPr>
      <w:r>
        <w:rPr>
          <w:rFonts w:ascii="Arial" w:cs="Arial" w:eastAsia="Arial" w:hAnsi="Arial"/>
          <w:sz w:val="18"/>
          <w:szCs w:val="18"/>
          <w:color w:val="auto"/>
        </w:rPr>
        <w:t>any netting or set</w:t>
      </w:r>
      <w:r>
        <w:rPr>
          <w:rFonts w:ascii="MS PGothic" w:cs="MS PGothic" w:eastAsia="MS PGothic" w:hAnsi="MS PGothic"/>
          <w:sz w:val="18"/>
          <w:szCs w:val="18"/>
          <w:color w:val="auto"/>
        </w:rPr>
        <w:t>‑</w:t>
      </w:r>
      <w:r>
        <w:rPr>
          <w:rFonts w:ascii="Arial" w:cs="Arial" w:eastAsia="Arial" w:hAnsi="Arial"/>
          <w:sz w:val="18"/>
          <w:szCs w:val="18"/>
          <w:color w:val="auto"/>
        </w:rPr>
        <w:t>off arrangement entered into by any member of the Group in the ordinary course of its banking arrangements for the purpose of netting debit and credit balances;</w:t>
      </w:r>
    </w:p>
    <w:p>
      <w:pPr>
        <w:spacing w:after="0" w:line="189" w:lineRule="exact"/>
        <w:rPr>
          <w:rFonts w:ascii="Arial" w:cs="Arial" w:eastAsia="Arial" w:hAnsi="Arial"/>
          <w:sz w:val="20"/>
          <w:szCs w:val="20"/>
          <w:color w:val="auto"/>
        </w:rPr>
      </w:pPr>
    </w:p>
    <w:p>
      <w:pPr>
        <w:ind w:left="660" w:hanging="624"/>
        <w:spacing w:after="0" w:line="230" w:lineRule="exact"/>
        <w:tabs>
          <w:tab w:leader="none" w:pos="642" w:val="left"/>
        </w:tabs>
        <w:numPr>
          <w:ilvl w:val="0"/>
          <w:numId w:val="71"/>
        </w:numPr>
        <w:rPr>
          <w:rFonts w:ascii="Arial" w:cs="Arial" w:eastAsia="Arial" w:hAnsi="Arial"/>
          <w:sz w:val="20"/>
          <w:szCs w:val="20"/>
          <w:color w:val="auto"/>
        </w:rPr>
      </w:pPr>
      <w:r>
        <w:rPr>
          <w:rFonts w:ascii="Arial" w:cs="Arial" w:eastAsia="Arial" w:hAnsi="Arial"/>
          <w:sz w:val="18"/>
          <w:szCs w:val="18"/>
          <w:color w:val="auto"/>
        </w:rPr>
        <w:t>any payment or close out netting or set</w:t>
      </w:r>
      <w:r>
        <w:rPr>
          <w:rFonts w:ascii="MS PGothic" w:cs="MS PGothic" w:eastAsia="MS PGothic" w:hAnsi="MS PGothic"/>
          <w:sz w:val="18"/>
          <w:szCs w:val="18"/>
          <w:color w:val="auto"/>
        </w:rPr>
        <w:t>‑</w:t>
      </w:r>
      <w:r>
        <w:rPr>
          <w:rFonts w:ascii="Arial" w:cs="Arial" w:eastAsia="Arial" w:hAnsi="Arial"/>
          <w:sz w:val="18"/>
          <w:szCs w:val="18"/>
          <w:color w:val="auto"/>
        </w:rPr>
        <w:t>off arrangement pursuant to any hedging transaction entered into by a member of the Group for the purpose of:</w:t>
      </w:r>
    </w:p>
    <w:p>
      <w:pPr>
        <w:spacing w:after="0" w:line="189" w:lineRule="exact"/>
        <w:rPr>
          <w:rFonts w:ascii="Arial" w:cs="Arial" w:eastAsia="Arial" w:hAnsi="Arial"/>
          <w:sz w:val="20"/>
          <w:szCs w:val="20"/>
          <w:color w:val="auto"/>
        </w:rPr>
      </w:pPr>
    </w:p>
    <w:p>
      <w:pPr>
        <w:ind w:left="1300" w:hanging="643"/>
        <w:spacing w:after="0"/>
        <w:tabs>
          <w:tab w:leader="none" w:pos="1300" w:val="left"/>
        </w:tabs>
        <w:numPr>
          <w:ilvl w:val="1"/>
          <w:numId w:val="71"/>
        </w:numPr>
        <w:rPr>
          <w:rFonts w:ascii="Arial" w:cs="Arial" w:eastAsia="Arial" w:hAnsi="Arial"/>
          <w:sz w:val="20"/>
          <w:szCs w:val="20"/>
          <w:color w:val="auto"/>
        </w:rPr>
      </w:pPr>
      <w:r>
        <w:rPr>
          <w:rFonts w:ascii="Arial" w:cs="Arial" w:eastAsia="Arial" w:hAnsi="Arial"/>
          <w:sz w:val="18"/>
          <w:szCs w:val="18"/>
          <w:color w:val="auto"/>
        </w:rPr>
        <w:t>hedging any risk to which any member of the Group is exposed in its ordinary course of trading; or</w:t>
      </w:r>
    </w:p>
    <w:p>
      <w:pPr>
        <w:spacing w:after="0" w:line="188" w:lineRule="exact"/>
        <w:rPr>
          <w:rFonts w:ascii="Arial" w:cs="Arial" w:eastAsia="Arial" w:hAnsi="Arial"/>
          <w:sz w:val="20"/>
          <w:szCs w:val="20"/>
          <w:color w:val="auto"/>
        </w:rPr>
      </w:pPr>
    </w:p>
    <w:p>
      <w:pPr>
        <w:ind w:left="1300" w:hanging="643"/>
        <w:spacing w:after="0" w:line="230" w:lineRule="exact"/>
        <w:tabs>
          <w:tab w:leader="none" w:pos="1300" w:val="left"/>
        </w:tabs>
        <w:numPr>
          <w:ilvl w:val="1"/>
          <w:numId w:val="71"/>
        </w:numPr>
        <w:rPr>
          <w:rFonts w:ascii="Arial" w:cs="Arial" w:eastAsia="Arial" w:hAnsi="Arial"/>
          <w:sz w:val="20"/>
          <w:szCs w:val="20"/>
          <w:color w:val="auto"/>
        </w:rPr>
      </w:pPr>
      <w:r>
        <w:rPr>
          <w:rFonts w:ascii="Arial" w:cs="Arial" w:eastAsia="Arial" w:hAnsi="Arial"/>
          <w:sz w:val="18"/>
          <w:szCs w:val="18"/>
          <w:color w:val="auto"/>
        </w:rPr>
        <w:t>its interest rate or currency management operations which are carried out in the ordinary course of business and for non</w:t>
      </w:r>
      <w:r>
        <w:rPr>
          <w:rFonts w:ascii="MS PGothic" w:cs="MS PGothic" w:eastAsia="MS PGothic" w:hAnsi="MS PGothic"/>
          <w:sz w:val="18"/>
          <w:szCs w:val="18"/>
          <w:color w:val="auto"/>
        </w:rPr>
        <w:t>‑</w:t>
      </w:r>
      <w:r>
        <w:rPr>
          <w:rFonts w:ascii="Arial" w:cs="Arial" w:eastAsia="Arial" w:hAnsi="Arial"/>
          <w:sz w:val="18"/>
          <w:szCs w:val="18"/>
          <w:color w:val="auto"/>
        </w:rPr>
        <w:t>speculative purposes only,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excluding, in each case, any Security under a credit support arrangement in relation to a hedging transaction;</w:t>
      </w:r>
    </w:p>
    <w:p>
      <w:pPr>
        <w:spacing w:after="0" w:line="212" w:lineRule="exact"/>
        <w:rPr>
          <w:sz w:val="20"/>
          <w:szCs w:val="20"/>
          <w:color w:val="auto"/>
        </w:rPr>
      </w:pPr>
    </w:p>
    <w:p>
      <w:pPr>
        <w:ind w:left="640" w:hanging="604"/>
        <w:spacing w:after="0"/>
        <w:tabs>
          <w:tab w:leader="none" w:pos="640" w:val="left"/>
        </w:tabs>
        <w:numPr>
          <w:ilvl w:val="0"/>
          <w:numId w:val="72"/>
        </w:numPr>
        <w:rPr>
          <w:rFonts w:ascii="Arial" w:cs="Arial" w:eastAsia="Arial" w:hAnsi="Arial"/>
          <w:sz w:val="20"/>
          <w:szCs w:val="20"/>
          <w:color w:val="auto"/>
        </w:rPr>
      </w:pPr>
      <w:r>
        <w:rPr>
          <w:rFonts w:ascii="Arial" w:cs="Arial" w:eastAsia="Arial" w:hAnsi="Arial"/>
          <w:sz w:val="18"/>
          <w:szCs w:val="18"/>
          <w:color w:val="auto"/>
        </w:rPr>
        <w:t>any lien arising by operation of law and in the ordinary course of trading;</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72"/>
        </w:numPr>
        <w:rPr>
          <w:rFonts w:ascii="Arial" w:cs="Arial" w:eastAsia="Arial" w:hAnsi="Arial"/>
          <w:sz w:val="20"/>
          <w:szCs w:val="20"/>
          <w:color w:val="auto"/>
        </w:rPr>
      </w:pPr>
      <w:r>
        <w:rPr>
          <w:rFonts w:ascii="Arial" w:cs="Arial" w:eastAsia="Arial" w:hAnsi="Arial"/>
          <w:sz w:val="18"/>
          <w:szCs w:val="18"/>
          <w:color w:val="auto"/>
        </w:rPr>
        <w:t>any Security over or affecting any asset acquired by a member of the Group after the date of this Agreement if:</w:t>
      </w:r>
    </w:p>
    <w:p>
      <w:pPr>
        <w:spacing w:after="0" w:line="188" w:lineRule="exact"/>
        <w:rPr>
          <w:rFonts w:ascii="Arial" w:cs="Arial" w:eastAsia="Arial" w:hAnsi="Arial"/>
          <w:sz w:val="20"/>
          <w:szCs w:val="20"/>
          <w:color w:val="auto"/>
        </w:rPr>
      </w:pPr>
    </w:p>
    <w:p>
      <w:pPr>
        <w:ind w:left="1300" w:hanging="643"/>
        <w:spacing w:after="0"/>
        <w:tabs>
          <w:tab w:leader="none" w:pos="1300" w:val="left"/>
        </w:tabs>
        <w:numPr>
          <w:ilvl w:val="1"/>
          <w:numId w:val="72"/>
        </w:numPr>
        <w:rPr>
          <w:rFonts w:ascii="Arial" w:cs="Arial" w:eastAsia="Arial" w:hAnsi="Arial"/>
          <w:sz w:val="20"/>
          <w:szCs w:val="20"/>
          <w:color w:val="auto"/>
        </w:rPr>
      </w:pPr>
      <w:r>
        <w:rPr>
          <w:rFonts w:ascii="Arial" w:cs="Arial" w:eastAsia="Arial" w:hAnsi="Arial"/>
          <w:sz w:val="18"/>
          <w:szCs w:val="18"/>
          <w:color w:val="auto"/>
        </w:rPr>
        <w:t>the Security was not created in contemplation of the acquisition of that asset by a member of the Group;</w:t>
      </w:r>
    </w:p>
    <w:p>
      <w:pPr>
        <w:spacing w:after="0" w:line="188" w:lineRule="exact"/>
        <w:rPr>
          <w:rFonts w:ascii="Arial" w:cs="Arial" w:eastAsia="Arial" w:hAnsi="Arial"/>
          <w:sz w:val="20"/>
          <w:szCs w:val="20"/>
          <w:color w:val="auto"/>
        </w:rPr>
      </w:pPr>
    </w:p>
    <w:p>
      <w:pPr>
        <w:ind w:left="1300" w:right="20" w:hanging="643"/>
        <w:spacing w:after="0" w:line="266" w:lineRule="auto"/>
        <w:tabs>
          <w:tab w:leader="none" w:pos="1300" w:val="left"/>
        </w:tabs>
        <w:numPr>
          <w:ilvl w:val="1"/>
          <w:numId w:val="72"/>
        </w:numPr>
        <w:rPr>
          <w:rFonts w:ascii="Arial" w:cs="Arial" w:eastAsia="Arial" w:hAnsi="Arial"/>
          <w:sz w:val="20"/>
          <w:szCs w:val="20"/>
          <w:color w:val="auto"/>
        </w:rPr>
      </w:pPr>
      <w:r>
        <w:rPr>
          <w:rFonts w:ascii="Arial" w:cs="Arial" w:eastAsia="Arial" w:hAnsi="Arial"/>
          <w:sz w:val="18"/>
          <w:szCs w:val="18"/>
          <w:color w:val="auto"/>
        </w:rPr>
        <w:t>the principal amount secured has not been increased in contemplation of or since the acquisition of that asset by a member of the Group; and</w:t>
      </w:r>
    </w:p>
    <w:p>
      <w:pPr>
        <w:spacing w:after="0" w:line="163" w:lineRule="exact"/>
        <w:rPr>
          <w:rFonts w:ascii="Arial" w:cs="Arial" w:eastAsia="Arial" w:hAnsi="Arial"/>
          <w:sz w:val="20"/>
          <w:szCs w:val="20"/>
          <w:color w:val="auto"/>
        </w:rPr>
      </w:pPr>
    </w:p>
    <w:p>
      <w:pPr>
        <w:ind w:left="1300" w:hanging="643"/>
        <w:spacing w:after="0"/>
        <w:tabs>
          <w:tab w:leader="none" w:pos="1300" w:val="left"/>
        </w:tabs>
        <w:numPr>
          <w:ilvl w:val="1"/>
          <w:numId w:val="72"/>
        </w:numPr>
        <w:rPr>
          <w:rFonts w:ascii="Arial" w:cs="Arial" w:eastAsia="Arial" w:hAnsi="Arial"/>
          <w:sz w:val="20"/>
          <w:szCs w:val="20"/>
          <w:color w:val="auto"/>
        </w:rPr>
      </w:pPr>
      <w:r>
        <w:rPr>
          <w:rFonts w:ascii="Arial" w:cs="Arial" w:eastAsia="Arial" w:hAnsi="Arial"/>
          <w:sz w:val="18"/>
          <w:szCs w:val="18"/>
          <w:color w:val="auto"/>
        </w:rPr>
        <w:t>the Security is removed or discharged within two months of the date of acquisition of such asset;</w:t>
      </w:r>
    </w:p>
    <w:p>
      <w:pPr>
        <w:spacing w:after="0" w:line="188" w:lineRule="exact"/>
        <w:rPr>
          <w:rFonts w:ascii="Arial" w:cs="Arial" w:eastAsia="Arial" w:hAnsi="Arial"/>
          <w:sz w:val="20"/>
          <w:szCs w:val="20"/>
          <w:color w:val="auto"/>
        </w:rPr>
      </w:pPr>
    </w:p>
    <w:p>
      <w:pPr>
        <w:ind w:left="660" w:right="20" w:hanging="624"/>
        <w:spacing w:after="0" w:line="266" w:lineRule="auto"/>
        <w:tabs>
          <w:tab w:leader="none" w:pos="642" w:val="left"/>
        </w:tabs>
        <w:numPr>
          <w:ilvl w:val="0"/>
          <w:numId w:val="72"/>
        </w:numPr>
        <w:rPr>
          <w:rFonts w:ascii="Arial" w:cs="Arial" w:eastAsia="Arial" w:hAnsi="Arial"/>
          <w:sz w:val="20"/>
          <w:szCs w:val="20"/>
          <w:color w:val="auto"/>
        </w:rPr>
      </w:pPr>
      <w:r>
        <w:rPr>
          <w:rFonts w:ascii="Arial" w:cs="Arial" w:eastAsia="Arial" w:hAnsi="Arial"/>
          <w:sz w:val="18"/>
          <w:szCs w:val="18"/>
          <w:color w:val="auto"/>
        </w:rPr>
        <w:t>any Security over or affecting any asset of any company which becomes a member of the Group after the date of this Agreement, where the Security is created prior to the date on which that company becomes a member of the Group, if:</w:t>
      </w:r>
    </w:p>
    <w:p>
      <w:pPr>
        <w:spacing w:after="0" w:line="163" w:lineRule="exact"/>
        <w:rPr>
          <w:rFonts w:ascii="Arial" w:cs="Arial" w:eastAsia="Arial" w:hAnsi="Arial"/>
          <w:sz w:val="20"/>
          <w:szCs w:val="20"/>
          <w:color w:val="auto"/>
        </w:rPr>
      </w:pPr>
    </w:p>
    <w:p>
      <w:pPr>
        <w:ind w:left="1300" w:hanging="643"/>
        <w:spacing w:after="0"/>
        <w:tabs>
          <w:tab w:leader="none" w:pos="1300" w:val="left"/>
        </w:tabs>
        <w:numPr>
          <w:ilvl w:val="1"/>
          <w:numId w:val="72"/>
        </w:numPr>
        <w:rPr>
          <w:rFonts w:ascii="Arial" w:cs="Arial" w:eastAsia="Arial" w:hAnsi="Arial"/>
          <w:sz w:val="20"/>
          <w:szCs w:val="20"/>
          <w:color w:val="auto"/>
        </w:rPr>
      </w:pPr>
      <w:r>
        <w:rPr>
          <w:rFonts w:ascii="Arial" w:cs="Arial" w:eastAsia="Arial" w:hAnsi="Arial"/>
          <w:sz w:val="18"/>
          <w:szCs w:val="18"/>
          <w:color w:val="auto"/>
        </w:rPr>
        <w:t>the Security was not created in contemplation of the acquisition of that company;</w:t>
      </w:r>
    </w:p>
    <w:p>
      <w:pPr>
        <w:spacing w:after="0" w:line="188" w:lineRule="exact"/>
        <w:rPr>
          <w:rFonts w:ascii="Arial" w:cs="Arial" w:eastAsia="Arial" w:hAnsi="Arial"/>
          <w:sz w:val="20"/>
          <w:szCs w:val="20"/>
          <w:color w:val="auto"/>
        </w:rPr>
      </w:pPr>
    </w:p>
    <w:p>
      <w:pPr>
        <w:ind w:left="1300" w:hanging="643"/>
        <w:spacing w:after="0"/>
        <w:tabs>
          <w:tab w:leader="none" w:pos="1300" w:val="left"/>
        </w:tabs>
        <w:numPr>
          <w:ilvl w:val="1"/>
          <w:numId w:val="72"/>
        </w:numPr>
        <w:rPr>
          <w:rFonts w:ascii="Arial" w:cs="Arial" w:eastAsia="Arial" w:hAnsi="Arial"/>
          <w:sz w:val="20"/>
          <w:szCs w:val="20"/>
          <w:color w:val="auto"/>
        </w:rPr>
      </w:pPr>
      <w:r>
        <w:rPr>
          <w:rFonts w:ascii="Arial" w:cs="Arial" w:eastAsia="Arial" w:hAnsi="Arial"/>
          <w:sz w:val="18"/>
          <w:szCs w:val="18"/>
          <w:color w:val="auto"/>
        </w:rPr>
        <w:t>the principal amount secured has not increased in contemplation of or since the acquisition of that company; and</w:t>
      </w:r>
    </w:p>
    <w:p>
      <w:pPr>
        <w:spacing w:after="0" w:line="188" w:lineRule="exact"/>
        <w:rPr>
          <w:rFonts w:ascii="Arial" w:cs="Arial" w:eastAsia="Arial" w:hAnsi="Arial"/>
          <w:sz w:val="20"/>
          <w:szCs w:val="20"/>
          <w:color w:val="auto"/>
        </w:rPr>
      </w:pPr>
    </w:p>
    <w:p>
      <w:pPr>
        <w:ind w:left="1300" w:hanging="643"/>
        <w:spacing w:after="0"/>
        <w:tabs>
          <w:tab w:leader="none" w:pos="1300" w:val="left"/>
        </w:tabs>
        <w:numPr>
          <w:ilvl w:val="1"/>
          <w:numId w:val="72"/>
        </w:numPr>
        <w:rPr>
          <w:rFonts w:ascii="Arial" w:cs="Arial" w:eastAsia="Arial" w:hAnsi="Arial"/>
          <w:sz w:val="20"/>
          <w:szCs w:val="20"/>
          <w:color w:val="auto"/>
        </w:rPr>
      </w:pPr>
      <w:r>
        <w:rPr>
          <w:rFonts w:ascii="Arial" w:cs="Arial" w:eastAsia="Arial" w:hAnsi="Arial"/>
          <w:sz w:val="18"/>
          <w:szCs w:val="18"/>
          <w:color w:val="auto"/>
        </w:rPr>
        <w:t>the Security is removed or discharged within two months of that company becoming a member of the Group;</w:t>
      </w:r>
    </w:p>
    <w:p>
      <w:pPr>
        <w:spacing w:after="0" w:line="188" w:lineRule="exact"/>
        <w:rPr>
          <w:rFonts w:ascii="Arial" w:cs="Arial" w:eastAsia="Arial" w:hAnsi="Arial"/>
          <w:sz w:val="20"/>
          <w:szCs w:val="20"/>
          <w:color w:val="auto"/>
        </w:rPr>
      </w:pPr>
    </w:p>
    <w:p>
      <w:pPr>
        <w:jc w:val="both"/>
        <w:ind w:left="660" w:hanging="624"/>
        <w:spacing w:after="0" w:line="264" w:lineRule="auto"/>
        <w:tabs>
          <w:tab w:leader="none" w:pos="642" w:val="left"/>
        </w:tabs>
        <w:numPr>
          <w:ilvl w:val="0"/>
          <w:numId w:val="72"/>
        </w:numPr>
        <w:rPr>
          <w:rFonts w:ascii="Arial" w:cs="Arial" w:eastAsia="Arial" w:hAnsi="Arial"/>
          <w:sz w:val="20"/>
          <w:szCs w:val="20"/>
          <w:color w:val="auto"/>
        </w:rPr>
      </w:pPr>
      <w:r>
        <w:rPr>
          <w:rFonts w:ascii="Arial" w:cs="Arial" w:eastAsia="Arial" w:hAnsi="Arial"/>
          <w:sz w:val="18"/>
          <w:szCs w:val="18"/>
          <w:color w:val="auto"/>
        </w:rPr>
        <w:t>any 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 or</w:t>
      </w:r>
    </w:p>
    <w:p>
      <w:pPr>
        <w:spacing w:after="0" w:line="37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20"/>
          </w:cols>
          <w:pgMar w:left="940" w:top="337" w:right="339" w:bottom="1440" w:gutter="0" w:footer="0" w:header="0"/>
        </w:sectPr>
      </w:pPr>
    </w:p>
    <w:bookmarkStart w:id="39" w:name="page40"/>
    <w:bookmarkEnd w:id="39"/>
    <w:p>
      <w:pPr>
        <w:jc w:val="both"/>
        <w:ind w:left="660" w:hanging="624"/>
        <w:spacing w:after="0" w:line="264" w:lineRule="auto"/>
        <w:tabs>
          <w:tab w:leader="none" w:pos="642" w:val="left"/>
        </w:tabs>
        <w:numPr>
          <w:ilvl w:val="0"/>
          <w:numId w:val="73"/>
        </w:numPr>
        <w:rPr>
          <w:rFonts w:ascii="Arial" w:cs="Arial" w:eastAsia="Arial" w:hAnsi="Arial"/>
          <w:sz w:val="20"/>
          <w:szCs w:val="20"/>
          <w:color w:val="auto"/>
        </w:rPr>
      </w:pPr>
      <w:r>
        <w:rPr>
          <w:rFonts w:ascii="Arial" w:cs="Arial" w:eastAsia="Arial" w:hAnsi="Arial"/>
          <w:sz w:val="18"/>
          <w:szCs w:val="18"/>
          <w:color w:val="auto"/>
        </w:rPr>
        <w:t>any Security securing indebtedness the principal amount of which (when aggregated with the principal amount of any other indebtedness which has the benefit of Security given by any member of the Group other than any permitted under paragraphs (a) to (g) above) does not exceed USD 15,000,000 (or its equivalent in another currency or currencies).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Share Buyback</w:t>
      </w:r>
      <w:r>
        <w:rPr>
          <w:rFonts w:ascii="Arial" w:cs="Arial" w:eastAsia="Arial" w:hAnsi="Arial"/>
          <w:sz w:val="18"/>
          <w:szCs w:val="18"/>
          <w:color w:val="auto"/>
        </w:rPr>
        <w:t>” means any share buyback occurring at any time on or after the date falling 18 Months after the date of the Term Loan Facility Agreement provided that at that time (a) the aggregate principal amount of the Loans outstanding under the Term Loan Facility Agreement does not exceed USD 200,000,000 and (b) the ratio of Consolidated Net Financial Indebtedness to Consolidated EBITDA does not exceed 1.5 times.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Transaction</w:t>
      </w:r>
      <w:r>
        <w:rPr>
          <w:rFonts w:ascii="Arial" w:cs="Arial" w:eastAsia="Arial" w:hAnsi="Arial"/>
          <w:sz w:val="18"/>
          <w:szCs w:val="18"/>
          <w:color w:val="auto"/>
        </w:rPr>
        <w:t>” means:</w:t>
      </w:r>
    </w:p>
    <w:p>
      <w:pPr>
        <w:spacing w:after="0" w:line="216" w:lineRule="exact"/>
        <w:rPr>
          <w:sz w:val="20"/>
          <w:szCs w:val="20"/>
          <w:color w:val="auto"/>
        </w:rPr>
      </w:pPr>
    </w:p>
    <w:p>
      <w:pPr>
        <w:ind w:left="660" w:hanging="624"/>
        <w:spacing w:after="0" w:line="266" w:lineRule="auto"/>
        <w:tabs>
          <w:tab w:leader="none" w:pos="642" w:val="left"/>
        </w:tabs>
        <w:numPr>
          <w:ilvl w:val="0"/>
          <w:numId w:val="74"/>
        </w:numPr>
        <w:rPr>
          <w:rFonts w:ascii="Arial" w:cs="Arial" w:eastAsia="Arial" w:hAnsi="Arial"/>
          <w:sz w:val="20"/>
          <w:szCs w:val="20"/>
          <w:color w:val="auto"/>
        </w:rPr>
      </w:pPr>
      <w:r>
        <w:rPr>
          <w:rFonts w:ascii="Arial" w:cs="Arial" w:eastAsia="Arial" w:hAnsi="Arial"/>
          <w:sz w:val="18"/>
          <w:szCs w:val="18"/>
          <w:color w:val="auto"/>
        </w:rPr>
        <w:t>a merger between the Company and any Subsidiary that is consolidated within the consolidated financial statements of the Company, provided that the Company is the surviving entity;</w:t>
      </w:r>
    </w:p>
    <w:p>
      <w:pPr>
        <w:spacing w:after="0" w:line="163" w:lineRule="exact"/>
        <w:rPr>
          <w:rFonts w:ascii="Arial" w:cs="Arial" w:eastAsia="Arial" w:hAnsi="Arial"/>
          <w:sz w:val="20"/>
          <w:szCs w:val="20"/>
          <w:color w:val="auto"/>
        </w:rPr>
      </w:pPr>
    </w:p>
    <w:p>
      <w:pPr>
        <w:ind w:left="640" w:hanging="604"/>
        <w:spacing w:after="0"/>
        <w:tabs>
          <w:tab w:leader="none" w:pos="640" w:val="left"/>
        </w:tabs>
        <w:numPr>
          <w:ilvl w:val="0"/>
          <w:numId w:val="74"/>
        </w:numPr>
        <w:rPr>
          <w:rFonts w:ascii="Arial" w:cs="Arial" w:eastAsia="Arial" w:hAnsi="Arial"/>
          <w:sz w:val="20"/>
          <w:szCs w:val="20"/>
          <w:color w:val="auto"/>
        </w:rPr>
      </w:pPr>
      <w:r>
        <w:rPr>
          <w:rFonts w:ascii="Arial" w:cs="Arial" w:eastAsia="Arial" w:hAnsi="Arial"/>
          <w:sz w:val="18"/>
          <w:szCs w:val="18"/>
          <w:color w:val="auto"/>
        </w:rPr>
        <w:t>any solvent amalgamation or merger among members of the Group which are not the Company; or</w:t>
      </w:r>
    </w:p>
    <w:p>
      <w:pPr>
        <w:spacing w:after="0" w:line="188" w:lineRule="exact"/>
        <w:rPr>
          <w:rFonts w:ascii="Arial" w:cs="Arial" w:eastAsia="Arial" w:hAnsi="Arial"/>
          <w:sz w:val="20"/>
          <w:szCs w:val="20"/>
          <w:color w:val="auto"/>
        </w:rPr>
      </w:pPr>
    </w:p>
    <w:p>
      <w:pPr>
        <w:ind w:left="660" w:right="20" w:hanging="624"/>
        <w:spacing w:after="0" w:line="266" w:lineRule="auto"/>
        <w:tabs>
          <w:tab w:leader="none" w:pos="642" w:val="left"/>
        </w:tabs>
        <w:numPr>
          <w:ilvl w:val="0"/>
          <w:numId w:val="74"/>
        </w:numPr>
        <w:rPr>
          <w:rFonts w:ascii="Arial" w:cs="Arial" w:eastAsia="Arial" w:hAnsi="Arial"/>
          <w:sz w:val="20"/>
          <w:szCs w:val="20"/>
          <w:color w:val="auto"/>
        </w:rPr>
      </w:pPr>
      <w:r>
        <w:rPr>
          <w:rFonts w:ascii="Arial" w:cs="Arial" w:eastAsia="Arial" w:hAnsi="Arial"/>
          <w:sz w:val="18"/>
          <w:szCs w:val="18"/>
          <w:color w:val="auto"/>
        </w:rPr>
        <w:t>the solvent liquidation or reorganisation of any member of the Group which is not the Company so long as any payments or assets distributed as a result of such liquidation or reorganization are distributed to other members of the Group.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has the meaning given to it in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0"/>
          <w:szCs w:val="20"/>
          <w:color w:val="auto"/>
        </w:rPr>
        <w:t>(a)</w:t>
      </w:r>
    </w:p>
    <w:p>
      <w:pPr>
        <w:spacing w:after="0" w:line="205" w:lineRule="exact"/>
        <w:rPr>
          <w:sz w:val="20"/>
          <w:szCs w:val="20"/>
          <w:color w:val="auto"/>
        </w:rPr>
      </w:pPr>
    </w:p>
    <w:p>
      <w:pPr>
        <w:ind w:left="1300" w:hanging="643"/>
        <w:spacing w:after="0"/>
        <w:tabs>
          <w:tab w:leader="none" w:pos="1300" w:val="left"/>
        </w:tabs>
        <w:numPr>
          <w:ilvl w:val="0"/>
          <w:numId w:val="75"/>
        </w:numPr>
        <w:rPr>
          <w:rFonts w:ascii="Arial" w:cs="Arial" w:eastAsia="Arial" w:hAnsi="Arial"/>
          <w:sz w:val="20"/>
          <w:szCs w:val="20"/>
          <w:color w:val="auto"/>
        </w:rPr>
      </w:pPr>
      <w:r>
        <w:rPr>
          <w:rFonts w:ascii="Arial" w:cs="Arial" w:eastAsia="Arial" w:hAnsi="Arial"/>
          <w:sz w:val="18"/>
          <w:szCs w:val="18"/>
          <w:color w:val="auto"/>
        </w:rPr>
        <w:t>(if the currency is euro) two TARGET Days before the first day of that period; or</w:t>
      </w:r>
    </w:p>
    <w:p>
      <w:pPr>
        <w:spacing w:after="0" w:line="188" w:lineRule="exact"/>
        <w:rPr>
          <w:rFonts w:ascii="Arial" w:cs="Arial" w:eastAsia="Arial" w:hAnsi="Arial"/>
          <w:sz w:val="20"/>
          <w:szCs w:val="20"/>
          <w:color w:val="auto"/>
        </w:rPr>
      </w:pPr>
    </w:p>
    <w:p>
      <w:pPr>
        <w:ind w:left="1300" w:hanging="643"/>
        <w:spacing w:after="0"/>
        <w:tabs>
          <w:tab w:leader="none" w:pos="1300" w:val="left"/>
        </w:tabs>
        <w:numPr>
          <w:ilvl w:val="0"/>
          <w:numId w:val="75"/>
        </w:numPr>
        <w:rPr>
          <w:rFonts w:ascii="Arial" w:cs="Arial" w:eastAsia="Arial" w:hAnsi="Arial"/>
          <w:sz w:val="20"/>
          <w:szCs w:val="20"/>
          <w:color w:val="auto"/>
        </w:rPr>
      </w:pPr>
      <w:r>
        <w:rPr>
          <w:rFonts w:ascii="Arial" w:cs="Arial" w:eastAsia="Arial" w:hAnsi="Arial"/>
          <w:sz w:val="18"/>
          <w:szCs w:val="18"/>
          <w:color w:val="auto"/>
        </w:rPr>
        <w:t>(for any other currency) two Business Days before the first day of that period,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market practice differs in the Relevant Market for that currency, in which case the Quotation Day for that currency will be determined by the Lender in accordance with market practice in the Relevant Market (and if quotations would normally be given on more than one day, the Quotation Day will be the last of those days)).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in relation to a fund (the “first fund”),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Market</w:t>
      </w:r>
      <w:r>
        <w:rPr>
          <w:rFonts w:ascii="Arial" w:cs="Arial" w:eastAsia="Arial" w:hAnsi="Arial"/>
          <w:sz w:val="16"/>
          <w:szCs w:val="16"/>
          <w:color w:val="auto"/>
        </w:rPr>
        <w:t>” means, in relation to euro, the European interbank market and, in relation to any other currency, the London interbank market.</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20"/>
          </w:cols>
          <w:pgMar w:left="940" w:top="355" w:right="339" w:bottom="1440" w:gutter="0" w:footer="0" w:header="0"/>
        </w:sectPr>
      </w:pPr>
    </w:p>
    <w:bookmarkStart w:id="40" w:name="page41"/>
    <w:bookmarkEnd w:id="40"/>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Nominating Body</w:t>
      </w:r>
      <w:r>
        <w:rPr>
          <w:rFonts w:ascii="Arial" w:cs="Arial" w:eastAsia="Arial" w:hAnsi="Arial"/>
          <w:sz w:val="18"/>
          <w:szCs w:val="18"/>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Clauses 17.2 (</w:t>
      </w:r>
      <w:r>
        <w:rPr>
          <w:rFonts w:ascii="Arial" w:cs="Arial" w:eastAsia="Arial" w:hAnsi="Arial"/>
          <w:sz w:val="18"/>
          <w:szCs w:val="18"/>
          <w:i w:val="1"/>
          <w:iCs w:val="1"/>
          <w:color w:val="auto"/>
        </w:rPr>
        <w:t>Status</w:t>
      </w:r>
      <w:r>
        <w:rPr>
          <w:rFonts w:ascii="Arial" w:cs="Arial" w:eastAsia="Arial" w:hAnsi="Arial"/>
          <w:sz w:val="18"/>
          <w:szCs w:val="18"/>
          <w:color w:val="auto"/>
        </w:rPr>
        <w:t>) to 17.7 (</w:t>
      </w:r>
      <w:r>
        <w:rPr>
          <w:rFonts w:ascii="Arial" w:cs="Arial" w:eastAsia="Arial" w:hAnsi="Arial"/>
          <w:sz w:val="18"/>
          <w:szCs w:val="18"/>
          <w:i w:val="1"/>
          <w:iCs w:val="1"/>
          <w:color w:val="auto"/>
        </w:rPr>
        <w:t>Governing law and enforcement</w:t>
      </w:r>
      <w:r>
        <w:rPr>
          <w:rFonts w:ascii="Arial" w:cs="Arial" w:eastAsia="Arial" w:hAnsi="Arial"/>
          <w:sz w:val="18"/>
          <w:szCs w:val="18"/>
          <w:color w:val="auto"/>
        </w:rPr>
        <w:t>), paragraph (a) of Clause 17.11 (</w:t>
      </w:r>
      <w:r>
        <w:rPr>
          <w:rFonts w:ascii="Arial" w:cs="Arial" w:eastAsia="Arial" w:hAnsi="Arial"/>
          <w:sz w:val="18"/>
          <w:szCs w:val="18"/>
          <w:i w:val="1"/>
          <w:iCs w:val="1"/>
          <w:color w:val="auto"/>
        </w:rPr>
        <w:t>No default</w:t>
      </w:r>
      <w:r>
        <w:rPr>
          <w:rFonts w:ascii="Arial" w:cs="Arial" w:eastAsia="Arial" w:hAnsi="Arial"/>
          <w:sz w:val="18"/>
          <w:szCs w:val="18"/>
          <w:color w:val="auto"/>
        </w:rPr>
        <w:t>), paragraph (d) of Clause 17.13 (</w:t>
      </w:r>
      <w:r>
        <w:rPr>
          <w:rFonts w:ascii="Arial" w:cs="Arial" w:eastAsia="Arial" w:hAnsi="Arial"/>
          <w:sz w:val="18"/>
          <w:szCs w:val="18"/>
          <w:i w:val="1"/>
          <w:iCs w:val="1"/>
          <w:color w:val="auto"/>
        </w:rPr>
        <w:t>Financial statements</w:t>
      </w:r>
      <w:r>
        <w:rPr>
          <w:rFonts w:ascii="Arial" w:cs="Arial" w:eastAsia="Arial" w:hAnsi="Arial"/>
          <w:sz w:val="18"/>
          <w:szCs w:val="18"/>
          <w:color w:val="auto"/>
        </w:rPr>
        <w:t>), Clause 17.20 (</w:t>
      </w:r>
      <w:r>
        <w:rPr>
          <w:rFonts w:ascii="Arial" w:cs="Arial" w:eastAsia="Arial" w:hAnsi="Arial"/>
          <w:sz w:val="18"/>
          <w:szCs w:val="18"/>
          <w:i w:val="1"/>
          <w:iCs w:val="1"/>
          <w:color w:val="auto"/>
        </w:rPr>
        <w:t>Good title to assets</w:t>
      </w:r>
      <w:r>
        <w:rPr>
          <w:rFonts w:ascii="Arial" w:cs="Arial" w:eastAsia="Arial" w:hAnsi="Arial"/>
          <w:sz w:val="18"/>
          <w:szCs w:val="18"/>
          <w:color w:val="auto"/>
        </w:rPr>
        <w:t>), Clause 17.21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and Clause 17.24 (</w:t>
      </w:r>
      <w:r>
        <w:rPr>
          <w:rFonts w:ascii="Arial" w:cs="Arial" w:eastAsia="Arial" w:hAnsi="Arial"/>
          <w:sz w:val="18"/>
          <w:szCs w:val="18"/>
          <w:i w:val="1"/>
          <w:iCs w:val="1"/>
          <w:color w:val="auto"/>
        </w:rPr>
        <w:t>Centre of main interests and establishments</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229" w:lineRule="exact"/>
        <w:rPr>
          <w:sz w:val="20"/>
          <w:szCs w:val="20"/>
          <w:color w:val="auto"/>
        </w:rPr>
      </w:pPr>
    </w:p>
    <w:p>
      <w:pPr>
        <w:ind w:left="640" w:hanging="604"/>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a Screen Rate by:</w:t>
      </w:r>
    </w:p>
    <w:p>
      <w:pPr>
        <w:spacing w:after="0" w:line="211" w:lineRule="exact"/>
        <w:rPr>
          <w:rFonts w:ascii="Arial" w:cs="Arial" w:eastAsia="Arial" w:hAnsi="Arial"/>
          <w:sz w:val="18"/>
          <w:szCs w:val="18"/>
          <w:color w:val="auto"/>
        </w:rPr>
      </w:pPr>
    </w:p>
    <w:p>
      <w:pPr>
        <w:ind w:left="1300" w:hanging="643"/>
        <w:spacing w:after="0" w:line="266" w:lineRule="auto"/>
        <w:tabs>
          <w:tab w:leader="none" w:pos="1300" w:val="left"/>
        </w:tabs>
        <w:numPr>
          <w:ilvl w:val="1"/>
          <w:numId w:val="76"/>
        </w:numPr>
        <w:rPr>
          <w:rFonts w:ascii="Arial" w:cs="Arial" w:eastAsia="Arial" w:hAnsi="Arial"/>
          <w:sz w:val="20"/>
          <w:szCs w:val="20"/>
          <w:color w:val="auto"/>
        </w:rPr>
      </w:pPr>
      <w:r>
        <w:rPr>
          <w:rFonts w:ascii="Arial" w:cs="Arial" w:eastAsia="Arial" w:hAnsi="Arial"/>
          <w:sz w:val="18"/>
          <w:szCs w:val="18"/>
          <w:color w:val="auto"/>
        </w:rPr>
        <w:t>the administrator of that Screen Rate (provided that the market or economic reality that such benchmark rate measures is the same as that measured by that Screen Rate); or</w:t>
      </w:r>
    </w:p>
    <w:p>
      <w:pPr>
        <w:spacing w:after="0" w:line="190" w:lineRule="exact"/>
        <w:rPr>
          <w:rFonts w:ascii="Arial" w:cs="Arial" w:eastAsia="Arial" w:hAnsi="Arial"/>
          <w:sz w:val="20"/>
          <w:szCs w:val="20"/>
          <w:color w:val="auto"/>
        </w:rPr>
      </w:pPr>
    </w:p>
    <w:p>
      <w:pPr>
        <w:ind w:left="1300" w:hanging="643"/>
        <w:spacing w:after="0"/>
        <w:tabs>
          <w:tab w:leader="none" w:pos="1300" w:val="left"/>
        </w:tabs>
        <w:numPr>
          <w:ilvl w:val="1"/>
          <w:numId w:val="76"/>
        </w:numPr>
        <w:rPr>
          <w:rFonts w:ascii="Arial" w:cs="Arial" w:eastAsia="Arial" w:hAnsi="Arial"/>
          <w:sz w:val="20"/>
          <w:szCs w:val="20"/>
          <w:color w:val="auto"/>
        </w:rPr>
      </w:pPr>
      <w:r>
        <w:rPr>
          <w:rFonts w:ascii="Arial" w:cs="Arial" w:eastAsia="Arial" w:hAnsi="Arial"/>
          <w:sz w:val="18"/>
          <w:szCs w:val="18"/>
          <w:color w:val="auto"/>
        </w:rPr>
        <w:t>any Relevant Nominating Body,</w:t>
      </w:r>
    </w:p>
    <w:p>
      <w:pPr>
        <w:spacing w:after="0" w:line="202" w:lineRule="exact"/>
        <w:rPr>
          <w:sz w:val="20"/>
          <w:szCs w:val="20"/>
          <w:color w:val="auto"/>
        </w:rPr>
      </w:pPr>
    </w:p>
    <w:p>
      <w:pPr>
        <w:ind w:left="680" w:right="20"/>
        <w:spacing w:after="0" w:line="277"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170" w:lineRule="exact"/>
        <w:rPr>
          <w:sz w:val="20"/>
          <w:szCs w:val="20"/>
          <w:color w:val="auto"/>
        </w:rPr>
      </w:pPr>
    </w:p>
    <w:p>
      <w:pPr>
        <w:ind w:left="660" w:right="20" w:hanging="624"/>
        <w:spacing w:after="0" w:line="277" w:lineRule="auto"/>
        <w:tabs>
          <w:tab w:leader="none" w:pos="6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opinion of the Lender and the Company, generally accepted in the international or any relevant domestic syndicated loan markets as the appropriate successor to a Screen Rate; or</w:t>
      </w:r>
    </w:p>
    <w:p>
      <w:pPr>
        <w:spacing w:after="0" w:line="143" w:lineRule="exact"/>
        <w:rPr>
          <w:rFonts w:ascii="Arial" w:cs="Arial" w:eastAsia="Arial" w:hAnsi="Arial"/>
          <w:sz w:val="18"/>
          <w:szCs w:val="18"/>
          <w:color w:val="auto"/>
        </w:rPr>
      </w:pPr>
    </w:p>
    <w:p>
      <w:pPr>
        <w:ind w:left="640" w:hanging="604"/>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opinion of the Lender and the Company, an appropriate successor to a Screen 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Party</w:t>
      </w:r>
      <w:r>
        <w:rPr>
          <w:rFonts w:ascii="Arial" w:cs="Arial" w:eastAsia="Arial" w:hAnsi="Arial"/>
          <w:sz w:val="18"/>
          <w:szCs w:val="18"/>
          <w:color w:val="auto"/>
        </w:rPr>
        <w:t>” means a person that is:</w:t>
      </w:r>
    </w:p>
    <w:p>
      <w:pPr>
        <w:spacing w:after="0" w:line="216" w:lineRule="exact"/>
        <w:rPr>
          <w:sz w:val="20"/>
          <w:szCs w:val="20"/>
          <w:color w:val="auto"/>
        </w:rPr>
      </w:pPr>
    </w:p>
    <w:p>
      <w:pPr>
        <w:ind w:left="640" w:hanging="604"/>
        <w:spacing w:after="0"/>
        <w:tabs>
          <w:tab w:leader="none" w:pos="640" w:val="left"/>
        </w:tabs>
        <w:numPr>
          <w:ilvl w:val="0"/>
          <w:numId w:val="78"/>
        </w:numPr>
        <w:rPr>
          <w:rFonts w:ascii="Arial" w:cs="Arial" w:eastAsia="Arial" w:hAnsi="Arial"/>
          <w:sz w:val="20"/>
          <w:szCs w:val="20"/>
          <w:color w:val="auto"/>
        </w:rPr>
      </w:pPr>
      <w:r>
        <w:rPr>
          <w:rFonts w:ascii="Arial" w:cs="Arial" w:eastAsia="Arial" w:hAnsi="Arial"/>
          <w:sz w:val="18"/>
          <w:szCs w:val="18"/>
          <w:color w:val="auto"/>
        </w:rPr>
        <w:t>listed on, or owned or controlled by a person listed on, a Sanctions List, or a person acting on behalf of such a person;</w:t>
      </w:r>
    </w:p>
    <w:p>
      <w:pPr>
        <w:spacing w:after="0" w:line="188" w:lineRule="exact"/>
        <w:rPr>
          <w:rFonts w:ascii="Arial" w:cs="Arial" w:eastAsia="Arial" w:hAnsi="Arial"/>
          <w:sz w:val="20"/>
          <w:szCs w:val="20"/>
          <w:color w:val="auto"/>
        </w:rPr>
      </w:pPr>
    </w:p>
    <w:p>
      <w:pPr>
        <w:ind w:left="660" w:hanging="624"/>
        <w:spacing w:after="0" w:line="230" w:lineRule="exact"/>
        <w:tabs>
          <w:tab w:leader="none" w:pos="642" w:val="left"/>
        </w:tabs>
        <w:numPr>
          <w:ilvl w:val="0"/>
          <w:numId w:val="78"/>
        </w:numPr>
        <w:rPr>
          <w:rFonts w:ascii="Arial" w:cs="Arial" w:eastAsia="Arial" w:hAnsi="Arial"/>
          <w:sz w:val="20"/>
          <w:szCs w:val="20"/>
          <w:color w:val="auto"/>
        </w:rPr>
      </w:pPr>
      <w:r>
        <w:rPr>
          <w:rFonts w:ascii="Arial" w:cs="Arial" w:eastAsia="Arial" w:hAnsi="Arial"/>
          <w:sz w:val="18"/>
          <w:szCs w:val="18"/>
          <w:color w:val="auto"/>
        </w:rPr>
        <w:t>located in or organised under the laws of a country or territory that is the subject of country</w:t>
      </w:r>
      <w:r>
        <w:rPr>
          <w:rFonts w:ascii="MS PGothic" w:cs="MS PGothic" w:eastAsia="MS PGothic" w:hAnsi="MS PGothic"/>
          <w:sz w:val="18"/>
          <w:szCs w:val="18"/>
          <w:color w:val="auto"/>
        </w:rPr>
        <w:t>‑</w:t>
      </w:r>
      <w:r>
        <w:rPr>
          <w:rFonts w:ascii="Arial" w:cs="Arial" w:eastAsia="Arial" w:hAnsi="Arial"/>
          <w:sz w:val="18"/>
          <w:szCs w:val="18"/>
          <w:color w:val="auto"/>
        </w:rPr>
        <w:t>wide or territory</w:t>
      </w:r>
      <w:r>
        <w:rPr>
          <w:rFonts w:ascii="MS PGothic" w:cs="MS PGothic" w:eastAsia="MS PGothic" w:hAnsi="MS PGothic"/>
          <w:sz w:val="18"/>
          <w:szCs w:val="18"/>
          <w:color w:val="auto"/>
        </w:rPr>
        <w:t>‑</w:t>
      </w:r>
      <w:r>
        <w:rPr>
          <w:rFonts w:ascii="Arial" w:cs="Arial" w:eastAsia="Arial" w:hAnsi="Arial"/>
          <w:sz w:val="18"/>
          <w:szCs w:val="18"/>
          <w:color w:val="auto"/>
        </w:rPr>
        <w:t>wide Sanctions, or a person who is owned or controlled by, or acting on behalf of such a person; or</w:t>
      </w:r>
    </w:p>
    <w:p>
      <w:pPr>
        <w:spacing w:after="0" w:line="189" w:lineRule="exact"/>
        <w:rPr>
          <w:rFonts w:ascii="Arial" w:cs="Arial" w:eastAsia="Arial" w:hAnsi="Arial"/>
          <w:sz w:val="20"/>
          <w:szCs w:val="20"/>
          <w:color w:val="auto"/>
        </w:rPr>
      </w:pPr>
    </w:p>
    <w:p>
      <w:pPr>
        <w:ind w:left="640" w:hanging="604"/>
        <w:spacing w:after="0"/>
        <w:tabs>
          <w:tab w:leader="none" w:pos="640" w:val="left"/>
        </w:tabs>
        <w:numPr>
          <w:ilvl w:val="0"/>
          <w:numId w:val="78"/>
        </w:numPr>
        <w:rPr>
          <w:rFonts w:ascii="Arial" w:cs="Arial" w:eastAsia="Arial" w:hAnsi="Arial"/>
          <w:sz w:val="20"/>
          <w:szCs w:val="20"/>
          <w:color w:val="auto"/>
        </w:rPr>
      </w:pPr>
      <w:r>
        <w:rPr>
          <w:rFonts w:ascii="Arial" w:cs="Arial" w:eastAsia="Arial" w:hAnsi="Arial"/>
          <w:sz w:val="18"/>
          <w:szCs w:val="18"/>
          <w:color w:val="auto"/>
        </w:rPr>
        <w:t>otherwise a subject of Sanctions.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Rollover Loan</w:t>
      </w:r>
      <w:r>
        <w:rPr>
          <w:rFonts w:ascii="Arial" w:cs="Arial" w:eastAsia="Arial" w:hAnsi="Arial"/>
          <w:sz w:val="18"/>
          <w:szCs w:val="18"/>
          <w:color w:val="auto"/>
        </w:rPr>
        <w:t>” means one or more Loans:</w:t>
      </w:r>
    </w:p>
    <w:p>
      <w:pPr>
        <w:spacing w:after="0" w:line="202" w:lineRule="exact"/>
        <w:rPr>
          <w:sz w:val="20"/>
          <w:szCs w:val="20"/>
          <w:color w:val="auto"/>
        </w:rPr>
      </w:pPr>
    </w:p>
    <w:p>
      <w:pPr>
        <w:ind w:left="4920" w:right="4340" w:hanging="4884"/>
        <w:spacing w:after="0" w:line="778" w:lineRule="auto"/>
        <w:tabs>
          <w:tab w:leader="none" w:pos="6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Loan is due to be repaid; 13</w:t>
      </w:r>
    </w:p>
    <w:p>
      <w:pPr>
        <w:sectPr>
          <w:pgSz w:w="11900" w:h="16838" w:orient="portrait"/>
          <w:cols w:equalWidth="0" w:num="1">
            <w:col w:w="10620"/>
          </w:cols>
          <w:pgMar w:left="940" w:top="337" w:right="339" w:bottom="1440" w:gutter="0" w:footer="0" w:header="0"/>
        </w:sectPr>
      </w:pPr>
    </w:p>
    <w:bookmarkStart w:id="41" w:name="page42"/>
    <w:bookmarkEnd w:id="41"/>
    <w:p>
      <w:pPr>
        <w:ind w:left="680" w:hanging="644"/>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amount of the maturing Loan; and</w:t>
      </w:r>
    </w:p>
    <w:p>
      <w:pPr>
        <w:spacing w:after="0" w:line="225" w:lineRule="exact"/>
        <w:rPr>
          <w:rFonts w:ascii="Arial" w:cs="Arial" w:eastAsia="Arial" w:hAnsi="Arial"/>
          <w:sz w:val="18"/>
          <w:szCs w:val="18"/>
          <w:color w:val="auto"/>
        </w:rPr>
      </w:pPr>
    </w:p>
    <w:p>
      <w:pPr>
        <w:ind w:left="680" w:hanging="644"/>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made or to be made to the Borrower for the purpose of refinancing that maturing Loan.</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trade, economic or financial sanctions laws, regulations, embargoes or restrictive measures administered, enacted or enforced by a Sanctions Authority.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Authority</w:t>
      </w:r>
      <w:r>
        <w:rPr>
          <w:rFonts w:ascii="Arial" w:cs="Arial" w:eastAsia="Arial" w:hAnsi="Arial"/>
          <w:sz w:val="18"/>
          <w:szCs w:val="18"/>
          <w:color w:val="auto"/>
        </w:rPr>
        <w:t>” means:</w:t>
      </w:r>
    </w:p>
    <w:p>
      <w:pPr>
        <w:spacing w:after="0" w:line="216" w:lineRule="exact"/>
        <w:rPr>
          <w:sz w:val="20"/>
          <w:szCs w:val="20"/>
          <w:color w:val="auto"/>
        </w:rPr>
      </w:pPr>
    </w:p>
    <w:p>
      <w:pPr>
        <w:ind w:left="640" w:hanging="604"/>
        <w:spacing w:after="0"/>
        <w:tabs>
          <w:tab w:leader="none" w:pos="640" w:val="left"/>
        </w:tabs>
        <w:numPr>
          <w:ilvl w:val="0"/>
          <w:numId w:val="81"/>
        </w:numPr>
        <w:rPr>
          <w:rFonts w:ascii="Arial" w:cs="Arial" w:eastAsia="Arial" w:hAnsi="Arial"/>
          <w:sz w:val="20"/>
          <w:szCs w:val="20"/>
          <w:color w:val="auto"/>
        </w:rPr>
      </w:pPr>
      <w:r>
        <w:rPr>
          <w:rFonts w:ascii="Arial" w:cs="Arial" w:eastAsia="Arial" w:hAnsi="Arial"/>
          <w:sz w:val="18"/>
          <w:szCs w:val="18"/>
          <w:color w:val="auto"/>
        </w:rPr>
        <w:t>the United Nations;</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81"/>
        </w:numPr>
        <w:rPr>
          <w:rFonts w:ascii="Arial" w:cs="Arial" w:eastAsia="Arial" w:hAnsi="Arial"/>
          <w:sz w:val="20"/>
          <w:szCs w:val="20"/>
          <w:color w:val="auto"/>
        </w:rPr>
      </w:pPr>
      <w:r>
        <w:rPr>
          <w:rFonts w:ascii="Arial" w:cs="Arial" w:eastAsia="Arial" w:hAnsi="Arial"/>
          <w:sz w:val="18"/>
          <w:szCs w:val="18"/>
          <w:color w:val="auto"/>
        </w:rPr>
        <w:t>the United States of America;</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81"/>
        </w:numPr>
        <w:rPr>
          <w:rFonts w:ascii="Arial" w:cs="Arial" w:eastAsia="Arial" w:hAnsi="Arial"/>
          <w:sz w:val="20"/>
          <w:szCs w:val="20"/>
          <w:color w:val="auto"/>
        </w:rPr>
      </w:pPr>
      <w:r>
        <w:rPr>
          <w:rFonts w:ascii="Arial" w:cs="Arial" w:eastAsia="Arial" w:hAnsi="Arial"/>
          <w:sz w:val="18"/>
          <w:szCs w:val="18"/>
          <w:color w:val="auto"/>
        </w:rPr>
        <w:t>the European Union;</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81"/>
        </w:numPr>
        <w:rPr>
          <w:rFonts w:ascii="Arial" w:cs="Arial" w:eastAsia="Arial" w:hAnsi="Arial"/>
          <w:sz w:val="20"/>
          <w:szCs w:val="20"/>
          <w:color w:val="auto"/>
        </w:rPr>
      </w:pPr>
      <w:r>
        <w:rPr>
          <w:rFonts w:ascii="Arial" w:cs="Arial" w:eastAsia="Arial" w:hAnsi="Arial"/>
          <w:sz w:val="18"/>
          <w:szCs w:val="18"/>
          <w:color w:val="auto"/>
        </w:rPr>
        <w:t>the United Kingdom of Great Britain and Northern Ireland; and</w:t>
      </w:r>
    </w:p>
    <w:p>
      <w:pPr>
        <w:spacing w:after="0" w:line="188" w:lineRule="exact"/>
        <w:rPr>
          <w:rFonts w:ascii="Arial" w:cs="Arial" w:eastAsia="Arial" w:hAnsi="Arial"/>
          <w:sz w:val="20"/>
          <w:szCs w:val="20"/>
          <w:color w:val="auto"/>
        </w:rPr>
      </w:pPr>
    </w:p>
    <w:p>
      <w:pPr>
        <w:ind w:left="660" w:right="20" w:hanging="624"/>
        <w:spacing w:after="0" w:line="266" w:lineRule="auto"/>
        <w:tabs>
          <w:tab w:leader="none" w:pos="642" w:val="left"/>
        </w:tabs>
        <w:numPr>
          <w:ilvl w:val="0"/>
          <w:numId w:val="81"/>
        </w:numPr>
        <w:rPr>
          <w:rFonts w:ascii="Arial" w:cs="Arial" w:eastAsia="Arial" w:hAnsi="Arial"/>
          <w:sz w:val="20"/>
          <w:szCs w:val="20"/>
          <w:color w:val="auto"/>
        </w:rPr>
      </w:pPr>
      <w:r>
        <w:rPr>
          <w:rFonts w:ascii="Arial" w:cs="Arial" w:eastAsia="Arial" w:hAnsi="Arial"/>
          <w:sz w:val="18"/>
          <w:szCs w:val="18"/>
          <w:color w:val="auto"/>
        </w:rPr>
        <w:t>the governments and official institutions or agencies of any of paragraphs (a) to (d) above, including OFAC, the US Department of State, and Her Majesty's Treasury.</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List</w:t>
      </w:r>
      <w:r>
        <w:rPr>
          <w:rFonts w:ascii="Arial" w:cs="Arial" w:eastAsia="Arial" w:hAnsi="Arial"/>
          <w:sz w:val="18"/>
          <w:szCs w:val="18"/>
          <w:color w:val="auto"/>
        </w:rPr>
        <w:t>” means the Specially Designated Nationals and Blocked Persons list maintained by OFAC, the Consolidated List of Financial Sanctions Targets maintained by Her Majesty's Treasury, or any similar list maintained by, or public announcement of a Sanctions designation made by, a Sanctions Authority, each as amended, supplemented or substituted from time to time.</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Lender may specify another page or service displaying the relevant rate after consultation with the Company.</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or corporation, a company or corporation:</w:t>
      </w:r>
    </w:p>
    <w:p>
      <w:pPr>
        <w:spacing w:after="0" w:line="216" w:lineRule="exact"/>
        <w:rPr>
          <w:sz w:val="20"/>
          <w:szCs w:val="20"/>
          <w:color w:val="auto"/>
        </w:rPr>
      </w:pPr>
    </w:p>
    <w:p>
      <w:pPr>
        <w:ind w:left="640" w:hanging="604"/>
        <w:spacing w:after="0"/>
        <w:tabs>
          <w:tab w:leader="none" w:pos="640" w:val="left"/>
        </w:tabs>
        <w:numPr>
          <w:ilvl w:val="0"/>
          <w:numId w:val="82"/>
        </w:numPr>
        <w:rPr>
          <w:rFonts w:ascii="Arial" w:cs="Arial" w:eastAsia="Arial" w:hAnsi="Arial"/>
          <w:sz w:val="20"/>
          <w:szCs w:val="20"/>
          <w:color w:val="auto"/>
        </w:rPr>
      </w:pPr>
      <w:r>
        <w:rPr>
          <w:rFonts w:ascii="Arial" w:cs="Arial" w:eastAsia="Arial" w:hAnsi="Arial"/>
          <w:sz w:val="18"/>
          <w:szCs w:val="18"/>
          <w:color w:val="auto"/>
        </w:rPr>
        <w:t>which is controlled, directly or indirectly, by the first mentioned company or corporation;</w:t>
      </w:r>
    </w:p>
    <w:p>
      <w:pPr>
        <w:spacing w:after="0" w:line="188" w:lineRule="exact"/>
        <w:rPr>
          <w:rFonts w:ascii="Arial" w:cs="Arial" w:eastAsia="Arial" w:hAnsi="Arial"/>
          <w:sz w:val="20"/>
          <w:szCs w:val="20"/>
          <w:color w:val="auto"/>
        </w:rPr>
      </w:pPr>
    </w:p>
    <w:p>
      <w:pPr>
        <w:ind w:left="660" w:hanging="624"/>
        <w:spacing w:after="0" w:line="266" w:lineRule="auto"/>
        <w:tabs>
          <w:tab w:leader="none" w:pos="642" w:val="left"/>
        </w:tabs>
        <w:numPr>
          <w:ilvl w:val="0"/>
          <w:numId w:val="82"/>
        </w:numPr>
        <w:rPr>
          <w:rFonts w:ascii="Arial" w:cs="Arial" w:eastAsia="Arial" w:hAnsi="Arial"/>
          <w:sz w:val="20"/>
          <w:szCs w:val="20"/>
          <w:color w:val="auto"/>
        </w:rPr>
      </w:pPr>
      <w:r>
        <w:rPr>
          <w:rFonts w:ascii="Arial" w:cs="Arial" w:eastAsia="Arial" w:hAnsi="Arial"/>
          <w:sz w:val="18"/>
          <w:szCs w:val="18"/>
          <w:color w:val="auto"/>
        </w:rPr>
        <w:t>more than half the issued share capital (which gives rise to voting rights) of which is beneficially owner, directly or indirectly, by the first mentioned company or corporation; or</w:t>
      </w:r>
    </w:p>
    <w:p>
      <w:pPr>
        <w:spacing w:after="0" w:line="163" w:lineRule="exact"/>
        <w:rPr>
          <w:rFonts w:ascii="Arial" w:cs="Arial" w:eastAsia="Arial" w:hAnsi="Arial"/>
          <w:sz w:val="20"/>
          <w:szCs w:val="20"/>
          <w:color w:val="auto"/>
        </w:rPr>
      </w:pPr>
    </w:p>
    <w:p>
      <w:pPr>
        <w:ind w:left="640" w:hanging="604"/>
        <w:spacing w:after="0"/>
        <w:tabs>
          <w:tab w:leader="none" w:pos="640" w:val="left"/>
        </w:tabs>
        <w:numPr>
          <w:ilvl w:val="0"/>
          <w:numId w:val="82"/>
        </w:numPr>
        <w:rPr>
          <w:rFonts w:ascii="Arial" w:cs="Arial" w:eastAsia="Arial" w:hAnsi="Arial"/>
          <w:sz w:val="20"/>
          <w:szCs w:val="20"/>
          <w:color w:val="auto"/>
        </w:rPr>
      </w:pPr>
      <w:r>
        <w:rPr>
          <w:rFonts w:ascii="Arial" w:cs="Arial" w:eastAsia="Arial" w:hAnsi="Arial"/>
          <w:sz w:val="18"/>
          <w:szCs w:val="18"/>
          <w:color w:val="auto"/>
        </w:rPr>
        <w:t>which is a Subsidiary of another Subsidiary of the first mentioned company or corporation,</w:t>
      </w:r>
    </w:p>
    <w:p>
      <w:pPr>
        <w:spacing w:after="0" w:line="39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20"/>
          </w:cols>
          <w:pgMar w:left="940" w:top="341" w:right="339" w:bottom="1440" w:gutter="0" w:footer="0" w:header="0"/>
        </w:sectPr>
      </w:pPr>
    </w:p>
    <w:bookmarkStart w:id="42" w:name="page43"/>
    <w:bookmarkEnd w:id="42"/>
    <w:p>
      <w:pPr>
        <w:jc w:val="both"/>
        <w:spacing w:after="0" w:line="220" w:lineRule="exact"/>
        <w:rPr>
          <w:sz w:val="20"/>
          <w:szCs w:val="20"/>
          <w:color w:val="auto"/>
        </w:rPr>
      </w:pPr>
      <w:r>
        <w:rPr>
          <w:rFonts w:ascii="Arial" w:cs="Arial" w:eastAsia="Arial" w:hAnsi="Arial"/>
          <w:sz w:val="18"/>
          <w:szCs w:val="18"/>
          <w:color w:val="auto"/>
        </w:rPr>
        <w:t>and for this purpose, a company or corporation shall be treated as being controlled by another if that other company or corporation is able to direct its affairs, exercise a dominant influence over it and/or to control the composition of its board of directors or equivalent body and is fully consolidated in the consolidated financial statements on a line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line basis for such period.</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TARGET2</w:t>
      </w:r>
      <w:r>
        <w:rPr>
          <w:rFonts w:ascii="Arial" w:cs="Arial" w:eastAsia="Arial" w:hAnsi="Arial"/>
          <w:sz w:val="18"/>
          <w:szCs w:val="18"/>
          <w:color w:val="auto"/>
        </w:rPr>
        <w:t>” means the Trans-European Automated Real-time Gross Settlement Express Transfer payment system which utilises a single shared platform and which was launched on 19 November 2007.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Day</w:t>
      </w:r>
      <w:r>
        <w:rPr>
          <w:rFonts w:ascii="Arial" w:cs="Arial" w:eastAsia="Arial" w:hAnsi="Arial"/>
          <w:sz w:val="18"/>
          <w:szCs w:val="18"/>
          <w:color w:val="auto"/>
        </w:rPr>
        <w:t>” means any day on which TARGET2 is open for the settlement of payments in euro.</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 Agreement</w:t>
      </w:r>
      <w:r>
        <w:rPr>
          <w:rFonts w:ascii="Arial" w:cs="Arial" w:eastAsia="Arial" w:hAnsi="Arial"/>
          <w:sz w:val="18"/>
          <w:szCs w:val="18"/>
          <w:color w:val="auto"/>
        </w:rPr>
        <w:t>” means the term loan facility agreement dated 26 March 2019 between LivaNova PLC, as borrower thereunder, Bank of America Merrill Lynch International DAC, Barclays Bank PLC, BNP Paribas, London Branch and Intesa Sanpaolo S.p.A., as Arrangers and Bookrunners, and Barclays Bank PLC, as Agent.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falling two years after the date of this Agreement.</w:t>
      </w:r>
    </w:p>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means a certificate substantially in the form set out in Schedule 3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 agreed between the Lender and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the Company under the Finance Documents.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in the United States of America, as promulgated, from time to time, by the Financial Accounting Standards Board.</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 the Company where some or all of its payments under the Finance Documents are from sources within the US for US federal income tax purposes.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utilisation of the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of a Utilisation, being the date on which the relevant Loan is to be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form set out in Schedule 2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 the value added tax provided for by Presidential Decree no. 633 of 26th October 1972, and any other tax of a similar nature including without limitation:</w:t>
      </w:r>
    </w:p>
    <w:p>
      <w:pPr>
        <w:spacing w:after="0" w:line="152" w:lineRule="exact"/>
        <w:rPr>
          <w:sz w:val="20"/>
          <w:szCs w:val="20"/>
          <w:color w:val="auto"/>
        </w:rPr>
      </w:pPr>
    </w:p>
    <w:p>
      <w:pPr>
        <w:ind w:left="660" w:hanging="624"/>
        <w:spacing w:after="0" w:line="266" w:lineRule="auto"/>
        <w:tabs>
          <w:tab w:leader="none" w:pos="642" w:val="left"/>
        </w:tabs>
        <w:numPr>
          <w:ilvl w:val="0"/>
          <w:numId w:val="83"/>
        </w:numPr>
        <w:rPr>
          <w:rFonts w:ascii="Arial" w:cs="Arial" w:eastAsia="Arial" w:hAnsi="Arial"/>
          <w:sz w:val="20"/>
          <w:szCs w:val="20"/>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63" w:lineRule="exact"/>
        <w:rPr>
          <w:rFonts w:ascii="Arial" w:cs="Arial" w:eastAsia="Arial" w:hAnsi="Arial"/>
          <w:sz w:val="20"/>
          <w:szCs w:val="20"/>
          <w:color w:val="auto"/>
        </w:rPr>
      </w:pPr>
    </w:p>
    <w:p>
      <w:pPr>
        <w:ind w:left="660" w:right="20" w:hanging="624"/>
        <w:spacing w:after="0" w:line="266" w:lineRule="auto"/>
        <w:tabs>
          <w:tab w:leader="none" w:pos="642" w:val="left"/>
        </w:tabs>
        <w:numPr>
          <w:ilvl w:val="0"/>
          <w:numId w:val="83"/>
        </w:numPr>
        <w:rPr>
          <w:rFonts w:ascii="Arial" w:cs="Arial" w:eastAsia="Arial" w:hAnsi="Arial"/>
          <w:sz w:val="20"/>
          <w:szCs w:val="20"/>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36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20"/>
          </w:cols>
          <w:pgMar w:left="940" w:top="341" w:right="339" w:bottom="1440" w:gutter="0" w:footer="0" w:header="0"/>
        </w:sectPr>
      </w:pPr>
    </w:p>
    <w:bookmarkStart w:id="43" w:name="page44"/>
    <w:bookmarkEnd w:id="43"/>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w:t>
      </w:r>
    </w:p>
    <w:p>
      <w:pPr>
        <w:spacing w:after="0" w:line="216" w:lineRule="exact"/>
        <w:rPr>
          <w:sz w:val="20"/>
          <w:szCs w:val="20"/>
          <w:color w:val="auto"/>
        </w:rPr>
      </w:pPr>
    </w:p>
    <w:p>
      <w:pPr>
        <w:ind w:left="1280" w:hanging="624"/>
        <w:spacing w:after="0" w:line="266" w:lineRule="auto"/>
        <w:tabs>
          <w:tab w:leader="none" w:pos="1262" w:val="left"/>
        </w:tabs>
        <w:numPr>
          <w:ilvl w:val="0"/>
          <w:numId w:val="84"/>
        </w:numPr>
        <w:rPr>
          <w:rFonts w:ascii="Arial" w:cs="Arial" w:eastAsia="Arial" w:hAnsi="Arial"/>
          <w:sz w:val="20"/>
          <w:szCs w:val="20"/>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84"/>
        </w:numPr>
        <w:rPr>
          <w:rFonts w:ascii="Arial" w:cs="Arial" w:eastAsia="Arial" w:hAnsi="Arial"/>
          <w:sz w:val="20"/>
          <w:szCs w:val="20"/>
          <w:color w:val="auto"/>
        </w:rPr>
      </w:pPr>
      <w:r>
        <w:rPr>
          <w:rFonts w:ascii="Arial" w:cs="Arial" w:eastAsia="Arial" w:hAnsi="Arial"/>
          <w:sz w:val="18"/>
          <w:szCs w:val="18"/>
          <w:color w:val="auto"/>
        </w:rPr>
        <w:t>in relation to any other applicable Bail-In Legislation:</w:t>
      </w:r>
    </w:p>
    <w:p>
      <w:pPr>
        <w:spacing w:after="0" w:line="188" w:lineRule="exact"/>
        <w:rPr>
          <w:rFonts w:ascii="Arial" w:cs="Arial" w:eastAsia="Arial" w:hAnsi="Arial"/>
          <w:sz w:val="20"/>
          <w:szCs w:val="20"/>
          <w:color w:val="auto"/>
        </w:rPr>
      </w:pPr>
    </w:p>
    <w:p>
      <w:pPr>
        <w:jc w:val="both"/>
        <w:ind w:left="1920" w:hanging="643"/>
        <w:spacing w:after="0" w:line="283" w:lineRule="auto"/>
        <w:tabs>
          <w:tab w:leader="none" w:pos="1920" w:val="left"/>
        </w:tabs>
        <w:numPr>
          <w:ilvl w:val="1"/>
          <w:numId w:val="84"/>
        </w:numPr>
        <w:rPr>
          <w:rFonts w:ascii="Arial" w:cs="Arial" w:eastAsia="Arial" w:hAnsi="Arial"/>
          <w:sz w:val="19"/>
          <w:szCs w:val="19"/>
          <w:color w:val="auto"/>
        </w:rPr>
      </w:pPr>
      <w:r>
        <w:rPr>
          <w:rFonts w:ascii="Arial" w:cs="Arial" w:eastAsia="Arial" w:hAnsi="Arial"/>
          <w:sz w:val="17"/>
          <w:szCs w:val="17"/>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55" w:lineRule="exact"/>
        <w:rPr>
          <w:rFonts w:ascii="Arial" w:cs="Arial" w:eastAsia="Arial" w:hAnsi="Arial"/>
          <w:sz w:val="19"/>
          <w:szCs w:val="19"/>
          <w:color w:val="auto"/>
        </w:rPr>
      </w:pPr>
    </w:p>
    <w:p>
      <w:pPr>
        <w:ind w:left="1920" w:hanging="643"/>
        <w:spacing w:after="0"/>
        <w:tabs>
          <w:tab w:leader="none" w:pos="1920" w:val="left"/>
        </w:tabs>
        <w:numPr>
          <w:ilvl w:val="1"/>
          <w:numId w:val="84"/>
        </w:numPr>
        <w:rPr>
          <w:rFonts w:ascii="Arial" w:cs="Arial" w:eastAsia="Arial" w:hAnsi="Arial"/>
          <w:sz w:val="20"/>
          <w:szCs w:val="20"/>
          <w:color w:val="auto"/>
        </w:rPr>
      </w:pPr>
      <w:r>
        <w:rPr>
          <w:rFonts w:ascii="Arial" w:cs="Arial" w:eastAsia="Arial" w:hAnsi="Arial"/>
          <w:sz w:val="18"/>
          <w:szCs w:val="18"/>
          <w:color w:val="auto"/>
        </w:rPr>
        <w:t>any similar or analogous powers under that Bail-In Legislation.</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b w:val="1"/>
          <w:bCs w:val="1"/>
          <w:color w:val="auto"/>
        </w:rPr>
        <w:t>Construction</w:t>
      </w:r>
    </w:p>
    <w:p>
      <w:pPr>
        <w:spacing w:after="0" w:line="205" w:lineRule="exact"/>
        <w:rPr>
          <w:sz w:val="20"/>
          <w:szCs w:val="20"/>
          <w:color w:val="auto"/>
        </w:rPr>
      </w:pPr>
    </w:p>
    <w:p>
      <w:pPr>
        <w:ind w:left="1260" w:hanging="604"/>
        <w:spacing w:after="0"/>
        <w:tabs>
          <w:tab w:leader="none" w:pos="1260" w:val="left"/>
        </w:tabs>
        <w:numPr>
          <w:ilvl w:val="0"/>
          <w:numId w:val="85"/>
        </w:numPr>
        <w:rPr>
          <w:rFonts w:ascii="Arial" w:cs="Arial" w:eastAsia="Arial" w:hAnsi="Arial"/>
          <w:sz w:val="20"/>
          <w:szCs w:val="20"/>
          <w:color w:val="auto"/>
        </w:rPr>
      </w:pPr>
      <w:r>
        <w:rPr>
          <w:rFonts w:ascii="Arial" w:cs="Arial" w:eastAsia="Arial" w:hAnsi="Arial"/>
          <w:sz w:val="18"/>
          <w:szCs w:val="18"/>
          <w:color w:val="auto"/>
        </w:rPr>
        <w:t>Unless a contrary indication appears, any reference in this Agreement to:</w:t>
      </w:r>
    </w:p>
    <w:p>
      <w:pPr>
        <w:spacing w:after="0" w:line="184" w:lineRule="exact"/>
        <w:rPr>
          <w:rFonts w:ascii="Arial" w:cs="Arial" w:eastAsia="Arial" w:hAnsi="Arial"/>
          <w:sz w:val="20"/>
          <w:szCs w:val="20"/>
          <w:color w:val="auto"/>
        </w:rPr>
      </w:pPr>
    </w:p>
    <w:p>
      <w:pPr>
        <w:ind w:left="1920" w:hanging="643"/>
        <w:spacing w:after="0" w:line="271" w:lineRule="auto"/>
        <w:tabs>
          <w:tab w:leader="none" w:pos="1920" w:val="left"/>
        </w:tabs>
        <w:numPr>
          <w:ilvl w:val="1"/>
          <w:numId w:val="85"/>
        </w:numPr>
        <w:rPr>
          <w:rFonts w:ascii="Arial" w:cs="Arial" w:eastAsia="Arial" w:hAnsi="Arial"/>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Lender</w:t>
      </w:r>
      <w:r>
        <w:rPr>
          <w:rFonts w:ascii="Arial" w:cs="Arial" w:eastAsia="Arial" w:hAnsi="Arial"/>
          <w:sz w:val="18"/>
          <w:szCs w:val="18"/>
          <w:color w:val="auto"/>
        </w:rPr>
        <w:t>”, “”or any “</w:t>
      </w:r>
      <w:r>
        <w:rPr>
          <w:rFonts w:ascii="Arial" w:cs="Arial" w:eastAsia="Arial" w:hAnsi="Arial"/>
          <w:sz w:val="18"/>
          <w:szCs w:val="18"/>
          <w:b w:val="1"/>
          <w:bCs w:val="1"/>
          <w:color w:val="auto"/>
        </w:rPr>
        <w:t>Party</w:t>
      </w:r>
      <w:r>
        <w:rPr>
          <w:rFonts w:ascii="Arial" w:cs="Arial" w:eastAsia="Arial" w:hAnsi="Arial"/>
          <w:sz w:val="18"/>
          <w:szCs w:val="18"/>
          <w:color w:val="auto"/>
        </w:rPr>
        <w:t>” shall be construed so as to include its successors in title, permitted assigns and permitted transferees to, or of, its rights and/or obligations under the Finance Documents;</w:t>
      </w:r>
    </w:p>
    <w:p>
      <w:pPr>
        <w:spacing w:after="0" w:line="154" w:lineRule="exact"/>
        <w:rPr>
          <w:rFonts w:ascii="Arial" w:cs="Arial" w:eastAsia="Arial" w:hAnsi="Arial"/>
          <w:sz w:val="20"/>
          <w:szCs w:val="20"/>
          <w:color w:val="auto"/>
        </w:rPr>
      </w:pPr>
    </w:p>
    <w:p>
      <w:pPr>
        <w:ind w:left="1920" w:hanging="643"/>
        <w:spacing w:after="0"/>
        <w:tabs>
          <w:tab w:leader="none" w:pos="1920" w:val="left"/>
        </w:tabs>
        <w:numPr>
          <w:ilvl w:val="1"/>
          <w:numId w:val="8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88" w:lineRule="exact"/>
        <w:rPr>
          <w:rFonts w:ascii="Arial" w:cs="Arial" w:eastAsia="Arial" w:hAnsi="Arial"/>
          <w:sz w:val="20"/>
          <w:szCs w:val="20"/>
          <w:color w:val="auto"/>
        </w:rPr>
      </w:pPr>
    </w:p>
    <w:p>
      <w:pPr>
        <w:ind w:left="1920" w:hanging="643"/>
        <w:spacing w:after="0" w:line="271" w:lineRule="auto"/>
        <w:tabs>
          <w:tab w:leader="none" w:pos="1920" w:val="left"/>
        </w:tabs>
        <w:numPr>
          <w:ilvl w:val="1"/>
          <w:numId w:val="85"/>
        </w:numPr>
        <w:rPr>
          <w:rFonts w:ascii="Arial" w:cs="Arial" w:eastAsia="Arial" w:hAnsi="Arial"/>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or restated;</w:t>
      </w:r>
    </w:p>
    <w:p>
      <w:pPr>
        <w:spacing w:after="0" w:line="154" w:lineRule="exact"/>
        <w:rPr>
          <w:rFonts w:ascii="Arial" w:cs="Arial" w:eastAsia="Arial" w:hAnsi="Arial"/>
          <w:sz w:val="20"/>
          <w:szCs w:val="20"/>
          <w:color w:val="auto"/>
        </w:rPr>
      </w:pPr>
    </w:p>
    <w:p>
      <w:pPr>
        <w:ind w:left="1920" w:hanging="643"/>
        <w:spacing w:after="0" w:line="271" w:lineRule="auto"/>
        <w:tabs>
          <w:tab w:leader="none" w:pos="1920" w:val="left"/>
        </w:tabs>
        <w:numPr>
          <w:ilvl w:val="1"/>
          <w:numId w:val="8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154" w:lineRule="exact"/>
        <w:rPr>
          <w:rFonts w:ascii="Arial" w:cs="Arial" w:eastAsia="Arial" w:hAnsi="Arial"/>
          <w:sz w:val="20"/>
          <w:szCs w:val="20"/>
          <w:color w:val="auto"/>
        </w:rPr>
      </w:pPr>
    </w:p>
    <w:p>
      <w:pPr>
        <w:ind w:left="1920" w:right="20" w:hanging="643"/>
        <w:spacing w:after="0" w:line="301" w:lineRule="auto"/>
        <w:tabs>
          <w:tab w:leader="none" w:pos="1920" w:val="left"/>
        </w:tabs>
        <w:numPr>
          <w:ilvl w:val="1"/>
          <w:numId w:val="85"/>
        </w:numPr>
        <w:rPr>
          <w:rFonts w:ascii="Arial" w:cs="Arial" w:eastAsia="Arial" w:hAnsi="Arial"/>
          <w:sz w:val="19"/>
          <w:szCs w:val="19"/>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individual, firm, company, corporation, government, state or agency of a state or any association, trust, joint venture, consortium, partnership or other entity (whether or not having separate legal personality);</w:t>
      </w:r>
    </w:p>
    <w:p>
      <w:pPr>
        <w:spacing w:after="0" w:line="128" w:lineRule="exact"/>
        <w:rPr>
          <w:rFonts w:ascii="Arial" w:cs="Arial" w:eastAsia="Arial" w:hAnsi="Arial"/>
          <w:sz w:val="19"/>
          <w:szCs w:val="19"/>
          <w:color w:val="auto"/>
        </w:rPr>
      </w:pPr>
    </w:p>
    <w:p>
      <w:pPr>
        <w:jc w:val="both"/>
        <w:ind w:left="1920" w:hanging="643"/>
        <w:spacing w:after="0" w:line="267" w:lineRule="auto"/>
        <w:tabs>
          <w:tab w:leader="none" w:pos="1920" w:val="left"/>
        </w:tabs>
        <w:numPr>
          <w:ilvl w:val="1"/>
          <w:numId w:val="85"/>
        </w:numPr>
        <w:rPr>
          <w:rFonts w:ascii="Arial" w:cs="Arial" w:eastAsia="Arial" w:hAnsi="Arial"/>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165" w:lineRule="exact"/>
        <w:rPr>
          <w:rFonts w:ascii="Arial" w:cs="Arial" w:eastAsia="Arial" w:hAnsi="Arial"/>
          <w:sz w:val="20"/>
          <w:szCs w:val="20"/>
          <w:color w:val="auto"/>
        </w:rPr>
      </w:pPr>
    </w:p>
    <w:p>
      <w:pPr>
        <w:ind w:left="1920" w:hanging="643"/>
        <w:spacing w:after="0"/>
        <w:tabs>
          <w:tab w:leader="none" w:pos="1920" w:val="left"/>
        </w:tabs>
        <w:numPr>
          <w:ilvl w:val="1"/>
          <w:numId w:val="85"/>
        </w:numPr>
        <w:rPr>
          <w:rFonts w:ascii="Arial" w:cs="Arial" w:eastAsia="Arial" w:hAnsi="Arial"/>
          <w:sz w:val="20"/>
          <w:szCs w:val="20"/>
          <w:color w:val="auto"/>
        </w:rPr>
      </w:pPr>
      <w:r>
        <w:rPr>
          <w:rFonts w:ascii="Arial" w:cs="Arial" w:eastAsia="Arial" w:hAnsi="Arial"/>
          <w:sz w:val="18"/>
          <w:szCs w:val="18"/>
          <w:color w:val="auto"/>
        </w:rPr>
        <w:t>a provision of law is a reference to that provision as amended or re-enacted; and</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85"/>
        </w:numPr>
        <w:rPr>
          <w:rFonts w:ascii="Arial" w:cs="Arial" w:eastAsia="Arial" w:hAnsi="Arial"/>
          <w:sz w:val="20"/>
          <w:szCs w:val="20"/>
          <w:color w:val="auto"/>
        </w:rPr>
      </w:pPr>
      <w:r>
        <w:rPr>
          <w:rFonts w:ascii="Arial" w:cs="Arial" w:eastAsia="Arial" w:hAnsi="Arial"/>
          <w:sz w:val="18"/>
          <w:szCs w:val="18"/>
          <w:color w:val="auto"/>
        </w:rPr>
        <w:t>a time of day is a reference to London time.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37" w:right="339" w:bottom="1440" w:gutter="0" w:footer="0" w:header="0"/>
        </w:sectPr>
      </w:pPr>
    </w:p>
    <w:bookmarkStart w:id="44" w:name="page45"/>
    <w:bookmarkEnd w:id="44"/>
    <w:p>
      <w:pPr>
        <w:ind w:left="1280" w:hanging="624"/>
        <w:spacing w:after="0" w:line="271" w:lineRule="auto"/>
        <w:tabs>
          <w:tab w:leader="none" w:pos="1262" w:val="left"/>
        </w:tabs>
        <w:numPr>
          <w:ilvl w:val="0"/>
          <w:numId w:val="86"/>
        </w:numPr>
        <w:rPr>
          <w:rFonts w:ascii="Arial" w:cs="Arial" w:eastAsia="Arial" w:hAnsi="Arial"/>
          <w:sz w:val="20"/>
          <w:szCs w:val="20"/>
          <w:color w:val="auto"/>
        </w:rPr>
      </w:pPr>
      <w:r>
        <w:rPr>
          <w:rFonts w:ascii="Arial" w:cs="Arial" w:eastAsia="Arial" w:hAnsi="Arial"/>
          <w:sz w:val="18"/>
          <w:szCs w:val="18"/>
          <w:color w:val="auto"/>
        </w:rPr>
        <w:t>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to an Interest Period shall disregard any inconsistency arising from the last day of that Interest Period being determined pursuant to the terms of this Agreement.</w:t>
      </w:r>
    </w:p>
    <w:p>
      <w:pPr>
        <w:spacing w:after="0" w:line="158" w:lineRule="exact"/>
        <w:rPr>
          <w:rFonts w:ascii="Arial" w:cs="Arial" w:eastAsia="Arial" w:hAnsi="Arial"/>
          <w:sz w:val="20"/>
          <w:szCs w:val="20"/>
          <w:color w:val="auto"/>
        </w:rPr>
      </w:pPr>
    </w:p>
    <w:p>
      <w:pPr>
        <w:ind w:left="1260" w:hanging="604"/>
        <w:spacing w:after="0"/>
        <w:tabs>
          <w:tab w:leader="none" w:pos="1260" w:val="left"/>
        </w:tabs>
        <w:numPr>
          <w:ilvl w:val="0"/>
          <w:numId w:val="86"/>
        </w:numPr>
        <w:rPr>
          <w:rFonts w:ascii="Arial" w:cs="Arial" w:eastAsia="Arial" w:hAnsi="Arial"/>
          <w:sz w:val="20"/>
          <w:szCs w:val="20"/>
          <w:color w:val="auto"/>
        </w:rPr>
      </w:pPr>
      <w:r>
        <w:rPr>
          <w:rFonts w:ascii="Arial" w:cs="Arial" w:eastAsia="Arial" w:hAnsi="Arial"/>
          <w:sz w:val="18"/>
          <w:szCs w:val="18"/>
          <w:color w:val="auto"/>
        </w:rPr>
        <w:t>Section, Clause and Schedule headings are for ease of reference only.</w:t>
      </w:r>
    </w:p>
    <w:p>
      <w:pPr>
        <w:spacing w:after="0" w:line="188" w:lineRule="exact"/>
        <w:rPr>
          <w:rFonts w:ascii="Arial" w:cs="Arial" w:eastAsia="Arial" w:hAnsi="Arial"/>
          <w:sz w:val="20"/>
          <w:szCs w:val="20"/>
          <w:color w:val="auto"/>
        </w:rPr>
      </w:pPr>
    </w:p>
    <w:p>
      <w:pPr>
        <w:ind w:left="1280" w:right="20" w:hanging="624"/>
        <w:spacing w:after="0" w:line="266" w:lineRule="auto"/>
        <w:tabs>
          <w:tab w:leader="none" w:pos="1262" w:val="left"/>
        </w:tabs>
        <w:numPr>
          <w:ilvl w:val="0"/>
          <w:numId w:val="86"/>
        </w:numPr>
        <w:rPr>
          <w:rFonts w:ascii="Arial" w:cs="Arial" w:eastAsia="Arial" w:hAnsi="Arial"/>
          <w:sz w:val="20"/>
          <w:szCs w:val="20"/>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3"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86"/>
        </w:numPr>
        <w:rPr>
          <w:rFonts w:ascii="Arial" w:cs="Arial" w:eastAsia="Arial" w:hAnsi="Arial"/>
          <w:sz w:val="20"/>
          <w:szCs w:val="20"/>
          <w:color w:val="auto"/>
        </w:rPr>
      </w:pPr>
      <w:r>
        <w:rPr>
          <w:rFonts w:ascii="Arial" w:cs="Arial" w:eastAsia="Arial" w:hAnsi="Arial"/>
          <w:sz w:val="18"/>
          <w:szCs w:val="18"/>
          <w:color w:val="auto"/>
        </w:rPr>
        <w:t>A Default (other than an Event of Default) is “continuing” if it has not been remedied or waived and an Event of Default is “continuing” if it has not been remedied or waived.</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b w:val="1"/>
          <w:bCs w:val="1"/>
          <w:color w:val="auto"/>
        </w:rPr>
        <w:t>Currency symbols and definitions</w:t>
      </w:r>
    </w:p>
    <w:p>
      <w:pPr>
        <w:spacing w:after="0" w:line="187" w:lineRule="exact"/>
        <w:rPr>
          <w:sz w:val="20"/>
          <w:szCs w:val="20"/>
          <w:color w:val="auto"/>
        </w:rPr>
      </w:pPr>
    </w:p>
    <w:p>
      <w:pPr>
        <w:ind w:left="1260" w:hanging="604"/>
        <w:spacing w:after="0"/>
        <w:tabs>
          <w:tab w:leader="none" w:pos="1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USD</w:t>
      </w:r>
      <w:r>
        <w:rPr>
          <w:rFonts w:ascii="Arial" w:cs="Arial" w:eastAsia="Arial" w:hAnsi="Arial"/>
          <w:sz w:val="18"/>
          <w:szCs w:val="18"/>
          <w:color w:val="auto"/>
        </w:rPr>
        <w:t>” and “</w:t>
      </w:r>
      <w:r>
        <w:rPr>
          <w:rFonts w:ascii="Arial" w:cs="Arial" w:eastAsia="Arial" w:hAnsi="Arial"/>
          <w:sz w:val="18"/>
          <w:szCs w:val="18"/>
          <w:b w:val="1"/>
          <w:bCs w:val="1"/>
          <w:color w:val="auto"/>
        </w:rPr>
        <w:t>dollars</w:t>
      </w:r>
      <w:r>
        <w:rPr>
          <w:rFonts w:ascii="Arial" w:cs="Arial" w:eastAsia="Arial" w:hAnsi="Arial"/>
          <w:sz w:val="18"/>
          <w:szCs w:val="18"/>
          <w:color w:val="auto"/>
        </w:rPr>
        <w:t>” denote the lawful currency of the United States of America.</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EUR</w:t>
      </w:r>
      <w:r>
        <w:rPr>
          <w:rFonts w:ascii="Arial" w:cs="Arial" w:eastAsia="Arial" w:hAnsi="Arial"/>
          <w:sz w:val="18"/>
          <w:szCs w:val="18"/>
          <w:color w:val="auto"/>
        </w:rPr>
        <w:t>” and “</w:t>
      </w:r>
      <w:r>
        <w:rPr>
          <w:rFonts w:ascii="Arial" w:cs="Arial" w:eastAsia="Arial" w:hAnsi="Arial"/>
          <w:sz w:val="18"/>
          <w:szCs w:val="18"/>
          <w:b w:val="1"/>
          <w:bCs w:val="1"/>
          <w:color w:val="auto"/>
        </w:rPr>
        <w:t>euro</w:t>
      </w:r>
      <w:r>
        <w:rPr>
          <w:rFonts w:ascii="Arial" w:cs="Arial" w:eastAsia="Arial" w:hAnsi="Arial"/>
          <w:sz w:val="18"/>
          <w:szCs w:val="18"/>
          <w:color w:val="auto"/>
        </w:rPr>
        <w:t>” denote the single currency of the Participating Member States.</w:t>
      </w:r>
    </w:p>
    <w:p>
      <w:pPr>
        <w:spacing w:after="0" w:line="20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7"/>
          <w:szCs w:val="17"/>
          <w:b w:val="1"/>
          <w:bCs w:val="1"/>
          <w:color w:val="auto"/>
        </w:rPr>
        <w:t>Third party rights</w:t>
      </w:r>
    </w:p>
    <w:p>
      <w:pPr>
        <w:spacing w:after="0" w:line="205" w:lineRule="exact"/>
        <w:rPr>
          <w:sz w:val="20"/>
          <w:szCs w:val="20"/>
          <w:color w:val="auto"/>
        </w:rPr>
      </w:pPr>
    </w:p>
    <w:p>
      <w:pPr>
        <w:ind w:left="1280" w:hanging="624"/>
        <w:spacing w:after="0" w:line="296" w:lineRule="auto"/>
        <w:tabs>
          <w:tab w:leader="none" w:pos="1262" w:val="left"/>
        </w:tabs>
        <w:numPr>
          <w:ilvl w:val="0"/>
          <w:numId w:val="88"/>
        </w:numPr>
        <w:rPr>
          <w:rFonts w:ascii="Arial" w:cs="Arial" w:eastAsia="Arial" w:hAnsi="Arial"/>
          <w:sz w:val="19"/>
          <w:szCs w:val="19"/>
          <w:color w:val="auto"/>
        </w:rPr>
      </w:pPr>
      <w:r>
        <w:rPr>
          <w:rFonts w:ascii="Arial" w:cs="Arial" w:eastAsia="Arial" w:hAnsi="Arial"/>
          <w:sz w:val="17"/>
          <w:szCs w:val="17"/>
          <w:color w:val="auto"/>
        </w:rPr>
        <w:t>Unless expressly provided to the contrary in a Finance Document a person who is not a Party has no right under the Contracts (Rights of Third Parties) Act 1999 (the “</w:t>
      </w:r>
      <w:r>
        <w:rPr>
          <w:rFonts w:ascii="Arial" w:cs="Arial" w:eastAsia="Arial" w:hAnsi="Arial"/>
          <w:sz w:val="17"/>
          <w:szCs w:val="17"/>
          <w:b w:val="1"/>
          <w:bCs w:val="1"/>
          <w:color w:val="auto"/>
        </w:rPr>
        <w:t>Third Parties Act</w:t>
      </w:r>
      <w:r>
        <w:rPr>
          <w:rFonts w:ascii="Arial" w:cs="Arial" w:eastAsia="Arial" w:hAnsi="Arial"/>
          <w:sz w:val="17"/>
          <w:szCs w:val="17"/>
          <w:color w:val="auto"/>
        </w:rPr>
        <w:t>”) to enforce or to enjoy the benefit of any term of this Agreement.</w:t>
      </w:r>
    </w:p>
    <w:p>
      <w:pPr>
        <w:spacing w:after="0" w:line="137" w:lineRule="exact"/>
        <w:rPr>
          <w:rFonts w:ascii="Arial" w:cs="Arial" w:eastAsia="Arial" w:hAnsi="Arial"/>
          <w:sz w:val="19"/>
          <w:szCs w:val="19"/>
          <w:color w:val="auto"/>
        </w:rPr>
      </w:pPr>
    </w:p>
    <w:p>
      <w:pPr>
        <w:ind w:left="1280" w:hanging="624"/>
        <w:spacing w:after="0" w:line="266" w:lineRule="auto"/>
        <w:tabs>
          <w:tab w:leader="none" w:pos="1262" w:val="left"/>
        </w:tabs>
        <w:numPr>
          <w:ilvl w:val="0"/>
          <w:numId w:val="88"/>
        </w:numPr>
        <w:rPr>
          <w:rFonts w:ascii="Arial" w:cs="Arial" w:eastAsia="Arial" w:hAnsi="Arial"/>
          <w:sz w:val="20"/>
          <w:szCs w:val="20"/>
          <w:color w:val="auto"/>
        </w:rPr>
      </w:pPr>
      <w:r>
        <w:rPr>
          <w:rFonts w:ascii="Arial" w:cs="Arial" w:eastAsia="Arial" w:hAnsi="Arial"/>
          <w:sz w:val="18"/>
          <w:szCs w:val="18"/>
          <w:color w:val="auto"/>
        </w:rPr>
        <w:t>Notwithstanding any term of any Finance Document, the consent of any person who is not a Party is not required to rescind or vary this Agreement at any time.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51" w:right="339" w:bottom="1440" w:gutter="0" w:footer="0" w:header="0"/>
        </w:sectPr>
      </w:pPr>
    </w:p>
    <w:bookmarkStart w:id="45" w:name="page46"/>
    <w:bookmarkEnd w:id="45"/>
    <w:p>
      <w:pPr>
        <w:ind w:left="5120"/>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FACILITY</w:t>
      </w:r>
    </w:p>
    <w:p>
      <w:pPr>
        <w:spacing w:after="0" w:line="193" w:lineRule="exact"/>
        <w:rPr>
          <w:sz w:val="20"/>
          <w:szCs w:val="20"/>
          <w:color w:val="auto"/>
        </w:rPr>
      </w:pPr>
    </w:p>
    <w:p>
      <w:pPr>
        <w:ind w:left="620" w:hanging="612"/>
        <w:spacing w:after="0"/>
        <w:tabs>
          <w:tab w:leader="none" w:pos="620" w:val="left"/>
        </w:tabs>
        <w:numPr>
          <w:ilvl w:val="0"/>
          <w:numId w:val="89"/>
        </w:numPr>
        <w:rPr>
          <w:rFonts w:ascii="Arial" w:cs="Arial" w:eastAsia="Arial" w:hAnsi="Arial"/>
          <w:sz w:val="20"/>
          <w:szCs w:val="20"/>
          <w:b w:val="1"/>
          <w:bCs w:val="1"/>
          <w:color w:val="auto"/>
        </w:rPr>
      </w:pPr>
      <w:r>
        <w:rPr>
          <w:rFonts w:ascii="Arial" w:cs="Arial" w:eastAsia="Arial" w:hAnsi="Arial"/>
          <w:sz w:val="18"/>
          <w:szCs w:val="18"/>
          <w:b w:val="1"/>
          <w:bCs w:val="1"/>
          <w:color w:val="auto"/>
        </w:rPr>
        <w:t>THE FACILITY</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7"/>
          <w:szCs w:val="17"/>
          <w:b w:val="1"/>
          <w:bCs w:val="1"/>
          <w:color w:val="auto"/>
        </w:rPr>
        <w:t>The Facility</w:t>
      </w:r>
    </w:p>
    <w:p>
      <w:pPr>
        <w:spacing w:after="0" w:line="191"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Subject to the terms of this Agreement, the Lender makes available to the Company a euro revolving loan facility in an aggregate amount equal to the Commitment.</w:t>
      </w:r>
    </w:p>
    <w:p>
      <w:pPr>
        <w:spacing w:after="0" w:line="153" w:lineRule="exact"/>
        <w:rPr>
          <w:sz w:val="20"/>
          <w:szCs w:val="20"/>
          <w:color w:val="auto"/>
        </w:rPr>
      </w:pPr>
    </w:p>
    <w:p>
      <w:pPr>
        <w:ind w:left="620" w:hanging="612"/>
        <w:spacing w:after="0"/>
        <w:tabs>
          <w:tab w:leader="none" w:pos="620" w:val="left"/>
        </w:tabs>
        <w:numPr>
          <w:ilvl w:val="0"/>
          <w:numId w:val="90"/>
        </w:numPr>
        <w:rPr>
          <w:rFonts w:ascii="Arial" w:cs="Arial" w:eastAsia="Arial" w:hAnsi="Arial"/>
          <w:sz w:val="20"/>
          <w:szCs w:val="20"/>
          <w:b w:val="1"/>
          <w:bCs w:val="1"/>
          <w:color w:val="auto"/>
        </w:rPr>
      </w:pPr>
      <w:r>
        <w:rPr>
          <w:rFonts w:ascii="Arial" w:cs="Arial" w:eastAsia="Arial" w:hAnsi="Arial"/>
          <w:sz w:val="18"/>
          <w:szCs w:val="18"/>
          <w:b w:val="1"/>
          <w:bCs w:val="1"/>
          <w:color w:val="auto"/>
        </w:rPr>
        <w:t>PURPOSE</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5"/>
          <w:szCs w:val="15"/>
          <w:b w:val="1"/>
          <w:bCs w:val="1"/>
          <w:color w:val="auto"/>
        </w:rPr>
        <w:t>Purpose</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Company shall apply all amounts borrowed by it under the Facility towards general corporate and working capital purposes of the Group (excluding acquisitions, dividends and share buybacks).</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7"/>
          <w:szCs w:val="17"/>
          <w:b w:val="1"/>
          <w:bCs w:val="1"/>
          <w:color w:val="auto"/>
        </w:rPr>
        <w:t>Monitoring</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Lender is not bound to monitor or verify the application of any amount borrowed pursuant to this Agreement.</w:t>
      </w:r>
    </w:p>
    <w:p>
      <w:pPr>
        <w:spacing w:after="0" w:line="208" w:lineRule="exact"/>
        <w:rPr>
          <w:sz w:val="20"/>
          <w:szCs w:val="20"/>
          <w:color w:val="auto"/>
        </w:rPr>
      </w:pPr>
    </w:p>
    <w:p>
      <w:pPr>
        <w:ind w:left="620" w:hanging="612"/>
        <w:spacing w:after="0"/>
        <w:tabs>
          <w:tab w:leader="none" w:pos="620" w:val="left"/>
        </w:tabs>
        <w:numPr>
          <w:ilvl w:val="0"/>
          <w:numId w:val="91"/>
        </w:numPr>
        <w:rPr>
          <w:rFonts w:ascii="Arial" w:cs="Arial" w:eastAsia="Arial" w:hAnsi="Arial"/>
          <w:sz w:val="20"/>
          <w:szCs w:val="20"/>
          <w:b w:val="1"/>
          <w:bCs w:val="1"/>
          <w:color w:val="auto"/>
        </w:rPr>
      </w:pPr>
      <w:r>
        <w:rPr>
          <w:rFonts w:ascii="Arial" w:cs="Arial" w:eastAsia="Arial" w:hAnsi="Arial"/>
          <w:sz w:val="18"/>
          <w:szCs w:val="18"/>
          <w:b w:val="1"/>
          <w:bCs w:val="1"/>
          <w:color w:val="auto"/>
        </w:rPr>
        <w:t>CONDITIONS OF UTILISATION</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b w:val="1"/>
          <w:bCs w:val="1"/>
          <w:color w:val="auto"/>
        </w:rPr>
        <w:t>Initial conditions precedent</w:t>
      </w:r>
    </w:p>
    <w:p>
      <w:pPr>
        <w:spacing w:after="0" w:line="19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The Lender will only be obliged to comply with Clause 5.4 (</w:t>
      </w:r>
      <w:r>
        <w:rPr>
          <w:rFonts w:ascii="Arial" w:cs="Arial" w:eastAsia="Arial" w:hAnsi="Arial"/>
          <w:sz w:val="18"/>
          <w:szCs w:val="18"/>
          <w:i w:val="1"/>
          <w:iCs w:val="1"/>
          <w:color w:val="auto"/>
        </w:rPr>
        <w:t>Loan availability)</w:t>
      </w:r>
      <w:r>
        <w:rPr>
          <w:rFonts w:ascii="Arial" w:cs="Arial" w:eastAsia="Arial" w:hAnsi="Arial"/>
          <w:sz w:val="18"/>
          <w:szCs w:val="18"/>
          <w:color w:val="auto"/>
        </w:rPr>
        <w:t xml:space="preserve"> in relation to any Utilisation if on or before the Utilisation Date for that Utilisation, it has received all of the documents and other evidence listed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it. The Lender shall notify the Company promptly upon being so satisfied.</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b w:val="1"/>
          <w:bCs w:val="1"/>
          <w:color w:val="auto"/>
        </w:rPr>
        <w:t>Further conditions precedent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Lender will only be obliged to comply with Clause 5.4 (</w:t>
      </w:r>
      <w:r>
        <w:rPr>
          <w:rFonts w:ascii="Arial" w:cs="Arial" w:eastAsia="Arial" w:hAnsi="Arial"/>
          <w:sz w:val="17"/>
          <w:szCs w:val="17"/>
          <w:i w:val="1"/>
          <w:iCs w:val="1"/>
          <w:color w:val="auto"/>
        </w:rPr>
        <w:t>Loan availability</w:t>
      </w:r>
      <w:r>
        <w:rPr>
          <w:rFonts w:ascii="Arial" w:cs="Arial" w:eastAsia="Arial" w:hAnsi="Arial"/>
          <w:sz w:val="17"/>
          <w:szCs w:val="17"/>
          <w:color w:val="auto"/>
        </w:rPr>
        <w:t>) if on the date of the Utilisation Request and on the proposed</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Utilisation Date:</w:t>
      </w:r>
    </w:p>
    <w:p>
      <w:pPr>
        <w:spacing w:after="0" w:line="184" w:lineRule="exact"/>
        <w:rPr>
          <w:sz w:val="20"/>
          <w:szCs w:val="20"/>
          <w:color w:val="auto"/>
        </w:rPr>
      </w:pPr>
    </w:p>
    <w:p>
      <w:pPr>
        <w:ind w:left="1280" w:hanging="624"/>
        <w:spacing w:after="0" w:line="277" w:lineRule="auto"/>
        <w:tabs>
          <w:tab w:leader="none" w:pos="12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case of a Rollover Loan, no Event of Default is continuing or would result from the proposed Loan and, in the case of any other Loan, no Default is continuing or would result from the proposed Loan; and</w:t>
      </w:r>
    </w:p>
    <w:p>
      <w:pPr>
        <w:spacing w:after="0" w:line="143" w:lineRule="exact"/>
        <w:rPr>
          <w:rFonts w:ascii="Arial" w:cs="Arial" w:eastAsia="Arial" w:hAnsi="Arial"/>
          <w:sz w:val="18"/>
          <w:szCs w:val="18"/>
          <w:color w:val="auto"/>
        </w:rPr>
      </w:pPr>
    </w:p>
    <w:p>
      <w:pPr>
        <w:ind w:left="1260" w:hanging="604"/>
        <w:spacing w:after="0"/>
        <w:tabs>
          <w:tab w:leader="none" w:pos="1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Repeating Representations to be made by the Company are true in all material respects.</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b w:val="1"/>
          <w:bCs w:val="1"/>
          <w:color w:val="auto"/>
        </w:rPr>
        <w:t>Maximum number of Loans</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Company may not deliver a Utilisation Request if as a result of the proposed Utilisation more than eight Loans would be outstanding.</w:t>
      </w:r>
    </w:p>
    <w:p>
      <w:pPr>
        <w:spacing w:after="0" w:line="19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UTILISATION</w:t>
      </w:r>
    </w:p>
    <w:p>
      <w:pPr>
        <w:spacing w:after="0" w:line="193" w:lineRule="exact"/>
        <w:rPr>
          <w:sz w:val="20"/>
          <w:szCs w:val="20"/>
          <w:color w:val="auto"/>
        </w:rPr>
      </w:pPr>
    </w:p>
    <w:p>
      <w:pPr>
        <w:ind w:left="620" w:hanging="612"/>
        <w:spacing w:after="0"/>
        <w:tabs>
          <w:tab w:leader="none" w:pos="620" w:val="left"/>
        </w:tabs>
        <w:numPr>
          <w:ilvl w:val="0"/>
          <w:numId w:val="93"/>
        </w:numPr>
        <w:rPr>
          <w:rFonts w:ascii="Arial" w:cs="Arial" w:eastAsia="Arial" w:hAnsi="Arial"/>
          <w:sz w:val="20"/>
          <w:szCs w:val="20"/>
          <w:b w:val="1"/>
          <w:bCs w:val="1"/>
          <w:color w:val="auto"/>
        </w:rPr>
      </w:pPr>
      <w:r>
        <w:rPr>
          <w:rFonts w:ascii="Arial" w:cs="Arial" w:eastAsia="Arial" w:hAnsi="Arial"/>
          <w:sz w:val="18"/>
          <w:szCs w:val="18"/>
          <w:b w:val="1"/>
          <w:bCs w:val="1"/>
          <w:color w:val="auto"/>
        </w:rPr>
        <w:t>UTILISATION</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Company may utilise the Facility by delivery to the Lender of a duly completed Utilisation Request not later than 9:30 am (Milan time) on the day two Business Days prior to the Utilisation Date.</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b w:val="1"/>
          <w:bCs w:val="1"/>
          <w:color w:val="auto"/>
        </w:rPr>
        <w:t>Completion of a Utilisation Request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37" w:right="339" w:bottom="1440" w:gutter="0" w:footer="0" w:header="0"/>
        </w:sectPr>
      </w:pPr>
    </w:p>
    <w:bookmarkStart w:id="46" w:name="page47"/>
    <w:bookmarkEnd w:id="46"/>
    <w:p>
      <w:pPr>
        <w:ind w:left="1260" w:hanging="604"/>
        <w:spacing w:after="0"/>
        <w:tabs>
          <w:tab w:leader="none" w:pos="1260" w:val="left"/>
        </w:tabs>
        <w:numPr>
          <w:ilvl w:val="0"/>
          <w:numId w:val="94"/>
        </w:numPr>
        <w:rPr>
          <w:rFonts w:ascii="Arial" w:cs="Arial" w:eastAsia="Arial" w:hAnsi="Arial"/>
          <w:sz w:val="20"/>
          <w:szCs w:val="20"/>
          <w:color w:val="auto"/>
        </w:rPr>
      </w:pPr>
      <w:r>
        <w:rPr>
          <w:rFonts w:ascii="Arial" w:cs="Arial" w:eastAsia="Arial" w:hAnsi="Arial"/>
          <w:sz w:val="18"/>
          <w:szCs w:val="18"/>
          <w:color w:val="auto"/>
        </w:rPr>
        <w:t>Each Utilisation Request is irrevocable and will not be regarded as having been duly completed unless:</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94"/>
        </w:numPr>
        <w:rPr>
          <w:rFonts w:ascii="Arial" w:cs="Arial" w:eastAsia="Arial" w:hAnsi="Arial"/>
          <w:sz w:val="20"/>
          <w:szCs w:val="20"/>
          <w:color w:val="auto"/>
        </w:rPr>
      </w:pPr>
      <w:r>
        <w:rPr>
          <w:rFonts w:ascii="Arial" w:cs="Arial" w:eastAsia="Arial" w:hAnsi="Arial"/>
          <w:sz w:val="18"/>
          <w:szCs w:val="18"/>
          <w:color w:val="auto"/>
        </w:rPr>
        <w:t>the proposed Utilisation Date is a Business Day within the Availability Period;</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94"/>
        </w:numPr>
        <w:rPr>
          <w:rFonts w:ascii="Arial" w:cs="Arial" w:eastAsia="Arial" w:hAnsi="Arial"/>
          <w:sz w:val="20"/>
          <w:szCs w:val="20"/>
          <w:color w:val="auto"/>
        </w:rPr>
      </w:pPr>
      <w:r>
        <w:rPr>
          <w:rFonts w:ascii="Arial" w:cs="Arial" w:eastAsia="Arial" w:hAnsi="Arial"/>
          <w:sz w:val="18"/>
          <w:szCs w:val="18"/>
          <w:color w:val="auto"/>
        </w:rPr>
        <w:t>the amount of the Utilisation comply with Clause 5.3 (</w:t>
      </w:r>
      <w:r>
        <w:rPr>
          <w:rFonts w:ascii="Arial" w:cs="Arial" w:eastAsia="Arial" w:hAnsi="Arial"/>
          <w:sz w:val="18"/>
          <w:szCs w:val="18"/>
          <w:i w:val="1"/>
          <w:iCs w:val="1"/>
          <w:color w:val="auto"/>
        </w:rPr>
        <w:t>Amount</w:t>
      </w:r>
      <w:r>
        <w:rPr>
          <w:rFonts w:ascii="Arial" w:cs="Arial" w:eastAsia="Arial" w:hAnsi="Arial"/>
          <w:sz w:val="18"/>
          <w:szCs w:val="18"/>
          <w:color w:val="auto"/>
        </w:rPr>
        <w:t>); and</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94"/>
        </w:numPr>
        <w:rPr>
          <w:rFonts w:ascii="Arial" w:cs="Arial" w:eastAsia="Arial" w:hAnsi="Arial"/>
          <w:sz w:val="20"/>
          <w:szCs w:val="20"/>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94"/>
        </w:numPr>
        <w:rPr>
          <w:rFonts w:ascii="Arial" w:cs="Arial" w:eastAsia="Arial" w:hAnsi="Arial"/>
          <w:sz w:val="20"/>
          <w:szCs w:val="20"/>
          <w:color w:val="auto"/>
        </w:rPr>
      </w:pPr>
      <w:r>
        <w:rPr>
          <w:rFonts w:ascii="Arial" w:cs="Arial" w:eastAsia="Arial" w:hAnsi="Arial"/>
          <w:sz w:val="18"/>
          <w:szCs w:val="18"/>
          <w:color w:val="auto"/>
        </w:rPr>
        <w:t>Only one Loan may be requested in each Utilisation Request.</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b w:val="1"/>
          <w:bCs w:val="1"/>
          <w:color w:val="auto"/>
        </w:rPr>
        <w:t>Amount</w:t>
      </w:r>
    </w:p>
    <w:p>
      <w:pPr>
        <w:spacing w:after="0" w:line="191"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The amount of the proposed Loan must be an amount which is not more than the Available Facility and which is a minimum of EUR 5,000,000 or, if less, the Available Facility.</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b w:val="1"/>
          <w:bCs w:val="1"/>
          <w:color w:val="auto"/>
        </w:rPr>
        <w:t>Loan availability</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If the conditions set out in this Agreement have been met the Lender shall make each Loan available by the Utilisation Date through its Facility Office.</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6"/>
          <w:szCs w:val="16"/>
          <w:b w:val="1"/>
          <w:bCs w:val="1"/>
          <w:color w:val="auto"/>
        </w:rPr>
        <w:t>Cancellation of Commitment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Commitment which, at that time, is unutilised shall be immediately cancelled at the end of the Availability Period.</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REPAYMENT, PREPAYMENT AND CANCELLATION</w:t>
      </w:r>
    </w:p>
    <w:p>
      <w:pPr>
        <w:spacing w:after="0" w:line="193" w:lineRule="exact"/>
        <w:rPr>
          <w:sz w:val="20"/>
          <w:szCs w:val="20"/>
          <w:color w:val="auto"/>
        </w:rPr>
      </w:pPr>
    </w:p>
    <w:p>
      <w:pPr>
        <w:ind w:left="620" w:hanging="612"/>
        <w:spacing w:after="0"/>
        <w:tabs>
          <w:tab w:leader="none" w:pos="620" w:val="left"/>
        </w:tabs>
        <w:numPr>
          <w:ilvl w:val="0"/>
          <w:numId w:val="95"/>
        </w:numPr>
        <w:rPr>
          <w:rFonts w:ascii="Arial" w:cs="Arial" w:eastAsia="Arial" w:hAnsi="Arial"/>
          <w:sz w:val="20"/>
          <w:szCs w:val="20"/>
          <w:b w:val="1"/>
          <w:bCs w:val="1"/>
          <w:color w:val="auto"/>
        </w:rPr>
      </w:pPr>
      <w:r>
        <w:rPr>
          <w:rFonts w:ascii="Arial" w:cs="Arial" w:eastAsia="Arial" w:hAnsi="Arial"/>
          <w:sz w:val="18"/>
          <w:szCs w:val="18"/>
          <w:b w:val="1"/>
          <w:bCs w:val="1"/>
          <w:color w:val="auto"/>
        </w:rPr>
        <w:t>REPAYMENT</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b w:val="1"/>
          <w:bCs w:val="1"/>
          <w:color w:val="auto"/>
        </w:rPr>
        <w:t>Repayment of Loans</w:t>
      </w:r>
    </w:p>
    <w:p>
      <w:pPr>
        <w:spacing w:after="0" w:line="205" w:lineRule="exact"/>
        <w:rPr>
          <w:sz w:val="20"/>
          <w:szCs w:val="20"/>
          <w:color w:val="auto"/>
        </w:rPr>
      </w:pPr>
    </w:p>
    <w:p>
      <w:pPr>
        <w:ind w:left="1260" w:hanging="604"/>
        <w:spacing w:after="0"/>
        <w:tabs>
          <w:tab w:leader="none" w:pos="1260" w:val="left"/>
        </w:tabs>
        <w:numPr>
          <w:ilvl w:val="0"/>
          <w:numId w:val="96"/>
        </w:numPr>
        <w:rPr>
          <w:rFonts w:ascii="Arial" w:cs="Arial" w:eastAsia="Arial" w:hAnsi="Arial"/>
          <w:sz w:val="20"/>
          <w:szCs w:val="20"/>
          <w:color w:val="auto"/>
        </w:rPr>
      </w:pPr>
      <w:r>
        <w:rPr>
          <w:rFonts w:ascii="Arial" w:cs="Arial" w:eastAsia="Arial" w:hAnsi="Arial"/>
          <w:sz w:val="18"/>
          <w:szCs w:val="18"/>
          <w:color w:val="auto"/>
        </w:rPr>
        <w:t>The Company shall repay the Loan on the last day of its Interest Period.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96"/>
        </w:numPr>
        <w:rPr>
          <w:rFonts w:ascii="Arial" w:cs="Arial" w:eastAsia="Arial" w:hAnsi="Arial"/>
          <w:sz w:val="18"/>
          <w:szCs w:val="18"/>
          <w:color w:val="auto"/>
        </w:rPr>
      </w:pPr>
      <w:r>
        <w:rPr>
          <w:rFonts w:ascii="Arial" w:cs="Arial" w:eastAsia="Arial" w:hAnsi="Arial"/>
          <w:sz w:val="16"/>
          <w:szCs w:val="16"/>
          <w:color w:val="auto"/>
        </w:rPr>
        <w:t>Without prejudice to the Company's obligation under paragraph (a) above, if one or more Loans are to be made available to the Company:</w:t>
      </w:r>
    </w:p>
    <w:p>
      <w:pPr>
        <w:spacing w:after="0" w:line="198" w:lineRule="exact"/>
        <w:rPr>
          <w:rFonts w:ascii="Arial" w:cs="Arial" w:eastAsia="Arial" w:hAnsi="Arial"/>
          <w:sz w:val="18"/>
          <w:szCs w:val="18"/>
          <w:color w:val="auto"/>
        </w:rPr>
      </w:pPr>
    </w:p>
    <w:p>
      <w:pPr>
        <w:ind w:left="2600" w:hanging="648"/>
        <w:spacing w:after="0"/>
        <w:tabs>
          <w:tab w:leader="none" w:pos="26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on the same day that a maturing Loan is due to be repaid by the Company; and</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whole or in part for the purpose of refinancing the maturing Loan,</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aggregate amount of the new Loans shall, unless the Company notifies the Lender to the contrary in the relevant Utilisation Request, be treated as if applied in or towards repayment of the maturing Loan so that:</w:t>
      </w:r>
    </w:p>
    <w:p>
      <w:pPr>
        <w:spacing w:after="0" w:line="143" w:lineRule="exact"/>
        <w:rPr>
          <w:sz w:val="20"/>
          <w:szCs w:val="20"/>
          <w:color w:val="auto"/>
        </w:rPr>
      </w:pPr>
    </w:p>
    <w:p>
      <w:pPr>
        <w:ind w:left="2600" w:hanging="648"/>
        <w:spacing w:after="0"/>
        <w:tabs>
          <w:tab w:leader="none" w:pos="2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amount of the maturing Loan exceeds the aggregate amount of the new Loans:</w:t>
      </w:r>
    </w:p>
    <w:p>
      <w:pPr>
        <w:spacing w:after="0" w:line="225" w:lineRule="exact"/>
        <w:rPr>
          <w:rFonts w:ascii="Arial" w:cs="Arial" w:eastAsia="Arial" w:hAnsi="Arial"/>
          <w:sz w:val="18"/>
          <w:szCs w:val="18"/>
          <w:color w:val="auto"/>
        </w:rPr>
      </w:pPr>
    </w:p>
    <w:p>
      <w:pPr>
        <w:ind w:left="3900" w:hanging="652"/>
        <w:spacing w:after="0" w:line="277" w:lineRule="auto"/>
        <w:tabs>
          <w:tab w:leader="none" w:pos="3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Company will only be required to make a payment under Clause 25.1 (</w:t>
      </w:r>
      <w:r>
        <w:rPr>
          <w:rFonts w:ascii="Arial" w:cs="Arial" w:eastAsia="Arial" w:hAnsi="Arial"/>
          <w:sz w:val="18"/>
          <w:szCs w:val="18"/>
          <w:i w:val="1"/>
          <w:iCs w:val="1"/>
          <w:color w:val="auto"/>
        </w:rPr>
        <w:t>Payments to the Lender</w:t>
      </w:r>
      <w:r>
        <w:rPr>
          <w:rFonts w:ascii="Arial" w:cs="Arial" w:eastAsia="Arial" w:hAnsi="Arial"/>
          <w:sz w:val="18"/>
          <w:szCs w:val="18"/>
          <w:color w:val="auto"/>
        </w:rPr>
        <w:t>) in an amount equal to that excess; and</w:t>
      </w:r>
    </w:p>
    <w:p>
      <w:pPr>
        <w:spacing w:after="0" w:line="170" w:lineRule="exact"/>
        <w:rPr>
          <w:rFonts w:ascii="Arial" w:cs="Arial" w:eastAsia="Arial" w:hAnsi="Arial"/>
          <w:sz w:val="18"/>
          <w:szCs w:val="18"/>
          <w:color w:val="auto"/>
        </w:rPr>
      </w:pPr>
    </w:p>
    <w:p>
      <w:pPr>
        <w:jc w:val="both"/>
        <w:ind w:left="3900" w:hanging="652"/>
        <w:spacing w:after="0" w:line="263" w:lineRule="auto"/>
        <w:tabs>
          <w:tab w:leader="none" w:pos="3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new Loans shall be treated as having been made available and applied by the Company in or towards repayment of the maturing Loan and the Lender will not be required to make a payment under Clause 25.1 (</w:t>
      </w:r>
      <w:r>
        <w:rPr>
          <w:rFonts w:ascii="Arial" w:cs="Arial" w:eastAsia="Arial" w:hAnsi="Arial"/>
          <w:sz w:val="18"/>
          <w:szCs w:val="18"/>
          <w:i w:val="1"/>
          <w:iCs w:val="1"/>
          <w:color w:val="auto"/>
        </w:rPr>
        <w:t>Payments to the Lender</w:t>
      </w:r>
      <w:r>
        <w:rPr>
          <w:rFonts w:ascii="Arial" w:cs="Arial" w:eastAsia="Arial" w:hAnsi="Arial"/>
          <w:sz w:val="18"/>
          <w:szCs w:val="18"/>
          <w:color w:val="auto"/>
        </w:rPr>
        <w:t>) in respect of the new Loans;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55" w:right="339" w:bottom="1440" w:gutter="0" w:footer="0" w:header="0"/>
        </w:sectPr>
      </w:pPr>
    </w:p>
    <w:bookmarkStart w:id="47" w:name="page48"/>
    <w:bookmarkEnd w:id="47"/>
    <w:p>
      <w:pPr>
        <w:ind w:left="2600" w:hanging="648"/>
        <w:spacing w:after="0"/>
        <w:tabs>
          <w:tab w:leader="none" w:pos="2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the amount of the maturing Loan is equal to or less than the aggregate amount of the new Loans:</w:t>
      </w:r>
    </w:p>
    <w:p>
      <w:pPr>
        <w:spacing w:after="0" w:line="225" w:lineRule="exact"/>
        <w:rPr>
          <w:rFonts w:ascii="Arial" w:cs="Arial" w:eastAsia="Arial" w:hAnsi="Arial"/>
          <w:sz w:val="18"/>
          <w:szCs w:val="18"/>
          <w:color w:val="auto"/>
        </w:rPr>
      </w:pPr>
    </w:p>
    <w:p>
      <w:pPr>
        <w:ind w:left="3900" w:hanging="652"/>
        <w:spacing w:after="0" w:line="277" w:lineRule="auto"/>
        <w:tabs>
          <w:tab w:leader="none" w:pos="39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Company will not be required to make a payment under Clause 25.1 (</w:t>
      </w:r>
      <w:r>
        <w:rPr>
          <w:rFonts w:ascii="Arial" w:cs="Arial" w:eastAsia="Arial" w:hAnsi="Arial"/>
          <w:sz w:val="18"/>
          <w:szCs w:val="18"/>
          <w:i w:val="1"/>
          <w:iCs w:val="1"/>
          <w:color w:val="auto"/>
        </w:rPr>
        <w:t>Payments to the Lender)</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3900" w:hanging="652"/>
        <w:spacing w:after="0" w:line="259" w:lineRule="auto"/>
        <w:tabs>
          <w:tab w:leader="none" w:pos="39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Lender will be required to make a payment under Clause 25.1 (</w:t>
      </w:r>
      <w:r>
        <w:rPr>
          <w:rFonts w:ascii="Arial" w:cs="Arial" w:eastAsia="Arial" w:hAnsi="Arial"/>
          <w:sz w:val="18"/>
          <w:szCs w:val="18"/>
          <w:i w:val="1"/>
          <w:iCs w:val="1"/>
          <w:color w:val="auto"/>
        </w:rPr>
        <w:t>Payments to the Lender</w:t>
      </w:r>
      <w:r>
        <w:rPr>
          <w:rFonts w:ascii="Arial" w:cs="Arial" w:eastAsia="Arial" w:hAnsi="Arial"/>
          <w:sz w:val="18"/>
          <w:szCs w:val="18"/>
          <w:color w:val="auto"/>
        </w:rPr>
        <w:t>) in respect of the new Loans only to the extent that the new Loans exceeds the maturing Loan and the remainder of the new Loans shall be treated as having been made available and applied by the Company in or towards repayment of the maturing Loan.</w:t>
      </w:r>
    </w:p>
    <w:p>
      <w:pPr>
        <w:spacing w:after="0" w:line="196" w:lineRule="exact"/>
        <w:rPr>
          <w:rFonts w:ascii="Arial" w:cs="Arial" w:eastAsia="Arial" w:hAnsi="Arial"/>
          <w:sz w:val="18"/>
          <w:szCs w:val="18"/>
          <w:color w:val="auto"/>
        </w:rPr>
      </w:pPr>
    </w:p>
    <w:p>
      <w:pPr>
        <w:ind w:left="620" w:hanging="612"/>
        <w:spacing w:after="0"/>
        <w:tabs>
          <w:tab w:leader="none" w:pos="620" w:val="left"/>
        </w:tabs>
        <w:numPr>
          <w:ilvl w:val="0"/>
          <w:numId w:val="99"/>
        </w:numPr>
        <w:rPr>
          <w:rFonts w:ascii="Arial" w:cs="Arial" w:eastAsia="Arial" w:hAnsi="Arial"/>
          <w:sz w:val="20"/>
          <w:szCs w:val="20"/>
          <w:b w:val="1"/>
          <w:bCs w:val="1"/>
          <w:color w:val="auto"/>
        </w:rPr>
      </w:pPr>
      <w:r>
        <w:rPr>
          <w:rFonts w:ascii="Arial" w:cs="Arial" w:eastAsia="Arial" w:hAnsi="Arial"/>
          <w:sz w:val="18"/>
          <w:szCs w:val="18"/>
          <w:b w:val="1"/>
          <w:bCs w:val="1"/>
          <w:color w:val="auto"/>
        </w:rPr>
        <w:t>PREPAYMENT AND CANCELLATION</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color w:val="auto"/>
        </w:rPr>
        <w:t>Illegality</w:t>
      </w:r>
    </w:p>
    <w:p>
      <w:pPr>
        <w:spacing w:after="0" w:line="191" w:lineRule="exact"/>
        <w:rPr>
          <w:sz w:val="20"/>
          <w:szCs w:val="20"/>
          <w:color w:val="auto"/>
        </w:rPr>
      </w:pPr>
    </w:p>
    <w:p>
      <w:pPr>
        <w:ind w:left="620"/>
        <w:spacing w:after="0" w:line="308" w:lineRule="auto"/>
        <w:rPr>
          <w:sz w:val="20"/>
          <w:szCs w:val="20"/>
          <w:color w:val="auto"/>
        </w:rPr>
      </w:pPr>
      <w:r>
        <w:rPr>
          <w:rFonts w:ascii="Arial" w:cs="Arial" w:eastAsia="Arial" w:hAnsi="Arial"/>
          <w:sz w:val="17"/>
          <w:szCs w:val="17"/>
          <w:color w:val="auto"/>
        </w:rPr>
        <w:t>If, in any applicable jurisdiction, it becomes unlawful for the Lender to perform any of its obligations as contemplated by this Agreement or to fund or maintain its participation in any Loan or it becomes unlawful for any Affiliate of the Lender for that Lender to do so:</w:t>
      </w:r>
    </w:p>
    <w:p>
      <w:pPr>
        <w:spacing w:after="0" w:line="133" w:lineRule="exact"/>
        <w:rPr>
          <w:sz w:val="20"/>
          <w:szCs w:val="20"/>
          <w:color w:val="auto"/>
        </w:rPr>
      </w:pPr>
    </w:p>
    <w:p>
      <w:pPr>
        <w:ind w:left="1260" w:hanging="604"/>
        <w:spacing w:after="0"/>
        <w:tabs>
          <w:tab w:leader="none" w:pos="1260" w:val="left"/>
        </w:tabs>
        <w:numPr>
          <w:ilvl w:val="0"/>
          <w:numId w:val="100"/>
        </w:numPr>
        <w:rPr>
          <w:rFonts w:ascii="Arial" w:cs="Arial" w:eastAsia="Arial" w:hAnsi="Arial"/>
          <w:sz w:val="20"/>
          <w:szCs w:val="20"/>
          <w:color w:val="auto"/>
        </w:rPr>
      </w:pPr>
      <w:r>
        <w:rPr>
          <w:rFonts w:ascii="Arial" w:cs="Arial" w:eastAsia="Arial" w:hAnsi="Arial"/>
          <w:sz w:val="18"/>
          <w:szCs w:val="18"/>
          <w:color w:val="auto"/>
        </w:rPr>
        <w:t>the Lender shall promptly notify the Company upon becoming aware of that event;</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00"/>
        </w:numPr>
        <w:rPr>
          <w:rFonts w:ascii="Arial" w:cs="Arial" w:eastAsia="Arial" w:hAnsi="Arial"/>
          <w:sz w:val="20"/>
          <w:szCs w:val="20"/>
          <w:color w:val="auto"/>
        </w:rPr>
      </w:pPr>
      <w:r>
        <w:rPr>
          <w:rFonts w:ascii="Arial" w:cs="Arial" w:eastAsia="Arial" w:hAnsi="Arial"/>
          <w:sz w:val="18"/>
          <w:szCs w:val="18"/>
          <w:color w:val="auto"/>
        </w:rPr>
        <w:t>upon the Lender notifying the Company, the Available Commitment of the Lender will be immediately cancelled; and</w:t>
      </w:r>
    </w:p>
    <w:p>
      <w:pPr>
        <w:spacing w:after="0" w:line="188"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100"/>
        </w:numPr>
        <w:rPr>
          <w:rFonts w:ascii="Arial" w:cs="Arial" w:eastAsia="Arial" w:hAnsi="Arial"/>
          <w:sz w:val="20"/>
          <w:szCs w:val="20"/>
          <w:color w:val="auto"/>
        </w:rPr>
      </w:pPr>
      <w:r>
        <w:rPr>
          <w:rFonts w:ascii="Arial" w:cs="Arial" w:eastAsia="Arial" w:hAnsi="Arial"/>
          <w:sz w:val="18"/>
          <w:szCs w:val="18"/>
          <w:color w:val="auto"/>
        </w:rPr>
        <w:t>to the extent that the Loans have not been transferred pursuant to paragraph (d) of Clause 7.5 (</w:t>
      </w:r>
      <w:r>
        <w:rPr>
          <w:rFonts w:ascii="Arial" w:cs="Arial" w:eastAsia="Arial" w:hAnsi="Arial"/>
          <w:sz w:val="18"/>
          <w:szCs w:val="18"/>
          <w:i w:val="1"/>
          <w:iCs w:val="1"/>
          <w:color w:val="auto"/>
        </w:rPr>
        <w:t>Right of replacement or repayment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cancellation</w:t>
      </w:r>
      <w:r>
        <w:rPr>
          <w:rFonts w:ascii="Arial" w:cs="Arial" w:eastAsia="Arial" w:hAnsi="Arial"/>
          <w:sz w:val="18"/>
          <w:szCs w:val="18"/>
          <w:color w:val="auto"/>
        </w:rPr>
        <w:t>), the Company shall repay the Loans in full on the last day of the Interest Period for each Loan occurring after the Lender</w:t>
      </w:r>
      <w:r>
        <w:rPr>
          <w:rFonts w:ascii="Arial" w:cs="Arial" w:eastAsia="Arial" w:hAnsi="Arial"/>
          <w:sz w:val="18"/>
          <w:szCs w:val="18"/>
          <w:i w:val="1"/>
          <w:iCs w:val="1"/>
          <w:color w:val="auto"/>
        </w:rPr>
        <w:t xml:space="preserve"> </w:t>
      </w:r>
      <w:r>
        <w:rPr>
          <w:rFonts w:ascii="Arial" w:cs="Arial" w:eastAsia="Arial" w:hAnsi="Arial"/>
          <w:sz w:val="18"/>
          <w:szCs w:val="18"/>
          <w:color w:val="auto"/>
        </w:rPr>
        <w:t>has notified the Company and the Commitment shall be cancelled.</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b w:val="1"/>
          <w:bCs w:val="1"/>
          <w:color w:val="auto"/>
        </w:rPr>
        <w:t>Change of control</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w:t>
      </w:r>
    </w:p>
    <w:p>
      <w:pPr>
        <w:spacing w:after="0" w:line="212" w:lineRule="exact"/>
        <w:rPr>
          <w:sz w:val="20"/>
          <w:szCs w:val="20"/>
          <w:color w:val="auto"/>
        </w:rPr>
      </w:pPr>
    </w:p>
    <w:p>
      <w:pPr>
        <w:ind w:left="1260" w:hanging="604"/>
        <w:spacing w:after="0"/>
        <w:tabs>
          <w:tab w:leader="none" w:pos="1260" w:val="left"/>
        </w:tabs>
        <w:numPr>
          <w:ilvl w:val="0"/>
          <w:numId w:val="101"/>
        </w:numPr>
        <w:rPr>
          <w:rFonts w:ascii="Arial" w:cs="Arial" w:eastAsia="Arial" w:hAnsi="Arial"/>
          <w:sz w:val="20"/>
          <w:szCs w:val="20"/>
          <w:color w:val="auto"/>
        </w:rPr>
      </w:pPr>
      <w:r>
        <w:rPr>
          <w:rFonts w:ascii="Arial" w:cs="Arial" w:eastAsia="Arial" w:hAnsi="Arial"/>
          <w:sz w:val="18"/>
          <w:szCs w:val="18"/>
          <w:color w:val="auto"/>
        </w:rPr>
        <w:t>any person or group of persons acting in concert gains direct or indirect control of the Company; or</w:t>
      </w:r>
    </w:p>
    <w:p>
      <w:pPr>
        <w:spacing w:after="0" w:line="188"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101"/>
        </w:numPr>
        <w:rPr>
          <w:rFonts w:ascii="Arial" w:cs="Arial" w:eastAsia="Arial" w:hAnsi="Arial"/>
          <w:sz w:val="20"/>
          <w:szCs w:val="20"/>
          <w:color w:val="auto"/>
        </w:rPr>
      </w:pPr>
      <w:r>
        <w:rPr>
          <w:rFonts w:ascii="Arial" w:cs="Arial" w:eastAsia="Arial" w:hAnsi="Arial"/>
          <w:sz w:val="18"/>
          <w:szCs w:val="18"/>
          <w:color w:val="auto"/>
        </w:rPr>
        <w:t>the Company ceases to be the beneficial owner directly or indirectly through wholly owned subsidiaries, of more than 50 per cent. of the issued share capital of the Italian Subsidiary:</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101"/>
        </w:numPr>
        <w:rPr>
          <w:rFonts w:ascii="Arial" w:cs="Arial" w:eastAsia="Arial" w:hAnsi="Arial"/>
          <w:sz w:val="20"/>
          <w:szCs w:val="20"/>
          <w:color w:val="auto"/>
        </w:rPr>
      </w:pPr>
      <w:r>
        <w:rPr>
          <w:rFonts w:ascii="Arial" w:cs="Arial" w:eastAsia="Arial" w:hAnsi="Arial"/>
          <w:sz w:val="18"/>
          <w:szCs w:val="18"/>
          <w:color w:val="auto"/>
        </w:rPr>
        <w:t>the Company shall promptly notify the Lender upon becoming aware of that event;</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01"/>
        </w:numPr>
        <w:rPr>
          <w:rFonts w:ascii="Arial" w:cs="Arial" w:eastAsia="Arial" w:hAnsi="Arial"/>
          <w:sz w:val="20"/>
          <w:szCs w:val="20"/>
          <w:color w:val="auto"/>
        </w:rPr>
      </w:pPr>
      <w:r>
        <w:rPr>
          <w:rFonts w:ascii="Arial" w:cs="Arial" w:eastAsia="Arial" w:hAnsi="Arial"/>
          <w:sz w:val="18"/>
          <w:szCs w:val="18"/>
          <w:color w:val="auto"/>
        </w:rPr>
        <w:t>the Lender shall not be obliged to fund a Utilisation (except for a Rollover Loan); and</w:t>
      </w:r>
    </w:p>
    <w:p>
      <w:pPr>
        <w:spacing w:after="0" w:line="188" w:lineRule="exact"/>
        <w:rPr>
          <w:rFonts w:ascii="Arial" w:cs="Arial" w:eastAsia="Arial" w:hAnsi="Arial"/>
          <w:sz w:val="20"/>
          <w:szCs w:val="20"/>
          <w:color w:val="auto"/>
        </w:rPr>
      </w:pPr>
    </w:p>
    <w:p>
      <w:pPr>
        <w:jc w:val="both"/>
        <w:ind w:left="1920" w:hanging="643"/>
        <w:spacing w:after="0" w:line="265" w:lineRule="auto"/>
        <w:tabs>
          <w:tab w:leader="none" w:pos="1920" w:val="left"/>
        </w:tabs>
        <w:numPr>
          <w:ilvl w:val="1"/>
          <w:numId w:val="101"/>
        </w:numPr>
        <w:rPr>
          <w:rFonts w:ascii="Arial" w:cs="Arial" w:eastAsia="Arial" w:hAnsi="Arial"/>
          <w:sz w:val="20"/>
          <w:szCs w:val="20"/>
          <w:color w:val="auto"/>
        </w:rPr>
      </w:pPr>
      <w:r>
        <w:rPr>
          <w:rFonts w:ascii="Arial" w:cs="Arial" w:eastAsia="Arial" w:hAnsi="Arial"/>
          <w:sz w:val="18"/>
          <w:szCs w:val="18"/>
          <w:color w:val="auto"/>
        </w:rPr>
        <w:t>the Lender shall be entitled, by not less than 30 days’ notice to the Company, to require cancellation of its Commitment and prepayment of all outstanding Loans, together with accrued interest, and all other amounts accrued under the Finance Documents, whereupon its Commitment will be cancelled and all such outstanding Loans and amounts will become immediately due and payable.</w:t>
      </w:r>
    </w:p>
    <w:p>
      <w:pPr>
        <w:spacing w:after="0" w:line="163" w:lineRule="exact"/>
        <w:rPr>
          <w:rFonts w:ascii="Arial" w:cs="Arial" w:eastAsia="Arial" w:hAnsi="Arial"/>
          <w:sz w:val="20"/>
          <w:szCs w:val="20"/>
          <w:color w:val="auto"/>
        </w:rPr>
      </w:pPr>
    </w:p>
    <w:p>
      <w:pPr>
        <w:ind w:left="1280" w:hanging="624"/>
        <w:spacing w:after="0" w:line="271" w:lineRule="auto"/>
        <w:tabs>
          <w:tab w:leader="none" w:pos="1262" w:val="left"/>
        </w:tabs>
        <w:numPr>
          <w:ilvl w:val="0"/>
          <w:numId w:val="101"/>
        </w:numPr>
        <w:rPr>
          <w:rFonts w:ascii="Arial" w:cs="Arial" w:eastAsia="Arial" w:hAnsi="Arial"/>
          <w:sz w:val="20"/>
          <w:szCs w:val="20"/>
          <w:color w:val="auto"/>
        </w:rPr>
      </w:pPr>
      <w:r>
        <w:rPr>
          <w:rFonts w:ascii="Arial" w:cs="Arial" w:eastAsia="Arial" w:hAnsi="Arial"/>
          <w:sz w:val="18"/>
          <w:szCs w:val="18"/>
          <w:color w:val="auto"/>
        </w:rPr>
        <w:t>For the purpose of paragraph (a) above “</w:t>
      </w:r>
      <w:r>
        <w:rPr>
          <w:rFonts w:ascii="Arial" w:cs="Arial" w:eastAsia="Arial" w:hAnsi="Arial"/>
          <w:sz w:val="18"/>
          <w:szCs w:val="18"/>
          <w:b w:val="1"/>
          <w:bCs w:val="1"/>
          <w:color w:val="auto"/>
        </w:rPr>
        <w:t>control</w:t>
      </w:r>
      <w:r>
        <w:rPr>
          <w:rFonts w:ascii="Arial" w:cs="Arial" w:eastAsia="Arial" w:hAnsi="Arial"/>
          <w:sz w:val="18"/>
          <w:szCs w:val="18"/>
          <w:color w:val="auto"/>
        </w:rPr>
        <w:t>” means the power to direct the management and policies of an entity, whether through the ownership of more than 50 per cent. of entire voting capital, by contract or otherwise.</w:t>
      </w:r>
    </w:p>
    <w:p>
      <w:pPr>
        <w:spacing w:after="0" w:line="154" w:lineRule="exact"/>
        <w:rPr>
          <w:rFonts w:ascii="Arial" w:cs="Arial" w:eastAsia="Arial" w:hAnsi="Arial"/>
          <w:sz w:val="20"/>
          <w:szCs w:val="20"/>
          <w:color w:val="auto"/>
        </w:rPr>
      </w:pPr>
    </w:p>
    <w:p>
      <w:pPr>
        <w:ind w:left="1280" w:hanging="624"/>
        <w:spacing w:after="0" w:line="271" w:lineRule="auto"/>
        <w:tabs>
          <w:tab w:leader="none" w:pos="1262" w:val="left"/>
        </w:tabs>
        <w:numPr>
          <w:ilvl w:val="0"/>
          <w:numId w:val="101"/>
        </w:numPr>
        <w:rPr>
          <w:rFonts w:ascii="Arial" w:cs="Arial" w:eastAsia="Arial" w:hAnsi="Arial"/>
          <w:sz w:val="20"/>
          <w:szCs w:val="20"/>
          <w:color w:val="auto"/>
        </w:rPr>
      </w:pPr>
      <w:r>
        <w:rPr>
          <w:rFonts w:ascii="Arial" w:cs="Arial" w:eastAsia="Arial" w:hAnsi="Arial"/>
          <w:sz w:val="18"/>
          <w:szCs w:val="18"/>
          <w:color w:val="auto"/>
        </w:rPr>
        <w:t>For the purpose of paragraph (a) above “</w:t>
      </w:r>
      <w:r>
        <w:rPr>
          <w:rFonts w:ascii="Arial" w:cs="Arial" w:eastAsia="Arial" w:hAnsi="Arial"/>
          <w:sz w:val="18"/>
          <w:szCs w:val="18"/>
          <w:b w:val="1"/>
          <w:bCs w:val="1"/>
          <w:color w:val="auto"/>
        </w:rPr>
        <w:t>acting in concert</w:t>
      </w:r>
      <w:r>
        <w:rPr>
          <w:rFonts w:ascii="Arial" w:cs="Arial" w:eastAsia="Arial" w:hAnsi="Arial"/>
          <w:sz w:val="18"/>
          <w:szCs w:val="18"/>
          <w:color w:val="auto"/>
        </w:rPr>
        <w:t>” means acting together pursuant to an agreement or understanding (whether formal or informal).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41" w:right="339" w:bottom="1440" w:gutter="0" w:footer="0" w:header="0"/>
        </w:sectPr>
      </w:pPr>
    </w:p>
    <w:bookmarkStart w:id="48" w:name="page49"/>
    <w:bookmarkEnd w:id="48"/>
    <w:p>
      <w:pPr>
        <w:spacing w:after="0"/>
        <w:tabs>
          <w:tab w:leader="none" w:pos="6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6"/>
          <w:szCs w:val="16"/>
          <w:b w:val="1"/>
          <w:bCs w:val="1"/>
          <w:color w:val="auto"/>
        </w:rPr>
        <w:t>Voluntary cancellation</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Company may, if it gives the Lender not less than five Business Days' (or such shorter period as the Lender may agree) prior notice, cancel the whole or any part (but, if in part, by a minimum amount of EUR2,000,000) of the Available Facility.</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6"/>
          <w:szCs w:val="16"/>
          <w:b w:val="1"/>
          <w:bCs w:val="1"/>
          <w:color w:val="auto"/>
        </w:rPr>
        <w:t>Voluntary prepayment of Loans</w:t>
      </w:r>
    </w:p>
    <w:p>
      <w:pPr>
        <w:spacing w:after="0" w:line="205" w:lineRule="exact"/>
        <w:rPr>
          <w:sz w:val="20"/>
          <w:szCs w:val="20"/>
          <w:color w:val="auto"/>
        </w:rPr>
      </w:pPr>
    </w:p>
    <w:p>
      <w:pPr>
        <w:ind w:left="1280" w:hanging="624"/>
        <w:spacing w:after="0" w:line="296" w:lineRule="auto"/>
        <w:tabs>
          <w:tab w:leader="none" w:pos="1262" w:val="left"/>
        </w:tabs>
        <w:numPr>
          <w:ilvl w:val="0"/>
          <w:numId w:val="102"/>
        </w:numPr>
        <w:rPr>
          <w:rFonts w:ascii="Arial" w:cs="Arial" w:eastAsia="Arial" w:hAnsi="Arial"/>
          <w:sz w:val="19"/>
          <w:szCs w:val="19"/>
          <w:color w:val="auto"/>
        </w:rPr>
      </w:pPr>
      <w:r>
        <w:rPr>
          <w:rFonts w:ascii="Arial" w:cs="Arial" w:eastAsia="Arial" w:hAnsi="Arial"/>
          <w:sz w:val="17"/>
          <w:szCs w:val="17"/>
          <w:color w:val="auto"/>
        </w:rPr>
        <w:t>Subject to paragraph (b) below, the Company may, if it gives the Lender not less than five Business Days' (or such shorter period as the Lender may agree) prior notice, prepay the whole or any part of any Loan (but, if in part, by a minimum of EUR2,000,000).</w:t>
      </w:r>
    </w:p>
    <w:p>
      <w:pPr>
        <w:spacing w:after="0" w:line="12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6"/>
          <w:szCs w:val="16"/>
          <w:b w:val="1"/>
          <w:bCs w:val="1"/>
          <w:color w:val="auto"/>
        </w:rPr>
        <w:t>Right of replacement or repayment and cancellation</w:t>
      </w:r>
    </w:p>
    <w:p>
      <w:pPr>
        <w:spacing w:after="0" w:line="205" w:lineRule="exact"/>
        <w:rPr>
          <w:sz w:val="20"/>
          <w:szCs w:val="20"/>
          <w:color w:val="auto"/>
        </w:rPr>
      </w:pPr>
    </w:p>
    <w:p>
      <w:pPr>
        <w:ind w:left="1260" w:hanging="604"/>
        <w:spacing w:after="0"/>
        <w:tabs>
          <w:tab w:leader="none" w:pos="1260" w:val="left"/>
        </w:tabs>
        <w:numPr>
          <w:ilvl w:val="0"/>
          <w:numId w:val="103"/>
        </w:numPr>
        <w:rPr>
          <w:rFonts w:ascii="Arial" w:cs="Arial" w:eastAsia="Arial" w:hAnsi="Arial"/>
          <w:sz w:val="20"/>
          <w:szCs w:val="20"/>
          <w:color w:val="auto"/>
        </w:rPr>
      </w:pPr>
      <w:r>
        <w:rPr>
          <w:rFonts w:ascii="Arial" w:cs="Arial" w:eastAsia="Arial" w:hAnsi="Arial"/>
          <w:sz w:val="18"/>
          <w:szCs w:val="18"/>
          <w:color w:val="auto"/>
        </w:rPr>
        <w:t>If:</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03"/>
        </w:numPr>
        <w:rPr>
          <w:rFonts w:ascii="Arial" w:cs="Arial" w:eastAsia="Arial" w:hAnsi="Arial"/>
          <w:sz w:val="18"/>
          <w:szCs w:val="18"/>
          <w:color w:val="auto"/>
        </w:rPr>
      </w:pPr>
      <w:r>
        <w:rPr>
          <w:rFonts w:ascii="Arial" w:cs="Arial" w:eastAsia="Arial" w:hAnsi="Arial"/>
          <w:sz w:val="16"/>
          <w:szCs w:val="16"/>
          <w:color w:val="auto"/>
        </w:rPr>
        <w:t>any sum payable to the Lender by the Company is required to be increased under paragraph (c) of Clause 12.2 (</w:t>
      </w:r>
      <w:r>
        <w:rPr>
          <w:rFonts w:ascii="Arial" w:cs="Arial" w:eastAsia="Arial" w:hAnsi="Arial"/>
          <w:sz w:val="16"/>
          <w:szCs w:val="16"/>
          <w:i w:val="1"/>
          <w:iCs w:val="1"/>
          <w:color w:val="auto"/>
        </w:rPr>
        <w:t>Tax gross-up</w:t>
      </w:r>
      <w:r>
        <w:rPr>
          <w:rFonts w:ascii="Arial" w:cs="Arial" w:eastAsia="Arial" w:hAnsi="Arial"/>
          <w:sz w:val="16"/>
          <w:szCs w:val="16"/>
          <w:color w:val="auto"/>
        </w:rPr>
        <w:t>);</w:t>
      </w:r>
    </w:p>
    <w:p>
      <w:pPr>
        <w:spacing w:after="0" w:line="211" w:lineRule="exact"/>
        <w:rPr>
          <w:rFonts w:ascii="Arial" w:cs="Arial" w:eastAsia="Arial" w:hAnsi="Arial"/>
          <w:sz w:val="18"/>
          <w:szCs w:val="18"/>
          <w:color w:val="auto"/>
        </w:rPr>
      </w:pPr>
    </w:p>
    <w:p>
      <w:pPr>
        <w:ind w:left="1920" w:hanging="643"/>
        <w:spacing w:after="0"/>
        <w:tabs>
          <w:tab w:leader="none" w:pos="1920" w:val="left"/>
        </w:tabs>
        <w:numPr>
          <w:ilvl w:val="1"/>
          <w:numId w:val="103"/>
        </w:numPr>
        <w:rPr>
          <w:rFonts w:ascii="Arial" w:cs="Arial" w:eastAsia="Arial" w:hAnsi="Arial"/>
          <w:sz w:val="18"/>
          <w:szCs w:val="18"/>
          <w:color w:val="auto"/>
        </w:rPr>
      </w:pPr>
      <w:r>
        <w:rPr>
          <w:rFonts w:ascii="Arial" w:cs="Arial" w:eastAsia="Arial" w:hAnsi="Arial"/>
          <w:sz w:val="16"/>
          <w:szCs w:val="16"/>
          <w:color w:val="auto"/>
        </w:rPr>
        <w:t>the Lender claims indemnification from the Company under Clause 12.2(d) (</w:t>
      </w:r>
      <w:r>
        <w:rPr>
          <w:rFonts w:ascii="Arial" w:cs="Arial" w:eastAsia="Arial" w:hAnsi="Arial"/>
          <w:sz w:val="16"/>
          <w:szCs w:val="16"/>
          <w:i w:val="1"/>
          <w:iCs w:val="1"/>
          <w:color w:val="auto"/>
        </w:rPr>
        <w:t>Tax indemnity</w:t>
      </w:r>
      <w:r>
        <w:rPr>
          <w:rFonts w:ascii="Arial" w:cs="Arial" w:eastAsia="Arial" w:hAnsi="Arial"/>
          <w:sz w:val="16"/>
          <w:szCs w:val="16"/>
          <w:color w:val="auto"/>
        </w:rPr>
        <w:t>) or Clause 13.1 (</w:t>
      </w:r>
      <w:r>
        <w:rPr>
          <w:rFonts w:ascii="Arial" w:cs="Arial" w:eastAsia="Arial" w:hAnsi="Arial"/>
          <w:sz w:val="16"/>
          <w:szCs w:val="16"/>
          <w:i w:val="1"/>
          <w:iCs w:val="1"/>
          <w:color w:val="auto"/>
        </w:rPr>
        <w:t>Increased costs</w:t>
      </w:r>
      <w:r>
        <w:rPr>
          <w:rFonts w:ascii="Arial" w:cs="Arial" w:eastAsia="Arial" w:hAnsi="Arial"/>
          <w:sz w:val="16"/>
          <w:szCs w:val="16"/>
          <w:color w:val="auto"/>
        </w:rPr>
        <w:t>); or</w:t>
      </w:r>
    </w:p>
    <w:p>
      <w:pPr>
        <w:spacing w:after="0" w:line="211" w:lineRule="exact"/>
        <w:rPr>
          <w:rFonts w:ascii="Arial" w:cs="Arial" w:eastAsia="Arial" w:hAnsi="Arial"/>
          <w:sz w:val="18"/>
          <w:szCs w:val="18"/>
          <w:color w:val="auto"/>
        </w:rPr>
      </w:pPr>
    </w:p>
    <w:p>
      <w:pPr>
        <w:jc w:val="both"/>
        <w:ind w:left="1920" w:hanging="643"/>
        <w:spacing w:after="0" w:line="264" w:lineRule="auto"/>
        <w:tabs>
          <w:tab w:leader="none" w:pos="1920" w:val="left"/>
        </w:tabs>
        <w:numPr>
          <w:ilvl w:val="1"/>
          <w:numId w:val="103"/>
        </w:numPr>
        <w:rPr>
          <w:rFonts w:ascii="Arial" w:cs="Arial" w:eastAsia="Arial" w:hAnsi="Arial"/>
          <w:sz w:val="20"/>
          <w:szCs w:val="20"/>
          <w:color w:val="auto"/>
        </w:rPr>
      </w:pPr>
      <w:r>
        <w:rPr>
          <w:rFonts w:ascii="Arial" w:cs="Arial" w:eastAsia="Arial" w:hAnsi="Arial"/>
          <w:sz w:val="18"/>
          <w:szCs w:val="18"/>
          <w:color w:val="auto"/>
        </w:rPr>
        <w:t>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the Company receives notification from the Lender that the cost to it of funding the Loan from whatever source it may reasonably select would be in excess of EURIBOR and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is therefore to apply,</w:t>
      </w:r>
    </w:p>
    <w:p>
      <w:pPr>
        <w:spacing w:after="0" w:line="156" w:lineRule="exact"/>
        <w:rPr>
          <w:sz w:val="20"/>
          <w:szCs w:val="20"/>
          <w:color w:val="auto"/>
        </w:rPr>
      </w:pPr>
    </w:p>
    <w:p>
      <w:pPr>
        <w:jc w:val="both"/>
        <w:ind w:left="1280"/>
        <w:spacing w:after="0" w:line="263" w:lineRule="auto"/>
        <w:rPr>
          <w:sz w:val="20"/>
          <w:szCs w:val="20"/>
          <w:color w:val="auto"/>
        </w:rPr>
      </w:pPr>
      <w:r>
        <w:rPr>
          <w:rFonts w:ascii="Arial" w:cs="Arial" w:eastAsia="Arial" w:hAnsi="Arial"/>
          <w:sz w:val="18"/>
          <w:szCs w:val="18"/>
          <w:color w:val="auto"/>
        </w:rPr>
        <w:t>the Company may, whilst the circumstance giving rise to the requirement for that increase or indemnification continues, give the Lender notice of cancellation of its Commitment and its intention to procure the repayment of the Loans or give the Lender notice of its intention to replace that Lender in accordance with paragraph (d) below.</w:t>
      </w:r>
    </w:p>
    <w:p>
      <w:pPr>
        <w:spacing w:after="0" w:line="170" w:lineRule="exact"/>
        <w:rPr>
          <w:sz w:val="20"/>
          <w:szCs w:val="20"/>
          <w:color w:val="auto"/>
        </w:rPr>
      </w:pPr>
    </w:p>
    <w:p>
      <w:pPr>
        <w:ind w:left="1260" w:hanging="604"/>
        <w:spacing w:after="0"/>
        <w:tabs>
          <w:tab w:leader="none" w:pos="1260" w:val="left"/>
        </w:tabs>
        <w:numPr>
          <w:ilvl w:val="0"/>
          <w:numId w:val="104"/>
        </w:numPr>
        <w:rPr>
          <w:rFonts w:ascii="Arial" w:cs="Arial" w:eastAsia="Arial" w:hAnsi="Arial"/>
          <w:sz w:val="19"/>
          <w:szCs w:val="19"/>
          <w:color w:val="auto"/>
        </w:rPr>
      </w:pPr>
      <w:r>
        <w:rPr>
          <w:rFonts w:ascii="Arial" w:cs="Arial" w:eastAsia="Arial" w:hAnsi="Arial"/>
          <w:sz w:val="17"/>
          <w:szCs w:val="17"/>
          <w:color w:val="auto"/>
        </w:rPr>
        <w:t>On receipt of a notice of cancellation referred to in paragraph (a) above, the Commitment shall immediately be reduced to zero.</w:t>
      </w:r>
    </w:p>
    <w:p>
      <w:pPr>
        <w:spacing w:after="0" w:line="200" w:lineRule="exact"/>
        <w:rPr>
          <w:rFonts w:ascii="Arial" w:cs="Arial" w:eastAsia="Arial" w:hAnsi="Arial"/>
          <w:sz w:val="19"/>
          <w:szCs w:val="19"/>
          <w:color w:val="auto"/>
        </w:rPr>
      </w:pPr>
    </w:p>
    <w:p>
      <w:pPr>
        <w:jc w:val="both"/>
        <w:ind w:left="1280" w:hanging="624"/>
        <w:spacing w:after="0" w:line="264" w:lineRule="auto"/>
        <w:tabs>
          <w:tab w:leader="none" w:pos="1262" w:val="left"/>
        </w:tabs>
        <w:numPr>
          <w:ilvl w:val="0"/>
          <w:numId w:val="104"/>
        </w:numPr>
        <w:rPr>
          <w:rFonts w:ascii="Arial" w:cs="Arial" w:eastAsia="Arial" w:hAnsi="Arial"/>
          <w:sz w:val="20"/>
          <w:szCs w:val="20"/>
          <w:color w:val="auto"/>
        </w:rPr>
      </w:pPr>
      <w:r>
        <w:rPr>
          <w:rFonts w:ascii="Arial" w:cs="Arial" w:eastAsia="Arial" w:hAnsi="Arial"/>
          <w:sz w:val="18"/>
          <w:szCs w:val="18"/>
          <w:color w:val="auto"/>
        </w:rPr>
        <w:t>On the last day of each Interest Period which ends after the Company has given notice of cancellation under paragraph (a) above (or, if earlier, the date specified by the Company in that notice), the Company shall repay the Loans together with all interest and other amounts accrued in relation thereto under the Finance Documents.</w:t>
      </w:r>
    </w:p>
    <w:p>
      <w:pPr>
        <w:spacing w:after="0" w:line="169" w:lineRule="exact"/>
        <w:rPr>
          <w:rFonts w:ascii="Arial" w:cs="Arial" w:eastAsia="Arial" w:hAnsi="Arial"/>
          <w:sz w:val="20"/>
          <w:szCs w:val="20"/>
          <w:color w:val="auto"/>
        </w:rPr>
      </w:pPr>
    </w:p>
    <w:p>
      <w:pPr>
        <w:ind w:left="1260" w:hanging="604"/>
        <w:spacing w:after="0"/>
        <w:tabs>
          <w:tab w:leader="none" w:pos="1260" w:val="left"/>
        </w:tabs>
        <w:numPr>
          <w:ilvl w:val="0"/>
          <w:numId w:val="104"/>
        </w:numPr>
        <w:rPr>
          <w:rFonts w:ascii="Arial" w:cs="Arial" w:eastAsia="Arial" w:hAnsi="Arial"/>
          <w:sz w:val="20"/>
          <w:szCs w:val="20"/>
          <w:color w:val="auto"/>
        </w:rPr>
      </w:pPr>
      <w:r>
        <w:rPr>
          <w:rFonts w:ascii="Arial" w:cs="Arial" w:eastAsia="Arial" w:hAnsi="Arial"/>
          <w:sz w:val="18"/>
          <w:szCs w:val="18"/>
          <w:color w:val="auto"/>
        </w:rPr>
        <w:t>If:</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04"/>
        </w:numPr>
        <w:rPr>
          <w:rFonts w:ascii="Arial" w:cs="Arial" w:eastAsia="Arial" w:hAnsi="Arial"/>
          <w:sz w:val="20"/>
          <w:szCs w:val="20"/>
          <w:color w:val="auto"/>
        </w:rPr>
      </w:pPr>
      <w:r>
        <w:rPr>
          <w:rFonts w:ascii="Arial" w:cs="Arial" w:eastAsia="Arial" w:hAnsi="Arial"/>
          <w:sz w:val="18"/>
          <w:szCs w:val="18"/>
          <w:color w:val="auto"/>
        </w:rPr>
        <w:t>any of the circumstances set out in paragraph (a) above apply to the Lender; or</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04"/>
        </w:numPr>
        <w:rPr>
          <w:rFonts w:ascii="Arial" w:cs="Arial" w:eastAsia="Arial" w:hAnsi="Arial"/>
          <w:sz w:val="20"/>
          <w:szCs w:val="20"/>
          <w:color w:val="auto"/>
        </w:rPr>
      </w:pPr>
      <w:r>
        <w:rPr>
          <w:rFonts w:ascii="Arial" w:cs="Arial" w:eastAsia="Arial" w:hAnsi="Arial"/>
          <w:sz w:val="18"/>
          <w:szCs w:val="18"/>
          <w:color w:val="auto"/>
        </w:rPr>
        <w:t>the Company becomes obliged to pay any amount in accordance with Clause 7.1 (</w:t>
      </w:r>
      <w:r>
        <w:rPr>
          <w:rFonts w:ascii="Arial" w:cs="Arial" w:eastAsia="Arial" w:hAnsi="Arial"/>
          <w:sz w:val="18"/>
          <w:szCs w:val="18"/>
          <w:i w:val="1"/>
          <w:iCs w:val="1"/>
          <w:color w:val="auto"/>
        </w:rPr>
        <w:t>Illegality</w:t>
      </w:r>
      <w:r>
        <w:rPr>
          <w:rFonts w:ascii="Arial" w:cs="Arial" w:eastAsia="Arial" w:hAnsi="Arial"/>
          <w:sz w:val="18"/>
          <w:szCs w:val="18"/>
          <w:color w:val="auto"/>
        </w:rPr>
        <w:t>) to the Lender,</w:t>
      </w:r>
    </w:p>
    <w:p>
      <w:pPr>
        <w:spacing w:after="0" w:line="175" w:lineRule="exact"/>
        <w:rPr>
          <w:sz w:val="20"/>
          <w:szCs w:val="20"/>
          <w:color w:val="auto"/>
        </w:rPr>
      </w:pPr>
    </w:p>
    <w:p>
      <w:pPr>
        <w:jc w:val="both"/>
        <w:ind w:left="1280"/>
        <w:spacing w:after="0" w:line="255" w:lineRule="auto"/>
        <w:rPr>
          <w:sz w:val="20"/>
          <w:szCs w:val="20"/>
          <w:color w:val="auto"/>
        </w:rPr>
      </w:pPr>
      <w:r>
        <w:rPr>
          <w:rFonts w:ascii="Arial" w:cs="Arial" w:eastAsia="Arial" w:hAnsi="Arial"/>
          <w:sz w:val="18"/>
          <w:szCs w:val="18"/>
          <w:color w:val="auto"/>
        </w:rPr>
        <w:t>the Company may, on five Business Days' prior notice to the Lender, replace the Lender by requiring that Lender to (and, to the extent permitted by law, the Lender shall) transfer pursuant to Clause 22 (</w:t>
      </w:r>
      <w:r>
        <w:rPr>
          <w:rFonts w:ascii="Arial" w:cs="Arial" w:eastAsia="Arial" w:hAnsi="Arial"/>
          <w:sz w:val="18"/>
          <w:szCs w:val="18"/>
          <w:i w:val="1"/>
          <w:iCs w:val="1"/>
          <w:color w:val="auto"/>
        </w:rPr>
        <w:t>Changes to the Lender</w:t>
      </w:r>
      <w:r>
        <w:rPr>
          <w:rFonts w:ascii="Arial" w:cs="Arial" w:eastAsia="Arial" w:hAnsi="Arial"/>
          <w:sz w:val="18"/>
          <w:szCs w:val="18"/>
          <w:color w:val="auto"/>
        </w:rPr>
        <w:t>) all (and not part only) of its rights and obligations under this Agreement to an Eligible Institution which confirms its willingness to assume and does assume all the obligations of the transferring Lender in accordance with Clause 22 (</w:t>
      </w:r>
      <w:r>
        <w:rPr>
          <w:rFonts w:ascii="Arial" w:cs="Arial" w:eastAsia="Arial" w:hAnsi="Arial"/>
          <w:sz w:val="18"/>
          <w:szCs w:val="18"/>
          <w:i w:val="1"/>
          <w:iCs w:val="1"/>
          <w:color w:val="auto"/>
        </w:rPr>
        <w:t>Changes to the Lender</w:t>
      </w:r>
      <w:r>
        <w:rPr>
          <w:rFonts w:ascii="Arial" w:cs="Arial" w:eastAsia="Arial" w:hAnsi="Arial"/>
          <w:sz w:val="18"/>
          <w:szCs w:val="18"/>
          <w:color w:val="auto"/>
        </w:rPr>
        <w:t>) for a purchase price in cash payable at the time of the transfer in an amount equal to the outstanding principal amount of the outstanding Loans and all accrued interest, Break Costs and other amounts payable in relation thereto under the Finance Documents.</w:t>
      </w:r>
    </w:p>
    <w:p>
      <w:pPr>
        <w:spacing w:after="0" w:line="179" w:lineRule="exact"/>
        <w:rPr>
          <w:sz w:val="20"/>
          <w:szCs w:val="20"/>
          <w:color w:val="auto"/>
        </w:rPr>
      </w:pPr>
    </w:p>
    <w:p>
      <w:pPr>
        <w:ind w:left="5540" w:right="2220" w:hanging="4884"/>
        <w:spacing w:after="0" w:line="720" w:lineRule="auto"/>
        <w:tabs>
          <w:tab w:leader="none" w:pos="1269" w:val="left"/>
        </w:tabs>
        <w:numPr>
          <w:ilvl w:val="0"/>
          <w:numId w:val="105"/>
        </w:numPr>
        <w:rPr>
          <w:rFonts w:ascii="Arial" w:cs="Arial" w:eastAsia="Arial" w:hAnsi="Arial"/>
          <w:sz w:val="20"/>
          <w:szCs w:val="20"/>
          <w:color w:val="auto"/>
        </w:rPr>
      </w:pPr>
      <w:r>
        <w:rPr>
          <w:rFonts w:ascii="Arial" w:cs="Arial" w:eastAsia="Arial" w:hAnsi="Arial"/>
          <w:sz w:val="18"/>
          <w:szCs w:val="18"/>
          <w:color w:val="auto"/>
        </w:rPr>
        <w:t>The replacement of the Lender pursuant to paragraph (d) above shall be subject to the following conditions: 21</w:t>
      </w:r>
    </w:p>
    <w:p>
      <w:pPr>
        <w:sectPr>
          <w:pgSz w:w="11900" w:h="16838" w:orient="portrait"/>
          <w:cols w:equalWidth="0" w:num="1">
            <w:col w:w="11240"/>
          </w:cols>
          <w:pgMar w:left="320" w:top="339" w:right="339" w:bottom="1440" w:gutter="0" w:footer="0" w:header="0"/>
        </w:sectPr>
      </w:pPr>
    </w:p>
    <w:bookmarkStart w:id="49" w:name="page50"/>
    <w:bookmarkEnd w:id="49"/>
    <w:p>
      <w:pPr>
        <w:ind w:left="800" w:hanging="643"/>
        <w:spacing w:after="0"/>
        <w:tabs>
          <w:tab w:leader="none" w:pos="800" w:val="left"/>
        </w:tabs>
        <w:numPr>
          <w:ilvl w:val="0"/>
          <w:numId w:val="106"/>
        </w:numPr>
        <w:rPr>
          <w:rFonts w:ascii="Arial" w:cs="Arial" w:eastAsia="Arial" w:hAnsi="Arial"/>
          <w:sz w:val="20"/>
          <w:szCs w:val="20"/>
          <w:color w:val="auto"/>
        </w:rPr>
      </w:pPr>
      <w:r>
        <w:rPr>
          <w:rFonts w:ascii="Arial" w:cs="Arial" w:eastAsia="Arial" w:hAnsi="Arial"/>
          <w:sz w:val="18"/>
          <w:szCs w:val="18"/>
          <w:color w:val="auto"/>
        </w:rPr>
        <w:t>the Lender shall not have any obligation to find a replacement Lender;</w:t>
      </w:r>
    </w:p>
    <w:p>
      <w:pPr>
        <w:spacing w:after="0" w:line="188" w:lineRule="exact"/>
        <w:rPr>
          <w:rFonts w:ascii="Arial" w:cs="Arial" w:eastAsia="Arial" w:hAnsi="Arial"/>
          <w:sz w:val="20"/>
          <w:szCs w:val="20"/>
          <w:color w:val="auto"/>
        </w:rPr>
      </w:pPr>
    </w:p>
    <w:p>
      <w:pPr>
        <w:ind w:left="800" w:hanging="643"/>
        <w:spacing w:after="0" w:line="266" w:lineRule="auto"/>
        <w:tabs>
          <w:tab w:leader="none" w:pos="800" w:val="left"/>
        </w:tabs>
        <w:numPr>
          <w:ilvl w:val="0"/>
          <w:numId w:val="106"/>
        </w:numPr>
        <w:rPr>
          <w:rFonts w:ascii="Arial" w:cs="Arial" w:eastAsia="Arial" w:hAnsi="Arial"/>
          <w:sz w:val="20"/>
          <w:szCs w:val="20"/>
          <w:color w:val="auto"/>
        </w:rPr>
      </w:pPr>
      <w:r>
        <w:rPr>
          <w:rFonts w:ascii="Arial" w:cs="Arial" w:eastAsia="Arial" w:hAnsi="Arial"/>
          <w:sz w:val="18"/>
          <w:szCs w:val="18"/>
          <w:color w:val="auto"/>
        </w:rPr>
        <w:t>in no event shall the Lender replaced under paragraph (d) above be required to pay or surrender any of the fees received by it pursuant to the Finance Documents; and</w:t>
      </w:r>
    </w:p>
    <w:p>
      <w:pPr>
        <w:spacing w:after="0" w:line="163" w:lineRule="exact"/>
        <w:rPr>
          <w:rFonts w:ascii="Arial" w:cs="Arial" w:eastAsia="Arial" w:hAnsi="Arial"/>
          <w:sz w:val="20"/>
          <w:szCs w:val="20"/>
          <w:color w:val="auto"/>
        </w:rPr>
      </w:pPr>
    </w:p>
    <w:p>
      <w:pPr>
        <w:jc w:val="both"/>
        <w:ind w:left="800" w:hanging="643"/>
        <w:spacing w:after="0" w:line="264" w:lineRule="auto"/>
        <w:tabs>
          <w:tab w:leader="none" w:pos="800" w:val="left"/>
        </w:tabs>
        <w:numPr>
          <w:ilvl w:val="0"/>
          <w:numId w:val="106"/>
        </w:numPr>
        <w:rPr>
          <w:rFonts w:ascii="Arial" w:cs="Arial" w:eastAsia="Arial" w:hAnsi="Arial"/>
          <w:sz w:val="20"/>
          <w:szCs w:val="20"/>
          <w:color w:val="auto"/>
        </w:rPr>
      </w:pPr>
      <w:r>
        <w:rPr>
          <w:rFonts w:ascii="Arial" w:cs="Arial" w:eastAsia="Arial" w:hAnsi="Arial"/>
          <w:sz w:val="18"/>
          <w:szCs w:val="18"/>
          <w:color w:val="auto"/>
        </w:rPr>
        <w:t>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spacing w:after="0" w:line="37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120"/>
          </w:cols>
          <w:pgMar w:left="1440" w:top="355" w:right="339" w:bottom="1440" w:gutter="0" w:footer="0" w:header="0"/>
        </w:sectPr>
      </w:pPr>
    </w:p>
    <w:bookmarkStart w:id="50" w:name="page51"/>
    <w:bookmarkEnd w:id="50"/>
    <w:p>
      <w:pPr>
        <w:ind w:left="1280" w:hanging="624"/>
        <w:spacing w:after="0" w:line="296" w:lineRule="auto"/>
        <w:tabs>
          <w:tab w:leader="none" w:pos="1262" w:val="left"/>
        </w:tabs>
        <w:numPr>
          <w:ilvl w:val="0"/>
          <w:numId w:val="107"/>
        </w:numPr>
        <w:rPr>
          <w:rFonts w:ascii="Arial" w:cs="Arial" w:eastAsia="Arial" w:hAnsi="Arial"/>
          <w:sz w:val="19"/>
          <w:szCs w:val="19"/>
          <w:color w:val="auto"/>
        </w:rPr>
      </w:pPr>
      <w:r>
        <w:rPr>
          <w:rFonts w:ascii="Arial" w:cs="Arial" w:eastAsia="Arial" w:hAnsi="Arial"/>
          <w:sz w:val="17"/>
          <w:szCs w:val="17"/>
          <w:color w:val="auto"/>
        </w:rPr>
        <w:t>The Lender shall perform the checks described in paragraph (e)(iii) above as soon as reasonably practicable following delivery of a notice referred to in paragraph (d) above and shall notify the Company when it is satisfied that it has complied with those checks.</w:t>
      </w:r>
    </w:p>
    <w:p>
      <w:pPr>
        <w:spacing w:after="0" w:line="12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5"/>
          <w:szCs w:val="15"/>
          <w:b w:val="1"/>
          <w:bCs w:val="1"/>
          <w:color w:val="auto"/>
        </w:rPr>
        <w:t>Restrictions</w:t>
      </w:r>
    </w:p>
    <w:p>
      <w:pPr>
        <w:spacing w:after="0" w:line="205" w:lineRule="exact"/>
        <w:rPr>
          <w:sz w:val="20"/>
          <w:szCs w:val="20"/>
          <w:color w:val="auto"/>
        </w:rPr>
      </w:pPr>
    </w:p>
    <w:p>
      <w:pPr>
        <w:jc w:val="both"/>
        <w:ind w:left="1280" w:right="20" w:hanging="624"/>
        <w:spacing w:after="0" w:line="264" w:lineRule="auto"/>
        <w:tabs>
          <w:tab w:leader="none" w:pos="1262" w:val="left"/>
        </w:tabs>
        <w:numPr>
          <w:ilvl w:val="0"/>
          <w:numId w:val="108"/>
        </w:numPr>
        <w:rPr>
          <w:rFonts w:ascii="Arial" w:cs="Arial" w:eastAsia="Arial" w:hAnsi="Arial"/>
          <w:sz w:val="20"/>
          <w:szCs w:val="20"/>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69"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108"/>
        </w:numPr>
        <w:rPr>
          <w:rFonts w:ascii="Arial" w:cs="Arial" w:eastAsia="Arial" w:hAnsi="Arial"/>
          <w:sz w:val="20"/>
          <w:szCs w:val="20"/>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63"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108"/>
        </w:numPr>
        <w:rPr>
          <w:rFonts w:ascii="Arial" w:cs="Arial" w:eastAsia="Arial" w:hAnsi="Arial"/>
          <w:sz w:val="20"/>
          <w:szCs w:val="20"/>
          <w:color w:val="auto"/>
        </w:rPr>
      </w:pPr>
      <w:r>
        <w:rPr>
          <w:rFonts w:ascii="Arial" w:cs="Arial" w:eastAsia="Arial" w:hAnsi="Arial"/>
          <w:sz w:val="18"/>
          <w:szCs w:val="18"/>
          <w:color w:val="auto"/>
        </w:rPr>
        <w:t>Unless a contrary indication appears in this Agreement, any part of the Facility which is prepaid or repaid may be reborrowed in accordance with the terms of this Agreement.</w:t>
      </w:r>
    </w:p>
    <w:p>
      <w:pPr>
        <w:spacing w:after="0" w:line="163"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108"/>
        </w:numPr>
        <w:rPr>
          <w:rFonts w:ascii="Arial" w:cs="Arial" w:eastAsia="Arial" w:hAnsi="Arial"/>
          <w:sz w:val="20"/>
          <w:szCs w:val="20"/>
          <w:color w:val="auto"/>
        </w:rPr>
      </w:pPr>
      <w:r>
        <w:rPr>
          <w:rFonts w:ascii="Arial" w:cs="Arial" w:eastAsia="Arial" w:hAnsi="Arial"/>
          <w:sz w:val="18"/>
          <w:szCs w:val="18"/>
          <w:color w:val="auto"/>
        </w:rPr>
        <w:t>The Company shall not repay or prepay all or any part of the Loans or cancel all or any part of the Commitment except at the times and in the manner expressly provided for in this Agreement.</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108"/>
        </w:numPr>
        <w:rPr>
          <w:rFonts w:ascii="Arial" w:cs="Arial" w:eastAsia="Arial" w:hAnsi="Arial"/>
          <w:sz w:val="20"/>
          <w:szCs w:val="20"/>
          <w:color w:val="auto"/>
        </w:rPr>
      </w:pPr>
      <w:r>
        <w:rPr>
          <w:rFonts w:ascii="Arial" w:cs="Arial" w:eastAsia="Arial" w:hAnsi="Arial"/>
          <w:sz w:val="18"/>
          <w:szCs w:val="18"/>
          <w:color w:val="auto"/>
        </w:rPr>
        <w:t>No amount of the Commitment cancelled under this Agreement may be subsequently reinstated.</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COSTS OF UTILISATION</w:t>
      </w:r>
    </w:p>
    <w:p>
      <w:pPr>
        <w:spacing w:after="0" w:line="193" w:lineRule="exact"/>
        <w:rPr>
          <w:sz w:val="20"/>
          <w:szCs w:val="20"/>
          <w:color w:val="auto"/>
        </w:rPr>
      </w:pPr>
    </w:p>
    <w:p>
      <w:pPr>
        <w:ind w:left="620" w:hanging="612"/>
        <w:spacing w:after="0"/>
        <w:tabs>
          <w:tab w:leader="none" w:pos="620" w:val="left"/>
        </w:tabs>
        <w:numPr>
          <w:ilvl w:val="0"/>
          <w:numId w:val="109"/>
        </w:numPr>
        <w:rPr>
          <w:rFonts w:ascii="Arial" w:cs="Arial" w:eastAsia="Arial" w:hAnsi="Arial"/>
          <w:sz w:val="20"/>
          <w:szCs w:val="20"/>
          <w:b w:val="1"/>
          <w:bCs w:val="1"/>
          <w:color w:val="auto"/>
        </w:rPr>
      </w:pPr>
      <w:r>
        <w:rPr>
          <w:rFonts w:ascii="Arial" w:cs="Arial" w:eastAsia="Arial" w:hAnsi="Arial"/>
          <w:sz w:val="18"/>
          <w:szCs w:val="18"/>
          <w:b w:val="1"/>
          <w:bCs w:val="1"/>
          <w:color w:val="auto"/>
        </w:rPr>
        <w:t>INTEREST</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rate of interest on each Loan for each Interest Period is the percentage rate per annum which is the aggregate of the applicable:</w:t>
      </w:r>
    </w:p>
    <w:p>
      <w:pPr>
        <w:spacing w:after="0" w:line="212" w:lineRule="exact"/>
        <w:rPr>
          <w:sz w:val="20"/>
          <w:szCs w:val="20"/>
          <w:color w:val="auto"/>
        </w:rPr>
      </w:pPr>
    </w:p>
    <w:p>
      <w:pPr>
        <w:ind w:left="1260" w:hanging="604"/>
        <w:spacing w:after="0"/>
        <w:tabs>
          <w:tab w:leader="none" w:pos="1260" w:val="left"/>
        </w:tabs>
        <w:numPr>
          <w:ilvl w:val="0"/>
          <w:numId w:val="110"/>
        </w:numPr>
        <w:rPr>
          <w:rFonts w:ascii="Arial" w:cs="Arial" w:eastAsia="Arial" w:hAnsi="Arial"/>
          <w:sz w:val="20"/>
          <w:szCs w:val="20"/>
          <w:color w:val="auto"/>
        </w:rPr>
      </w:pPr>
      <w:r>
        <w:rPr>
          <w:rFonts w:ascii="Arial" w:cs="Arial" w:eastAsia="Arial" w:hAnsi="Arial"/>
          <w:sz w:val="18"/>
          <w:szCs w:val="18"/>
          <w:color w:val="auto"/>
        </w:rPr>
        <w:t>Margin;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10"/>
        </w:numPr>
        <w:rPr>
          <w:rFonts w:ascii="Arial" w:cs="Arial" w:eastAsia="Arial" w:hAnsi="Arial"/>
          <w:sz w:val="20"/>
          <w:szCs w:val="20"/>
          <w:color w:val="auto"/>
        </w:rPr>
      </w:pPr>
      <w:r>
        <w:rPr>
          <w:rFonts w:ascii="Arial" w:cs="Arial" w:eastAsia="Arial" w:hAnsi="Arial"/>
          <w:sz w:val="18"/>
          <w:szCs w:val="18"/>
          <w:color w:val="auto"/>
        </w:rPr>
        <w:t>EURIBOR.</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b w:val="1"/>
          <w:bCs w:val="1"/>
          <w:color w:val="auto"/>
        </w:rPr>
        <w:t>Payment of interest</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Company shall pay accrued interest on that Loan on the last day of each Interest Period (and, if the Interest Period is longer than six Months, on the dates falling at six monthly intervals after the first day of the Interest Period).</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6"/>
          <w:szCs w:val="16"/>
          <w:b w:val="1"/>
          <w:bCs w:val="1"/>
          <w:color w:val="auto"/>
        </w:rPr>
        <w:t>Default interest</w:t>
      </w:r>
    </w:p>
    <w:p>
      <w:pPr>
        <w:spacing w:after="0" w:line="205" w:lineRule="exact"/>
        <w:rPr>
          <w:sz w:val="20"/>
          <w:szCs w:val="20"/>
          <w:color w:val="auto"/>
        </w:rPr>
      </w:pPr>
    </w:p>
    <w:p>
      <w:pPr>
        <w:jc w:val="both"/>
        <w:ind w:left="1280" w:hanging="624"/>
        <w:spacing w:after="0" w:line="265" w:lineRule="auto"/>
        <w:tabs>
          <w:tab w:leader="none" w:pos="1262" w:val="left"/>
        </w:tabs>
        <w:numPr>
          <w:ilvl w:val="0"/>
          <w:numId w:val="111"/>
        </w:numPr>
        <w:rPr>
          <w:rFonts w:ascii="Arial" w:cs="Arial" w:eastAsia="Arial" w:hAnsi="Arial"/>
          <w:sz w:val="20"/>
          <w:szCs w:val="20"/>
          <w:color w:val="auto"/>
        </w:rPr>
      </w:pPr>
      <w:r>
        <w:rPr>
          <w:rFonts w:ascii="Arial" w:cs="Arial" w:eastAsia="Arial" w:hAnsi="Arial"/>
          <w:sz w:val="18"/>
          <w:szCs w:val="18"/>
          <w:color w:val="auto"/>
        </w:rPr>
        <w:t>If the Company fails to pay any amount payable by it under a Finance Document on its due date, interest shall accrue on the overdue amount from the due date up to the date of actual payment (both before and after judgment) at a rate which, subject to paragraph (b) below, is two per cent per annum higher than the rate which would have been payable if the overdue amount had, during the period of non-payment, constituted a Loan in the currency of the overdue amount for successive Interest Periods, each of a duration selected by the Lender (acting reasonably). Any interest accruing under this Clause 8.3 shall be immediately payable by the Company on demand by the Lender.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55" w:right="339" w:bottom="1440" w:gutter="0" w:footer="0" w:header="0"/>
        </w:sectPr>
      </w:pPr>
    </w:p>
    <w:bookmarkStart w:id="51" w:name="page52"/>
    <w:bookmarkEnd w:id="51"/>
    <w:p>
      <w:pPr>
        <w:ind w:left="1280" w:hanging="624"/>
        <w:spacing w:after="0" w:line="266" w:lineRule="auto"/>
        <w:tabs>
          <w:tab w:leader="none" w:pos="1262" w:val="left"/>
        </w:tabs>
        <w:numPr>
          <w:ilvl w:val="0"/>
          <w:numId w:val="112"/>
        </w:numPr>
        <w:rPr>
          <w:rFonts w:ascii="Arial" w:cs="Arial" w:eastAsia="Arial" w:hAnsi="Arial"/>
          <w:sz w:val="20"/>
          <w:szCs w:val="20"/>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163"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112"/>
        </w:numPr>
        <w:rPr>
          <w:rFonts w:ascii="Arial" w:cs="Arial" w:eastAsia="Arial" w:hAnsi="Arial"/>
          <w:sz w:val="20"/>
          <w:szCs w:val="20"/>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163"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112"/>
        </w:numPr>
        <w:rPr>
          <w:rFonts w:ascii="Arial" w:cs="Arial" w:eastAsia="Arial" w:hAnsi="Arial"/>
          <w:sz w:val="20"/>
          <w:szCs w:val="20"/>
          <w:color w:val="auto"/>
        </w:rPr>
      </w:pPr>
      <w:r>
        <w:rPr>
          <w:rFonts w:ascii="Arial" w:cs="Arial" w:eastAsia="Arial" w:hAnsi="Arial"/>
          <w:sz w:val="18"/>
          <w:szCs w:val="18"/>
          <w:color w:val="auto"/>
        </w:rPr>
        <w:t>the rate of interest applying to the overdue amount during that first Interest Period shall be two per cent per annum higher than the rate which would have applied if the overdue amount had not become due.</w:t>
      </w:r>
    </w:p>
    <w:p>
      <w:pPr>
        <w:spacing w:after="0" w:line="163"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112"/>
        </w:numPr>
        <w:rPr>
          <w:rFonts w:ascii="Arial" w:cs="Arial" w:eastAsia="Arial" w:hAnsi="Arial"/>
          <w:sz w:val="20"/>
          <w:szCs w:val="20"/>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6"/>
          <w:szCs w:val="16"/>
          <w:b w:val="1"/>
          <w:bCs w:val="1"/>
          <w:color w:val="auto"/>
        </w:rPr>
        <w:t>Notification of rates of interest</w:t>
      </w:r>
    </w:p>
    <w:p>
      <w:pPr>
        <w:spacing w:after="0" w:line="205" w:lineRule="exact"/>
        <w:rPr>
          <w:sz w:val="20"/>
          <w:szCs w:val="20"/>
          <w:color w:val="auto"/>
        </w:rPr>
      </w:pPr>
    </w:p>
    <w:p>
      <w:pPr>
        <w:ind w:left="1260" w:hanging="604"/>
        <w:spacing w:after="0"/>
        <w:tabs>
          <w:tab w:leader="none" w:pos="1260" w:val="left"/>
        </w:tabs>
        <w:numPr>
          <w:ilvl w:val="0"/>
          <w:numId w:val="113"/>
        </w:numPr>
        <w:rPr>
          <w:rFonts w:ascii="Arial" w:cs="Arial" w:eastAsia="Arial" w:hAnsi="Arial"/>
          <w:sz w:val="20"/>
          <w:szCs w:val="20"/>
          <w:color w:val="auto"/>
        </w:rPr>
      </w:pPr>
      <w:r>
        <w:rPr>
          <w:rFonts w:ascii="Arial" w:cs="Arial" w:eastAsia="Arial" w:hAnsi="Arial"/>
          <w:sz w:val="18"/>
          <w:szCs w:val="18"/>
          <w:color w:val="auto"/>
        </w:rPr>
        <w:t>The Lender shall promptly notify the Company of the determination of a rate of interest under this Agreement.</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13"/>
        </w:numPr>
        <w:rPr>
          <w:rFonts w:ascii="Arial" w:cs="Arial" w:eastAsia="Arial" w:hAnsi="Arial"/>
          <w:sz w:val="20"/>
          <w:szCs w:val="20"/>
          <w:color w:val="auto"/>
        </w:rPr>
      </w:pPr>
      <w:r>
        <w:rPr>
          <w:rFonts w:ascii="Arial" w:cs="Arial" w:eastAsia="Arial" w:hAnsi="Arial"/>
          <w:sz w:val="18"/>
          <w:szCs w:val="18"/>
          <w:color w:val="auto"/>
        </w:rPr>
        <w:t>The Lender shall promptly notify the Company of each Funding Rate relating to a Loan.</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7"/>
          <w:szCs w:val="17"/>
          <w:b w:val="1"/>
          <w:bCs w:val="1"/>
          <w:color w:val="auto"/>
        </w:rPr>
        <w:t>Italian Usury Law</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Notwithstanding any other provision of the Finance Documents:</w:t>
      </w:r>
    </w:p>
    <w:p>
      <w:pPr>
        <w:spacing w:after="0" w:line="239" w:lineRule="exact"/>
        <w:rPr>
          <w:sz w:val="20"/>
          <w:szCs w:val="20"/>
          <w:color w:val="auto"/>
        </w:rPr>
      </w:pPr>
    </w:p>
    <w:p>
      <w:pPr>
        <w:ind w:left="1660" w:hanging="896"/>
        <w:spacing w:after="0" w:line="296" w:lineRule="auto"/>
        <w:tabs>
          <w:tab w:leader="none" w:pos="1660" w:val="left"/>
        </w:tabs>
        <w:numPr>
          <w:ilvl w:val="0"/>
          <w:numId w:val="114"/>
        </w:numPr>
        <w:rPr>
          <w:rFonts w:ascii="Arial" w:cs="Arial" w:eastAsia="Arial" w:hAnsi="Arial"/>
          <w:sz w:val="19"/>
          <w:szCs w:val="19"/>
          <w:color w:val="auto"/>
        </w:rPr>
      </w:pPr>
      <w:r>
        <w:rPr>
          <w:rFonts w:ascii="Arial" w:cs="Arial" w:eastAsia="Arial" w:hAnsi="Arial"/>
          <w:sz w:val="17"/>
          <w:szCs w:val="17"/>
          <w:color w:val="auto"/>
        </w:rPr>
        <w:t>any interest (including default interest) payable by the Company pursuant to the Finance Documents will be compounded only within the limits imposed by Article 1283 of the Italian Civil Code and Article 120 of the Italian Banking Act; and</w:t>
      </w:r>
    </w:p>
    <w:p>
      <w:pPr>
        <w:spacing w:after="0" w:line="164" w:lineRule="exact"/>
        <w:rPr>
          <w:rFonts w:ascii="Arial" w:cs="Arial" w:eastAsia="Arial" w:hAnsi="Arial"/>
          <w:sz w:val="19"/>
          <w:szCs w:val="19"/>
          <w:color w:val="auto"/>
        </w:rPr>
      </w:pPr>
    </w:p>
    <w:p>
      <w:pPr>
        <w:jc w:val="both"/>
        <w:ind w:left="1660" w:hanging="896"/>
        <w:spacing w:after="0" w:line="283" w:lineRule="auto"/>
        <w:tabs>
          <w:tab w:leader="none" w:pos="1660" w:val="left"/>
        </w:tabs>
        <w:numPr>
          <w:ilvl w:val="0"/>
          <w:numId w:val="114"/>
        </w:numPr>
        <w:rPr>
          <w:rFonts w:ascii="Arial" w:cs="Arial" w:eastAsia="Arial" w:hAnsi="Arial"/>
          <w:sz w:val="19"/>
          <w:szCs w:val="19"/>
          <w:color w:val="auto"/>
        </w:rPr>
      </w:pPr>
      <w:r>
        <w:rPr>
          <w:rFonts w:ascii="Arial" w:cs="Arial" w:eastAsia="Arial" w:hAnsi="Arial"/>
          <w:sz w:val="17"/>
          <w:szCs w:val="17"/>
          <w:color w:val="auto"/>
        </w:rPr>
        <w:t>if at any time any monetary amount or other benefit stated to be due to the Lender by the Company in respect of the Finance Documents by way of interest, fees, remuneration, charges, expenses (or other costs relevant for the purposes of the Italian Usury Law) would be found to exceed a maximum amount permitted pursuant to the Italian Usury Law, such amount or other benefit shall be reduced, for the shortest period possible (if applicable), at the maximum amount permitted to be payable by the Company under the Italian Usury Law and if any Lender shall receive interest in an amount that exceeds the maximum amount permitted pursuant to the Italian Usury Law, the excess interest shall be applied to the principal of the obligations owing by the Company or, if it exceeds such unpaid principal, refunded to the Company.</w:t>
      </w:r>
    </w:p>
    <w:p>
      <w:pPr>
        <w:spacing w:after="0" w:line="178" w:lineRule="exact"/>
        <w:rPr>
          <w:sz w:val="20"/>
          <w:szCs w:val="20"/>
          <w:color w:val="auto"/>
        </w:rPr>
      </w:pPr>
    </w:p>
    <w:p>
      <w:pPr>
        <w:ind w:left="620" w:hanging="612"/>
        <w:spacing w:after="0"/>
        <w:tabs>
          <w:tab w:leader="none" w:pos="620" w:val="left"/>
        </w:tabs>
        <w:numPr>
          <w:ilvl w:val="0"/>
          <w:numId w:val="115"/>
        </w:numPr>
        <w:rPr>
          <w:rFonts w:ascii="Arial" w:cs="Arial" w:eastAsia="Arial" w:hAnsi="Arial"/>
          <w:sz w:val="20"/>
          <w:szCs w:val="20"/>
          <w:b w:val="1"/>
          <w:bCs w:val="1"/>
          <w:color w:val="auto"/>
        </w:rPr>
      </w:pPr>
      <w:r>
        <w:rPr>
          <w:rFonts w:ascii="Arial" w:cs="Arial" w:eastAsia="Arial" w:hAnsi="Arial"/>
          <w:sz w:val="18"/>
          <w:szCs w:val="18"/>
          <w:b w:val="1"/>
          <w:bCs w:val="1"/>
          <w:color w:val="auto"/>
        </w:rPr>
        <w:t>INTEREST PERIODS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5"/>
          <w:szCs w:val="15"/>
          <w:b w:val="1"/>
          <w:bCs w:val="1"/>
          <w:color w:val="auto"/>
        </w:rPr>
        <w:t>Selection of Interest Periods</w:t>
      </w:r>
    </w:p>
    <w:p>
      <w:pPr>
        <w:spacing w:after="0" w:line="205" w:lineRule="exact"/>
        <w:rPr>
          <w:sz w:val="20"/>
          <w:szCs w:val="20"/>
          <w:color w:val="auto"/>
        </w:rPr>
      </w:pPr>
    </w:p>
    <w:p>
      <w:pPr>
        <w:ind w:left="1280" w:right="20" w:hanging="624"/>
        <w:spacing w:after="0" w:line="266" w:lineRule="auto"/>
        <w:tabs>
          <w:tab w:leader="none" w:pos="1262" w:val="left"/>
        </w:tabs>
        <w:numPr>
          <w:ilvl w:val="0"/>
          <w:numId w:val="116"/>
        </w:numPr>
        <w:rPr>
          <w:rFonts w:ascii="Arial" w:cs="Arial" w:eastAsia="Arial" w:hAnsi="Arial"/>
          <w:sz w:val="20"/>
          <w:szCs w:val="20"/>
          <w:color w:val="auto"/>
        </w:rPr>
      </w:pPr>
      <w:r>
        <w:rPr>
          <w:rFonts w:ascii="Arial" w:cs="Arial" w:eastAsia="Arial" w:hAnsi="Arial"/>
          <w:sz w:val="18"/>
          <w:szCs w:val="18"/>
          <w:color w:val="auto"/>
        </w:rPr>
        <w:t>Subject to this Clause 9, the Company may select an Interest Period of 1, 2, 3 or 6 Months or any other period agreed between the Company and the Lender.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55" w:right="339" w:bottom="1440" w:gutter="0" w:footer="0" w:header="0"/>
        </w:sectPr>
      </w:pPr>
    </w:p>
    <w:bookmarkStart w:id="52" w:name="page53"/>
    <w:bookmarkEnd w:id="52"/>
    <w:p>
      <w:pPr>
        <w:ind w:left="1260" w:hanging="604"/>
        <w:spacing w:after="0"/>
        <w:tabs>
          <w:tab w:leader="none" w:pos="1260" w:val="left"/>
        </w:tabs>
        <w:numPr>
          <w:ilvl w:val="0"/>
          <w:numId w:val="117"/>
        </w:numPr>
        <w:rPr>
          <w:rFonts w:ascii="Arial" w:cs="Arial" w:eastAsia="Arial" w:hAnsi="Arial"/>
          <w:sz w:val="20"/>
          <w:szCs w:val="20"/>
          <w:color w:val="auto"/>
        </w:rPr>
      </w:pPr>
      <w:r>
        <w:rPr>
          <w:rFonts w:ascii="Arial" w:cs="Arial" w:eastAsia="Arial" w:hAnsi="Arial"/>
          <w:sz w:val="18"/>
          <w:szCs w:val="18"/>
          <w:color w:val="auto"/>
        </w:rPr>
        <w:t>An Interest Period for a Loan shall not extend beyond the Termination Date.</w:t>
      </w:r>
    </w:p>
    <w:p>
      <w:pPr>
        <w:spacing w:after="0" w:line="188"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117"/>
        </w:numPr>
        <w:rPr>
          <w:rFonts w:ascii="Arial" w:cs="Arial" w:eastAsia="Arial" w:hAnsi="Arial"/>
          <w:sz w:val="20"/>
          <w:szCs w:val="20"/>
          <w:color w:val="auto"/>
        </w:rPr>
      </w:pPr>
      <w:r>
        <w:rPr>
          <w:rFonts w:ascii="Arial" w:cs="Arial" w:eastAsia="Arial" w:hAnsi="Arial"/>
          <w:sz w:val="18"/>
          <w:szCs w:val="18"/>
          <w:color w:val="auto"/>
        </w:rPr>
        <w:t>Each Interest Period for a Loan shall start on the Utilisation Date for that Loan or (if already made) on the last day of its preceding Interest Period.</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117"/>
        </w:numPr>
        <w:rPr>
          <w:rFonts w:ascii="Arial" w:cs="Arial" w:eastAsia="Arial" w:hAnsi="Arial"/>
          <w:sz w:val="20"/>
          <w:szCs w:val="20"/>
          <w:color w:val="auto"/>
        </w:rPr>
      </w:pPr>
      <w:r>
        <w:rPr>
          <w:rFonts w:ascii="Arial" w:cs="Arial" w:eastAsia="Arial" w:hAnsi="Arial"/>
          <w:sz w:val="18"/>
          <w:szCs w:val="18"/>
          <w:color w:val="auto"/>
        </w:rPr>
        <w:t>A Loan has one Interest Period only.</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5"/>
          <w:szCs w:val="15"/>
          <w:b w:val="1"/>
          <w:bCs w:val="1"/>
          <w:color w:val="auto"/>
        </w:rPr>
        <w:t>Non-Business Days</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b w:val="1"/>
          <w:bCs w:val="1"/>
          <w:color w:val="auto"/>
        </w:rPr>
        <w:t>Consolidation of Loans</w:t>
      </w:r>
    </w:p>
    <w:p>
      <w:pPr>
        <w:spacing w:after="0" w:line="191"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If two or more Interest Periods of the same duration end on the same date, those Loans will be consolidated into, and treated as, a single Loan on the last day of the Interest Period.</w:t>
      </w:r>
    </w:p>
    <w:p>
      <w:pPr>
        <w:spacing w:after="0" w:line="153" w:lineRule="exact"/>
        <w:rPr>
          <w:sz w:val="20"/>
          <w:szCs w:val="20"/>
          <w:color w:val="auto"/>
        </w:rPr>
      </w:pPr>
    </w:p>
    <w:p>
      <w:pPr>
        <w:ind w:left="620" w:hanging="612"/>
        <w:spacing w:after="0"/>
        <w:tabs>
          <w:tab w:leader="none" w:pos="620" w:val="left"/>
        </w:tabs>
        <w:numPr>
          <w:ilvl w:val="0"/>
          <w:numId w:val="118"/>
        </w:numPr>
        <w:rPr>
          <w:rFonts w:ascii="Arial" w:cs="Arial" w:eastAsia="Arial" w:hAnsi="Arial"/>
          <w:sz w:val="20"/>
          <w:szCs w:val="20"/>
          <w:b w:val="1"/>
          <w:bCs w:val="1"/>
          <w:color w:val="auto"/>
        </w:rPr>
      </w:pPr>
      <w:r>
        <w:rPr>
          <w:rFonts w:ascii="Arial" w:cs="Arial" w:eastAsia="Arial" w:hAnsi="Arial"/>
          <w:sz w:val="18"/>
          <w:szCs w:val="18"/>
          <w:b w:val="1"/>
          <w:bCs w:val="1"/>
          <w:color w:val="auto"/>
        </w:rPr>
        <w:t>CHANGES TO THE CALCULATION OF INTEREST</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b w:val="1"/>
          <w:bCs w:val="1"/>
          <w:color w:val="auto"/>
        </w:rPr>
        <w:t>Unavailability of Screen Rate</w:t>
      </w:r>
    </w:p>
    <w:p>
      <w:pPr>
        <w:spacing w:after="0" w:line="205" w:lineRule="exact"/>
        <w:rPr>
          <w:sz w:val="20"/>
          <w:szCs w:val="20"/>
          <w:color w:val="auto"/>
        </w:rPr>
      </w:pPr>
    </w:p>
    <w:p>
      <w:pPr>
        <w:ind w:left="1300" w:hanging="644"/>
        <w:spacing w:after="0" w:line="266" w:lineRule="auto"/>
        <w:tabs>
          <w:tab w:leader="none" w:pos="1300" w:val="left"/>
        </w:tabs>
        <w:numPr>
          <w:ilvl w:val="0"/>
          <w:numId w:val="119"/>
        </w:numPr>
        <w:rPr>
          <w:rFonts w:ascii="Arial" w:cs="Arial" w:eastAsia="Arial" w:hAnsi="Arial"/>
          <w:sz w:val="20"/>
          <w:szCs w:val="20"/>
          <w:color w:val="auto"/>
        </w:rPr>
      </w:pPr>
      <w:r>
        <w:rPr>
          <w:rFonts w:ascii="Arial" w:cs="Arial" w:eastAsia="Arial" w:hAnsi="Arial"/>
          <w:sz w:val="18"/>
          <w:szCs w:val="18"/>
          <w:i w:val="1"/>
          <w:iCs w:val="1"/>
          <w:color w:val="auto"/>
        </w:rPr>
        <w:t>Interpolated Screen Rate</w:t>
      </w:r>
      <w:r>
        <w:rPr>
          <w:rFonts w:ascii="Arial" w:cs="Arial" w:eastAsia="Arial" w:hAnsi="Arial"/>
          <w:sz w:val="18"/>
          <w:szCs w:val="18"/>
          <w:color w:val="auto"/>
        </w:rPr>
        <w:t>: If no Screen Rate is available for EURIBOR for the Interest Period of a Loan, the applicable EURIBOR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the Interpolated Screen Rate for a period equal in length to the Interest Period of that Loan.</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0"/>
          <w:numId w:val="119"/>
        </w:numPr>
        <w:rPr>
          <w:rFonts w:ascii="Arial" w:cs="Arial" w:eastAsia="Arial" w:hAnsi="Arial"/>
          <w:sz w:val="20"/>
          <w:szCs w:val="20"/>
          <w:color w:val="auto"/>
        </w:rPr>
      </w:pPr>
      <w:r>
        <w:rPr>
          <w:rFonts w:ascii="Arial" w:cs="Arial" w:eastAsia="Arial" w:hAnsi="Arial"/>
          <w:sz w:val="18"/>
          <w:szCs w:val="18"/>
          <w:i w:val="1"/>
          <w:iCs w:val="1"/>
          <w:color w:val="auto"/>
        </w:rPr>
        <w:t>Shortened Interest Period</w:t>
      </w:r>
      <w:r>
        <w:rPr>
          <w:rFonts w:ascii="Arial" w:cs="Arial" w:eastAsia="Arial" w:hAnsi="Arial"/>
          <w:sz w:val="18"/>
          <w:szCs w:val="18"/>
          <w:color w:val="auto"/>
        </w:rPr>
        <w:t>: If no Screen Rate is available for EURIBOR for:</w:t>
      </w:r>
    </w:p>
    <w:p>
      <w:pPr>
        <w:spacing w:after="0" w:line="206" w:lineRule="exact"/>
        <w:rPr>
          <w:rFonts w:ascii="Arial" w:cs="Arial" w:eastAsia="Arial" w:hAnsi="Arial"/>
          <w:sz w:val="20"/>
          <w:szCs w:val="20"/>
          <w:color w:val="auto"/>
        </w:rPr>
      </w:pPr>
    </w:p>
    <w:p>
      <w:pPr>
        <w:ind w:left="1960" w:hanging="656"/>
        <w:spacing w:after="0"/>
        <w:tabs>
          <w:tab w:leader="none" w:pos="1960" w:val="left"/>
        </w:tabs>
        <w:numPr>
          <w:ilvl w:val="1"/>
          <w:numId w:val="119"/>
        </w:numPr>
        <w:rPr>
          <w:rFonts w:ascii="Arial" w:cs="Arial" w:eastAsia="Arial" w:hAnsi="Arial"/>
          <w:sz w:val="22"/>
          <w:szCs w:val="22"/>
          <w:color w:val="auto"/>
        </w:rPr>
      </w:pPr>
      <w:r>
        <w:rPr>
          <w:rFonts w:ascii="Arial" w:cs="Arial" w:eastAsia="Arial" w:hAnsi="Arial"/>
          <w:sz w:val="18"/>
          <w:szCs w:val="18"/>
          <w:color w:val="auto"/>
        </w:rPr>
        <w:t>the currency of a Loan; or</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119"/>
        </w:numPr>
        <w:rPr>
          <w:rFonts w:ascii="Arial" w:cs="Arial" w:eastAsia="Arial" w:hAnsi="Arial"/>
          <w:sz w:val="22"/>
          <w:szCs w:val="22"/>
          <w:color w:val="auto"/>
        </w:rPr>
      </w:pPr>
      <w:r>
        <w:rPr>
          <w:rFonts w:ascii="Arial" w:cs="Arial" w:eastAsia="Arial" w:hAnsi="Arial"/>
          <w:sz w:val="18"/>
          <w:szCs w:val="18"/>
          <w:color w:val="auto"/>
        </w:rPr>
        <w:t>the Interest Period of a Loan and it is not possible to calculate the Interpolated Screen Rate,</w:t>
      </w:r>
    </w:p>
    <w:p>
      <w:pPr>
        <w:spacing w:after="0" w:line="21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Interest Period of that Loan shall (if it is longer than the applicable Fallback Interest Period) be shortened to the applicable Fallback Interest Period and the applicable EURIBOR for that shortened Interest Period shall be determined pursuant to the definition of “EURIBOR”.</w:t>
      </w:r>
    </w:p>
    <w:p>
      <w:pPr>
        <w:spacing w:after="0" w:line="197" w:lineRule="exact"/>
        <w:rPr>
          <w:sz w:val="20"/>
          <w:szCs w:val="20"/>
          <w:color w:val="auto"/>
        </w:rPr>
      </w:pPr>
    </w:p>
    <w:p>
      <w:pPr>
        <w:jc w:val="both"/>
        <w:ind w:left="1300" w:hanging="644"/>
        <w:spacing w:after="0" w:line="264" w:lineRule="auto"/>
        <w:tabs>
          <w:tab w:leader="none" w:pos="1300" w:val="left"/>
        </w:tabs>
        <w:numPr>
          <w:ilvl w:val="0"/>
          <w:numId w:val="120"/>
        </w:numPr>
        <w:rPr>
          <w:rFonts w:ascii="Arial" w:cs="Arial" w:eastAsia="Arial" w:hAnsi="Arial"/>
          <w:sz w:val="20"/>
          <w:szCs w:val="20"/>
          <w:color w:val="auto"/>
        </w:rPr>
      </w:pPr>
      <w:r>
        <w:rPr>
          <w:rFonts w:ascii="Arial" w:cs="Arial" w:eastAsia="Arial" w:hAnsi="Arial"/>
          <w:sz w:val="18"/>
          <w:szCs w:val="18"/>
          <w:i w:val="1"/>
          <w:iCs w:val="1"/>
          <w:color w:val="auto"/>
        </w:rPr>
        <w:t>Shortened Interest Period and Historic Screen Rate</w:t>
      </w:r>
      <w:r>
        <w:rPr>
          <w:rFonts w:ascii="Arial" w:cs="Arial" w:eastAsia="Arial" w:hAnsi="Arial"/>
          <w:sz w:val="18"/>
          <w:szCs w:val="18"/>
          <w:color w:val="auto"/>
        </w:rPr>
        <w:t>: If the Interest Period of a Loan is, after giving effect to paragraph (b) above,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Fallback Interest Period or shorter than the applicable Fallback Interest Period and, in either case, no Screen Rate is available for EURIBOR for:</w:t>
      </w:r>
    </w:p>
    <w:p>
      <w:pPr>
        <w:spacing w:after="0" w:line="187" w:lineRule="exact"/>
        <w:rPr>
          <w:rFonts w:ascii="Arial" w:cs="Arial" w:eastAsia="Arial" w:hAnsi="Arial"/>
          <w:sz w:val="20"/>
          <w:szCs w:val="20"/>
          <w:color w:val="auto"/>
        </w:rPr>
      </w:pPr>
    </w:p>
    <w:p>
      <w:pPr>
        <w:ind w:left="1960" w:hanging="656"/>
        <w:spacing w:after="0"/>
        <w:tabs>
          <w:tab w:leader="none" w:pos="1960" w:val="left"/>
        </w:tabs>
        <w:numPr>
          <w:ilvl w:val="1"/>
          <w:numId w:val="120"/>
        </w:numPr>
        <w:rPr>
          <w:rFonts w:ascii="Arial" w:cs="Arial" w:eastAsia="Arial" w:hAnsi="Arial"/>
          <w:sz w:val="22"/>
          <w:szCs w:val="22"/>
          <w:color w:val="auto"/>
        </w:rPr>
      </w:pPr>
      <w:r>
        <w:rPr>
          <w:rFonts w:ascii="Arial" w:cs="Arial" w:eastAsia="Arial" w:hAnsi="Arial"/>
          <w:sz w:val="18"/>
          <w:szCs w:val="18"/>
          <w:color w:val="auto"/>
        </w:rPr>
        <w:t>the currency of that Loan; or</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120"/>
        </w:numPr>
        <w:rPr>
          <w:rFonts w:ascii="Arial" w:cs="Arial" w:eastAsia="Arial" w:hAnsi="Arial"/>
          <w:sz w:val="22"/>
          <w:szCs w:val="22"/>
          <w:color w:val="auto"/>
        </w:rPr>
      </w:pPr>
      <w:r>
        <w:rPr>
          <w:rFonts w:ascii="Arial" w:cs="Arial" w:eastAsia="Arial" w:hAnsi="Arial"/>
          <w:sz w:val="18"/>
          <w:szCs w:val="18"/>
          <w:color w:val="auto"/>
        </w:rPr>
        <w:t>the Interest Period of that Loan and it is not possible to calculate the Interpolated Screen Rate,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applicable EURIBOR shall be the Historic Screen Rate for that Loan.</w:t>
      </w:r>
    </w:p>
    <w:p>
      <w:pPr>
        <w:spacing w:after="0" w:line="239" w:lineRule="exact"/>
        <w:rPr>
          <w:sz w:val="20"/>
          <w:szCs w:val="20"/>
          <w:color w:val="auto"/>
        </w:rPr>
      </w:pPr>
    </w:p>
    <w:p>
      <w:pPr>
        <w:jc w:val="both"/>
        <w:ind w:left="1300" w:hanging="644"/>
        <w:spacing w:after="0" w:line="264" w:lineRule="auto"/>
        <w:tabs>
          <w:tab w:leader="none" w:pos="1300" w:val="left"/>
        </w:tabs>
        <w:numPr>
          <w:ilvl w:val="0"/>
          <w:numId w:val="121"/>
        </w:numPr>
        <w:rPr>
          <w:rFonts w:ascii="Arial" w:cs="Arial" w:eastAsia="Arial" w:hAnsi="Arial"/>
          <w:sz w:val="20"/>
          <w:szCs w:val="20"/>
          <w:color w:val="auto"/>
        </w:rPr>
      </w:pPr>
      <w:r>
        <w:rPr>
          <w:rFonts w:ascii="Arial" w:cs="Arial" w:eastAsia="Arial" w:hAnsi="Arial"/>
          <w:sz w:val="18"/>
          <w:szCs w:val="18"/>
          <w:i w:val="1"/>
          <w:iCs w:val="1"/>
          <w:color w:val="auto"/>
        </w:rPr>
        <w:t>Shortened Interest Period and Interpolated Historic Screen Rate</w:t>
      </w:r>
      <w:r>
        <w:rPr>
          <w:rFonts w:ascii="Arial" w:cs="Arial" w:eastAsia="Arial" w:hAnsi="Arial"/>
          <w:sz w:val="18"/>
          <w:szCs w:val="18"/>
          <w:color w:val="auto"/>
        </w:rPr>
        <w:t>: If paragraph (c) above applies but no Historic Screen Rate is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Interest Period of the Loan, the applicable EURIBOR shall be the Interpolated Historic Screen Rate for a period equal in length to the Interest Period of that Loan.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55" w:right="339" w:bottom="1440" w:gutter="0" w:footer="0" w:header="0"/>
        </w:sectPr>
      </w:pPr>
    </w:p>
    <w:bookmarkStart w:id="53" w:name="page54"/>
    <w:bookmarkEnd w:id="53"/>
    <w:p>
      <w:pPr>
        <w:jc w:val="both"/>
        <w:ind w:left="1300" w:hanging="644"/>
        <w:spacing w:after="0" w:line="264" w:lineRule="auto"/>
        <w:tabs>
          <w:tab w:leader="none" w:pos="1300" w:val="left"/>
        </w:tabs>
        <w:numPr>
          <w:ilvl w:val="0"/>
          <w:numId w:val="122"/>
        </w:numPr>
        <w:rPr>
          <w:rFonts w:ascii="Arial" w:cs="Arial" w:eastAsia="Arial" w:hAnsi="Arial"/>
          <w:sz w:val="20"/>
          <w:szCs w:val="20"/>
          <w:color w:val="auto"/>
        </w:rPr>
      </w:pPr>
      <w:r>
        <w:rPr>
          <w:rFonts w:ascii="Arial" w:cs="Arial" w:eastAsia="Arial" w:hAnsi="Arial"/>
          <w:sz w:val="18"/>
          <w:szCs w:val="18"/>
          <w:i w:val="1"/>
          <w:iCs w:val="1"/>
          <w:color w:val="auto"/>
        </w:rPr>
        <w:t>Cost of funds</w:t>
      </w:r>
      <w:r>
        <w:rPr>
          <w:rFonts w:ascii="Arial" w:cs="Arial" w:eastAsia="Arial" w:hAnsi="Arial"/>
          <w:sz w:val="18"/>
          <w:szCs w:val="18"/>
          <w:color w:val="auto"/>
        </w:rPr>
        <w:t>: If paragraph (d) above applies but it is not possible to calculate the Interpolated Historic Screen Rate, the Interest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Loan shall, if it has been shortened pursuant to paragraph (b) above, revert to its previous length and there shall be no EURIBOR for that Loan and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that Interest Period.</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7"/>
          <w:szCs w:val="17"/>
          <w:b w:val="1"/>
          <w:bCs w:val="1"/>
          <w:color w:val="auto"/>
        </w:rPr>
        <w:t>Market disruption</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If the cost to the Lender of funding a Loan from whatever source it may reasonably select would be in excess of EURIBOR then Clause 10.3 (</w:t>
      </w:r>
      <w:r>
        <w:rPr>
          <w:rFonts w:ascii="Arial" w:cs="Arial" w:eastAsia="Arial" w:hAnsi="Arial"/>
          <w:sz w:val="18"/>
          <w:szCs w:val="18"/>
          <w:i w:val="1"/>
          <w:iCs w:val="1"/>
          <w:color w:val="auto"/>
        </w:rPr>
        <w:t>Cost</w:t>
      </w:r>
      <w:r>
        <w:rPr>
          <w:rFonts w:ascii="Arial" w:cs="Arial" w:eastAsia="Arial" w:hAnsi="Arial"/>
          <w:sz w:val="18"/>
          <w:szCs w:val="18"/>
          <w:color w:val="auto"/>
        </w:rPr>
        <w:t xml:space="preserve"> </w:t>
      </w:r>
      <w:r>
        <w:rPr>
          <w:rFonts w:ascii="Arial" w:cs="Arial" w:eastAsia="Arial" w:hAnsi="Arial"/>
          <w:sz w:val="18"/>
          <w:szCs w:val="18"/>
          <w:i w:val="1"/>
          <w:iCs w:val="1"/>
          <w:color w:val="auto"/>
        </w:rPr>
        <w:t>of funds</w:t>
      </w:r>
      <w:r>
        <w:rPr>
          <w:rFonts w:ascii="Arial" w:cs="Arial" w:eastAsia="Arial" w:hAnsi="Arial"/>
          <w:sz w:val="18"/>
          <w:szCs w:val="18"/>
          <w:color w:val="auto"/>
        </w:rPr>
        <w:t>) shall apply to that Loan for the relevant Interest Period.</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5"/>
          <w:szCs w:val="15"/>
          <w:b w:val="1"/>
          <w:bCs w:val="1"/>
          <w:color w:val="auto"/>
        </w:rPr>
        <w:t>Cost of funds</w:t>
      </w:r>
    </w:p>
    <w:p>
      <w:pPr>
        <w:spacing w:after="0" w:line="205" w:lineRule="exact"/>
        <w:rPr>
          <w:sz w:val="20"/>
          <w:szCs w:val="20"/>
          <w:color w:val="auto"/>
        </w:rPr>
      </w:pPr>
    </w:p>
    <w:p>
      <w:pPr>
        <w:ind w:left="1280" w:hanging="624"/>
        <w:spacing w:after="0" w:line="266" w:lineRule="auto"/>
        <w:tabs>
          <w:tab w:leader="none" w:pos="1262" w:val="left"/>
        </w:tabs>
        <w:numPr>
          <w:ilvl w:val="0"/>
          <w:numId w:val="123"/>
        </w:numPr>
        <w:rPr>
          <w:rFonts w:ascii="Arial" w:cs="Arial" w:eastAsia="Arial" w:hAnsi="Arial"/>
          <w:sz w:val="20"/>
          <w:szCs w:val="20"/>
          <w:color w:val="auto"/>
        </w:rPr>
      </w:pPr>
      <w:r>
        <w:rPr>
          <w:rFonts w:ascii="Arial" w:cs="Arial" w:eastAsia="Arial" w:hAnsi="Arial"/>
          <w:sz w:val="18"/>
          <w:szCs w:val="18"/>
          <w:color w:val="auto"/>
        </w:rPr>
        <w:t>If this Clause 10.3 applies, the rate of interest on the relevant Loan for the relevant Interest Period shall be the percentage rate per annum which is the sum of:</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123"/>
        </w:numPr>
        <w:rPr>
          <w:rFonts w:ascii="Arial" w:cs="Arial" w:eastAsia="Arial" w:hAnsi="Arial"/>
          <w:sz w:val="20"/>
          <w:szCs w:val="20"/>
          <w:color w:val="auto"/>
        </w:rPr>
      </w:pPr>
      <w:r>
        <w:rPr>
          <w:rFonts w:ascii="Arial" w:cs="Arial" w:eastAsia="Arial" w:hAnsi="Arial"/>
          <w:sz w:val="18"/>
          <w:szCs w:val="18"/>
          <w:color w:val="auto"/>
        </w:rPr>
        <w:t>the Margin; and</w:t>
      </w:r>
    </w:p>
    <w:p>
      <w:pPr>
        <w:spacing w:after="0" w:line="188" w:lineRule="exact"/>
        <w:rPr>
          <w:rFonts w:ascii="Arial" w:cs="Arial" w:eastAsia="Arial" w:hAnsi="Arial"/>
          <w:sz w:val="20"/>
          <w:szCs w:val="20"/>
          <w:color w:val="auto"/>
        </w:rPr>
      </w:pPr>
    </w:p>
    <w:p>
      <w:pPr>
        <w:jc w:val="both"/>
        <w:ind w:left="1920" w:hanging="643"/>
        <w:spacing w:after="0" w:line="265" w:lineRule="auto"/>
        <w:tabs>
          <w:tab w:leader="none" w:pos="1920" w:val="left"/>
        </w:tabs>
        <w:numPr>
          <w:ilvl w:val="1"/>
          <w:numId w:val="123"/>
        </w:numPr>
        <w:rPr>
          <w:rFonts w:ascii="Arial" w:cs="Arial" w:eastAsia="Arial" w:hAnsi="Arial"/>
          <w:sz w:val="20"/>
          <w:szCs w:val="20"/>
          <w:color w:val="auto"/>
        </w:rPr>
      </w:pPr>
      <w:r>
        <w:rPr>
          <w:rFonts w:ascii="Arial" w:cs="Arial" w:eastAsia="Arial" w:hAnsi="Arial"/>
          <w:sz w:val="18"/>
          <w:szCs w:val="18"/>
          <w:color w:val="auto"/>
        </w:rPr>
        <w:t>the weighted average of the rates notified to the Company by the Lender as soon as practicable and in any event by close of business on the date falling two Business Days after the Quotation Day (or, if earlier, on the date falling five Business Days before the date on which interest is due to be paid in respect of that Interest Period), to be that which expresses as a percentage rate per annum the cost to the relevant Lender of funding its participation in that Loan from whatever source it may reasonably select.</w:t>
      </w:r>
    </w:p>
    <w:p>
      <w:pPr>
        <w:spacing w:after="0" w:line="168" w:lineRule="exact"/>
        <w:rPr>
          <w:rFonts w:ascii="Arial" w:cs="Arial" w:eastAsia="Arial" w:hAnsi="Arial"/>
          <w:sz w:val="20"/>
          <w:szCs w:val="20"/>
          <w:color w:val="auto"/>
        </w:rPr>
      </w:pPr>
    </w:p>
    <w:p>
      <w:pPr>
        <w:ind w:left="1280" w:hanging="624"/>
        <w:spacing w:after="0" w:line="296" w:lineRule="auto"/>
        <w:tabs>
          <w:tab w:leader="none" w:pos="1262" w:val="left"/>
        </w:tabs>
        <w:numPr>
          <w:ilvl w:val="0"/>
          <w:numId w:val="123"/>
        </w:numPr>
        <w:rPr>
          <w:rFonts w:ascii="Arial" w:cs="Arial" w:eastAsia="Arial" w:hAnsi="Arial"/>
          <w:sz w:val="19"/>
          <w:szCs w:val="19"/>
          <w:color w:val="auto"/>
        </w:rPr>
      </w:pPr>
      <w:r>
        <w:rPr>
          <w:rFonts w:ascii="Arial" w:cs="Arial" w:eastAsia="Arial" w:hAnsi="Arial"/>
          <w:sz w:val="17"/>
          <w:szCs w:val="17"/>
          <w:color w:val="auto"/>
        </w:rPr>
        <w:t>If this Clause 10.3 applies and the Lender or the Company so requires, the Lender and the Company shall enter into negotiations (for a period of not more than thirty days) with a view to agreeing a substitute basis for determining the rate of interest.</w:t>
      </w:r>
    </w:p>
    <w:p>
      <w:pPr>
        <w:spacing w:after="0" w:line="137" w:lineRule="exact"/>
        <w:rPr>
          <w:rFonts w:ascii="Arial" w:cs="Arial" w:eastAsia="Arial" w:hAnsi="Arial"/>
          <w:sz w:val="19"/>
          <w:szCs w:val="19"/>
          <w:color w:val="auto"/>
        </w:rPr>
      </w:pPr>
    </w:p>
    <w:p>
      <w:pPr>
        <w:ind w:left="1280" w:hanging="624"/>
        <w:spacing w:after="0" w:line="266" w:lineRule="auto"/>
        <w:tabs>
          <w:tab w:leader="none" w:pos="1262" w:val="left"/>
        </w:tabs>
        <w:numPr>
          <w:ilvl w:val="0"/>
          <w:numId w:val="123"/>
        </w:numPr>
        <w:rPr>
          <w:rFonts w:ascii="Arial" w:cs="Arial" w:eastAsia="Arial" w:hAnsi="Arial"/>
          <w:sz w:val="20"/>
          <w:szCs w:val="20"/>
          <w:color w:val="auto"/>
        </w:rPr>
      </w:pPr>
      <w:r>
        <w:rPr>
          <w:rFonts w:ascii="Arial" w:cs="Arial" w:eastAsia="Arial" w:hAnsi="Arial"/>
          <w:sz w:val="18"/>
          <w:szCs w:val="18"/>
          <w:color w:val="auto"/>
        </w:rPr>
        <w:t>Any alternative basis agreed pursuant to paragraph (b) above shall, with the prior consent of the Lender and the Company, be binding on all Parties.</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123"/>
        </w:numPr>
        <w:rPr>
          <w:rFonts w:ascii="Arial" w:cs="Arial" w:eastAsia="Arial" w:hAnsi="Arial"/>
          <w:sz w:val="20"/>
          <w:szCs w:val="20"/>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23"/>
        </w:numPr>
        <w:rPr>
          <w:rFonts w:ascii="Arial" w:cs="Arial" w:eastAsia="Arial" w:hAnsi="Arial"/>
          <w:sz w:val="20"/>
          <w:szCs w:val="20"/>
          <w:color w:val="auto"/>
        </w:rPr>
      </w:pPr>
      <w:r>
        <w:rPr>
          <w:rFonts w:ascii="Arial" w:cs="Arial" w:eastAsia="Arial" w:hAnsi="Arial"/>
          <w:sz w:val="18"/>
          <w:szCs w:val="18"/>
          <w:color w:val="auto"/>
        </w:rPr>
        <w:t>the Lender’s Funding Rate is less than EURIBOR; or</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23"/>
        </w:numPr>
        <w:rPr>
          <w:rFonts w:ascii="Arial" w:cs="Arial" w:eastAsia="Arial" w:hAnsi="Arial"/>
          <w:sz w:val="20"/>
          <w:szCs w:val="20"/>
          <w:color w:val="auto"/>
        </w:rPr>
      </w:pPr>
      <w:r>
        <w:rPr>
          <w:rFonts w:ascii="Arial" w:cs="Arial" w:eastAsia="Arial" w:hAnsi="Arial"/>
          <w:sz w:val="18"/>
          <w:szCs w:val="18"/>
          <w:color w:val="auto"/>
        </w:rPr>
        <w:t>the Lender does not supply a quotation by the time specified in paragraph (a)(ii) above,</w:t>
      </w:r>
    </w:p>
    <w:p>
      <w:pPr>
        <w:spacing w:after="0" w:line="175" w:lineRule="exact"/>
        <w:rPr>
          <w:sz w:val="20"/>
          <w:szCs w:val="20"/>
          <w:color w:val="auto"/>
        </w:rPr>
      </w:pPr>
    </w:p>
    <w:p>
      <w:pPr>
        <w:ind w:left="1280"/>
        <w:spacing w:after="0" w:line="277" w:lineRule="auto"/>
        <w:rPr>
          <w:sz w:val="20"/>
          <w:szCs w:val="20"/>
          <w:color w:val="auto"/>
        </w:rPr>
      </w:pPr>
      <w:r>
        <w:rPr>
          <w:rFonts w:ascii="Arial" w:cs="Arial" w:eastAsia="Arial" w:hAnsi="Arial"/>
          <w:sz w:val="18"/>
          <w:szCs w:val="18"/>
          <w:color w:val="auto"/>
        </w:rPr>
        <w:t>the cost to that Lender of funding its participation in that Loan for that Interest Period shall be deemed, for the purposes of paragraph (a) above, to be EURIBOR.</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b w:val="1"/>
          <w:bCs w:val="1"/>
          <w:color w:val="auto"/>
        </w:rPr>
        <w:t>Notification to Company</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Lender shall, as soon as is practicable, notify the Company.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55" w:right="339" w:bottom="1440" w:gutter="0" w:footer="0" w:header="0"/>
        </w:sectPr>
      </w:pPr>
    </w:p>
    <w:bookmarkStart w:id="54" w:name="page55"/>
    <w:bookmarkEnd w:id="54"/>
    <w:p>
      <w:pPr>
        <w:spacing w:after="0"/>
        <w:tabs>
          <w:tab w:leader="none" w:pos="60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b w:val="1"/>
          <w:bCs w:val="1"/>
          <w:color w:val="auto"/>
        </w:rPr>
        <w:t>Break Costs</w:t>
      </w:r>
    </w:p>
    <w:p>
      <w:pPr>
        <w:spacing w:after="0" w:line="205" w:lineRule="exact"/>
        <w:rPr>
          <w:sz w:val="20"/>
          <w:szCs w:val="20"/>
          <w:color w:val="auto"/>
        </w:rPr>
      </w:pPr>
    </w:p>
    <w:p>
      <w:pPr>
        <w:ind w:left="1280" w:right="20" w:hanging="624"/>
        <w:spacing w:after="0" w:line="329" w:lineRule="auto"/>
        <w:tabs>
          <w:tab w:leader="none" w:pos="1262" w:val="left"/>
        </w:tabs>
        <w:numPr>
          <w:ilvl w:val="0"/>
          <w:numId w:val="124"/>
        </w:numPr>
        <w:rPr>
          <w:rFonts w:ascii="Arial" w:cs="Arial" w:eastAsia="Arial" w:hAnsi="Arial"/>
          <w:sz w:val="18"/>
          <w:szCs w:val="18"/>
          <w:color w:val="auto"/>
        </w:rPr>
      </w:pPr>
      <w:r>
        <w:rPr>
          <w:rFonts w:ascii="Arial" w:cs="Arial" w:eastAsia="Arial" w:hAnsi="Arial"/>
          <w:sz w:val="16"/>
          <w:szCs w:val="16"/>
          <w:color w:val="auto"/>
        </w:rPr>
        <w:t>The Company shall, within three Business Days of demand by the Lender, pay to the Lender its Break Costs attributable to all or any part of a Loan or Unpaid Sum being paid by the Company on a day other than the last day of an Interest Period for that Loan or Unpaid Sum.</w:t>
      </w:r>
    </w:p>
    <w:p>
      <w:pPr>
        <w:spacing w:after="0" w:line="112" w:lineRule="exact"/>
        <w:rPr>
          <w:rFonts w:ascii="Arial" w:cs="Arial" w:eastAsia="Arial" w:hAnsi="Arial"/>
          <w:sz w:val="18"/>
          <w:szCs w:val="18"/>
          <w:color w:val="auto"/>
        </w:rPr>
      </w:pPr>
    </w:p>
    <w:p>
      <w:pPr>
        <w:ind w:left="1280" w:hanging="624"/>
        <w:spacing w:after="0" w:line="266" w:lineRule="auto"/>
        <w:tabs>
          <w:tab w:leader="none" w:pos="1262" w:val="left"/>
        </w:tabs>
        <w:numPr>
          <w:ilvl w:val="0"/>
          <w:numId w:val="124"/>
        </w:numPr>
        <w:rPr>
          <w:rFonts w:ascii="Arial" w:cs="Arial" w:eastAsia="Arial" w:hAnsi="Arial"/>
          <w:sz w:val="20"/>
          <w:szCs w:val="20"/>
          <w:color w:val="auto"/>
        </w:rPr>
      </w:pPr>
      <w:r>
        <w:rPr>
          <w:rFonts w:ascii="Arial" w:cs="Arial" w:eastAsia="Arial" w:hAnsi="Arial"/>
          <w:sz w:val="18"/>
          <w:szCs w:val="18"/>
          <w:color w:val="auto"/>
        </w:rPr>
        <w:t>The Lender shall, as soon as reasonably practicable after a demand by the Company, provide a certificate confirming the amount of its Break Costs for any Interest Period in which they accrue.</w:t>
      </w:r>
    </w:p>
    <w:p>
      <w:pPr>
        <w:spacing w:after="0" w:line="160" w:lineRule="exact"/>
        <w:rPr>
          <w:sz w:val="20"/>
          <w:szCs w:val="20"/>
          <w:color w:val="auto"/>
        </w:rPr>
      </w:pPr>
    </w:p>
    <w:p>
      <w:pPr>
        <w:ind w:left="620" w:hanging="612"/>
        <w:spacing w:after="0"/>
        <w:tabs>
          <w:tab w:leader="none" w:pos="620" w:val="left"/>
        </w:tabs>
        <w:numPr>
          <w:ilvl w:val="0"/>
          <w:numId w:val="125"/>
        </w:numPr>
        <w:rPr>
          <w:rFonts w:ascii="Arial" w:cs="Arial" w:eastAsia="Arial" w:hAnsi="Arial"/>
          <w:sz w:val="20"/>
          <w:szCs w:val="20"/>
          <w:b w:val="1"/>
          <w:bCs w:val="1"/>
          <w:color w:val="auto"/>
        </w:rPr>
      </w:pPr>
      <w:r>
        <w:rPr>
          <w:rFonts w:ascii="Arial" w:cs="Arial" w:eastAsia="Arial" w:hAnsi="Arial"/>
          <w:sz w:val="18"/>
          <w:szCs w:val="18"/>
          <w:b w:val="1"/>
          <w:bCs w:val="1"/>
          <w:color w:val="auto"/>
        </w:rPr>
        <w:t>FEES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b w:val="1"/>
          <w:bCs w:val="1"/>
          <w:color w:val="auto"/>
        </w:rPr>
        <w:t>Commitment fee</w:t>
      </w:r>
    </w:p>
    <w:p>
      <w:pPr>
        <w:spacing w:after="0" w:line="205" w:lineRule="exact"/>
        <w:rPr>
          <w:sz w:val="20"/>
          <w:szCs w:val="20"/>
          <w:color w:val="auto"/>
        </w:rPr>
      </w:pPr>
    </w:p>
    <w:p>
      <w:pPr>
        <w:ind w:left="1280" w:hanging="624"/>
        <w:spacing w:after="0" w:line="266" w:lineRule="auto"/>
        <w:tabs>
          <w:tab w:leader="none" w:pos="1262" w:val="left"/>
        </w:tabs>
        <w:numPr>
          <w:ilvl w:val="0"/>
          <w:numId w:val="126"/>
        </w:numPr>
        <w:rPr>
          <w:rFonts w:ascii="Arial" w:cs="Arial" w:eastAsia="Arial" w:hAnsi="Arial"/>
          <w:sz w:val="20"/>
          <w:szCs w:val="20"/>
          <w:color w:val="auto"/>
        </w:rPr>
      </w:pPr>
      <w:r>
        <w:rPr>
          <w:rFonts w:ascii="Arial" w:cs="Arial" w:eastAsia="Arial" w:hAnsi="Arial"/>
          <w:sz w:val="18"/>
          <w:szCs w:val="18"/>
          <w:color w:val="auto"/>
        </w:rPr>
        <w:t>The Company shall pay to the Lender a fee computed at the rate of 35 per cent. of the applicable Margin on the Available Commitment for the Availability Period.</w:t>
      </w:r>
    </w:p>
    <w:p>
      <w:pPr>
        <w:spacing w:after="0" w:line="163"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126"/>
        </w:numPr>
        <w:rPr>
          <w:rFonts w:ascii="Arial" w:cs="Arial" w:eastAsia="Arial" w:hAnsi="Arial"/>
          <w:sz w:val="20"/>
          <w:szCs w:val="20"/>
          <w:color w:val="auto"/>
        </w:rPr>
      </w:pPr>
      <w:r>
        <w:rPr>
          <w:rFonts w:ascii="Arial" w:cs="Arial" w:eastAsia="Arial" w:hAnsi="Arial"/>
          <w:sz w:val="18"/>
          <w:szCs w:val="18"/>
          <w:color w:val="auto"/>
        </w:rPr>
        <w:t>The accrued commitment fee is payable on the last day of each successive period of three Months which ends during the Availability Period (with the first such period commencing on the date of this Agreement), on the last day of the Availability Period and, if cancelled in full, on the cancelled amount of the Commitment at the time the cancellation is effective.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b w:val="1"/>
          <w:bCs w:val="1"/>
          <w:color w:val="auto"/>
        </w:rPr>
        <w:t>Upfront fee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shall pay to the Lender an upfront fee in the amount and at the times agreed in a Fee Letter.</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PAYMENT OBLIGATIONS</w:t>
      </w:r>
    </w:p>
    <w:p>
      <w:pPr>
        <w:spacing w:after="0" w:line="193" w:lineRule="exact"/>
        <w:rPr>
          <w:sz w:val="20"/>
          <w:szCs w:val="20"/>
          <w:color w:val="auto"/>
        </w:rPr>
      </w:pPr>
    </w:p>
    <w:p>
      <w:pPr>
        <w:ind w:left="620" w:hanging="612"/>
        <w:spacing w:after="0"/>
        <w:tabs>
          <w:tab w:leader="none" w:pos="620" w:val="left"/>
        </w:tabs>
        <w:numPr>
          <w:ilvl w:val="0"/>
          <w:numId w:val="127"/>
        </w:numPr>
        <w:rPr>
          <w:rFonts w:ascii="Arial" w:cs="Arial" w:eastAsia="Arial" w:hAnsi="Arial"/>
          <w:sz w:val="20"/>
          <w:szCs w:val="20"/>
          <w:b w:val="1"/>
          <w:bCs w:val="1"/>
          <w:color w:val="auto"/>
        </w:rPr>
      </w:pPr>
      <w:r>
        <w:rPr>
          <w:rFonts w:ascii="Arial" w:cs="Arial" w:eastAsia="Arial" w:hAnsi="Arial"/>
          <w:sz w:val="18"/>
          <w:szCs w:val="18"/>
          <w:b w:val="1"/>
          <w:bCs w:val="1"/>
          <w:color w:val="auto"/>
        </w:rPr>
        <w:t>TAX GROSS UP AND INDEMNITIES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b w:val="1"/>
          <w:bCs w:val="1"/>
          <w:color w:val="auto"/>
        </w:rPr>
        <w:t>Definitions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194" w:lineRule="exact"/>
        <w:rPr>
          <w:sz w:val="20"/>
          <w:szCs w:val="20"/>
          <w:color w:val="auto"/>
        </w:rPr>
      </w:pPr>
    </w:p>
    <w:p>
      <w:pPr>
        <w:jc w:val="both"/>
        <w:ind w:left="6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DTTP Filing</w:t>
      </w:r>
      <w:r>
        <w:rPr>
          <w:rFonts w:ascii="Arial" w:cs="Arial" w:eastAsia="Arial" w:hAnsi="Arial"/>
          <w:sz w:val="18"/>
          <w:szCs w:val="18"/>
          <w:color w:val="auto"/>
        </w:rPr>
        <w:t>” means an HM Revenue &amp; Customs' Form DTTP2 duly completed and filed by the Company, which where it relates to a UK Treaty Lender that is not the Original Lender, contains the scheme reference number and jurisdiction of tax residence of that Lender in the documentation which it executes on becoming a Party as Lender, and is filed with HM Revenue &amp; Customs within 30 days of the date on which that Lender becomes a Party as a Lender.</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“Italian Qualifying Lender” </w:t>
      </w:r>
      <w:r>
        <w:rPr>
          <w:rFonts w:ascii="Arial" w:cs="Arial" w:eastAsia="Arial" w:hAnsi="Arial"/>
          <w:sz w:val="18"/>
          <w:szCs w:val="18"/>
          <w:color w:val="auto"/>
        </w:rPr>
        <w:t>means:</w:t>
      </w:r>
    </w:p>
    <w:p>
      <w:pPr>
        <w:spacing w:after="0" w:line="229" w:lineRule="exact"/>
        <w:rPr>
          <w:sz w:val="20"/>
          <w:szCs w:val="20"/>
          <w:color w:val="auto"/>
        </w:rPr>
      </w:pPr>
    </w:p>
    <w:p>
      <w:pPr>
        <w:ind w:left="1260" w:hanging="604"/>
        <w:spacing w:after="0"/>
        <w:tabs>
          <w:tab w:leader="none" w:pos="12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Lender which is beneficially entitled to interest payable to that Lender in respect of an advance under a Finance Document and is:</w:t>
      </w:r>
    </w:p>
    <w:p>
      <w:pPr>
        <w:spacing w:after="0" w:line="223" w:lineRule="exact"/>
        <w:rPr>
          <w:rFonts w:ascii="Arial" w:cs="Arial" w:eastAsia="Arial" w:hAnsi="Arial"/>
          <w:sz w:val="17"/>
          <w:szCs w:val="17"/>
          <w:color w:val="auto"/>
        </w:rPr>
      </w:pPr>
    </w:p>
    <w:p>
      <w:pPr>
        <w:jc w:val="both"/>
        <w:ind w:left="1920" w:hanging="643"/>
        <w:spacing w:after="0" w:line="265" w:lineRule="auto"/>
        <w:tabs>
          <w:tab w:leader="none" w:pos="1920" w:val="left"/>
        </w:tabs>
        <w:numPr>
          <w:ilvl w:val="1"/>
          <w:numId w:val="128"/>
        </w:numPr>
        <w:rPr>
          <w:rFonts w:ascii="Arial" w:cs="Arial" w:eastAsia="Arial" w:hAnsi="Arial"/>
          <w:sz w:val="20"/>
          <w:szCs w:val="20"/>
          <w:color w:val="auto"/>
        </w:rPr>
      </w:pPr>
      <w:r>
        <w:rPr>
          <w:rFonts w:ascii="Arial" w:cs="Arial" w:eastAsia="Arial" w:hAnsi="Arial"/>
          <w:sz w:val="18"/>
          <w:szCs w:val="18"/>
          <w:color w:val="auto"/>
        </w:rPr>
        <w:t>a bank or financial institution duly authorised or licensed to carry out banking or lending activity within the territory of Italy pursuant to Italian Legislative Decree No. 385 of 1 September, 1993 that is tax resident in Italy pursuant to Article 73 of the Italian Income Tax Code and, for the purpose of any Finance Documents does not act through a permanent establishment located outside the Republic of Italy;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39" w:right="339" w:bottom="1440" w:gutter="0" w:footer="0" w:header="0"/>
        </w:sectPr>
      </w:pPr>
    </w:p>
    <w:bookmarkStart w:id="55" w:name="page56"/>
    <w:bookmarkEnd w:id="55"/>
    <w:p>
      <w:pPr>
        <w:jc w:val="both"/>
        <w:ind w:left="1300" w:hanging="643"/>
        <w:spacing w:after="0" w:line="265" w:lineRule="auto"/>
        <w:tabs>
          <w:tab w:leader="none" w:pos="1300" w:val="left"/>
        </w:tabs>
        <w:numPr>
          <w:ilvl w:val="0"/>
          <w:numId w:val="129"/>
        </w:numPr>
        <w:rPr>
          <w:rFonts w:ascii="Arial" w:cs="Arial" w:eastAsia="Arial" w:hAnsi="Arial"/>
          <w:sz w:val="20"/>
          <w:szCs w:val="20"/>
          <w:color w:val="auto"/>
        </w:rPr>
      </w:pPr>
      <w:r>
        <w:rPr>
          <w:rFonts w:ascii="Arial" w:cs="Arial" w:eastAsia="Arial" w:hAnsi="Arial"/>
          <w:sz w:val="18"/>
          <w:szCs w:val="18"/>
          <w:color w:val="auto"/>
        </w:rPr>
        <w:t>a permanent establishment (“</w:t>
      </w:r>
      <w:r>
        <w:rPr>
          <w:rFonts w:ascii="Arial" w:cs="Arial" w:eastAsia="Arial" w:hAnsi="Arial"/>
          <w:sz w:val="18"/>
          <w:szCs w:val="18"/>
          <w:i w:val="1"/>
          <w:iCs w:val="1"/>
          <w:color w:val="auto"/>
        </w:rPr>
        <w:t>stabile organizzazione</w:t>
      </w:r>
      <w:r>
        <w:rPr>
          <w:rFonts w:ascii="Arial" w:cs="Arial" w:eastAsia="Arial" w:hAnsi="Arial"/>
          <w:sz w:val="18"/>
          <w:szCs w:val="18"/>
          <w:color w:val="auto"/>
        </w:rPr>
        <w:t>”) in the Republic of Italy of a non-Italian resident bank or financial institution that is duly authorised or licensed to carry out banking activity in Italy for which any payment received under the Finance Documents is business income (“reddito di impresa”) pursuant to Articles 81, 151 and 152, paragraph 1, of Italian Presidential Decree No. 917 of 22 December 1986;</w:t>
      </w:r>
    </w:p>
    <w:p>
      <w:pPr>
        <w:spacing w:after="0" w:line="167" w:lineRule="exact"/>
        <w:rPr>
          <w:rFonts w:ascii="Arial" w:cs="Arial" w:eastAsia="Arial" w:hAnsi="Arial"/>
          <w:sz w:val="20"/>
          <w:szCs w:val="20"/>
          <w:color w:val="auto"/>
        </w:rPr>
      </w:pPr>
    </w:p>
    <w:p>
      <w:pPr>
        <w:ind w:left="1300" w:hanging="643"/>
        <w:spacing w:after="0" w:line="266" w:lineRule="auto"/>
        <w:tabs>
          <w:tab w:leader="none" w:pos="1300" w:val="left"/>
        </w:tabs>
        <w:numPr>
          <w:ilvl w:val="0"/>
          <w:numId w:val="129"/>
        </w:numPr>
        <w:rPr>
          <w:rFonts w:ascii="Arial" w:cs="Arial" w:eastAsia="Arial" w:hAnsi="Arial"/>
          <w:sz w:val="20"/>
          <w:szCs w:val="20"/>
          <w:color w:val="auto"/>
        </w:rPr>
      </w:pPr>
      <w:r>
        <w:rPr>
          <w:rFonts w:ascii="Arial" w:cs="Arial" w:eastAsia="Arial" w:hAnsi="Arial"/>
          <w:sz w:val="18"/>
          <w:szCs w:val="18"/>
          <w:color w:val="auto"/>
        </w:rPr>
        <w:t>a securitisation company incorporated under Italian Law 130 of 30 April 1999 that is duly authorised or licensed to carry out lending activity within the territory of Italy;</w:t>
      </w:r>
    </w:p>
    <w:p>
      <w:pPr>
        <w:spacing w:after="0" w:line="163" w:lineRule="exact"/>
        <w:rPr>
          <w:rFonts w:ascii="Arial" w:cs="Arial" w:eastAsia="Arial" w:hAnsi="Arial"/>
          <w:sz w:val="20"/>
          <w:szCs w:val="20"/>
          <w:color w:val="auto"/>
        </w:rPr>
      </w:pPr>
    </w:p>
    <w:p>
      <w:pPr>
        <w:ind w:left="1300" w:hanging="643"/>
        <w:spacing w:after="0" w:line="266" w:lineRule="auto"/>
        <w:tabs>
          <w:tab w:leader="none" w:pos="1300" w:val="left"/>
        </w:tabs>
        <w:numPr>
          <w:ilvl w:val="0"/>
          <w:numId w:val="129"/>
        </w:numPr>
        <w:rPr>
          <w:rFonts w:ascii="Arial" w:cs="Arial" w:eastAsia="Arial" w:hAnsi="Arial"/>
          <w:sz w:val="20"/>
          <w:szCs w:val="20"/>
          <w:color w:val="auto"/>
        </w:rPr>
      </w:pPr>
      <w:r>
        <w:rPr>
          <w:rFonts w:ascii="Arial" w:cs="Arial" w:eastAsia="Arial" w:hAnsi="Arial"/>
          <w:sz w:val="18"/>
          <w:szCs w:val="18"/>
          <w:color w:val="auto"/>
        </w:rPr>
        <w:t>any entity which, under article 26, paragraph 5-bis of Italian Presidential Decree No. 600 of 29 September 1973, is entitled to receive interest payments deriving from Italy without the application of any Tax Deduction; or</w:t>
      </w:r>
    </w:p>
    <w:p>
      <w:pPr>
        <w:spacing w:after="0" w:line="163" w:lineRule="exact"/>
        <w:rPr>
          <w:rFonts w:ascii="Arial" w:cs="Arial" w:eastAsia="Arial" w:hAnsi="Arial"/>
          <w:sz w:val="20"/>
          <w:szCs w:val="20"/>
          <w:color w:val="auto"/>
        </w:rPr>
      </w:pPr>
    </w:p>
    <w:p>
      <w:pPr>
        <w:ind w:left="1300" w:hanging="643"/>
        <w:spacing w:after="0"/>
        <w:tabs>
          <w:tab w:leader="none" w:pos="1300" w:val="left"/>
        </w:tabs>
        <w:numPr>
          <w:ilvl w:val="0"/>
          <w:numId w:val="129"/>
        </w:numPr>
        <w:rPr>
          <w:rFonts w:ascii="Arial" w:cs="Arial" w:eastAsia="Arial" w:hAnsi="Arial"/>
          <w:sz w:val="20"/>
          <w:szCs w:val="20"/>
          <w:color w:val="auto"/>
        </w:rPr>
      </w:pPr>
      <w:r>
        <w:rPr>
          <w:rFonts w:ascii="Arial" w:cs="Arial" w:eastAsia="Arial" w:hAnsi="Arial"/>
          <w:sz w:val="18"/>
          <w:szCs w:val="18"/>
          <w:color w:val="auto"/>
        </w:rPr>
        <w:t>an Italian Treaty Lender.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Treaty Lender</w:t>
      </w:r>
      <w:r>
        <w:rPr>
          <w:rFonts w:ascii="Arial" w:cs="Arial" w:eastAsia="Arial" w:hAnsi="Arial"/>
          <w:sz w:val="18"/>
          <w:szCs w:val="18"/>
          <w:color w:val="auto"/>
        </w:rPr>
        <w:t>” means a Lender which:</w:t>
      </w:r>
    </w:p>
    <w:p>
      <w:pPr>
        <w:spacing w:after="0" w:line="216" w:lineRule="exact"/>
        <w:rPr>
          <w:sz w:val="20"/>
          <w:szCs w:val="20"/>
          <w:color w:val="auto"/>
        </w:rPr>
      </w:pPr>
    </w:p>
    <w:p>
      <w:pPr>
        <w:ind w:left="640" w:hanging="604"/>
        <w:spacing w:after="0"/>
        <w:tabs>
          <w:tab w:leader="none" w:pos="640" w:val="left"/>
        </w:tabs>
        <w:numPr>
          <w:ilvl w:val="0"/>
          <w:numId w:val="130"/>
        </w:numPr>
        <w:rPr>
          <w:rFonts w:ascii="Arial" w:cs="Arial" w:eastAsia="Arial" w:hAnsi="Arial"/>
          <w:sz w:val="20"/>
          <w:szCs w:val="20"/>
          <w:color w:val="auto"/>
        </w:rPr>
      </w:pPr>
      <w:r>
        <w:rPr>
          <w:rFonts w:ascii="Arial" w:cs="Arial" w:eastAsia="Arial" w:hAnsi="Arial"/>
          <w:sz w:val="18"/>
          <w:szCs w:val="18"/>
          <w:color w:val="auto"/>
        </w:rPr>
        <w:t>is treated as a resident of an Italian Treaty State for the purposes of the Italian Treaty;</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130"/>
        </w:numPr>
        <w:rPr>
          <w:rFonts w:ascii="Arial" w:cs="Arial" w:eastAsia="Arial" w:hAnsi="Arial"/>
          <w:sz w:val="20"/>
          <w:szCs w:val="20"/>
          <w:color w:val="auto"/>
        </w:rPr>
      </w:pPr>
      <w:r>
        <w:rPr>
          <w:rFonts w:ascii="Arial" w:cs="Arial" w:eastAsia="Arial" w:hAnsi="Arial"/>
          <w:sz w:val="18"/>
          <w:szCs w:val="18"/>
          <w:color w:val="auto"/>
        </w:rPr>
        <w:t>does not carry on a business in Italy through a permanent establishment with which that Loan is effectively connected; and</w:t>
      </w:r>
    </w:p>
    <w:p>
      <w:pPr>
        <w:spacing w:after="0" w:line="188" w:lineRule="exact"/>
        <w:rPr>
          <w:rFonts w:ascii="Arial" w:cs="Arial" w:eastAsia="Arial" w:hAnsi="Arial"/>
          <w:sz w:val="20"/>
          <w:szCs w:val="20"/>
          <w:color w:val="auto"/>
        </w:rPr>
      </w:pPr>
    </w:p>
    <w:p>
      <w:pPr>
        <w:ind w:left="660" w:hanging="624"/>
        <w:spacing w:after="0" w:line="266" w:lineRule="auto"/>
        <w:tabs>
          <w:tab w:leader="none" w:pos="642" w:val="left"/>
        </w:tabs>
        <w:numPr>
          <w:ilvl w:val="0"/>
          <w:numId w:val="130"/>
        </w:numPr>
        <w:rPr>
          <w:rFonts w:ascii="Arial" w:cs="Arial" w:eastAsia="Arial" w:hAnsi="Arial"/>
          <w:sz w:val="20"/>
          <w:szCs w:val="20"/>
          <w:color w:val="auto"/>
        </w:rPr>
      </w:pPr>
      <w:r>
        <w:rPr>
          <w:rFonts w:ascii="Arial" w:cs="Arial" w:eastAsia="Arial" w:hAnsi="Arial"/>
          <w:sz w:val="18"/>
          <w:szCs w:val="18"/>
          <w:color w:val="auto"/>
        </w:rPr>
        <w:t>fulfils any other conditions which must be fulfilled under the relevant Treaty in order to benefit from full exemption from Tax imposed by Italy on interest payments, subject to the completion of any necessary procedural formalities.</w:t>
      </w:r>
    </w:p>
    <w:p>
      <w:pPr>
        <w:spacing w:after="0" w:line="14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Treaty State</w:t>
      </w:r>
      <w:r>
        <w:rPr>
          <w:rFonts w:ascii="Arial" w:cs="Arial" w:eastAsia="Arial" w:hAnsi="Arial"/>
          <w:sz w:val="18"/>
          <w:szCs w:val="18"/>
          <w:color w:val="auto"/>
        </w:rPr>
        <w:t>” means a jurisdiction having a double taxation agreement (an “</w:t>
      </w:r>
      <w:r>
        <w:rPr>
          <w:rFonts w:ascii="Arial" w:cs="Arial" w:eastAsia="Arial" w:hAnsi="Arial"/>
          <w:sz w:val="18"/>
          <w:szCs w:val="18"/>
          <w:b w:val="1"/>
          <w:bCs w:val="1"/>
          <w:color w:val="auto"/>
        </w:rPr>
        <w:t>Italian Treaty</w:t>
      </w:r>
      <w:r>
        <w:rPr>
          <w:rFonts w:ascii="Arial" w:cs="Arial" w:eastAsia="Arial" w:hAnsi="Arial"/>
          <w:sz w:val="18"/>
          <w:szCs w:val="18"/>
          <w:color w:val="auto"/>
        </w:rPr>
        <w:t>”) with Italy which makes provision for full exemption from tax imposed by Italy on interest.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means either an Italian Qualifying Lender or a UK Qualifying Lender.</w:t>
      </w:r>
    </w:p>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Confirmation</w:t>
      </w:r>
      <w:r>
        <w:rPr>
          <w:rFonts w:ascii="Arial" w:cs="Arial" w:eastAsia="Arial" w:hAnsi="Arial"/>
          <w:sz w:val="18"/>
          <w:szCs w:val="18"/>
          <w:color w:val="auto"/>
        </w:rPr>
        <w:t>” means a confirmation by the Lender that the person beneficially entitled to interest payable to it in respect of an advance under a Finance Document is either:</w:t>
      </w:r>
    </w:p>
    <w:p>
      <w:pPr>
        <w:spacing w:after="0" w:line="152" w:lineRule="exact"/>
        <w:rPr>
          <w:sz w:val="20"/>
          <w:szCs w:val="20"/>
          <w:color w:val="auto"/>
        </w:rPr>
      </w:pPr>
    </w:p>
    <w:p>
      <w:pPr>
        <w:ind w:left="640" w:hanging="604"/>
        <w:spacing w:after="0"/>
        <w:tabs>
          <w:tab w:leader="none" w:pos="640" w:val="left"/>
        </w:tabs>
        <w:numPr>
          <w:ilvl w:val="0"/>
          <w:numId w:val="131"/>
        </w:numPr>
        <w:rPr>
          <w:rFonts w:ascii="Arial" w:cs="Arial" w:eastAsia="Arial" w:hAnsi="Arial"/>
          <w:sz w:val="20"/>
          <w:szCs w:val="20"/>
          <w:color w:val="auto"/>
        </w:rPr>
      </w:pPr>
      <w:r>
        <w:rPr>
          <w:rFonts w:ascii="Arial" w:cs="Arial" w:eastAsia="Arial" w:hAnsi="Arial"/>
          <w:sz w:val="18"/>
          <w:szCs w:val="18"/>
          <w:color w:val="auto"/>
        </w:rPr>
        <w:t>a company resident in the United Kingdom for United Kingdom tax purposes;</w:t>
      </w:r>
    </w:p>
    <w:p>
      <w:pPr>
        <w:spacing w:after="0" w:line="188" w:lineRule="exact"/>
        <w:rPr>
          <w:rFonts w:ascii="Arial" w:cs="Arial" w:eastAsia="Arial" w:hAnsi="Arial"/>
          <w:sz w:val="20"/>
          <w:szCs w:val="20"/>
          <w:color w:val="auto"/>
        </w:rPr>
      </w:pPr>
    </w:p>
    <w:p>
      <w:pPr>
        <w:ind w:left="640" w:hanging="604"/>
        <w:spacing w:after="0"/>
        <w:tabs>
          <w:tab w:leader="none" w:pos="640" w:val="left"/>
        </w:tabs>
        <w:numPr>
          <w:ilvl w:val="0"/>
          <w:numId w:val="131"/>
        </w:numPr>
        <w:rPr>
          <w:rFonts w:ascii="Arial" w:cs="Arial" w:eastAsia="Arial" w:hAnsi="Arial"/>
          <w:sz w:val="20"/>
          <w:szCs w:val="20"/>
          <w:color w:val="auto"/>
        </w:rPr>
      </w:pPr>
      <w:r>
        <w:rPr>
          <w:rFonts w:ascii="Arial" w:cs="Arial" w:eastAsia="Arial" w:hAnsi="Arial"/>
          <w:sz w:val="18"/>
          <w:szCs w:val="18"/>
          <w:color w:val="auto"/>
        </w:rPr>
        <w:t>a partnership each member of which is:</w:t>
      </w:r>
    </w:p>
    <w:p>
      <w:pPr>
        <w:spacing w:after="0" w:line="188" w:lineRule="exact"/>
        <w:rPr>
          <w:rFonts w:ascii="Arial" w:cs="Arial" w:eastAsia="Arial" w:hAnsi="Arial"/>
          <w:sz w:val="20"/>
          <w:szCs w:val="20"/>
          <w:color w:val="auto"/>
        </w:rPr>
      </w:pPr>
    </w:p>
    <w:p>
      <w:pPr>
        <w:ind w:left="1300" w:hanging="643"/>
        <w:spacing w:after="0"/>
        <w:tabs>
          <w:tab w:leader="none" w:pos="1300" w:val="left"/>
        </w:tabs>
        <w:numPr>
          <w:ilvl w:val="1"/>
          <w:numId w:val="131"/>
        </w:numPr>
        <w:rPr>
          <w:rFonts w:ascii="Arial" w:cs="Arial" w:eastAsia="Arial" w:hAnsi="Arial"/>
          <w:sz w:val="20"/>
          <w:szCs w:val="20"/>
          <w:color w:val="auto"/>
        </w:rPr>
      </w:pPr>
      <w:r>
        <w:rPr>
          <w:rFonts w:ascii="Arial" w:cs="Arial" w:eastAsia="Arial" w:hAnsi="Arial"/>
          <w:sz w:val="18"/>
          <w:szCs w:val="18"/>
          <w:color w:val="auto"/>
        </w:rPr>
        <w:t>a company so resident in the United Kingdom; or</w:t>
      </w:r>
    </w:p>
    <w:p>
      <w:pPr>
        <w:spacing w:after="0" w:line="188" w:lineRule="exact"/>
        <w:rPr>
          <w:rFonts w:ascii="Arial" w:cs="Arial" w:eastAsia="Arial" w:hAnsi="Arial"/>
          <w:sz w:val="20"/>
          <w:szCs w:val="20"/>
          <w:color w:val="auto"/>
        </w:rPr>
      </w:pPr>
    </w:p>
    <w:p>
      <w:pPr>
        <w:jc w:val="both"/>
        <w:ind w:left="1300" w:hanging="643"/>
        <w:spacing w:after="0" w:line="286" w:lineRule="auto"/>
        <w:tabs>
          <w:tab w:leader="none" w:pos="1300" w:val="left"/>
        </w:tabs>
        <w:numPr>
          <w:ilvl w:val="1"/>
          <w:numId w:val="131"/>
        </w:numPr>
        <w:rPr>
          <w:rFonts w:ascii="Arial" w:cs="Arial" w:eastAsia="Arial" w:hAnsi="Arial"/>
          <w:sz w:val="19"/>
          <w:szCs w:val="19"/>
          <w:color w:val="auto"/>
        </w:rPr>
      </w:pPr>
      <w:r>
        <w:rPr>
          <w:rFonts w:ascii="Arial" w:cs="Arial" w:eastAsia="Arial" w:hAnsi="Arial"/>
          <w:sz w:val="17"/>
          <w:szCs w:val="17"/>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35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620"/>
          </w:cols>
          <w:pgMar w:left="940" w:top="355" w:right="339" w:bottom="1440" w:gutter="0" w:footer="0" w:header="0"/>
        </w:sectPr>
      </w:pPr>
    </w:p>
    <w:bookmarkStart w:id="56" w:name="page57"/>
    <w:bookmarkEnd w:id="56"/>
    <w:p>
      <w:pPr>
        <w:jc w:val="both"/>
        <w:ind w:left="660" w:hanging="624"/>
        <w:spacing w:after="0" w:line="264" w:lineRule="auto"/>
        <w:tabs>
          <w:tab w:leader="none" w:pos="642" w:val="left"/>
        </w:tabs>
        <w:numPr>
          <w:ilvl w:val="0"/>
          <w:numId w:val="132"/>
        </w:numPr>
        <w:rPr>
          <w:rFonts w:ascii="Arial" w:cs="Arial" w:eastAsia="Arial" w:hAnsi="Arial"/>
          <w:sz w:val="20"/>
          <w:szCs w:val="20"/>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13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the Company to the Lender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12.2(d)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Treaty Lender</w:t>
      </w:r>
      <w:r>
        <w:rPr>
          <w:rFonts w:ascii="Arial" w:cs="Arial" w:eastAsia="Arial" w:hAnsi="Arial"/>
          <w:sz w:val="18"/>
          <w:szCs w:val="18"/>
          <w:color w:val="auto"/>
        </w:rPr>
        <w:t>” means either an Italian Treaty Lender or a UK Treaty Lender.</w:t>
      </w:r>
    </w:p>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Non-Bank Lender</w:t>
      </w:r>
      <w:r>
        <w:rPr>
          <w:rFonts w:ascii="Arial" w:cs="Arial" w:eastAsia="Arial" w:hAnsi="Arial"/>
          <w:sz w:val="18"/>
          <w:szCs w:val="18"/>
          <w:color w:val="auto"/>
        </w:rPr>
        <w:t>” means, where a Lender which is not an Original Lender and which gives a Tax Confirmation in the documentation which it executes on becoming a Party as a Lender.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Qualifying Lender</w:t>
      </w:r>
      <w:r>
        <w:rPr>
          <w:rFonts w:ascii="Arial" w:cs="Arial" w:eastAsia="Arial" w:hAnsi="Arial"/>
          <w:sz w:val="18"/>
          <w:szCs w:val="18"/>
          <w:color w:val="auto"/>
        </w:rPr>
        <w:t>” means:</w:t>
      </w:r>
    </w:p>
    <w:p>
      <w:pPr>
        <w:spacing w:after="0" w:line="216" w:lineRule="exact"/>
        <w:rPr>
          <w:sz w:val="20"/>
          <w:szCs w:val="20"/>
          <w:color w:val="auto"/>
        </w:rPr>
      </w:pPr>
    </w:p>
    <w:p>
      <w:pPr>
        <w:ind w:left="640" w:hanging="604"/>
        <w:spacing w:after="0"/>
        <w:tabs>
          <w:tab w:leader="none" w:pos="640" w:val="left"/>
        </w:tabs>
        <w:numPr>
          <w:ilvl w:val="0"/>
          <w:numId w:val="133"/>
        </w:numPr>
        <w:rPr>
          <w:rFonts w:ascii="Arial" w:cs="Arial" w:eastAsia="Arial" w:hAnsi="Arial"/>
          <w:sz w:val="19"/>
          <w:szCs w:val="19"/>
          <w:color w:val="auto"/>
        </w:rPr>
      </w:pPr>
      <w:r>
        <w:rPr>
          <w:rFonts w:ascii="Arial" w:cs="Arial" w:eastAsia="Arial" w:hAnsi="Arial"/>
          <w:sz w:val="17"/>
          <w:szCs w:val="17"/>
          <w:color w:val="auto"/>
        </w:rPr>
        <w:t>a Lender which is beneficially entitled to interest payable to that Lender in respect of an advance under a Finance Document and is:</w:t>
      </w:r>
    </w:p>
    <w:p>
      <w:pPr>
        <w:spacing w:after="0" w:line="200" w:lineRule="exact"/>
        <w:rPr>
          <w:rFonts w:ascii="Arial" w:cs="Arial" w:eastAsia="Arial" w:hAnsi="Arial"/>
          <w:sz w:val="19"/>
          <w:szCs w:val="19"/>
          <w:color w:val="auto"/>
        </w:rPr>
      </w:pPr>
    </w:p>
    <w:p>
      <w:pPr>
        <w:ind w:left="1300" w:hanging="643"/>
        <w:spacing w:after="0"/>
        <w:tabs>
          <w:tab w:leader="none" w:pos="1300" w:val="left"/>
        </w:tabs>
        <w:numPr>
          <w:ilvl w:val="1"/>
          <w:numId w:val="133"/>
        </w:numPr>
        <w:rPr>
          <w:rFonts w:ascii="Arial" w:cs="Arial" w:eastAsia="Arial" w:hAnsi="Arial"/>
          <w:sz w:val="20"/>
          <w:szCs w:val="20"/>
          <w:color w:val="auto"/>
        </w:rPr>
      </w:pPr>
      <w:r>
        <w:rPr>
          <w:rFonts w:ascii="Arial" w:cs="Arial" w:eastAsia="Arial" w:hAnsi="Arial"/>
          <w:sz w:val="18"/>
          <w:szCs w:val="18"/>
          <w:color w:val="auto"/>
        </w:rPr>
        <w:t>a Lender:</w:t>
      </w:r>
    </w:p>
    <w:p>
      <w:pPr>
        <w:spacing w:after="0" w:line="188" w:lineRule="exact"/>
        <w:rPr>
          <w:rFonts w:ascii="Arial" w:cs="Arial" w:eastAsia="Arial" w:hAnsi="Arial"/>
          <w:sz w:val="20"/>
          <w:szCs w:val="20"/>
          <w:color w:val="auto"/>
        </w:rPr>
      </w:pPr>
    </w:p>
    <w:p>
      <w:pPr>
        <w:jc w:val="both"/>
        <w:ind w:left="1940" w:hanging="635"/>
        <w:spacing w:after="0" w:line="310" w:lineRule="auto"/>
        <w:tabs>
          <w:tab w:leader="none" w:pos="1922" w:val="left"/>
        </w:tabs>
        <w:numPr>
          <w:ilvl w:val="2"/>
          <w:numId w:val="133"/>
        </w:numPr>
        <w:rPr>
          <w:rFonts w:ascii="Arial" w:cs="Arial" w:eastAsia="Arial" w:hAnsi="Arial"/>
          <w:sz w:val="18"/>
          <w:szCs w:val="18"/>
          <w:color w:val="auto"/>
        </w:rPr>
      </w:pPr>
      <w:r>
        <w:rPr>
          <w:rFonts w:ascii="Arial" w:cs="Arial" w:eastAsia="Arial" w:hAnsi="Arial"/>
          <w:sz w:val="16"/>
          <w:szCs w:val="16"/>
          <w:color w:val="auto"/>
        </w:rPr>
        <w:t>which is a bank (as defined for the purpose of section 879 of the ITA) making an advance under a Finance Document and is within the charge to United Kingdom corporation tax as respects any payments of interest made in respect of that advance or would be within such charge as respects such payments apart from section 18A of the CTA; or</w:t>
      </w:r>
    </w:p>
    <w:p>
      <w:pPr>
        <w:spacing w:after="0" w:line="134" w:lineRule="exact"/>
        <w:rPr>
          <w:rFonts w:ascii="Arial" w:cs="Arial" w:eastAsia="Arial" w:hAnsi="Arial"/>
          <w:sz w:val="18"/>
          <w:szCs w:val="18"/>
          <w:color w:val="auto"/>
        </w:rPr>
      </w:pPr>
    </w:p>
    <w:p>
      <w:pPr>
        <w:jc w:val="both"/>
        <w:ind w:left="1940" w:hanging="635"/>
        <w:spacing w:after="0" w:line="264" w:lineRule="auto"/>
        <w:tabs>
          <w:tab w:leader="none" w:pos="1922" w:val="left"/>
        </w:tabs>
        <w:numPr>
          <w:ilvl w:val="2"/>
          <w:numId w:val="133"/>
        </w:numPr>
        <w:rPr>
          <w:rFonts w:ascii="Arial" w:cs="Arial" w:eastAsia="Arial" w:hAnsi="Arial"/>
          <w:sz w:val="20"/>
          <w:szCs w:val="20"/>
          <w:color w:val="auto"/>
        </w:rPr>
      </w:pPr>
      <w:r>
        <w:rPr>
          <w:rFonts w:ascii="Arial" w:cs="Arial" w:eastAsia="Arial" w:hAnsi="Arial"/>
          <w:sz w:val="18"/>
          <w:szCs w:val="18"/>
          <w:color w:val="auto"/>
        </w:rPr>
        <w:t>in respect of an advance made under a Finance Document by a person that was a bank (as defined for the purpose of section 879 of the ITA) at the time that that advance was made and within the charge to United Kingdom corporation tax as respects any payments of interest made in respect of that advance; or</w:t>
      </w:r>
    </w:p>
    <w:p>
      <w:pPr>
        <w:spacing w:after="0" w:line="169" w:lineRule="exact"/>
        <w:rPr>
          <w:rFonts w:ascii="Arial" w:cs="Arial" w:eastAsia="Arial" w:hAnsi="Arial"/>
          <w:sz w:val="20"/>
          <w:szCs w:val="20"/>
          <w:color w:val="auto"/>
        </w:rPr>
      </w:pPr>
    </w:p>
    <w:p>
      <w:pPr>
        <w:ind w:left="1300" w:hanging="643"/>
        <w:spacing w:after="0"/>
        <w:tabs>
          <w:tab w:leader="none" w:pos="1300" w:val="left"/>
        </w:tabs>
        <w:numPr>
          <w:ilvl w:val="1"/>
          <w:numId w:val="133"/>
        </w:numPr>
        <w:rPr>
          <w:rFonts w:ascii="Arial" w:cs="Arial" w:eastAsia="Arial" w:hAnsi="Arial"/>
          <w:sz w:val="20"/>
          <w:szCs w:val="20"/>
          <w:color w:val="auto"/>
        </w:rPr>
      </w:pPr>
      <w:r>
        <w:rPr>
          <w:rFonts w:ascii="Arial" w:cs="Arial" w:eastAsia="Arial" w:hAnsi="Arial"/>
          <w:sz w:val="18"/>
          <w:szCs w:val="18"/>
          <w:color w:val="auto"/>
        </w:rPr>
        <w:t>a Lender which is:</w:t>
      </w:r>
    </w:p>
    <w:p>
      <w:pPr>
        <w:spacing w:after="0" w:line="188" w:lineRule="exact"/>
        <w:rPr>
          <w:rFonts w:ascii="Arial" w:cs="Arial" w:eastAsia="Arial" w:hAnsi="Arial"/>
          <w:sz w:val="20"/>
          <w:szCs w:val="20"/>
          <w:color w:val="auto"/>
        </w:rPr>
      </w:pPr>
    </w:p>
    <w:p>
      <w:pPr>
        <w:ind w:left="1920" w:hanging="615"/>
        <w:spacing w:after="0"/>
        <w:tabs>
          <w:tab w:leader="none" w:pos="1920" w:val="left"/>
        </w:tabs>
        <w:numPr>
          <w:ilvl w:val="2"/>
          <w:numId w:val="133"/>
        </w:numPr>
        <w:rPr>
          <w:rFonts w:ascii="Arial" w:cs="Arial" w:eastAsia="Arial" w:hAnsi="Arial"/>
          <w:sz w:val="20"/>
          <w:szCs w:val="20"/>
          <w:color w:val="auto"/>
        </w:rPr>
      </w:pPr>
      <w:r>
        <w:rPr>
          <w:rFonts w:ascii="Arial" w:cs="Arial" w:eastAsia="Arial" w:hAnsi="Arial"/>
          <w:sz w:val="18"/>
          <w:szCs w:val="18"/>
          <w:color w:val="auto"/>
        </w:rPr>
        <w:t>a company resident in the United Kingdom for United Kingdom tax purposes;</w:t>
      </w:r>
    </w:p>
    <w:p>
      <w:pPr>
        <w:spacing w:after="0" w:line="188" w:lineRule="exact"/>
        <w:rPr>
          <w:rFonts w:ascii="Arial" w:cs="Arial" w:eastAsia="Arial" w:hAnsi="Arial"/>
          <w:sz w:val="20"/>
          <w:szCs w:val="20"/>
          <w:color w:val="auto"/>
        </w:rPr>
      </w:pPr>
    </w:p>
    <w:p>
      <w:pPr>
        <w:ind w:left="1920" w:hanging="615"/>
        <w:spacing w:after="0"/>
        <w:tabs>
          <w:tab w:leader="none" w:pos="1920" w:val="left"/>
        </w:tabs>
        <w:numPr>
          <w:ilvl w:val="2"/>
          <w:numId w:val="133"/>
        </w:numPr>
        <w:rPr>
          <w:rFonts w:ascii="Arial" w:cs="Arial" w:eastAsia="Arial" w:hAnsi="Arial"/>
          <w:sz w:val="20"/>
          <w:szCs w:val="20"/>
          <w:color w:val="auto"/>
        </w:rPr>
      </w:pPr>
      <w:r>
        <w:rPr>
          <w:rFonts w:ascii="Arial" w:cs="Arial" w:eastAsia="Arial" w:hAnsi="Arial"/>
          <w:sz w:val="18"/>
          <w:szCs w:val="18"/>
          <w:color w:val="auto"/>
        </w:rPr>
        <w:t>a partnership each member of which is:</w:t>
      </w:r>
    </w:p>
    <w:p>
      <w:pPr>
        <w:spacing w:after="0" w:line="188" w:lineRule="exact"/>
        <w:rPr>
          <w:rFonts w:ascii="Arial" w:cs="Arial" w:eastAsia="Arial" w:hAnsi="Arial"/>
          <w:sz w:val="20"/>
          <w:szCs w:val="20"/>
          <w:color w:val="auto"/>
        </w:rPr>
      </w:pPr>
    </w:p>
    <w:p>
      <w:pPr>
        <w:ind w:left="2580" w:hanging="641"/>
        <w:spacing w:after="0"/>
        <w:tabs>
          <w:tab w:leader="none" w:pos="2580" w:val="left"/>
        </w:tabs>
        <w:numPr>
          <w:ilvl w:val="3"/>
          <w:numId w:val="133"/>
        </w:numPr>
        <w:rPr>
          <w:rFonts w:ascii="Arial" w:cs="Arial" w:eastAsia="Arial" w:hAnsi="Arial"/>
          <w:sz w:val="20"/>
          <w:szCs w:val="20"/>
          <w:color w:val="auto"/>
        </w:rPr>
      </w:pPr>
      <w:r>
        <w:rPr>
          <w:rFonts w:ascii="Arial" w:cs="Arial" w:eastAsia="Arial" w:hAnsi="Arial"/>
          <w:sz w:val="18"/>
          <w:szCs w:val="18"/>
          <w:color w:val="auto"/>
        </w:rPr>
        <w:t>a company so resident in the United Kingdom; or</w:t>
      </w:r>
    </w:p>
    <w:p>
      <w:pPr>
        <w:spacing w:after="0" w:line="188" w:lineRule="exact"/>
        <w:rPr>
          <w:rFonts w:ascii="Arial" w:cs="Arial" w:eastAsia="Arial" w:hAnsi="Arial"/>
          <w:sz w:val="20"/>
          <w:szCs w:val="20"/>
          <w:color w:val="auto"/>
        </w:rPr>
      </w:pPr>
    </w:p>
    <w:p>
      <w:pPr>
        <w:jc w:val="both"/>
        <w:ind w:left="2580" w:right="20" w:hanging="641"/>
        <w:spacing w:after="0" w:line="265" w:lineRule="auto"/>
        <w:tabs>
          <w:tab w:leader="none" w:pos="2580" w:val="left"/>
        </w:tabs>
        <w:numPr>
          <w:ilvl w:val="3"/>
          <w:numId w:val="133"/>
        </w:numPr>
        <w:rPr>
          <w:rFonts w:ascii="Arial" w:cs="Arial" w:eastAsia="Arial" w:hAnsi="Arial"/>
          <w:sz w:val="20"/>
          <w:szCs w:val="20"/>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3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620"/>
          </w:cols>
          <w:pgMar w:left="940" w:top="355" w:right="339" w:bottom="1440" w:gutter="0" w:footer="0" w:header="0"/>
        </w:sectPr>
      </w:pPr>
    </w:p>
    <w:bookmarkStart w:id="57" w:name="page58"/>
    <w:bookmarkEnd w:id="57"/>
    <w:p>
      <w:pPr>
        <w:jc w:val="both"/>
        <w:ind w:left="2560" w:hanging="635"/>
        <w:spacing w:after="0" w:line="264" w:lineRule="auto"/>
        <w:tabs>
          <w:tab w:leader="none" w:pos="2542" w:val="left"/>
        </w:tabs>
        <w:numPr>
          <w:ilvl w:val="2"/>
          <w:numId w:val="134"/>
        </w:numPr>
        <w:rPr>
          <w:rFonts w:ascii="Arial" w:cs="Arial" w:eastAsia="Arial" w:hAnsi="Arial"/>
          <w:sz w:val="20"/>
          <w:szCs w:val="20"/>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69" w:lineRule="exact"/>
        <w:rPr>
          <w:rFonts w:ascii="Arial" w:cs="Arial" w:eastAsia="Arial" w:hAnsi="Arial"/>
          <w:sz w:val="20"/>
          <w:szCs w:val="20"/>
          <w:color w:val="auto"/>
        </w:rPr>
      </w:pPr>
    </w:p>
    <w:p>
      <w:pPr>
        <w:ind w:left="1920" w:hanging="643"/>
        <w:spacing w:after="0"/>
        <w:tabs>
          <w:tab w:leader="none" w:pos="1920" w:val="left"/>
        </w:tabs>
        <w:numPr>
          <w:ilvl w:val="1"/>
          <w:numId w:val="135"/>
        </w:numPr>
        <w:rPr>
          <w:rFonts w:ascii="Arial" w:cs="Arial" w:eastAsia="Arial" w:hAnsi="Arial"/>
          <w:sz w:val="20"/>
          <w:szCs w:val="20"/>
          <w:color w:val="auto"/>
        </w:rPr>
      </w:pPr>
      <w:r>
        <w:rPr>
          <w:rFonts w:ascii="Arial" w:cs="Arial" w:eastAsia="Arial" w:hAnsi="Arial"/>
          <w:sz w:val="18"/>
          <w:szCs w:val="18"/>
          <w:color w:val="auto"/>
        </w:rPr>
        <w:t>a UK Treaty Lender; or</w:t>
      </w:r>
    </w:p>
    <w:p>
      <w:pPr>
        <w:spacing w:after="0" w:line="188" w:lineRule="exact"/>
        <w:rPr>
          <w:rFonts w:ascii="Arial" w:cs="Arial" w:eastAsia="Arial" w:hAnsi="Arial"/>
          <w:sz w:val="20"/>
          <w:szCs w:val="20"/>
          <w:color w:val="auto"/>
        </w:rPr>
      </w:pPr>
    </w:p>
    <w:p>
      <w:pPr>
        <w:ind w:left="620" w:right="20" w:firstLine="36"/>
        <w:spacing w:after="0" w:line="443" w:lineRule="auto"/>
        <w:tabs>
          <w:tab w:leader="none" w:pos="1254" w:val="left"/>
        </w:tabs>
        <w:numPr>
          <w:ilvl w:val="0"/>
          <w:numId w:val="136"/>
        </w:numPr>
        <w:rPr>
          <w:rFonts w:ascii="Arial" w:cs="Arial" w:eastAsia="Arial" w:hAnsi="Arial"/>
          <w:sz w:val="20"/>
          <w:szCs w:val="20"/>
          <w:color w:val="auto"/>
        </w:rPr>
      </w:pPr>
      <w:r>
        <w:rPr>
          <w:rFonts w:ascii="Arial" w:cs="Arial" w:eastAsia="Arial" w:hAnsi="Arial"/>
          <w:sz w:val="18"/>
          <w:szCs w:val="18"/>
          <w:color w:val="auto"/>
        </w:rPr>
        <w:t>a Lender which is a building society (as defined for the purpose of section 880 of the ITA) making an advance under a Finance Document. “</w:t>
      </w:r>
      <w:r>
        <w:rPr>
          <w:rFonts w:ascii="Arial" w:cs="Arial" w:eastAsia="Arial" w:hAnsi="Arial"/>
          <w:sz w:val="18"/>
          <w:szCs w:val="18"/>
          <w:b w:val="1"/>
          <w:bCs w:val="1"/>
          <w:color w:val="auto"/>
        </w:rPr>
        <w:t>UK Treaty Lender</w:t>
      </w:r>
      <w:r>
        <w:rPr>
          <w:rFonts w:ascii="Arial" w:cs="Arial" w:eastAsia="Arial" w:hAnsi="Arial"/>
          <w:sz w:val="18"/>
          <w:szCs w:val="18"/>
          <w:color w:val="auto"/>
        </w:rPr>
        <w:t>” means a Lender which:</w:t>
      </w:r>
    </w:p>
    <w:p>
      <w:pPr>
        <w:spacing w:after="0" w:line="17" w:lineRule="exact"/>
        <w:rPr>
          <w:sz w:val="20"/>
          <w:szCs w:val="20"/>
          <w:color w:val="auto"/>
        </w:rPr>
      </w:pPr>
    </w:p>
    <w:p>
      <w:pPr>
        <w:ind w:left="1260" w:hanging="604"/>
        <w:spacing w:after="0"/>
        <w:tabs>
          <w:tab w:leader="none" w:pos="1260" w:val="left"/>
        </w:tabs>
        <w:numPr>
          <w:ilvl w:val="0"/>
          <w:numId w:val="137"/>
        </w:numPr>
        <w:rPr>
          <w:rFonts w:ascii="Arial" w:cs="Arial" w:eastAsia="Arial" w:hAnsi="Arial"/>
          <w:sz w:val="20"/>
          <w:szCs w:val="20"/>
          <w:color w:val="auto"/>
        </w:rPr>
      </w:pPr>
      <w:r>
        <w:rPr>
          <w:rFonts w:ascii="Arial" w:cs="Arial" w:eastAsia="Arial" w:hAnsi="Arial"/>
          <w:sz w:val="18"/>
          <w:szCs w:val="18"/>
          <w:color w:val="auto"/>
        </w:rPr>
        <w:t>is treated as a resident of a UK Treaty State for the purposes of the UK Treaty;</w:t>
      </w:r>
    </w:p>
    <w:p>
      <w:pPr>
        <w:spacing w:after="0" w:line="188" w:lineRule="exact"/>
        <w:rPr>
          <w:rFonts w:ascii="Arial" w:cs="Arial" w:eastAsia="Arial" w:hAnsi="Arial"/>
          <w:sz w:val="20"/>
          <w:szCs w:val="20"/>
          <w:color w:val="auto"/>
        </w:rPr>
      </w:pPr>
    </w:p>
    <w:p>
      <w:pPr>
        <w:ind w:left="1280" w:right="20" w:hanging="624"/>
        <w:spacing w:after="0" w:line="266" w:lineRule="auto"/>
        <w:tabs>
          <w:tab w:leader="none" w:pos="1262" w:val="left"/>
        </w:tabs>
        <w:numPr>
          <w:ilvl w:val="0"/>
          <w:numId w:val="137"/>
        </w:numPr>
        <w:rPr>
          <w:rFonts w:ascii="Arial" w:cs="Arial" w:eastAsia="Arial" w:hAnsi="Arial"/>
          <w:sz w:val="20"/>
          <w:szCs w:val="20"/>
          <w:color w:val="auto"/>
        </w:rPr>
      </w:pPr>
      <w:r>
        <w:rPr>
          <w:rFonts w:ascii="Arial" w:cs="Arial" w:eastAsia="Arial" w:hAnsi="Arial"/>
          <w:sz w:val="18"/>
          <w:szCs w:val="18"/>
          <w:color w:val="auto"/>
        </w:rPr>
        <w:t>does not carry on a business in the United Kingdom through a permanent establishment with which that Loan is effectively connected; and</w:t>
      </w:r>
    </w:p>
    <w:p>
      <w:pPr>
        <w:spacing w:after="0" w:line="163"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137"/>
        </w:numPr>
        <w:rPr>
          <w:rFonts w:ascii="Arial" w:cs="Arial" w:eastAsia="Arial" w:hAnsi="Arial"/>
          <w:sz w:val="20"/>
          <w:szCs w:val="20"/>
          <w:color w:val="auto"/>
        </w:rPr>
      </w:pPr>
      <w:r>
        <w:rPr>
          <w:rFonts w:ascii="Arial" w:cs="Arial" w:eastAsia="Arial" w:hAnsi="Arial"/>
          <w:sz w:val="18"/>
          <w:szCs w:val="18"/>
          <w:color w:val="auto"/>
        </w:rPr>
        <w:t>fulfils any other conditions which must be fulfilled under the relevant Treaty in order to benefit from full exemption from Tax imposed by the United Kingdom on interest payments, subject to the completion of any necessary procedural formalities.</w:t>
      </w:r>
    </w:p>
    <w:p>
      <w:pPr>
        <w:spacing w:after="0" w:line="146" w:lineRule="exact"/>
        <w:rPr>
          <w:sz w:val="20"/>
          <w:szCs w:val="20"/>
          <w:color w:val="auto"/>
        </w:rPr>
      </w:pPr>
    </w:p>
    <w:p>
      <w:pPr>
        <w:ind w:left="620"/>
        <w:spacing w:after="0" w:line="282" w:lineRule="auto"/>
        <w:rPr>
          <w:sz w:val="20"/>
          <w:szCs w:val="20"/>
          <w:color w:val="auto"/>
        </w:rPr>
      </w:pPr>
      <w:r>
        <w:rPr>
          <w:rFonts w:ascii="Arial" w:cs="Arial" w:eastAsia="Arial" w:hAnsi="Arial"/>
          <w:sz w:val="18"/>
          <w:szCs w:val="18"/>
          <w:b w:val="1"/>
          <w:bCs w:val="1"/>
          <w:color w:val="auto"/>
        </w:rPr>
        <w:t>“UK Treaty State</w:t>
      </w:r>
      <w:r>
        <w:rPr>
          <w:rFonts w:ascii="Arial" w:cs="Arial" w:eastAsia="Arial" w:hAnsi="Arial"/>
          <w:sz w:val="18"/>
          <w:szCs w:val="18"/>
          <w:color w:val="auto"/>
        </w:rPr>
        <w:t>” means a jurisdiction having a double taxation agreement (a “</w:t>
      </w:r>
      <w:r>
        <w:rPr>
          <w:rFonts w:ascii="Arial" w:cs="Arial" w:eastAsia="Arial" w:hAnsi="Arial"/>
          <w:sz w:val="18"/>
          <w:szCs w:val="18"/>
          <w:b w:val="1"/>
          <w:bCs w:val="1"/>
          <w:color w:val="auto"/>
        </w:rPr>
        <w:t>UK Treaty</w:t>
      </w:r>
      <w:r>
        <w:rPr>
          <w:rFonts w:ascii="Arial" w:cs="Arial" w:eastAsia="Arial" w:hAnsi="Arial"/>
          <w:sz w:val="18"/>
          <w:szCs w:val="18"/>
          <w:color w:val="auto"/>
        </w:rPr>
        <w:t>”) with the United Kingdom which makes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for full exemption from tax imposed by the United Kingdom on interest.</w:t>
      </w:r>
    </w:p>
    <w:p>
      <w:pPr>
        <w:spacing w:after="0" w:line="139"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Unless a contrary indication appears, in this Clause 12 a reference to “determines” or “determined” means a determination made in the absolute discretion of the person making the determination, acting in good faith.</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5"/>
          <w:szCs w:val="15"/>
          <w:b w:val="1"/>
          <w:bCs w:val="1"/>
          <w:color w:val="auto"/>
        </w:rPr>
        <w:t>Tax gross-up</w:t>
      </w:r>
    </w:p>
    <w:p>
      <w:pPr>
        <w:spacing w:after="0" w:line="205" w:lineRule="exact"/>
        <w:rPr>
          <w:sz w:val="20"/>
          <w:szCs w:val="20"/>
          <w:color w:val="auto"/>
        </w:rPr>
      </w:pPr>
    </w:p>
    <w:p>
      <w:pPr>
        <w:ind w:left="1260" w:hanging="604"/>
        <w:spacing w:after="0"/>
        <w:tabs>
          <w:tab w:leader="none" w:pos="1260" w:val="left"/>
        </w:tabs>
        <w:numPr>
          <w:ilvl w:val="0"/>
          <w:numId w:val="138"/>
        </w:numPr>
        <w:rPr>
          <w:rFonts w:ascii="Arial" w:cs="Arial" w:eastAsia="Arial" w:hAnsi="Arial"/>
          <w:sz w:val="19"/>
          <w:szCs w:val="19"/>
          <w:color w:val="auto"/>
        </w:rPr>
      </w:pPr>
      <w:r>
        <w:rPr>
          <w:rFonts w:ascii="Arial" w:cs="Arial" w:eastAsia="Arial" w:hAnsi="Arial"/>
          <w:sz w:val="17"/>
          <w:szCs w:val="17"/>
          <w:color w:val="auto"/>
        </w:rPr>
        <w:t>The Company shall make all payments to be made by it without any Tax Deduction, unless a Tax Deduction is required by law.</w:t>
      </w:r>
    </w:p>
    <w:p>
      <w:pPr>
        <w:spacing w:after="0" w:line="200" w:lineRule="exact"/>
        <w:rPr>
          <w:rFonts w:ascii="Arial" w:cs="Arial" w:eastAsia="Arial" w:hAnsi="Arial"/>
          <w:sz w:val="19"/>
          <w:szCs w:val="19"/>
          <w:color w:val="auto"/>
        </w:rPr>
      </w:pPr>
    </w:p>
    <w:p>
      <w:pPr>
        <w:jc w:val="both"/>
        <w:ind w:left="1280" w:hanging="624"/>
        <w:spacing w:after="0" w:line="264" w:lineRule="auto"/>
        <w:tabs>
          <w:tab w:leader="none" w:pos="1262" w:val="left"/>
        </w:tabs>
        <w:numPr>
          <w:ilvl w:val="0"/>
          <w:numId w:val="138"/>
        </w:numPr>
        <w:rPr>
          <w:rFonts w:ascii="Arial" w:cs="Arial" w:eastAsia="Arial" w:hAnsi="Arial"/>
          <w:sz w:val="20"/>
          <w:szCs w:val="20"/>
          <w:color w:val="auto"/>
        </w:rPr>
      </w:pPr>
      <w:r>
        <w:rPr>
          <w:rFonts w:ascii="Arial" w:cs="Arial" w:eastAsia="Arial" w:hAnsi="Arial"/>
          <w:sz w:val="18"/>
          <w:szCs w:val="18"/>
          <w:color w:val="auto"/>
        </w:rPr>
        <w:t>The Company shall promptly upon becoming aware that it must make a Tax Deduction (or that there is any change in the rate or the basis of a Tax Deduction) notify the Lender accordingly. Similarly, the Lender shall notify the Company on becoming so aware in respect of a payment payable it.</w:t>
      </w:r>
    </w:p>
    <w:p>
      <w:pPr>
        <w:spacing w:after="0" w:line="169"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138"/>
        </w:numPr>
        <w:rPr>
          <w:rFonts w:ascii="Arial" w:cs="Arial" w:eastAsia="Arial" w:hAnsi="Arial"/>
          <w:sz w:val="20"/>
          <w:szCs w:val="20"/>
          <w:color w:val="auto"/>
        </w:rPr>
      </w:pPr>
      <w:r>
        <w:rPr>
          <w:rFonts w:ascii="Arial" w:cs="Arial" w:eastAsia="Arial" w:hAnsi="Arial"/>
          <w:sz w:val="18"/>
          <w:szCs w:val="18"/>
          <w:color w:val="auto"/>
        </w:rPr>
        <w:t>If a Tax Deduction is required by law to be made by the Company, the amount of the payment due from the Company shall be increased to an amount which (after making any Tax Deduction) leaves an amount equal to the payment which would have been due if no Tax Deduction had been required.</w:t>
      </w:r>
    </w:p>
    <w:p>
      <w:pPr>
        <w:spacing w:after="0" w:line="169"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138"/>
        </w:numPr>
        <w:rPr>
          <w:rFonts w:ascii="Arial" w:cs="Arial" w:eastAsia="Arial" w:hAnsi="Arial"/>
          <w:sz w:val="20"/>
          <w:szCs w:val="20"/>
          <w:color w:val="auto"/>
        </w:rPr>
      </w:pPr>
      <w:r>
        <w:rPr>
          <w:rFonts w:ascii="Arial" w:cs="Arial" w:eastAsia="Arial" w:hAnsi="Arial"/>
          <w:sz w:val="18"/>
          <w:szCs w:val="18"/>
          <w:color w:val="auto"/>
        </w:rPr>
        <w:t>A payment shall not be increased under paragraph (c) above by reason of a Tax Deduction on account of Tax imposed by the United Kingdom, if on the date on which the payment falls due:</w:t>
      </w:r>
    </w:p>
    <w:p>
      <w:pPr>
        <w:spacing w:after="0" w:line="163" w:lineRule="exact"/>
        <w:rPr>
          <w:rFonts w:ascii="Arial" w:cs="Arial" w:eastAsia="Arial" w:hAnsi="Arial"/>
          <w:sz w:val="20"/>
          <w:szCs w:val="20"/>
          <w:color w:val="auto"/>
        </w:rPr>
      </w:pPr>
    </w:p>
    <w:p>
      <w:pPr>
        <w:jc w:val="both"/>
        <w:ind w:left="1920" w:hanging="643"/>
        <w:spacing w:after="0" w:line="284" w:lineRule="auto"/>
        <w:tabs>
          <w:tab w:leader="none" w:pos="1920" w:val="left"/>
        </w:tabs>
        <w:numPr>
          <w:ilvl w:val="1"/>
          <w:numId w:val="138"/>
        </w:numPr>
        <w:rPr>
          <w:rFonts w:ascii="Arial" w:cs="Arial" w:eastAsia="Arial" w:hAnsi="Arial"/>
          <w:sz w:val="19"/>
          <w:szCs w:val="19"/>
          <w:color w:val="auto"/>
        </w:rPr>
      </w:pPr>
      <w:r>
        <w:rPr>
          <w:rFonts w:ascii="Arial" w:cs="Arial" w:eastAsia="Arial" w:hAnsi="Arial"/>
          <w:sz w:val="17"/>
          <w:szCs w:val="17"/>
          <w:color w:val="auto"/>
        </w:rPr>
        <w:t>the payment could have been made to the relevant Lender without a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Treaty or any published practice or published concession of any relevant taxing authority;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55" w:right="339" w:bottom="1440" w:gutter="0" w:footer="0" w:header="0"/>
        </w:sectPr>
      </w:pPr>
    </w:p>
    <w:bookmarkStart w:id="58" w:name="page59"/>
    <w:bookmarkEnd w:id="58"/>
    <w:p>
      <w:pPr>
        <w:ind w:left="1280" w:hanging="643"/>
        <w:spacing w:after="0"/>
        <w:tabs>
          <w:tab w:leader="none" w:pos="1280" w:val="left"/>
        </w:tabs>
        <w:numPr>
          <w:ilvl w:val="0"/>
          <w:numId w:val="139"/>
        </w:numPr>
        <w:rPr>
          <w:rFonts w:ascii="Arial" w:cs="Arial" w:eastAsia="Arial" w:hAnsi="Arial"/>
          <w:sz w:val="19"/>
          <w:szCs w:val="19"/>
          <w:color w:val="auto"/>
        </w:rPr>
      </w:pPr>
      <w:r>
        <w:rPr>
          <w:rFonts w:ascii="Arial" w:cs="Arial" w:eastAsia="Arial" w:hAnsi="Arial"/>
          <w:sz w:val="17"/>
          <w:szCs w:val="17"/>
          <w:color w:val="auto"/>
        </w:rPr>
        <w:t>the Lender is a UK Qualifying Lender solely by virtue of paragraph (a)(ii) of the definition of UK Qualifying Lender; and:</w:t>
      </w:r>
    </w:p>
    <w:p>
      <w:pPr>
        <w:spacing w:after="0" w:line="196" w:lineRule="exact"/>
        <w:rPr>
          <w:rFonts w:ascii="Arial" w:cs="Arial" w:eastAsia="Arial" w:hAnsi="Arial"/>
          <w:sz w:val="19"/>
          <w:szCs w:val="19"/>
          <w:color w:val="auto"/>
        </w:rPr>
      </w:pPr>
    </w:p>
    <w:p>
      <w:pPr>
        <w:jc w:val="both"/>
        <w:ind w:left="1920" w:hanging="635"/>
        <w:spacing w:after="0" w:line="335" w:lineRule="auto"/>
        <w:tabs>
          <w:tab w:leader="none" w:pos="1902" w:val="left"/>
        </w:tabs>
        <w:numPr>
          <w:ilvl w:val="1"/>
          <w:numId w:val="139"/>
        </w:numPr>
        <w:rPr>
          <w:rFonts w:ascii="Arial" w:cs="Arial" w:eastAsia="Arial" w:hAnsi="Arial"/>
          <w:sz w:val="18"/>
          <w:szCs w:val="18"/>
          <w:color w:val="auto"/>
        </w:rPr>
      </w:pPr>
      <w:r>
        <w:rPr>
          <w:rFonts w:ascii="Arial" w:cs="Arial" w:eastAsia="Arial" w:hAnsi="Arial"/>
          <w:sz w:val="16"/>
          <w:szCs w:val="16"/>
          <w:color w:val="auto"/>
        </w:rPr>
        <w:t>an officer of H.M. Revenue &amp; Customs has given (and not revoked) a direction (a “</w:t>
      </w:r>
      <w:r>
        <w:rPr>
          <w:rFonts w:ascii="Arial" w:cs="Arial" w:eastAsia="Arial" w:hAnsi="Arial"/>
          <w:sz w:val="16"/>
          <w:szCs w:val="16"/>
          <w:b w:val="1"/>
          <w:bCs w:val="1"/>
          <w:color w:val="auto"/>
        </w:rPr>
        <w:t>Direction</w:t>
      </w:r>
      <w:r>
        <w:rPr>
          <w:rFonts w:ascii="Arial" w:cs="Arial" w:eastAsia="Arial" w:hAnsi="Arial"/>
          <w:sz w:val="16"/>
          <w:szCs w:val="16"/>
          <w:color w:val="auto"/>
        </w:rPr>
        <w:t>”) under section 931 of the ITA which relates to the payment and that Lender has received from the Company a certified copy of that Direction; and</w:t>
      </w:r>
    </w:p>
    <w:p>
      <w:pPr>
        <w:spacing w:after="0" w:line="106" w:lineRule="exact"/>
        <w:rPr>
          <w:rFonts w:ascii="Arial" w:cs="Arial" w:eastAsia="Arial" w:hAnsi="Arial"/>
          <w:sz w:val="18"/>
          <w:szCs w:val="18"/>
          <w:color w:val="auto"/>
        </w:rPr>
      </w:pPr>
    </w:p>
    <w:p>
      <w:pPr>
        <w:ind w:left="1900" w:hanging="615"/>
        <w:spacing w:after="0"/>
        <w:tabs>
          <w:tab w:leader="none" w:pos="1900" w:val="left"/>
        </w:tabs>
        <w:numPr>
          <w:ilvl w:val="1"/>
          <w:numId w:val="139"/>
        </w:numPr>
        <w:rPr>
          <w:rFonts w:ascii="Arial" w:cs="Arial" w:eastAsia="Arial" w:hAnsi="Arial"/>
          <w:sz w:val="19"/>
          <w:szCs w:val="19"/>
          <w:color w:val="auto"/>
        </w:rPr>
      </w:pPr>
      <w:r>
        <w:rPr>
          <w:rFonts w:ascii="Arial" w:cs="Arial" w:eastAsia="Arial" w:hAnsi="Arial"/>
          <w:sz w:val="17"/>
          <w:szCs w:val="17"/>
          <w:color w:val="auto"/>
        </w:rPr>
        <w:t>the payment could have been made to the Lender without any Tax Deduction if that Direction had not been made;</w:t>
      </w:r>
    </w:p>
    <w:p>
      <w:pPr>
        <w:spacing w:after="0" w:line="200" w:lineRule="exact"/>
        <w:rPr>
          <w:rFonts w:ascii="Arial" w:cs="Arial" w:eastAsia="Arial" w:hAnsi="Arial"/>
          <w:sz w:val="19"/>
          <w:szCs w:val="19"/>
          <w:color w:val="auto"/>
        </w:rPr>
      </w:pPr>
    </w:p>
    <w:p>
      <w:pPr>
        <w:ind w:left="1280" w:hanging="643"/>
        <w:spacing w:after="0"/>
        <w:tabs>
          <w:tab w:leader="none" w:pos="1280" w:val="left"/>
        </w:tabs>
        <w:numPr>
          <w:ilvl w:val="0"/>
          <w:numId w:val="139"/>
        </w:numPr>
        <w:rPr>
          <w:rFonts w:ascii="Arial" w:cs="Arial" w:eastAsia="Arial" w:hAnsi="Arial"/>
          <w:sz w:val="19"/>
          <w:szCs w:val="19"/>
          <w:color w:val="auto"/>
        </w:rPr>
      </w:pPr>
      <w:r>
        <w:rPr>
          <w:rFonts w:ascii="Arial" w:cs="Arial" w:eastAsia="Arial" w:hAnsi="Arial"/>
          <w:sz w:val="17"/>
          <w:szCs w:val="17"/>
          <w:color w:val="auto"/>
        </w:rPr>
        <w:t>the Lender is a UK Qualifying Lender solely by virtue of paragraph (a)(ii) of the definition of UK Qualifying Lender and:</w:t>
      </w:r>
    </w:p>
    <w:p>
      <w:pPr>
        <w:spacing w:after="0" w:line="200" w:lineRule="exact"/>
        <w:rPr>
          <w:rFonts w:ascii="Arial" w:cs="Arial" w:eastAsia="Arial" w:hAnsi="Arial"/>
          <w:sz w:val="19"/>
          <w:szCs w:val="19"/>
          <w:color w:val="auto"/>
        </w:rPr>
      </w:pPr>
    </w:p>
    <w:p>
      <w:pPr>
        <w:ind w:left="1900" w:hanging="615"/>
        <w:spacing w:after="0"/>
        <w:tabs>
          <w:tab w:leader="none" w:pos="1900" w:val="left"/>
        </w:tabs>
        <w:numPr>
          <w:ilvl w:val="1"/>
          <w:numId w:val="139"/>
        </w:numPr>
        <w:rPr>
          <w:rFonts w:ascii="Arial" w:cs="Arial" w:eastAsia="Arial" w:hAnsi="Arial"/>
          <w:sz w:val="20"/>
          <w:szCs w:val="20"/>
          <w:color w:val="auto"/>
        </w:rPr>
      </w:pPr>
      <w:r>
        <w:rPr>
          <w:rFonts w:ascii="Arial" w:cs="Arial" w:eastAsia="Arial" w:hAnsi="Arial"/>
          <w:sz w:val="18"/>
          <w:szCs w:val="18"/>
          <w:color w:val="auto"/>
        </w:rPr>
        <w:t>the Lender has not given a Tax Confirmation to the Company; and</w:t>
      </w:r>
    </w:p>
    <w:p>
      <w:pPr>
        <w:spacing w:after="0" w:line="188" w:lineRule="exact"/>
        <w:rPr>
          <w:rFonts w:ascii="Arial" w:cs="Arial" w:eastAsia="Arial" w:hAnsi="Arial"/>
          <w:sz w:val="20"/>
          <w:szCs w:val="20"/>
          <w:color w:val="auto"/>
        </w:rPr>
      </w:pPr>
    </w:p>
    <w:p>
      <w:pPr>
        <w:jc w:val="both"/>
        <w:ind w:left="1920" w:hanging="635"/>
        <w:spacing w:after="0" w:line="310" w:lineRule="auto"/>
        <w:tabs>
          <w:tab w:leader="none" w:pos="1902" w:val="left"/>
        </w:tabs>
        <w:numPr>
          <w:ilvl w:val="1"/>
          <w:numId w:val="139"/>
        </w:numPr>
        <w:rPr>
          <w:rFonts w:ascii="Arial" w:cs="Arial" w:eastAsia="Arial" w:hAnsi="Arial"/>
          <w:sz w:val="18"/>
          <w:szCs w:val="18"/>
          <w:color w:val="auto"/>
        </w:rPr>
      </w:pPr>
      <w:r>
        <w:rPr>
          <w:rFonts w:ascii="Arial" w:cs="Arial" w:eastAsia="Arial" w:hAnsi="Arial"/>
          <w:sz w:val="16"/>
          <w:szCs w:val="16"/>
          <w:color w:val="auto"/>
        </w:rPr>
        <w:t>the payment could have been made to the Lender without any Tax Deduction if the Lender had given a Tax Confirmation to the Company, on the basis that the Tax Confirmation would have enabled the Company to have formed a reasonable belief that the payment was an “excepted payment” for the purpose of section 930 of the ITA; or</w:t>
      </w:r>
    </w:p>
    <w:p>
      <w:pPr>
        <w:spacing w:after="0" w:line="134" w:lineRule="exact"/>
        <w:rPr>
          <w:rFonts w:ascii="Arial" w:cs="Arial" w:eastAsia="Arial" w:hAnsi="Arial"/>
          <w:sz w:val="18"/>
          <w:szCs w:val="18"/>
          <w:color w:val="auto"/>
        </w:rPr>
      </w:pPr>
    </w:p>
    <w:p>
      <w:pPr>
        <w:ind w:left="1280" w:right="20" w:hanging="643"/>
        <w:spacing w:after="0" w:line="329" w:lineRule="auto"/>
        <w:tabs>
          <w:tab w:leader="none" w:pos="1280" w:val="left"/>
        </w:tabs>
        <w:numPr>
          <w:ilvl w:val="0"/>
          <w:numId w:val="139"/>
        </w:numPr>
        <w:rPr>
          <w:rFonts w:ascii="Arial" w:cs="Arial" w:eastAsia="Arial" w:hAnsi="Arial"/>
          <w:sz w:val="18"/>
          <w:szCs w:val="18"/>
          <w:color w:val="auto"/>
        </w:rPr>
      </w:pPr>
      <w:r>
        <w:rPr>
          <w:rFonts w:ascii="Arial" w:cs="Arial" w:eastAsia="Arial" w:hAnsi="Arial"/>
          <w:sz w:val="16"/>
          <w:szCs w:val="16"/>
          <w:color w:val="auto"/>
        </w:rPr>
        <w:t>the Lender is a UK Treaty Lender and the Company is able to demonstrate that the payment could have been made to the Lender without the Tax Deduction had that Lender complied with its obligations under paragraph (e) or (f) (as applicable) below.</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(e)</w:t>
      </w:r>
    </w:p>
    <w:p>
      <w:pPr>
        <w:spacing w:after="0" w:line="205" w:lineRule="exact"/>
        <w:rPr>
          <w:sz w:val="20"/>
          <w:szCs w:val="20"/>
          <w:color w:val="auto"/>
        </w:rPr>
      </w:pPr>
    </w:p>
    <w:p>
      <w:pPr>
        <w:jc w:val="both"/>
        <w:ind w:left="1280" w:hanging="643"/>
        <w:spacing w:after="0" w:line="264" w:lineRule="auto"/>
        <w:tabs>
          <w:tab w:leader="none" w:pos="1280" w:val="left"/>
        </w:tabs>
        <w:numPr>
          <w:ilvl w:val="1"/>
          <w:numId w:val="140"/>
        </w:numPr>
        <w:rPr>
          <w:rFonts w:ascii="Arial" w:cs="Arial" w:eastAsia="Arial" w:hAnsi="Arial"/>
          <w:sz w:val="20"/>
          <w:szCs w:val="20"/>
          <w:color w:val="auto"/>
        </w:rPr>
      </w:pPr>
      <w:r>
        <w:rPr>
          <w:rFonts w:ascii="Arial" w:cs="Arial" w:eastAsia="Arial" w:hAnsi="Arial"/>
          <w:sz w:val="18"/>
          <w:szCs w:val="18"/>
          <w:color w:val="auto"/>
        </w:rPr>
        <w:t>Subject to sub-paragraph (ii) below, a UK Treaty Lender and the Company shall co-operate in completing any procedural formalities necessary for the Company to obtain authorisation to make payments under the Finance Documents to the UK Treaty Lender without a Tax Deduction on account of Tax imposed by the UK.</w:t>
      </w:r>
    </w:p>
    <w:p>
      <w:pPr>
        <w:spacing w:after="0" w:line="169" w:lineRule="exact"/>
        <w:rPr>
          <w:rFonts w:ascii="Arial" w:cs="Arial" w:eastAsia="Arial" w:hAnsi="Arial"/>
          <w:sz w:val="20"/>
          <w:szCs w:val="20"/>
          <w:color w:val="auto"/>
        </w:rPr>
      </w:pPr>
    </w:p>
    <w:p>
      <w:pPr>
        <w:jc w:val="both"/>
        <w:ind w:left="1280" w:hanging="643"/>
        <w:spacing w:after="0" w:line="265" w:lineRule="auto"/>
        <w:tabs>
          <w:tab w:leader="none" w:pos="1280" w:val="left"/>
        </w:tabs>
        <w:numPr>
          <w:ilvl w:val="1"/>
          <w:numId w:val="140"/>
        </w:numPr>
        <w:rPr>
          <w:rFonts w:ascii="Arial" w:cs="Arial" w:eastAsia="Arial" w:hAnsi="Arial"/>
          <w:sz w:val="20"/>
          <w:szCs w:val="20"/>
          <w:color w:val="auto"/>
        </w:rPr>
      </w:pPr>
      <w:r>
        <w:rPr>
          <w:rFonts w:ascii="Arial" w:cs="Arial" w:eastAsia="Arial" w:hAnsi="Arial"/>
          <w:sz w:val="18"/>
          <w:szCs w:val="18"/>
          <w:color w:val="auto"/>
        </w:rPr>
        <w:t>A UK Treaty Lender which is not the Original Lender and that holds a passport under the HMRC DT Treaty Passport scheme, and which wishes that scheme to apply to this Agreement, shall confirm its scheme reference number and its jurisdiction of tax residence in the documentation which it executes on becoming a Party as a Lender, and, having done so, the UK Treaty Lender shall be under no obligation pursuant to sub-paragraph (i) above.</w:t>
      </w:r>
    </w:p>
    <w:p>
      <w:pPr>
        <w:spacing w:after="0" w:line="167" w:lineRule="exact"/>
        <w:rPr>
          <w:rFonts w:ascii="Arial" w:cs="Arial" w:eastAsia="Arial" w:hAnsi="Arial"/>
          <w:sz w:val="20"/>
          <w:szCs w:val="20"/>
          <w:color w:val="auto"/>
        </w:rPr>
      </w:pPr>
    </w:p>
    <w:p>
      <w:pPr>
        <w:ind w:left="620" w:hanging="604"/>
        <w:spacing w:after="0"/>
        <w:tabs>
          <w:tab w:leader="none" w:pos="620" w:val="left"/>
        </w:tabs>
        <w:numPr>
          <w:ilvl w:val="0"/>
          <w:numId w:val="141"/>
        </w:numPr>
        <w:rPr>
          <w:rFonts w:ascii="Arial" w:cs="Arial" w:eastAsia="Arial" w:hAnsi="Arial"/>
          <w:sz w:val="18"/>
          <w:szCs w:val="18"/>
          <w:color w:val="auto"/>
        </w:rPr>
      </w:pPr>
      <w:r>
        <w:rPr>
          <w:rFonts w:ascii="Arial" w:cs="Arial" w:eastAsia="Arial" w:hAnsi="Arial"/>
          <w:sz w:val="16"/>
          <w:szCs w:val="16"/>
          <w:color w:val="auto"/>
        </w:rPr>
        <w:t>If a UK Treaty Lender has confirmed its scheme reference number and its jurisdiction of tax residence in accordance with sub-paragraph</w:t>
      </w:r>
    </w:p>
    <w:p>
      <w:pPr>
        <w:spacing w:after="0" w:line="27" w:lineRule="exact"/>
        <w:rPr>
          <w:rFonts w:ascii="Arial" w:cs="Arial" w:eastAsia="Arial" w:hAnsi="Arial"/>
          <w:sz w:val="18"/>
          <w:szCs w:val="18"/>
          <w:color w:val="auto"/>
        </w:rPr>
      </w:pPr>
    </w:p>
    <w:p>
      <w:pPr>
        <w:ind w:left="900" w:hanging="259"/>
        <w:spacing w:after="0"/>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under paragraph (e) above and:</w:t>
      </w:r>
    </w:p>
    <w:p>
      <w:pPr>
        <w:spacing w:after="0" w:line="207" w:lineRule="exact"/>
        <w:rPr>
          <w:sz w:val="20"/>
          <w:szCs w:val="20"/>
          <w:color w:val="auto"/>
        </w:rPr>
      </w:pPr>
    </w:p>
    <w:p>
      <w:pPr>
        <w:ind w:left="1280" w:hanging="643"/>
        <w:spacing w:after="0"/>
        <w:tabs>
          <w:tab w:leader="none" w:pos="1280" w:val="left"/>
        </w:tabs>
        <w:numPr>
          <w:ilvl w:val="0"/>
          <w:numId w:val="142"/>
        </w:numPr>
        <w:rPr>
          <w:rFonts w:ascii="Arial" w:cs="Arial" w:eastAsia="Arial" w:hAnsi="Arial"/>
          <w:sz w:val="20"/>
          <w:szCs w:val="20"/>
          <w:color w:val="auto"/>
        </w:rPr>
      </w:pPr>
      <w:r>
        <w:rPr>
          <w:rFonts w:ascii="Arial" w:cs="Arial" w:eastAsia="Arial" w:hAnsi="Arial"/>
          <w:sz w:val="18"/>
          <w:szCs w:val="18"/>
          <w:color w:val="auto"/>
        </w:rPr>
        <w:t>the Company has not made a Borrower DTTP Filing in respect of that Lender; or</w:t>
      </w:r>
    </w:p>
    <w:p>
      <w:pPr>
        <w:spacing w:after="0" w:line="188" w:lineRule="exact"/>
        <w:rPr>
          <w:rFonts w:ascii="Arial" w:cs="Arial" w:eastAsia="Arial" w:hAnsi="Arial"/>
          <w:sz w:val="20"/>
          <w:szCs w:val="20"/>
          <w:color w:val="auto"/>
        </w:rPr>
      </w:pPr>
    </w:p>
    <w:p>
      <w:pPr>
        <w:ind w:left="1280" w:hanging="643"/>
        <w:spacing w:after="0"/>
        <w:tabs>
          <w:tab w:leader="none" w:pos="1280" w:val="left"/>
        </w:tabs>
        <w:numPr>
          <w:ilvl w:val="0"/>
          <w:numId w:val="142"/>
        </w:numPr>
        <w:rPr>
          <w:rFonts w:ascii="Arial" w:cs="Arial" w:eastAsia="Arial" w:hAnsi="Arial"/>
          <w:sz w:val="20"/>
          <w:szCs w:val="20"/>
          <w:color w:val="auto"/>
        </w:rPr>
      </w:pPr>
      <w:r>
        <w:rPr>
          <w:rFonts w:ascii="Arial" w:cs="Arial" w:eastAsia="Arial" w:hAnsi="Arial"/>
          <w:sz w:val="18"/>
          <w:szCs w:val="18"/>
          <w:color w:val="auto"/>
        </w:rPr>
        <w:t>the Company has made a Borrower DTTP Filing in respect of that Lender but:</w:t>
      </w:r>
    </w:p>
    <w:p>
      <w:pPr>
        <w:spacing w:after="0" w:line="39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00"/>
          </w:cols>
          <w:pgMar w:left="960" w:top="355" w:right="339" w:bottom="1440" w:gutter="0" w:footer="0" w:header="0"/>
        </w:sectPr>
      </w:pPr>
    </w:p>
    <w:bookmarkStart w:id="59" w:name="page60"/>
    <w:bookmarkEnd w:id="59"/>
    <w:p>
      <w:pPr>
        <w:ind w:left="1884" w:hanging="615"/>
        <w:spacing w:after="0"/>
        <w:tabs>
          <w:tab w:leader="none" w:pos="1884" w:val="left"/>
        </w:tabs>
        <w:numPr>
          <w:ilvl w:val="0"/>
          <w:numId w:val="143"/>
        </w:numPr>
        <w:rPr>
          <w:rFonts w:ascii="Arial" w:cs="Arial" w:eastAsia="Arial" w:hAnsi="Arial"/>
          <w:sz w:val="20"/>
          <w:szCs w:val="20"/>
          <w:color w:val="auto"/>
        </w:rPr>
      </w:pPr>
      <w:r>
        <w:rPr>
          <w:rFonts w:ascii="Arial" w:cs="Arial" w:eastAsia="Arial" w:hAnsi="Arial"/>
          <w:sz w:val="18"/>
          <w:szCs w:val="18"/>
          <w:color w:val="auto"/>
        </w:rPr>
        <w:t>that Borrower DTTP Filing has been rejected by HM Revenue &amp; Customs; or</w:t>
      </w:r>
    </w:p>
    <w:p>
      <w:pPr>
        <w:spacing w:after="0" w:line="188" w:lineRule="exact"/>
        <w:rPr>
          <w:rFonts w:ascii="Arial" w:cs="Arial" w:eastAsia="Arial" w:hAnsi="Arial"/>
          <w:sz w:val="20"/>
          <w:szCs w:val="20"/>
          <w:color w:val="auto"/>
        </w:rPr>
      </w:pPr>
    </w:p>
    <w:p>
      <w:pPr>
        <w:ind w:left="1904" w:hanging="635"/>
        <w:spacing w:after="0" w:line="266" w:lineRule="auto"/>
        <w:tabs>
          <w:tab w:leader="none" w:pos="1886" w:val="left"/>
        </w:tabs>
        <w:numPr>
          <w:ilvl w:val="0"/>
          <w:numId w:val="143"/>
        </w:numPr>
        <w:rPr>
          <w:rFonts w:ascii="Arial" w:cs="Arial" w:eastAsia="Arial" w:hAnsi="Arial"/>
          <w:sz w:val="20"/>
          <w:szCs w:val="20"/>
          <w:color w:val="auto"/>
        </w:rPr>
      </w:pPr>
      <w:r>
        <w:rPr>
          <w:rFonts w:ascii="Arial" w:cs="Arial" w:eastAsia="Arial" w:hAnsi="Arial"/>
          <w:sz w:val="18"/>
          <w:szCs w:val="18"/>
          <w:color w:val="auto"/>
        </w:rPr>
        <w:t>HM Revenue &amp; Customs has not given the Company authority to make payments to that Lender without a Tax Deduction within 60 days of the date of the Borrower DTTP Filing,</w:t>
      </w:r>
    </w:p>
    <w:p>
      <w:pPr>
        <w:spacing w:after="0" w:line="150" w:lineRule="exact"/>
        <w:rPr>
          <w:sz w:val="20"/>
          <w:szCs w:val="20"/>
          <w:color w:val="auto"/>
        </w:rPr>
      </w:pPr>
    </w:p>
    <w:p>
      <w:pPr>
        <w:jc w:val="both"/>
        <w:ind w:left="624"/>
        <w:spacing w:after="0" w:line="263" w:lineRule="auto"/>
        <w:rPr>
          <w:sz w:val="20"/>
          <w:szCs w:val="20"/>
          <w:color w:val="auto"/>
        </w:rPr>
      </w:pPr>
      <w:r>
        <w:rPr>
          <w:rFonts w:ascii="Arial" w:cs="Arial" w:eastAsia="Arial" w:hAnsi="Arial"/>
          <w:sz w:val="18"/>
          <w:szCs w:val="18"/>
          <w:color w:val="auto"/>
        </w:rPr>
        <w:t>and in each case, the Company has notified that Lender in writing, that Lender and the Company shall co-operate in completing any additional procedural formalities necessary for the Company to obtain authorisation to make that payment without a Tax Deduction on account of Tax imposed by the UK.</w:t>
      </w:r>
    </w:p>
    <w:p>
      <w:pPr>
        <w:spacing w:after="0" w:line="170" w:lineRule="exact"/>
        <w:rPr>
          <w:sz w:val="20"/>
          <w:szCs w:val="20"/>
          <w:color w:val="auto"/>
        </w:rPr>
      </w:pPr>
    </w:p>
    <w:p>
      <w:pPr>
        <w:ind w:left="604" w:hanging="604"/>
        <w:spacing w:after="0"/>
        <w:tabs>
          <w:tab w:leader="none" w:pos="604" w:val="left"/>
        </w:tabs>
        <w:numPr>
          <w:ilvl w:val="0"/>
          <w:numId w:val="144"/>
        </w:numPr>
        <w:rPr>
          <w:rFonts w:ascii="Arial" w:cs="Arial" w:eastAsia="Arial" w:hAnsi="Arial"/>
          <w:sz w:val="18"/>
          <w:szCs w:val="18"/>
          <w:color w:val="auto"/>
        </w:rPr>
      </w:pPr>
      <w:r>
        <w:rPr>
          <w:rFonts w:ascii="Arial" w:cs="Arial" w:eastAsia="Arial" w:hAnsi="Arial"/>
          <w:sz w:val="16"/>
          <w:szCs w:val="16"/>
          <w:color w:val="auto"/>
        </w:rPr>
        <w:t>If a UK Treaty Lender has not confirmed its scheme reference number and jurisdiction of tax residence in accordance with sub-paragraph</w:t>
      </w:r>
    </w:p>
    <w:p>
      <w:pPr>
        <w:spacing w:after="0" w:line="27" w:lineRule="exact"/>
        <w:rPr>
          <w:rFonts w:ascii="Arial" w:cs="Arial" w:eastAsia="Arial" w:hAnsi="Arial"/>
          <w:sz w:val="18"/>
          <w:szCs w:val="18"/>
          <w:color w:val="auto"/>
        </w:rPr>
      </w:pPr>
    </w:p>
    <w:p>
      <w:pPr>
        <w:ind w:left="624" w:firstLine="1"/>
        <w:spacing w:after="0" w:line="318" w:lineRule="auto"/>
        <w:tabs>
          <w:tab w:leader="none" w:pos="90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under paragraph (e) above, the Company shall not make a Borrower DTTP Filing or file any other form relating to the HMRC DT Treaty Passport scheme in respect of that Lender's Commitment or its participation in any Loan unless the Lender otherwise agrees.</w:t>
      </w:r>
    </w:p>
    <w:p>
      <w:pPr>
        <w:spacing w:after="0" w:line="125" w:lineRule="exact"/>
        <w:rPr>
          <w:rFonts w:ascii="Arial" w:cs="Arial" w:eastAsia="Arial" w:hAnsi="Arial"/>
          <w:sz w:val="17"/>
          <w:szCs w:val="17"/>
          <w:color w:val="auto"/>
        </w:rPr>
      </w:pPr>
    </w:p>
    <w:p>
      <w:pPr>
        <w:ind w:left="604" w:hanging="604"/>
        <w:spacing w:after="0"/>
        <w:tabs>
          <w:tab w:leader="none" w:pos="604" w:val="left"/>
        </w:tabs>
        <w:numPr>
          <w:ilvl w:val="0"/>
          <w:numId w:val="144"/>
        </w:numPr>
        <w:rPr>
          <w:rFonts w:ascii="Arial" w:cs="Arial" w:eastAsia="Arial" w:hAnsi="Arial"/>
          <w:sz w:val="18"/>
          <w:szCs w:val="18"/>
          <w:color w:val="auto"/>
        </w:rPr>
      </w:pPr>
      <w:r>
        <w:rPr>
          <w:rFonts w:ascii="Arial" w:cs="Arial" w:eastAsia="Arial" w:hAnsi="Arial"/>
          <w:sz w:val="16"/>
          <w:szCs w:val="16"/>
          <w:color w:val="auto"/>
        </w:rPr>
        <w:t>The Company shall, promptly on making a Borrower DTTP Filing, deliver a copy of that Borrower DTTP Filing to the UK Treaty Lender.</w:t>
      </w:r>
    </w:p>
    <w:p>
      <w:pPr>
        <w:spacing w:after="0" w:line="211" w:lineRule="exact"/>
        <w:rPr>
          <w:rFonts w:ascii="Arial" w:cs="Arial" w:eastAsia="Arial" w:hAnsi="Arial"/>
          <w:sz w:val="18"/>
          <w:szCs w:val="18"/>
          <w:color w:val="auto"/>
        </w:rPr>
      </w:pPr>
    </w:p>
    <w:p>
      <w:pPr>
        <w:ind w:left="624" w:right="20" w:hanging="624"/>
        <w:spacing w:after="0" w:line="266" w:lineRule="auto"/>
        <w:tabs>
          <w:tab w:leader="none" w:pos="606" w:val="left"/>
        </w:tabs>
        <w:numPr>
          <w:ilvl w:val="0"/>
          <w:numId w:val="144"/>
        </w:numPr>
        <w:rPr>
          <w:rFonts w:ascii="Arial" w:cs="Arial" w:eastAsia="Arial" w:hAnsi="Arial"/>
          <w:sz w:val="20"/>
          <w:szCs w:val="20"/>
          <w:color w:val="auto"/>
        </w:rPr>
      </w:pPr>
      <w:r>
        <w:rPr>
          <w:rFonts w:ascii="Arial" w:cs="Arial" w:eastAsia="Arial" w:hAnsi="Arial"/>
          <w:sz w:val="18"/>
          <w:szCs w:val="18"/>
          <w:color w:val="auto"/>
        </w:rPr>
        <w:t>A UK Non-Bank Lender shall promptly notify the Company if there is any change in the position from that set out in the Tax Confirmation.</w:t>
      </w:r>
    </w:p>
    <w:p>
      <w:pPr>
        <w:spacing w:after="0" w:line="163" w:lineRule="exact"/>
        <w:rPr>
          <w:rFonts w:ascii="Arial" w:cs="Arial" w:eastAsia="Arial" w:hAnsi="Arial"/>
          <w:sz w:val="20"/>
          <w:szCs w:val="20"/>
          <w:color w:val="auto"/>
        </w:rPr>
      </w:pPr>
    </w:p>
    <w:p>
      <w:pPr>
        <w:ind w:left="624" w:right="20" w:hanging="624"/>
        <w:spacing w:after="0" w:line="266" w:lineRule="auto"/>
        <w:tabs>
          <w:tab w:leader="none" w:pos="606" w:val="left"/>
        </w:tabs>
        <w:numPr>
          <w:ilvl w:val="0"/>
          <w:numId w:val="144"/>
        </w:numPr>
        <w:rPr>
          <w:rFonts w:ascii="Arial" w:cs="Arial" w:eastAsia="Arial" w:hAnsi="Arial"/>
          <w:sz w:val="20"/>
          <w:szCs w:val="20"/>
          <w:color w:val="auto"/>
        </w:rPr>
      </w:pPr>
      <w:r>
        <w:rPr>
          <w:rFonts w:ascii="Arial" w:cs="Arial" w:eastAsia="Arial" w:hAnsi="Arial"/>
          <w:sz w:val="18"/>
          <w:szCs w:val="18"/>
          <w:color w:val="auto"/>
        </w:rPr>
        <w:t>A payment shall not be increased under paragraph (c) above by reason of a Tax Deduction for or on account of Tax imposed by Italy, if on the date on which the payment falls due:</w:t>
      </w:r>
    </w:p>
    <w:p>
      <w:pPr>
        <w:spacing w:after="0" w:line="163" w:lineRule="exact"/>
        <w:rPr>
          <w:rFonts w:ascii="Arial" w:cs="Arial" w:eastAsia="Arial" w:hAnsi="Arial"/>
          <w:sz w:val="20"/>
          <w:szCs w:val="20"/>
          <w:color w:val="auto"/>
        </w:rPr>
      </w:pPr>
    </w:p>
    <w:p>
      <w:pPr>
        <w:jc w:val="both"/>
        <w:ind w:left="1264" w:hanging="643"/>
        <w:spacing w:after="0" w:line="265" w:lineRule="auto"/>
        <w:tabs>
          <w:tab w:leader="none" w:pos="1264" w:val="left"/>
        </w:tabs>
        <w:numPr>
          <w:ilvl w:val="1"/>
          <w:numId w:val="145"/>
        </w:numPr>
        <w:rPr>
          <w:rFonts w:ascii="Arial" w:cs="Arial" w:eastAsia="Arial" w:hAnsi="Arial"/>
          <w:sz w:val="20"/>
          <w:szCs w:val="20"/>
          <w:color w:val="auto"/>
        </w:rPr>
      </w:pPr>
      <w:r>
        <w:rPr>
          <w:rFonts w:ascii="Arial" w:cs="Arial" w:eastAsia="Arial" w:hAnsi="Arial"/>
          <w:sz w:val="18"/>
          <w:szCs w:val="18"/>
          <w:color w:val="auto"/>
        </w:rPr>
        <w:t>the payment could have been made to the relevant Lender without a Tax Deduction if the Lender had been an Italian Qualifying Lender, but on that date the relevant Lender is not or has ceased to be an Italian Qualified Lender other than as a result of any change, after the date on which that Lender becomes a party to this Agreement, in (or change in the interpretation, administration or application of) any law or regulation or order or governmental rule or treaty or any practice or concession of any applicable tax authority; or</w:t>
      </w:r>
    </w:p>
    <w:p>
      <w:pPr>
        <w:spacing w:after="0" w:line="168" w:lineRule="exact"/>
        <w:rPr>
          <w:rFonts w:ascii="Arial" w:cs="Arial" w:eastAsia="Arial" w:hAnsi="Arial"/>
          <w:sz w:val="20"/>
          <w:szCs w:val="20"/>
          <w:color w:val="auto"/>
        </w:rPr>
      </w:pPr>
    </w:p>
    <w:p>
      <w:pPr>
        <w:ind w:left="1264" w:hanging="643"/>
        <w:spacing w:after="0" w:line="296" w:lineRule="auto"/>
        <w:tabs>
          <w:tab w:leader="none" w:pos="1264" w:val="left"/>
        </w:tabs>
        <w:numPr>
          <w:ilvl w:val="1"/>
          <w:numId w:val="145"/>
        </w:numPr>
        <w:rPr>
          <w:rFonts w:ascii="Arial" w:cs="Arial" w:eastAsia="Arial" w:hAnsi="Arial"/>
          <w:sz w:val="19"/>
          <w:szCs w:val="19"/>
          <w:color w:val="auto"/>
        </w:rPr>
      </w:pPr>
      <w:r>
        <w:rPr>
          <w:rFonts w:ascii="Arial" w:cs="Arial" w:eastAsia="Arial" w:hAnsi="Arial"/>
          <w:sz w:val="17"/>
          <w:szCs w:val="17"/>
          <w:color w:val="auto"/>
        </w:rPr>
        <w:t>the Lender is an Italian Treaty Lender and the Company is able to demonstrate that the payment could have been made to the Lender without the Tax Deduction had that Lender complied with its obligations under paragraph (k) below.</w:t>
      </w:r>
    </w:p>
    <w:p>
      <w:pPr>
        <w:spacing w:after="0" w:line="137" w:lineRule="exact"/>
        <w:rPr>
          <w:rFonts w:ascii="Arial" w:cs="Arial" w:eastAsia="Arial" w:hAnsi="Arial"/>
          <w:sz w:val="19"/>
          <w:szCs w:val="19"/>
          <w:color w:val="auto"/>
        </w:rPr>
      </w:pPr>
    </w:p>
    <w:p>
      <w:pPr>
        <w:jc w:val="both"/>
        <w:ind w:left="624" w:hanging="624"/>
        <w:spacing w:after="0" w:line="264" w:lineRule="auto"/>
        <w:tabs>
          <w:tab w:leader="none" w:pos="606" w:val="left"/>
        </w:tabs>
        <w:numPr>
          <w:ilvl w:val="0"/>
          <w:numId w:val="146"/>
        </w:numPr>
        <w:rPr>
          <w:rFonts w:ascii="Arial" w:cs="Arial" w:eastAsia="Arial" w:hAnsi="Arial"/>
          <w:sz w:val="20"/>
          <w:szCs w:val="20"/>
          <w:color w:val="auto"/>
        </w:rPr>
      </w:pPr>
      <w:r>
        <w:rPr>
          <w:rFonts w:ascii="Arial" w:cs="Arial" w:eastAsia="Arial" w:hAnsi="Arial"/>
          <w:sz w:val="18"/>
          <w:szCs w:val="18"/>
          <w:color w:val="auto"/>
        </w:rPr>
        <w:t>An Italian Treaty Lender and the Company shall co-operate in completing any procedural formalities necessary for the Company to obtain authorisation to make payments under the Finance Documents to the Italian Treaty Lender without a Tax Deduction on account of Tax imposed by Italy.</w:t>
      </w:r>
    </w:p>
    <w:p>
      <w:pPr>
        <w:spacing w:after="0" w:line="169" w:lineRule="exact"/>
        <w:rPr>
          <w:rFonts w:ascii="Arial" w:cs="Arial" w:eastAsia="Arial" w:hAnsi="Arial"/>
          <w:sz w:val="20"/>
          <w:szCs w:val="20"/>
          <w:color w:val="auto"/>
        </w:rPr>
      </w:pPr>
    </w:p>
    <w:p>
      <w:pPr>
        <w:jc w:val="both"/>
        <w:ind w:left="624" w:hanging="624"/>
        <w:spacing w:after="0" w:line="286" w:lineRule="auto"/>
        <w:tabs>
          <w:tab w:leader="none" w:pos="606" w:val="left"/>
        </w:tabs>
        <w:numPr>
          <w:ilvl w:val="0"/>
          <w:numId w:val="146"/>
        </w:numPr>
        <w:rPr>
          <w:rFonts w:ascii="Arial" w:cs="Arial" w:eastAsia="Arial" w:hAnsi="Arial"/>
          <w:sz w:val="19"/>
          <w:szCs w:val="19"/>
          <w:color w:val="auto"/>
        </w:rPr>
      </w:pPr>
      <w:r>
        <w:rPr>
          <w:rFonts w:ascii="Arial" w:cs="Arial" w:eastAsia="Arial" w:hAnsi="Arial"/>
          <w:sz w:val="17"/>
          <w:szCs w:val="17"/>
          <w:color w:val="auto"/>
        </w:rPr>
        <w:t>If the Company is required to make a Tax Deduction, it shall make that Tax Deduction and any payment required in connection with that Tax Deduction within the time allowed and in the minimum amount required by law, it being understood that if the Lender is entitled to more favourable tax treatment, evidence thereof should be timely provided by the Lender to the Borrower.</w:t>
      </w:r>
    </w:p>
    <w:p>
      <w:pPr>
        <w:spacing w:after="0" w:line="35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4"/>
          </w:cols>
          <w:pgMar w:left="976" w:top="355" w:right="339" w:bottom="1440" w:gutter="0" w:footer="0" w:header="0"/>
        </w:sectPr>
      </w:pPr>
    </w:p>
    <w:bookmarkStart w:id="60" w:name="page61"/>
    <w:bookmarkEnd w:id="60"/>
    <w:p>
      <w:pPr>
        <w:jc w:val="both"/>
        <w:ind w:left="1280" w:hanging="624"/>
        <w:spacing w:after="0" w:line="264" w:lineRule="auto"/>
        <w:tabs>
          <w:tab w:leader="none" w:pos="1262" w:val="left"/>
        </w:tabs>
        <w:numPr>
          <w:ilvl w:val="0"/>
          <w:numId w:val="147"/>
        </w:numPr>
        <w:rPr>
          <w:rFonts w:ascii="Arial" w:cs="Arial" w:eastAsia="Arial" w:hAnsi="Arial"/>
          <w:sz w:val="20"/>
          <w:szCs w:val="20"/>
          <w:color w:val="auto"/>
        </w:rPr>
      </w:pPr>
      <w:r>
        <w:rPr>
          <w:rFonts w:ascii="Arial" w:cs="Arial" w:eastAsia="Arial" w:hAnsi="Arial"/>
          <w:sz w:val="18"/>
          <w:szCs w:val="18"/>
          <w:color w:val="auto"/>
        </w:rPr>
        <w:t>Within thirty days of making either a Tax Deduction or any payment required in connection with that Tax Deduction, the Company shall deliver to the Lender such evidence reasonably satisfactory to the Lender that the Tax Deduction has been made or (as applicable) any appropriate payment paid to the relevant taxing authority.</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b w:val="1"/>
          <w:bCs w:val="1"/>
          <w:color w:val="auto"/>
        </w:rPr>
        <w:t>Tax indemnity</w:t>
      </w:r>
    </w:p>
    <w:p>
      <w:pPr>
        <w:spacing w:after="0" w:line="205" w:lineRule="exact"/>
        <w:rPr>
          <w:sz w:val="20"/>
          <w:szCs w:val="20"/>
          <w:color w:val="auto"/>
        </w:rPr>
      </w:pPr>
    </w:p>
    <w:p>
      <w:pPr>
        <w:jc w:val="both"/>
        <w:ind w:left="1280" w:hanging="624"/>
        <w:spacing w:after="0" w:line="264" w:lineRule="auto"/>
        <w:tabs>
          <w:tab w:leader="none" w:pos="1262" w:val="left"/>
        </w:tabs>
        <w:numPr>
          <w:ilvl w:val="0"/>
          <w:numId w:val="148"/>
        </w:numPr>
        <w:rPr>
          <w:rFonts w:ascii="Arial" w:cs="Arial" w:eastAsia="Arial" w:hAnsi="Arial"/>
          <w:sz w:val="20"/>
          <w:szCs w:val="20"/>
          <w:color w:val="auto"/>
        </w:rPr>
      </w:pPr>
      <w:r>
        <w:rPr>
          <w:rFonts w:ascii="Arial" w:cs="Arial" w:eastAsia="Arial" w:hAnsi="Arial"/>
          <w:sz w:val="18"/>
          <w:szCs w:val="18"/>
          <w:color w:val="auto"/>
        </w:rPr>
        <w:t>The Company shall (within three Business Days of demand by the Lender) pay to the Lender an amount equal to the loss, liability or cost which the Lender determines will be or has been (directly or indirectly) suffered for or on account of Tax by the Lender in respect of a Finance Document.</w:t>
      </w:r>
    </w:p>
    <w:p>
      <w:pPr>
        <w:spacing w:after="0" w:line="169" w:lineRule="exact"/>
        <w:rPr>
          <w:rFonts w:ascii="Arial" w:cs="Arial" w:eastAsia="Arial" w:hAnsi="Arial"/>
          <w:sz w:val="20"/>
          <w:szCs w:val="20"/>
          <w:color w:val="auto"/>
        </w:rPr>
      </w:pPr>
    </w:p>
    <w:p>
      <w:pPr>
        <w:ind w:left="1260" w:hanging="604"/>
        <w:spacing w:after="0"/>
        <w:tabs>
          <w:tab w:leader="none" w:pos="1260" w:val="left"/>
        </w:tabs>
        <w:numPr>
          <w:ilvl w:val="0"/>
          <w:numId w:val="148"/>
        </w:numPr>
        <w:rPr>
          <w:rFonts w:ascii="Arial" w:cs="Arial" w:eastAsia="Arial" w:hAnsi="Arial"/>
          <w:sz w:val="20"/>
          <w:szCs w:val="20"/>
          <w:color w:val="auto"/>
        </w:rPr>
      </w:pPr>
      <w:r>
        <w:rPr>
          <w:rFonts w:ascii="Arial" w:cs="Arial" w:eastAsia="Arial" w:hAnsi="Arial"/>
          <w:sz w:val="18"/>
          <w:szCs w:val="18"/>
          <w:color w:val="auto"/>
        </w:rPr>
        <w:t>Paragraph (a) above shall not apply: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48"/>
        </w:numPr>
        <w:rPr>
          <w:rFonts w:ascii="Arial" w:cs="Arial" w:eastAsia="Arial" w:hAnsi="Arial"/>
          <w:sz w:val="20"/>
          <w:szCs w:val="20"/>
          <w:color w:val="auto"/>
        </w:rPr>
      </w:pPr>
      <w:r>
        <w:rPr>
          <w:rFonts w:ascii="Arial" w:cs="Arial" w:eastAsia="Arial" w:hAnsi="Arial"/>
          <w:sz w:val="18"/>
          <w:szCs w:val="18"/>
          <w:color w:val="auto"/>
        </w:rPr>
        <w:t>with respect to any Tax assessed on the Lender:</w:t>
      </w:r>
    </w:p>
    <w:p>
      <w:pPr>
        <w:spacing w:after="0" w:line="188" w:lineRule="exact"/>
        <w:rPr>
          <w:rFonts w:ascii="Arial" w:cs="Arial" w:eastAsia="Arial" w:hAnsi="Arial"/>
          <w:sz w:val="20"/>
          <w:szCs w:val="20"/>
          <w:color w:val="auto"/>
        </w:rPr>
      </w:pPr>
    </w:p>
    <w:p>
      <w:pPr>
        <w:ind w:left="2560" w:hanging="635"/>
        <w:spacing w:after="0" w:line="266" w:lineRule="auto"/>
        <w:tabs>
          <w:tab w:leader="none" w:pos="2542" w:val="left"/>
        </w:tabs>
        <w:numPr>
          <w:ilvl w:val="2"/>
          <w:numId w:val="148"/>
        </w:numPr>
        <w:rPr>
          <w:rFonts w:ascii="Arial" w:cs="Arial" w:eastAsia="Arial" w:hAnsi="Arial"/>
          <w:sz w:val="20"/>
          <w:szCs w:val="20"/>
          <w:color w:val="auto"/>
        </w:rPr>
      </w:pPr>
      <w:r>
        <w:rPr>
          <w:rFonts w:ascii="Arial" w:cs="Arial" w:eastAsia="Arial" w:hAnsi="Arial"/>
          <w:sz w:val="18"/>
          <w:szCs w:val="18"/>
          <w:color w:val="auto"/>
        </w:rPr>
        <w:t>under the law of the jurisdiction in which the Lender is incorporated or, if different, the jurisdiction (or jurisdictions) in which the Lender is treated as resident for tax purposes; or</w:t>
      </w:r>
    </w:p>
    <w:p>
      <w:pPr>
        <w:spacing w:after="0" w:line="163" w:lineRule="exact"/>
        <w:rPr>
          <w:rFonts w:ascii="Arial" w:cs="Arial" w:eastAsia="Arial" w:hAnsi="Arial"/>
          <w:sz w:val="20"/>
          <w:szCs w:val="20"/>
          <w:color w:val="auto"/>
        </w:rPr>
      </w:pPr>
    </w:p>
    <w:p>
      <w:pPr>
        <w:ind w:left="2560" w:hanging="635"/>
        <w:spacing w:after="0" w:line="266" w:lineRule="auto"/>
        <w:tabs>
          <w:tab w:leader="none" w:pos="2542" w:val="left"/>
        </w:tabs>
        <w:numPr>
          <w:ilvl w:val="2"/>
          <w:numId w:val="148"/>
        </w:numPr>
        <w:rPr>
          <w:rFonts w:ascii="Arial" w:cs="Arial" w:eastAsia="Arial" w:hAnsi="Arial"/>
          <w:sz w:val="20"/>
          <w:szCs w:val="20"/>
          <w:color w:val="auto"/>
        </w:rPr>
      </w:pPr>
      <w:r>
        <w:rPr>
          <w:rFonts w:ascii="Arial" w:cs="Arial" w:eastAsia="Arial" w:hAnsi="Arial"/>
          <w:sz w:val="18"/>
          <w:szCs w:val="18"/>
          <w:color w:val="auto"/>
        </w:rPr>
        <w:t>under the law of the jurisdiction in which the Lender's Facility Office is located in respect of amounts received or receivable in that jurisdiction,</w:t>
      </w:r>
    </w:p>
    <w:p>
      <w:pPr>
        <w:spacing w:after="0" w:line="150" w:lineRule="exact"/>
        <w:rPr>
          <w:sz w:val="20"/>
          <w:szCs w:val="20"/>
          <w:color w:val="auto"/>
        </w:rPr>
      </w:pPr>
    </w:p>
    <w:p>
      <w:pPr>
        <w:ind w:left="1280"/>
        <w:spacing w:after="0" w:line="277"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the Lender; or</w:t>
      </w:r>
    </w:p>
    <w:p>
      <w:pPr>
        <w:spacing w:after="0" w:line="157" w:lineRule="exact"/>
        <w:rPr>
          <w:sz w:val="20"/>
          <w:szCs w:val="20"/>
          <w:color w:val="auto"/>
        </w:rPr>
      </w:pPr>
    </w:p>
    <w:p>
      <w:pPr>
        <w:ind w:left="1920" w:hanging="643"/>
        <w:spacing w:after="0"/>
        <w:tabs>
          <w:tab w:leader="none" w:pos="1920" w:val="left"/>
        </w:tabs>
        <w:numPr>
          <w:ilvl w:val="1"/>
          <w:numId w:val="149"/>
        </w:numPr>
        <w:rPr>
          <w:rFonts w:ascii="Arial" w:cs="Arial" w:eastAsia="Arial" w:hAnsi="Arial"/>
          <w:sz w:val="20"/>
          <w:szCs w:val="20"/>
          <w:color w:val="auto"/>
        </w:rPr>
      </w:pPr>
      <w:r>
        <w:rPr>
          <w:rFonts w:ascii="Arial" w:cs="Arial" w:eastAsia="Arial" w:hAnsi="Arial"/>
          <w:sz w:val="18"/>
          <w:szCs w:val="18"/>
          <w:color w:val="auto"/>
        </w:rPr>
        <w:t>to the extent a loss, liability or cost:</w:t>
      </w:r>
    </w:p>
    <w:p>
      <w:pPr>
        <w:spacing w:after="0" w:line="188" w:lineRule="exact"/>
        <w:rPr>
          <w:rFonts w:ascii="Arial" w:cs="Arial" w:eastAsia="Arial" w:hAnsi="Arial"/>
          <w:sz w:val="20"/>
          <w:szCs w:val="20"/>
          <w:color w:val="auto"/>
        </w:rPr>
      </w:pPr>
    </w:p>
    <w:p>
      <w:pPr>
        <w:ind w:left="2540" w:hanging="615"/>
        <w:spacing w:after="0"/>
        <w:tabs>
          <w:tab w:leader="none" w:pos="2540" w:val="left"/>
        </w:tabs>
        <w:numPr>
          <w:ilvl w:val="2"/>
          <w:numId w:val="149"/>
        </w:numPr>
        <w:rPr>
          <w:rFonts w:ascii="Arial" w:cs="Arial" w:eastAsia="Arial" w:hAnsi="Arial"/>
          <w:sz w:val="20"/>
          <w:szCs w:val="20"/>
          <w:color w:val="auto"/>
        </w:rPr>
      </w:pPr>
      <w:r>
        <w:rPr>
          <w:rFonts w:ascii="Arial" w:cs="Arial" w:eastAsia="Arial" w:hAnsi="Arial"/>
          <w:sz w:val="18"/>
          <w:szCs w:val="18"/>
          <w:color w:val="auto"/>
        </w:rPr>
        <w:t>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188" w:lineRule="exact"/>
        <w:rPr>
          <w:rFonts w:ascii="Arial" w:cs="Arial" w:eastAsia="Arial" w:hAnsi="Arial"/>
          <w:sz w:val="20"/>
          <w:szCs w:val="20"/>
          <w:color w:val="auto"/>
        </w:rPr>
      </w:pPr>
    </w:p>
    <w:p>
      <w:pPr>
        <w:jc w:val="both"/>
        <w:ind w:left="2560" w:hanging="635"/>
        <w:spacing w:after="0" w:line="264" w:lineRule="auto"/>
        <w:tabs>
          <w:tab w:leader="none" w:pos="2542" w:val="left"/>
        </w:tabs>
        <w:numPr>
          <w:ilvl w:val="2"/>
          <w:numId w:val="149"/>
        </w:numPr>
        <w:rPr>
          <w:rFonts w:ascii="Arial" w:cs="Arial" w:eastAsia="Arial" w:hAnsi="Arial"/>
          <w:sz w:val="20"/>
          <w:szCs w:val="20"/>
          <w:color w:val="auto"/>
        </w:rPr>
      </w:pPr>
      <w:r>
        <w:rPr>
          <w:rFonts w:ascii="Arial" w:cs="Arial" w:eastAsia="Arial" w:hAnsi="Arial"/>
          <w:sz w:val="18"/>
          <w:szCs w:val="18"/>
          <w:color w:val="auto"/>
        </w:rPr>
        <w:t>would have been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but was not so compensated solely because one of the exclusions in paragraph (d) or paragraph (j) of Clause 12.2 (</w:t>
      </w:r>
      <w:r>
        <w:rPr>
          <w:rFonts w:ascii="Arial" w:cs="Arial" w:eastAsia="Arial" w:hAnsi="Arial"/>
          <w:sz w:val="18"/>
          <w:szCs w:val="18"/>
          <w:i w:val="1"/>
          <w:iCs w:val="1"/>
          <w:color w:val="auto"/>
        </w:rPr>
        <w:t>Tax gross-up</w:t>
      </w:r>
      <w:r>
        <w:rPr>
          <w:rFonts w:ascii="Arial" w:cs="Arial" w:eastAsia="Arial" w:hAnsi="Arial"/>
          <w:sz w:val="18"/>
          <w:szCs w:val="18"/>
          <w:color w:val="auto"/>
        </w:rPr>
        <w:t>) applied;</w:t>
      </w:r>
    </w:p>
    <w:p>
      <w:pPr>
        <w:spacing w:after="0" w:line="169" w:lineRule="exact"/>
        <w:rPr>
          <w:rFonts w:ascii="Arial" w:cs="Arial" w:eastAsia="Arial" w:hAnsi="Arial"/>
          <w:sz w:val="20"/>
          <w:szCs w:val="20"/>
          <w:color w:val="auto"/>
        </w:rPr>
      </w:pPr>
    </w:p>
    <w:p>
      <w:pPr>
        <w:ind w:left="2540" w:hanging="615"/>
        <w:spacing w:after="0"/>
        <w:tabs>
          <w:tab w:leader="none" w:pos="2540" w:val="left"/>
        </w:tabs>
        <w:numPr>
          <w:ilvl w:val="2"/>
          <w:numId w:val="149"/>
        </w:numPr>
        <w:rPr>
          <w:rFonts w:ascii="Arial" w:cs="Arial" w:eastAsia="Arial" w:hAnsi="Arial"/>
          <w:sz w:val="20"/>
          <w:szCs w:val="20"/>
          <w:color w:val="auto"/>
        </w:rPr>
      </w:pPr>
      <w:r>
        <w:rPr>
          <w:rFonts w:ascii="Arial" w:cs="Arial" w:eastAsia="Arial" w:hAnsi="Arial"/>
          <w:sz w:val="18"/>
          <w:szCs w:val="18"/>
          <w:color w:val="auto"/>
        </w:rPr>
        <w:t>relates to a FATCA Deduction required to be made by a Party;</w:t>
      </w:r>
    </w:p>
    <w:p>
      <w:pPr>
        <w:spacing w:after="0" w:line="188" w:lineRule="exact"/>
        <w:rPr>
          <w:rFonts w:ascii="Arial" w:cs="Arial" w:eastAsia="Arial" w:hAnsi="Arial"/>
          <w:sz w:val="20"/>
          <w:szCs w:val="20"/>
          <w:color w:val="auto"/>
        </w:rPr>
      </w:pPr>
    </w:p>
    <w:p>
      <w:pPr>
        <w:ind w:left="2540" w:hanging="615"/>
        <w:spacing w:after="0"/>
        <w:tabs>
          <w:tab w:leader="none" w:pos="2540" w:val="left"/>
        </w:tabs>
        <w:numPr>
          <w:ilvl w:val="2"/>
          <w:numId w:val="149"/>
        </w:numPr>
        <w:rPr>
          <w:rFonts w:ascii="Arial" w:cs="Arial" w:eastAsia="Arial" w:hAnsi="Arial"/>
          <w:sz w:val="19"/>
          <w:szCs w:val="19"/>
          <w:color w:val="auto"/>
        </w:rPr>
      </w:pPr>
      <w:r>
        <w:rPr>
          <w:rFonts w:ascii="Arial" w:cs="Arial" w:eastAsia="Arial" w:hAnsi="Arial"/>
          <w:sz w:val="17"/>
          <w:szCs w:val="17"/>
          <w:color w:val="auto"/>
        </w:rPr>
        <w:t>results solely from the Lender changing its tax residence after becoming a party to the Finance Documents; or</w:t>
      </w:r>
    </w:p>
    <w:p>
      <w:pPr>
        <w:spacing w:after="0" w:line="200" w:lineRule="exact"/>
        <w:rPr>
          <w:rFonts w:ascii="Arial" w:cs="Arial" w:eastAsia="Arial" w:hAnsi="Arial"/>
          <w:sz w:val="19"/>
          <w:szCs w:val="19"/>
          <w:color w:val="auto"/>
        </w:rPr>
      </w:pPr>
    </w:p>
    <w:p>
      <w:pPr>
        <w:ind w:left="2540" w:hanging="615"/>
        <w:spacing w:after="0"/>
        <w:tabs>
          <w:tab w:leader="none" w:pos="2540" w:val="left"/>
        </w:tabs>
        <w:numPr>
          <w:ilvl w:val="2"/>
          <w:numId w:val="149"/>
        </w:numPr>
        <w:rPr>
          <w:rFonts w:ascii="Arial" w:cs="Arial" w:eastAsia="Arial" w:hAnsi="Arial"/>
          <w:sz w:val="20"/>
          <w:szCs w:val="20"/>
          <w:color w:val="auto"/>
        </w:rPr>
      </w:pPr>
      <w:r>
        <w:rPr>
          <w:rFonts w:ascii="Arial" w:cs="Arial" w:eastAsia="Arial" w:hAnsi="Arial"/>
          <w:sz w:val="18"/>
          <w:szCs w:val="18"/>
          <w:color w:val="auto"/>
        </w:rPr>
        <w:t>is compensated for by another clause of this Agreement; or</w:t>
      </w:r>
    </w:p>
    <w:p>
      <w:pPr>
        <w:spacing w:after="0" w:line="188"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149"/>
        </w:numPr>
        <w:rPr>
          <w:rFonts w:ascii="Arial" w:cs="Arial" w:eastAsia="Arial" w:hAnsi="Arial"/>
          <w:sz w:val="20"/>
          <w:szCs w:val="20"/>
          <w:color w:val="auto"/>
        </w:rPr>
      </w:pPr>
      <w:r>
        <w:rPr>
          <w:rFonts w:ascii="Arial" w:cs="Arial" w:eastAsia="Arial" w:hAnsi="Arial"/>
          <w:sz w:val="18"/>
          <w:szCs w:val="18"/>
          <w:color w:val="auto"/>
        </w:rPr>
        <w:t>to a liability from the Lender’s gross negligence, illegal acts, fraud and/or wilful misconduct or any breach of their obligations under the Finance Documents.</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150"/>
        </w:numPr>
        <w:rPr>
          <w:rFonts w:ascii="Arial" w:cs="Arial" w:eastAsia="Arial" w:hAnsi="Arial"/>
          <w:sz w:val="20"/>
          <w:szCs w:val="20"/>
          <w:color w:val="auto"/>
        </w:rPr>
      </w:pPr>
      <w:r>
        <w:rPr>
          <w:rFonts w:ascii="Arial" w:cs="Arial" w:eastAsia="Arial" w:hAnsi="Arial"/>
          <w:sz w:val="18"/>
          <w:szCs w:val="18"/>
          <w:color w:val="auto"/>
        </w:rPr>
        <w:t>The Lender making, or intending to make a claim under paragraph (a) above shall promptly notify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55" w:right="339" w:bottom="1440" w:gutter="0" w:footer="0" w:header="0"/>
        </w:sectPr>
      </w:pPr>
    </w:p>
    <w:bookmarkStart w:id="61" w:name="page62"/>
    <w:bookmarkEnd w:id="61"/>
    <w:p>
      <w:pPr>
        <w:spacing w:after="0"/>
        <w:tabs>
          <w:tab w:leader="none" w:pos="6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7"/>
          <w:szCs w:val="17"/>
          <w:b w:val="1"/>
          <w:bCs w:val="1"/>
          <w:color w:val="auto"/>
        </w:rPr>
        <w:t>Tax Credit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the Company makes a Tax Payment and the Lender determines that:</w:t>
      </w:r>
    </w:p>
    <w:p>
      <w:pPr>
        <w:spacing w:after="0" w:line="212" w:lineRule="exact"/>
        <w:rPr>
          <w:sz w:val="20"/>
          <w:szCs w:val="20"/>
          <w:color w:val="auto"/>
        </w:rPr>
      </w:pPr>
    </w:p>
    <w:p>
      <w:pPr>
        <w:ind w:left="1280" w:right="20" w:hanging="624"/>
        <w:spacing w:after="0" w:line="266" w:lineRule="auto"/>
        <w:tabs>
          <w:tab w:leader="none" w:pos="1262" w:val="left"/>
        </w:tabs>
        <w:numPr>
          <w:ilvl w:val="0"/>
          <w:numId w:val="151"/>
        </w:numPr>
        <w:rPr>
          <w:rFonts w:ascii="Arial" w:cs="Arial" w:eastAsia="Arial" w:hAnsi="Arial"/>
          <w:sz w:val="20"/>
          <w:szCs w:val="20"/>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151"/>
        </w:numPr>
        <w:rPr>
          <w:rFonts w:ascii="Arial" w:cs="Arial" w:eastAsia="Arial" w:hAnsi="Arial"/>
          <w:sz w:val="20"/>
          <w:szCs w:val="20"/>
          <w:color w:val="auto"/>
        </w:rPr>
      </w:pPr>
      <w:r>
        <w:rPr>
          <w:rFonts w:ascii="Arial" w:cs="Arial" w:eastAsia="Arial" w:hAnsi="Arial"/>
          <w:sz w:val="18"/>
          <w:szCs w:val="18"/>
          <w:color w:val="auto"/>
        </w:rPr>
        <w:t>the Lender has obtained and utilised that Tax Credit,</w:t>
      </w:r>
    </w:p>
    <w:p>
      <w:pPr>
        <w:spacing w:after="0" w:line="175"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the Lender shall pay an amount to the Company which the Lender determines will leave it (after that payment) in the same after-Tax position as it would have been in had the Tax Payment not been required to be made by the Company.</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6"/>
          <w:szCs w:val="16"/>
          <w:b w:val="1"/>
          <w:bCs w:val="1"/>
          <w:color w:val="auto"/>
        </w:rPr>
        <w:t>Lender status confirmation</w:t>
      </w:r>
    </w:p>
    <w:p>
      <w:pPr>
        <w:spacing w:after="0" w:line="353" w:lineRule="exact"/>
        <w:rPr>
          <w:sz w:val="20"/>
          <w:szCs w:val="20"/>
          <w:color w:val="auto"/>
        </w:rPr>
      </w:pPr>
    </w:p>
    <w:p>
      <w:pPr>
        <w:ind w:left="620" w:right="420"/>
        <w:spacing w:after="0" w:line="277" w:lineRule="auto"/>
        <w:rPr>
          <w:sz w:val="20"/>
          <w:szCs w:val="20"/>
          <w:color w:val="auto"/>
        </w:rPr>
      </w:pPr>
      <w:r>
        <w:rPr>
          <w:rFonts w:ascii="Arial" w:cs="Arial" w:eastAsia="Arial" w:hAnsi="Arial"/>
          <w:sz w:val="18"/>
          <w:szCs w:val="18"/>
          <w:color w:val="auto"/>
        </w:rPr>
        <w:t>A Lender which is not an Original Lender shall indicate, in the documentation which it executes on becoming a Party as a Lender, and for the benefit of the Company, which of the following categories it falls in:</w:t>
      </w:r>
    </w:p>
    <w:p>
      <w:pPr>
        <w:spacing w:after="0" w:line="157" w:lineRule="exact"/>
        <w:rPr>
          <w:sz w:val="20"/>
          <w:szCs w:val="20"/>
          <w:color w:val="auto"/>
        </w:rPr>
      </w:pPr>
    </w:p>
    <w:p>
      <w:pPr>
        <w:ind w:left="1260" w:hanging="604"/>
        <w:spacing w:after="0"/>
        <w:tabs>
          <w:tab w:leader="none" w:pos="1260" w:val="left"/>
        </w:tabs>
        <w:numPr>
          <w:ilvl w:val="0"/>
          <w:numId w:val="152"/>
        </w:numPr>
        <w:rPr>
          <w:rFonts w:ascii="Arial" w:cs="Arial" w:eastAsia="Arial" w:hAnsi="Arial"/>
          <w:sz w:val="20"/>
          <w:szCs w:val="20"/>
          <w:color w:val="auto"/>
        </w:rPr>
      </w:pPr>
      <w:r>
        <w:rPr>
          <w:rFonts w:ascii="Arial" w:cs="Arial" w:eastAsia="Arial" w:hAnsi="Arial"/>
          <w:sz w:val="18"/>
          <w:szCs w:val="18"/>
          <w:color w:val="auto"/>
        </w:rPr>
        <w:t>not a UK Qualifying Lender, a UK Qualifying Lender (other than a UK Treaty Lender) or a UK Treaty Lender;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52"/>
        </w:numPr>
        <w:rPr>
          <w:rFonts w:ascii="Arial" w:cs="Arial" w:eastAsia="Arial" w:hAnsi="Arial"/>
          <w:sz w:val="20"/>
          <w:szCs w:val="20"/>
          <w:color w:val="auto"/>
        </w:rPr>
      </w:pPr>
      <w:r>
        <w:rPr>
          <w:rFonts w:ascii="Arial" w:cs="Arial" w:eastAsia="Arial" w:hAnsi="Arial"/>
          <w:sz w:val="18"/>
          <w:szCs w:val="18"/>
          <w:color w:val="auto"/>
        </w:rPr>
        <w:t>not an Italian Qualifying Lender, an Italian Qualifying Lender (other than an Italian Treaty Lender) or an Italian Treaty Lender.</w:t>
      </w:r>
    </w:p>
    <w:p>
      <w:pPr>
        <w:spacing w:after="0" w:line="175" w:lineRule="exact"/>
        <w:rPr>
          <w:sz w:val="20"/>
          <w:szCs w:val="20"/>
          <w:color w:val="auto"/>
        </w:rPr>
      </w:pPr>
    </w:p>
    <w:p>
      <w:pPr>
        <w:jc w:val="both"/>
        <w:ind w:left="620"/>
        <w:spacing w:after="0" w:line="259" w:lineRule="auto"/>
        <w:rPr>
          <w:sz w:val="20"/>
          <w:szCs w:val="20"/>
          <w:color w:val="auto"/>
        </w:rPr>
      </w:pPr>
      <w:r>
        <w:rPr>
          <w:rFonts w:ascii="Arial" w:cs="Arial" w:eastAsia="Arial" w:hAnsi="Arial"/>
          <w:sz w:val="18"/>
          <w:szCs w:val="18"/>
          <w:color w:val="auto"/>
        </w:rPr>
        <w:t>If the Lender fails to indicate its status in accordance with this Clause 12.5 then the Lender shall be treated for the purposes of this Agreement as if it is not a UK Qualifying Lender or an Italian Qualifying Lender until such time as it notifies the Lender which category applies. For the avoidance of doubt, the documentation which the Lender executes on becoming a Party as a Lender shall not be invalidated by any failure of the Lender to comply with this Clause 12.5.</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6"/>
          <w:szCs w:val="16"/>
          <w:b w:val="1"/>
          <w:bCs w:val="1"/>
          <w:color w:val="auto"/>
        </w:rPr>
        <w:t>Stamp duty and registration taxes</w:t>
      </w:r>
    </w:p>
    <w:p>
      <w:pPr>
        <w:spacing w:after="0" w:line="191" w:lineRule="exact"/>
        <w:rPr>
          <w:sz w:val="20"/>
          <w:szCs w:val="20"/>
          <w:color w:val="auto"/>
        </w:rPr>
      </w:pPr>
    </w:p>
    <w:p>
      <w:pPr>
        <w:jc w:val="both"/>
        <w:ind w:left="620"/>
        <w:spacing w:after="0" w:line="279" w:lineRule="auto"/>
        <w:rPr>
          <w:sz w:val="20"/>
          <w:szCs w:val="20"/>
          <w:color w:val="auto"/>
        </w:rPr>
      </w:pPr>
      <w:r>
        <w:rPr>
          <w:rFonts w:ascii="Arial" w:cs="Arial" w:eastAsia="Arial" w:hAnsi="Arial"/>
          <w:sz w:val="17"/>
          <w:szCs w:val="17"/>
          <w:color w:val="auto"/>
        </w:rPr>
        <w:t>The Company shall pay and, within three Business Days of demand, indemnify the Lender against any cost, loss or liability that the Lender incurs in relation to all stamp duty, registration and other similar Taxes payable in respect of any Finance Document, provided that this Clause 12.6 shall not apply in respect of any stamp duty, registration or other similar Taxes payable in respect of an assignment, disposal, novation or transfer by a Lender of any of its rights and/or obligations under Clause 22.1 (</w:t>
      </w:r>
      <w:r>
        <w:rPr>
          <w:rFonts w:ascii="Arial" w:cs="Arial" w:eastAsia="Arial" w:hAnsi="Arial"/>
          <w:sz w:val="17"/>
          <w:szCs w:val="17"/>
          <w:i w:val="1"/>
          <w:iCs w:val="1"/>
          <w:color w:val="auto"/>
        </w:rPr>
        <w:t>Assignment and transfers by the Lender</w:t>
      </w:r>
      <w:r>
        <w:rPr>
          <w:rFonts w:ascii="Arial" w:cs="Arial" w:eastAsia="Arial" w:hAnsi="Arial"/>
          <w:sz w:val="17"/>
          <w:szCs w:val="17"/>
          <w:color w:val="auto"/>
        </w:rPr>
        <w:t>).</w:t>
      </w:r>
    </w:p>
    <w:p>
      <w:pPr>
        <w:spacing w:after="0" w:line="144" w:lineRule="exact"/>
        <w:rPr>
          <w:sz w:val="20"/>
          <w:szCs w:val="20"/>
          <w:color w:val="auto"/>
        </w:rPr>
      </w:pPr>
    </w:p>
    <w:p>
      <w:pPr>
        <w:jc w:val="both"/>
        <w:ind w:left="620"/>
        <w:spacing w:after="0" w:line="259" w:lineRule="auto"/>
        <w:rPr>
          <w:sz w:val="20"/>
          <w:szCs w:val="20"/>
          <w:color w:val="auto"/>
        </w:rPr>
      </w:pPr>
      <w:r>
        <w:rPr>
          <w:rFonts w:ascii="Arial" w:cs="Arial" w:eastAsia="Arial" w:hAnsi="Arial"/>
          <w:sz w:val="18"/>
          <w:szCs w:val="18"/>
          <w:color w:val="auto"/>
        </w:rPr>
        <w:t xml:space="preserve">Based on Article 17 of Presidential Decree No. 601 of 29 September, 1973, as amended by article 12 of Decree Law No. 145 of 23 December 2013, which provides for the application of the </w:t>
      </w:r>
      <w:r>
        <w:rPr>
          <w:rFonts w:ascii="Arial" w:cs="Arial" w:eastAsia="Arial" w:hAnsi="Arial"/>
          <w:sz w:val="18"/>
          <w:szCs w:val="18"/>
          <w:i w:val="1"/>
          <w:iCs w:val="1"/>
          <w:color w:val="auto"/>
        </w:rPr>
        <w:t>imposta sostitutiva</w:t>
      </w:r>
      <w:r>
        <w:rPr>
          <w:rFonts w:ascii="Arial" w:cs="Arial" w:eastAsia="Arial" w:hAnsi="Arial"/>
          <w:sz w:val="18"/>
          <w:szCs w:val="18"/>
          <w:color w:val="auto"/>
        </w:rPr>
        <w:t xml:space="preserve"> on medium-long term financings upon election of the parties in the relevant facilities agreement, the Company and the Lender hereby expressly agree to not elect for the application of the </w:t>
      </w:r>
      <w:r>
        <w:rPr>
          <w:rFonts w:ascii="Arial" w:cs="Arial" w:eastAsia="Arial" w:hAnsi="Arial"/>
          <w:sz w:val="18"/>
          <w:szCs w:val="18"/>
          <w:i w:val="1"/>
          <w:iCs w:val="1"/>
          <w:color w:val="auto"/>
        </w:rPr>
        <w:t>imposta sostitutiva</w:t>
      </w:r>
      <w:r>
        <w:rPr>
          <w:rFonts w:ascii="Arial" w:cs="Arial" w:eastAsia="Arial" w:hAnsi="Arial"/>
          <w:sz w:val="18"/>
          <w:szCs w:val="18"/>
          <w:color w:val="auto"/>
        </w:rPr>
        <w:t xml:space="preserve"> to the Facility made available under this Agreement.</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b w:val="1"/>
          <w:bCs w:val="1"/>
          <w:color w:val="auto"/>
        </w:rPr>
        <w:t>VAT</w:t>
      </w:r>
    </w:p>
    <w:p>
      <w:pPr>
        <w:spacing w:after="0" w:line="205" w:lineRule="exact"/>
        <w:rPr>
          <w:sz w:val="20"/>
          <w:szCs w:val="20"/>
          <w:color w:val="auto"/>
        </w:rPr>
      </w:pPr>
    </w:p>
    <w:p>
      <w:pPr>
        <w:jc w:val="both"/>
        <w:ind w:left="1280" w:hanging="624"/>
        <w:spacing w:after="0" w:line="265" w:lineRule="auto"/>
        <w:tabs>
          <w:tab w:leader="none" w:pos="1262" w:val="left"/>
        </w:tabs>
        <w:numPr>
          <w:ilvl w:val="0"/>
          <w:numId w:val="153"/>
        </w:numPr>
        <w:rPr>
          <w:rFonts w:ascii="Arial" w:cs="Arial" w:eastAsia="Arial" w:hAnsi="Arial"/>
          <w:sz w:val="20"/>
          <w:szCs w:val="20"/>
          <w:color w:val="auto"/>
        </w:rPr>
      </w:pPr>
      <w:r>
        <w:rPr>
          <w:rFonts w:ascii="Arial" w:cs="Arial" w:eastAsia="Arial" w:hAnsi="Arial"/>
          <w:sz w:val="18"/>
          <w:szCs w:val="18"/>
          <w:color w:val="auto"/>
        </w:rPr>
        <w:t>All amounts expressed to be payable under a Finance Document by the Company to the Lender which (in whole or in part) constitute the consideration for any supply for VAT purposes are deemed to be exclusive of any VAT which is chargeable on that supply and, accordingly, if VAT is or becomes chargeable on any supply made by the Lender to the Company under a Finance Document and the Lender is required to account to the relevant tax authority for the VAT, the Company must pay to the Lender (in addition to and at the same time as paying any other consideration for such supply) an amount equal to the amount of the VAT (and the Lender must promptly provide an appropriate VAT invoice to the Company).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39" w:right="339" w:bottom="1440" w:gutter="0" w:footer="0" w:header="0"/>
        </w:sectPr>
      </w:pPr>
    </w:p>
    <w:bookmarkStart w:id="62" w:name="page63"/>
    <w:bookmarkEnd w:id="62"/>
    <w:p>
      <w:pPr>
        <w:jc w:val="both"/>
        <w:ind w:left="1280" w:hanging="624"/>
        <w:spacing w:after="0" w:line="265" w:lineRule="auto"/>
        <w:tabs>
          <w:tab w:leader="none" w:pos="1262" w:val="left"/>
        </w:tabs>
        <w:numPr>
          <w:ilvl w:val="0"/>
          <w:numId w:val="154"/>
        </w:numPr>
        <w:rPr>
          <w:rFonts w:ascii="Arial" w:cs="Arial" w:eastAsia="Arial" w:hAnsi="Arial"/>
          <w:sz w:val="20"/>
          <w:szCs w:val="20"/>
          <w:color w:val="auto"/>
        </w:rPr>
      </w:pPr>
      <w:r>
        <w:rPr>
          <w:rFonts w:ascii="Arial" w:cs="Arial" w:eastAsia="Arial" w:hAnsi="Arial"/>
          <w:sz w:val="18"/>
          <w:szCs w:val="18"/>
          <w:color w:val="auto"/>
        </w:rPr>
        <w:t>Where a Finance Document requires the Company to reimburse or indemnify the Lender for any cost or expense, the Company shall reimburse or indemnify (as the case may be) the Lender for the full amount of such cost or expense, including such part thereof as represents VAT, save to the extent that the Lender reasonably determines that it is entitled to credit or repayment in respect of such VAT from the relevant tax authority.</w:t>
      </w:r>
    </w:p>
    <w:p>
      <w:pPr>
        <w:spacing w:after="0" w:line="167" w:lineRule="exact"/>
        <w:rPr>
          <w:rFonts w:ascii="Arial" w:cs="Arial" w:eastAsia="Arial" w:hAnsi="Arial"/>
          <w:sz w:val="20"/>
          <w:szCs w:val="20"/>
          <w:color w:val="auto"/>
        </w:rPr>
      </w:pPr>
    </w:p>
    <w:p>
      <w:pPr>
        <w:jc w:val="both"/>
        <w:ind w:left="1280" w:hanging="624"/>
        <w:spacing w:after="0" w:line="265" w:lineRule="auto"/>
        <w:tabs>
          <w:tab w:leader="none" w:pos="1262" w:val="left"/>
        </w:tabs>
        <w:numPr>
          <w:ilvl w:val="0"/>
          <w:numId w:val="154"/>
        </w:numPr>
        <w:rPr>
          <w:rFonts w:ascii="Arial" w:cs="Arial" w:eastAsia="Arial" w:hAnsi="Arial"/>
          <w:sz w:val="20"/>
          <w:szCs w:val="20"/>
          <w:color w:val="auto"/>
        </w:rPr>
      </w:pPr>
      <w:r>
        <w:rPr>
          <w:rFonts w:ascii="Arial" w:cs="Arial" w:eastAsia="Arial" w:hAnsi="Arial"/>
          <w:sz w:val="18"/>
          <w:szCs w:val="18"/>
          <w:color w:val="auto"/>
        </w:rPr>
        <w:t>Any reference in this clause 12.7 to any Party shall, at any time when such Party is treated as a member of a group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as amended (or as implemented by the relevant member state of the European Union) or any other similar provision in any jurisdiction which is not a member state of the European Union).</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7"/>
          <w:szCs w:val="17"/>
          <w:b w:val="1"/>
          <w:bCs w:val="1"/>
          <w:color w:val="auto"/>
        </w:rPr>
        <w:t>FATCA information</w:t>
      </w:r>
    </w:p>
    <w:p>
      <w:pPr>
        <w:spacing w:after="0" w:line="205" w:lineRule="exact"/>
        <w:rPr>
          <w:sz w:val="20"/>
          <w:szCs w:val="20"/>
          <w:color w:val="auto"/>
        </w:rPr>
      </w:pPr>
    </w:p>
    <w:p>
      <w:pPr>
        <w:ind w:left="1260" w:hanging="604"/>
        <w:spacing w:after="0"/>
        <w:tabs>
          <w:tab w:leader="none" w:pos="1260" w:val="left"/>
        </w:tabs>
        <w:numPr>
          <w:ilvl w:val="0"/>
          <w:numId w:val="155"/>
        </w:numPr>
        <w:rPr>
          <w:rFonts w:ascii="Arial" w:cs="Arial" w:eastAsia="Arial" w:hAnsi="Arial"/>
          <w:sz w:val="20"/>
          <w:szCs w:val="20"/>
          <w:color w:val="auto"/>
        </w:rPr>
      </w:pPr>
      <w:r>
        <w:rPr>
          <w:rFonts w:ascii="Arial" w:cs="Arial" w:eastAsia="Arial" w:hAnsi="Arial"/>
          <w:sz w:val="18"/>
          <w:szCs w:val="18"/>
          <w:color w:val="auto"/>
        </w:rPr>
        <w:t>Subject to paragraph (c) below, each Party shall, within ten Business Days of a reasonable request by another Party: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55"/>
        </w:numPr>
        <w:rPr>
          <w:rFonts w:ascii="Arial" w:cs="Arial" w:eastAsia="Arial" w:hAnsi="Arial"/>
          <w:sz w:val="20"/>
          <w:szCs w:val="20"/>
          <w:color w:val="auto"/>
        </w:rPr>
      </w:pPr>
      <w:r>
        <w:rPr>
          <w:rFonts w:ascii="Arial" w:cs="Arial" w:eastAsia="Arial" w:hAnsi="Arial"/>
          <w:sz w:val="18"/>
          <w:szCs w:val="18"/>
          <w:color w:val="auto"/>
        </w:rPr>
        <w:t>confirm to that other Party whether it is:</w:t>
      </w:r>
    </w:p>
    <w:p>
      <w:pPr>
        <w:spacing w:after="0" w:line="188" w:lineRule="exact"/>
        <w:rPr>
          <w:rFonts w:ascii="Arial" w:cs="Arial" w:eastAsia="Arial" w:hAnsi="Arial"/>
          <w:sz w:val="20"/>
          <w:szCs w:val="20"/>
          <w:color w:val="auto"/>
        </w:rPr>
      </w:pPr>
    </w:p>
    <w:p>
      <w:pPr>
        <w:ind w:left="2540" w:hanging="615"/>
        <w:spacing w:after="0"/>
        <w:tabs>
          <w:tab w:leader="none" w:pos="2540" w:val="left"/>
        </w:tabs>
        <w:numPr>
          <w:ilvl w:val="2"/>
          <w:numId w:val="155"/>
        </w:numPr>
        <w:rPr>
          <w:rFonts w:ascii="Arial" w:cs="Arial" w:eastAsia="Arial" w:hAnsi="Arial"/>
          <w:sz w:val="20"/>
          <w:szCs w:val="20"/>
          <w:color w:val="auto"/>
        </w:rPr>
      </w:pPr>
      <w:r>
        <w:rPr>
          <w:rFonts w:ascii="Arial" w:cs="Arial" w:eastAsia="Arial" w:hAnsi="Arial"/>
          <w:sz w:val="18"/>
          <w:szCs w:val="18"/>
          <w:color w:val="auto"/>
        </w:rPr>
        <w:t>a FATCA Exempt Party; or</w:t>
      </w:r>
    </w:p>
    <w:p>
      <w:pPr>
        <w:spacing w:after="0" w:line="188" w:lineRule="exact"/>
        <w:rPr>
          <w:rFonts w:ascii="Arial" w:cs="Arial" w:eastAsia="Arial" w:hAnsi="Arial"/>
          <w:sz w:val="20"/>
          <w:szCs w:val="20"/>
          <w:color w:val="auto"/>
        </w:rPr>
      </w:pPr>
    </w:p>
    <w:p>
      <w:pPr>
        <w:ind w:left="2540" w:hanging="615"/>
        <w:spacing w:after="0"/>
        <w:tabs>
          <w:tab w:leader="none" w:pos="2540" w:val="left"/>
        </w:tabs>
        <w:numPr>
          <w:ilvl w:val="2"/>
          <w:numId w:val="155"/>
        </w:numPr>
        <w:rPr>
          <w:rFonts w:ascii="Arial" w:cs="Arial" w:eastAsia="Arial" w:hAnsi="Arial"/>
          <w:sz w:val="20"/>
          <w:szCs w:val="20"/>
          <w:color w:val="auto"/>
        </w:rPr>
      </w:pPr>
      <w:r>
        <w:rPr>
          <w:rFonts w:ascii="Arial" w:cs="Arial" w:eastAsia="Arial" w:hAnsi="Arial"/>
          <w:sz w:val="18"/>
          <w:szCs w:val="18"/>
          <w:color w:val="auto"/>
        </w:rPr>
        <w:t>not a FATCA Exempt Party;</w:t>
      </w:r>
    </w:p>
    <w:p>
      <w:pPr>
        <w:spacing w:after="0" w:line="188"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155"/>
        </w:numPr>
        <w:rPr>
          <w:rFonts w:ascii="Arial" w:cs="Arial" w:eastAsia="Arial" w:hAnsi="Arial"/>
          <w:sz w:val="20"/>
          <w:szCs w:val="20"/>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63" w:lineRule="exact"/>
        <w:rPr>
          <w:rFonts w:ascii="Arial" w:cs="Arial" w:eastAsia="Arial" w:hAnsi="Arial"/>
          <w:sz w:val="20"/>
          <w:szCs w:val="20"/>
          <w:color w:val="auto"/>
        </w:rPr>
      </w:pPr>
    </w:p>
    <w:p>
      <w:pPr>
        <w:ind w:left="1920" w:hanging="643"/>
        <w:spacing w:after="0" w:line="329" w:lineRule="auto"/>
        <w:tabs>
          <w:tab w:leader="none" w:pos="1920" w:val="left"/>
        </w:tabs>
        <w:numPr>
          <w:ilvl w:val="1"/>
          <w:numId w:val="155"/>
        </w:numPr>
        <w:rPr>
          <w:rFonts w:ascii="Arial" w:cs="Arial" w:eastAsia="Arial" w:hAnsi="Arial"/>
          <w:sz w:val="18"/>
          <w:szCs w:val="18"/>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12" w:lineRule="exact"/>
        <w:rPr>
          <w:rFonts w:ascii="Arial" w:cs="Arial" w:eastAsia="Arial" w:hAnsi="Arial"/>
          <w:sz w:val="18"/>
          <w:szCs w:val="18"/>
          <w:color w:val="auto"/>
        </w:rPr>
      </w:pPr>
    </w:p>
    <w:p>
      <w:pPr>
        <w:ind w:left="1280" w:hanging="624"/>
        <w:spacing w:after="0" w:line="296" w:lineRule="auto"/>
        <w:tabs>
          <w:tab w:leader="none" w:pos="1262" w:val="left"/>
        </w:tabs>
        <w:numPr>
          <w:ilvl w:val="0"/>
          <w:numId w:val="155"/>
        </w:numPr>
        <w:rPr>
          <w:rFonts w:ascii="Arial" w:cs="Arial" w:eastAsia="Arial" w:hAnsi="Arial"/>
          <w:sz w:val="19"/>
          <w:szCs w:val="19"/>
          <w:color w:val="auto"/>
        </w:rPr>
      </w:pPr>
      <w:r>
        <w:rPr>
          <w:rFonts w:ascii="Arial" w:cs="Arial" w:eastAsia="Arial" w:hAnsi="Arial"/>
          <w:sz w:val="17"/>
          <w:szCs w:val="17"/>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37" w:lineRule="exact"/>
        <w:rPr>
          <w:rFonts w:ascii="Arial" w:cs="Arial" w:eastAsia="Arial" w:hAnsi="Arial"/>
          <w:sz w:val="19"/>
          <w:szCs w:val="19"/>
          <w:color w:val="auto"/>
        </w:rPr>
      </w:pPr>
    </w:p>
    <w:p>
      <w:pPr>
        <w:ind w:left="1280" w:hanging="624"/>
        <w:spacing w:after="0" w:line="266" w:lineRule="auto"/>
        <w:tabs>
          <w:tab w:leader="none" w:pos="1262" w:val="left"/>
        </w:tabs>
        <w:numPr>
          <w:ilvl w:val="0"/>
          <w:numId w:val="155"/>
        </w:numPr>
        <w:rPr>
          <w:rFonts w:ascii="Arial" w:cs="Arial" w:eastAsia="Arial" w:hAnsi="Arial"/>
          <w:sz w:val="20"/>
          <w:szCs w:val="20"/>
          <w:color w:val="auto"/>
        </w:rPr>
      </w:pPr>
      <w:r>
        <w:rPr>
          <w:rFonts w:ascii="Arial" w:cs="Arial" w:eastAsia="Arial" w:hAnsi="Arial"/>
          <w:sz w:val="18"/>
          <w:szCs w:val="18"/>
          <w:color w:val="auto"/>
        </w:rPr>
        <w:t>Paragraph (a) above shall not oblige the Lender to do anything, and paragraph (a)(iii) above shall not oblige any other Party to do anything, which would or might in its reasonable opinion constitute a breach of:</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155"/>
        </w:numPr>
        <w:rPr>
          <w:rFonts w:ascii="Arial" w:cs="Arial" w:eastAsia="Arial" w:hAnsi="Arial"/>
          <w:sz w:val="20"/>
          <w:szCs w:val="20"/>
          <w:color w:val="auto"/>
        </w:rPr>
      </w:pPr>
      <w:r>
        <w:rPr>
          <w:rFonts w:ascii="Arial" w:cs="Arial" w:eastAsia="Arial" w:hAnsi="Arial"/>
          <w:sz w:val="18"/>
          <w:szCs w:val="18"/>
          <w:color w:val="auto"/>
        </w:rPr>
        <w:t>any law or regulation;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55" w:right="339" w:bottom="1440" w:gutter="0" w:footer="0" w:header="0"/>
        </w:sectPr>
      </w:pPr>
    </w:p>
    <w:bookmarkStart w:id="63" w:name="page64"/>
    <w:bookmarkEnd w:id="63"/>
    <w:p>
      <w:pPr>
        <w:ind w:left="1920" w:hanging="643"/>
        <w:spacing w:after="0"/>
        <w:tabs>
          <w:tab w:leader="none" w:pos="1920" w:val="left"/>
        </w:tabs>
        <w:numPr>
          <w:ilvl w:val="1"/>
          <w:numId w:val="156"/>
        </w:numPr>
        <w:rPr>
          <w:rFonts w:ascii="Arial" w:cs="Arial" w:eastAsia="Arial" w:hAnsi="Arial"/>
          <w:sz w:val="20"/>
          <w:szCs w:val="20"/>
          <w:color w:val="auto"/>
        </w:rPr>
      </w:pPr>
      <w:r>
        <w:rPr>
          <w:rFonts w:ascii="Arial" w:cs="Arial" w:eastAsia="Arial" w:hAnsi="Arial"/>
          <w:sz w:val="18"/>
          <w:szCs w:val="18"/>
          <w:color w:val="auto"/>
        </w:rPr>
        <w:t>any fiduciary duty; or</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56"/>
        </w:numPr>
        <w:rPr>
          <w:rFonts w:ascii="Arial" w:cs="Arial" w:eastAsia="Arial" w:hAnsi="Arial"/>
          <w:sz w:val="20"/>
          <w:szCs w:val="20"/>
          <w:color w:val="auto"/>
        </w:rPr>
      </w:pPr>
      <w:r>
        <w:rPr>
          <w:rFonts w:ascii="Arial" w:cs="Arial" w:eastAsia="Arial" w:hAnsi="Arial"/>
          <w:sz w:val="18"/>
          <w:szCs w:val="18"/>
          <w:color w:val="auto"/>
        </w:rPr>
        <w:t>any duty of confidentiality.</w:t>
      </w:r>
    </w:p>
    <w:p>
      <w:pPr>
        <w:spacing w:after="0" w:line="188" w:lineRule="exact"/>
        <w:rPr>
          <w:rFonts w:ascii="Arial" w:cs="Arial" w:eastAsia="Arial" w:hAnsi="Arial"/>
          <w:sz w:val="20"/>
          <w:szCs w:val="20"/>
          <w:color w:val="auto"/>
        </w:rPr>
      </w:pPr>
    </w:p>
    <w:p>
      <w:pPr>
        <w:jc w:val="both"/>
        <w:ind w:left="1280" w:hanging="624"/>
        <w:spacing w:after="0" w:line="306" w:lineRule="auto"/>
        <w:tabs>
          <w:tab w:leader="none" w:pos="1262" w:val="left"/>
        </w:tabs>
        <w:numPr>
          <w:ilvl w:val="0"/>
          <w:numId w:val="157"/>
        </w:numPr>
        <w:rPr>
          <w:rFonts w:ascii="Arial" w:cs="Arial" w:eastAsia="Arial" w:hAnsi="Arial"/>
          <w:sz w:val="18"/>
          <w:szCs w:val="18"/>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39" w:lineRule="exact"/>
        <w:rPr>
          <w:rFonts w:ascii="Arial" w:cs="Arial" w:eastAsia="Arial" w:hAnsi="Arial"/>
          <w:sz w:val="18"/>
          <w:szCs w:val="18"/>
          <w:color w:val="auto"/>
        </w:rPr>
      </w:pPr>
    </w:p>
    <w:p>
      <w:pPr>
        <w:ind w:left="1280" w:hanging="624"/>
        <w:spacing w:after="0" w:line="266" w:lineRule="auto"/>
        <w:tabs>
          <w:tab w:leader="none" w:pos="1262" w:val="left"/>
        </w:tabs>
        <w:numPr>
          <w:ilvl w:val="0"/>
          <w:numId w:val="157"/>
        </w:numPr>
        <w:rPr>
          <w:rFonts w:ascii="Arial" w:cs="Arial" w:eastAsia="Arial" w:hAnsi="Arial"/>
          <w:sz w:val="20"/>
          <w:szCs w:val="20"/>
          <w:color w:val="auto"/>
        </w:rPr>
      </w:pPr>
      <w:r>
        <w:rPr>
          <w:rFonts w:ascii="Arial" w:cs="Arial" w:eastAsia="Arial" w:hAnsi="Arial"/>
          <w:sz w:val="18"/>
          <w:szCs w:val="18"/>
          <w:color w:val="auto"/>
        </w:rPr>
        <w:t>If the Company is a US Tax Obligor or the Lender reasonably believes that its obligations under FATCA or any other applicable law or regulation require it, the Lender shall, within ten Business Days of:</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157"/>
        </w:numPr>
        <w:rPr>
          <w:rFonts w:ascii="Arial" w:cs="Arial" w:eastAsia="Arial" w:hAnsi="Arial"/>
          <w:sz w:val="20"/>
          <w:szCs w:val="20"/>
          <w:color w:val="auto"/>
        </w:rPr>
      </w:pPr>
      <w:r>
        <w:rPr>
          <w:rFonts w:ascii="Arial" w:cs="Arial" w:eastAsia="Arial" w:hAnsi="Arial"/>
          <w:sz w:val="18"/>
          <w:szCs w:val="18"/>
          <w:color w:val="auto"/>
        </w:rPr>
        <w:t>where the Company is a US Tax Obligor and the Lender is the Original Lender, the date of this Agreement;</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57"/>
        </w:numPr>
        <w:rPr>
          <w:rFonts w:ascii="Arial" w:cs="Arial" w:eastAsia="Arial" w:hAnsi="Arial"/>
          <w:sz w:val="19"/>
          <w:szCs w:val="19"/>
          <w:color w:val="auto"/>
        </w:rPr>
      </w:pPr>
      <w:r>
        <w:rPr>
          <w:rFonts w:ascii="Arial" w:cs="Arial" w:eastAsia="Arial" w:hAnsi="Arial"/>
          <w:sz w:val="17"/>
          <w:szCs w:val="17"/>
          <w:color w:val="auto"/>
        </w:rPr>
        <w:t>where the Company is a US Tax Obligor on a date on which any other Lender becomes a Party as a Lender, that date; or</w:t>
      </w:r>
    </w:p>
    <w:p>
      <w:pPr>
        <w:spacing w:after="0" w:line="200" w:lineRule="exact"/>
        <w:rPr>
          <w:rFonts w:ascii="Arial" w:cs="Arial" w:eastAsia="Arial" w:hAnsi="Arial"/>
          <w:sz w:val="19"/>
          <w:szCs w:val="19"/>
          <w:color w:val="auto"/>
        </w:rPr>
      </w:pPr>
    </w:p>
    <w:p>
      <w:pPr>
        <w:ind w:left="1920" w:hanging="643"/>
        <w:spacing w:after="0"/>
        <w:tabs>
          <w:tab w:leader="none" w:pos="1920" w:val="left"/>
        </w:tabs>
        <w:numPr>
          <w:ilvl w:val="1"/>
          <w:numId w:val="157"/>
        </w:numPr>
        <w:rPr>
          <w:rFonts w:ascii="Arial" w:cs="Arial" w:eastAsia="Arial" w:hAnsi="Arial"/>
          <w:sz w:val="20"/>
          <w:szCs w:val="20"/>
          <w:color w:val="auto"/>
        </w:rPr>
      </w:pPr>
      <w:r>
        <w:rPr>
          <w:rFonts w:ascii="Arial" w:cs="Arial" w:eastAsia="Arial" w:hAnsi="Arial"/>
          <w:sz w:val="18"/>
          <w:szCs w:val="18"/>
          <w:color w:val="auto"/>
        </w:rPr>
        <w:t>where the Company is not a US Tax Obligor, the date of a request from the Lender,</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supply to the Company:</w:t>
      </w:r>
    </w:p>
    <w:p>
      <w:pPr>
        <w:spacing w:after="0" w:line="212" w:lineRule="exact"/>
        <w:rPr>
          <w:sz w:val="20"/>
          <w:szCs w:val="20"/>
          <w:color w:val="auto"/>
        </w:rPr>
      </w:pPr>
    </w:p>
    <w:p>
      <w:pPr>
        <w:ind w:left="2540" w:hanging="615"/>
        <w:spacing w:after="0"/>
        <w:tabs>
          <w:tab w:leader="none" w:pos="2540" w:val="left"/>
        </w:tabs>
        <w:numPr>
          <w:ilvl w:val="1"/>
          <w:numId w:val="158"/>
        </w:numPr>
        <w:rPr>
          <w:rFonts w:ascii="Arial" w:cs="Arial" w:eastAsia="Arial" w:hAnsi="Arial"/>
          <w:sz w:val="20"/>
          <w:szCs w:val="20"/>
          <w:color w:val="auto"/>
        </w:rPr>
      </w:pPr>
      <w:r>
        <w:rPr>
          <w:rFonts w:ascii="Arial" w:cs="Arial" w:eastAsia="Arial" w:hAnsi="Arial"/>
          <w:sz w:val="18"/>
          <w:szCs w:val="18"/>
          <w:color w:val="auto"/>
        </w:rPr>
        <w:t>a withholding certificate on Form W-8, Form W-9 or any other relevant form; or</w:t>
      </w:r>
    </w:p>
    <w:p>
      <w:pPr>
        <w:spacing w:after="0" w:line="188" w:lineRule="exact"/>
        <w:rPr>
          <w:rFonts w:ascii="Arial" w:cs="Arial" w:eastAsia="Arial" w:hAnsi="Arial"/>
          <w:sz w:val="20"/>
          <w:szCs w:val="20"/>
          <w:color w:val="auto"/>
        </w:rPr>
      </w:pPr>
    </w:p>
    <w:p>
      <w:pPr>
        <w:ind w:left="2560" w:hanging="635"/>
        <w:spacing w:after="0" w:line="266" w:lineRule="auto"/>
        <w:tabs>
          <w:tab w:leader="none" w:pos="2542" w:val="left"/>
        </w:tabs>
        <w:numPr>
          <w:ilvl w:val="1"/>
          <w:numId w:val="158"/>
        </w:numPr>
        <w:rPr>
          <w:rFonts w:ascii="Arial" w:cs="Arial" w:eastAsia="Arial" w:hAnsi="Arial"/>
          <w:sz w:val="20"/>
          <w:szCs w:val="20"/>
          <w:color w:val="auto"/>
        </w:rPr>
      </w:pPr>
      <w:r>
        <w:rPr>
          <w:rFonts w:ascii="Arial" w:cs="Arial" w:eastAsia="Arial" w:hAnsi="Arial"/>
          <w:sz w:val="18"/>
          <w:szCs w:val="18"/>
          <w:color w:val="auto"/>
        </w:rPr>
        <w:t>any withholding statement or other document, authorisation or waiver as the Company may require to certify or establish the status of such Lender under FATCA or that other law or regulation.</w:t>
      </w:r>
    </w:p>
    <w:p>
      <w:pPr>
        <w:spacing w:after="0" w:line="163" w:lineRule="exact"/>
        <w:rPr>
          <w:rFonts w:ascii="Arial" w:cs="Arial" w:eastAsia="Arial" w:hAnsi="Arial"/>
          <w:sz w:val="20"/>
          <w:szCs w:val="20"/>
          <w:color w:val="auto"/>
        </w:rPr>
      </w:pPr>
    </w:p>
    <w:p>
      <w:pPr>
        <w:jc w:val="both"/>
        <w:ind w:left="1280" w:hanging="624"/>
        <w:spacing w:after="0" w:line="284" w:lineRule="auto"/>
        <w:tabs>
          <w:tab w:leader="none" w:pos="1262" w:val="left"/>
        </w:tabs>
        <w:numPr>
          <w:ilvl w:val="0"/>
          <w:numId w:val="159"/>
        </w:numPr>
        <w:rPr>
          <w:rFonts w:ascii="Arial" w:cs="Arial" w:eastAsia="Arial" w:hAnsi="Arial"/>
          <w:sz w:val="19"/>
          <w:szCs w:val="19"/>
          <w:color w:val="auto"/>
        </w:rPr>
      </w:pPr>
      <w:r>
        <w:rPr>
          <w:rFonts w:ascii="Arial" w:cs="Arial" w:eastAsia="Arial" w:hAnsi="Arial"/>
          <w:sz w:val="17"/>
          <w:szCs w:val="17"/>
          <w:color w:val="auto"/>
        </w:rPr>
        <w:t>If any withholding certificate, withholding statement document, authorisation or waiver provided to the Company by the Lender pursuant to paragraph (e) above is or becomes materially inaccurate or incomplete, the Lender shall promptly update it and provide such updated withholding certificate, withholding statement document, authorisation or waiver to the Company unless it is unlawful for the Lender to do so (in which case the Lender shall promptly notify the Company). The Company shall provide any such updated withholding certificate, withholding statement document, authorisation or waiver to the Company.</w:t>
      </w:r>
    </w:p>
    <w:p>
      <w:pPr>
        <w:spacing w:after="0" w:line="152" w:lineRule="exact"/>
        <w:rPr>
          <w:rFonts w:ascii="Arial" w:cs="Arial" w:eastAsia="Arial" w:hAnsi="Arial"/>
          <w:sz w:val="19"/>
          <w:szCs w:val="19"/>
          <w:color w:val="auto"/>
        </w:rPr>
      </w:pPr>
    </w:p>
    <w:p>
      <w:pPr>
        <w:jc w:val="both"/>
        <w:ind w:left="1280" w:hanging="624"/>
        <w:spacing w:after="0" w:line="264" w:lineRule="auto"/>
        <w:tabs>
          <w:tab w:leader="none" w:pos="1262" w:val="left"/>
        </w:tabs>
        <w:numPr>
          <w:ilvl w:val="0"/>
          <w:numId w:val="159"/>
        </w:numPr>
        <w:rPr>
          <w:rFonts w:ascii="Arial" w:cs="Arial" w:eastAsia="Arial" w:hAnsi="Arial"/>
          <w:sz w:val="20"/>
          <w:szCs w:val="20"/>
          <w:color w:val="auto"/>
        </w:rPr>
      </w:pPr>
      <w:r>
        <w:rPr>
          <w:rFonts w:ascii="Arial" w:cs="Arial" w:eastAsia="Arial" w:hAnsi="Arial"/>
          <w:sz w:val="18"/>
          <w:szCs w:val="18"/>
          <w:color w:val="auto"/>
        </w:rPr>
        <w:t>The Company may rely on any withholding certificate, withholding statement document, authorisation or waiver it receives from the Lender pursuant to paragraph (e) or (g) above without further verification. The Company shall not be liable for any action taken by it under or in connection with paragraph (e), (f), or (g) above.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6"/>
          <w:szCs w:val="16"/>
          <w:b w:val="1"/>
          <w:bCs w:val="1"/>
          <w:color w:val="auto"/>
        </w:rPr>
        <w:t>FATCA Deduction</w:t>
      </w:r>
    </w:p>
    <w:p>
      <w:pPr>
        <w:spacing w:after="0" w:line="205" w:lineRule="exact"/>
        <w:rPr>
          <w:sz w:val="20"/>
          <w:szCs w:val="20"/>
          <w:color w:val="auto"/>
        </w:rPr>
      </w:pPr>
    </w:p>
    <w:p>
      <w:pPr>
        <w:jc w:val="both"/>
        <w:ind w:left="1280" w:hanging="624"/>
        <w:spacing w:after="0" w:line="264" w:lineRule="auto"/>
        <w:tabs>
          <w:tab w:leader="none" w:pos="1262" w:val="left"/>
        </w:tabs>
        <w:numPr>
          <w:ilvl w:val="0"/>
          <w:numId w:val="160"/>
        </w:numPr>
        <w:rPr>
          <w:rFonts w:ascii="Arial" w:cs="Arial" w:eastAsia="Arial" w:hAnsi="Arial"/>
          <w:sz w:val="20"/>
          <w:szCs w:val="20"/>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55" w:right="339" w:bottom="1440" w:gutter="0" w:footer="0" w:header="0"/>
        </w:sectPr>
      </w:pPr>
    </w:p>
    <w:bookmarkStart w:id="64" w:name="page65"/>
    <w:bookmarkEnd w:id="64"/>
    <w:p>
      <w:pPr>
        <w:ind w:left="1280" w:right="20" w:hanging="624"/>
        <w:spacing w:after="0" w:line="266" w:lineRule="auto"/>
        <w:tabs>
          <w:tab w:leader="none" w:pos="1262" w:val="left"/>
        </w:tabs>
        <w:numPr>
          <w:ilvl w:val="1"/>
          <w:numId w:val="161"/>
        </w:numPr>
        <w:rPr>
          <w:rFonts w:ascii="Arial" w:cs="Arial" w:eastAsia="Arial" w:hAnsi="Arial"/>
          <w:sz w:val="20"/>
          <w:szCs w:val="20"/>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w:t>
      </w:r>
    </w:p>
    <w:p>
      <w:pPr>
        <w:spacing w:after="0" w:line="159" w:lineRule="exact"/>
        <w:rPr>
          <w:rFonts w:ascii="Arial" w:cs="Arial" w:eastAsia="Arial" w:hAnsi="Arial"/>
          <w:sz w:val="20"/>
          <w:szCs w:val="20"/>
          <w:color w:val="auto"/>
        </w:rPr>
      </w:pPr>
    </w:p>
    <w:p>
      <w:pPr>
        <w:ind w:left="620" w:hanging="612"/>
        <w:spacing w:after="0"/>
        <w:tabs>
          <w:tab w:leader="none" w:pos="620" w:val="left"/>
        </w:tabs>
        <w:numPr>
          <w:ilvl w:val="0"/>
          <w:numId w:val="162"/>
        </w:numPr>
        <w:rPr>
          <w:rFonts w:ascii="Arial" w:cs="Arial" w:eastAsia="Arial" w:hAnsi="Arial"/>
          <w:sz w:val="20"/>
          <w:szCs w:val="20"/>
          <w:b w:val="1"/>
          <w:bCs w:val="1"/>
          <w:color w:val="auto"/>
        </w:rPr>
      </w:pPr>
      <w:r>
        <w:rPr>
          <w:rFonts w:ascii="Arial" w:cs="Arial" w:eastAsia="Arial" w:hAnsi="Arial"/>
          <w:sz w:val="18"/>
          <w:szCs w:val="18"/>
          <w:b w:val="1"/>
          <w:bCs w:val="1"/>
          <w:color w:val="auto"/>
        </w:rPr>
        <w:t>INCREASED COSTS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5"/>
          <w:szCs w:val="15"/>
          <w:b w:val="1"/>
          <w:bCs w:val="1"/>
          <w:color w:val="auto"/>
        </w:rPr>
        <w:t>Increased costs</w:t>
      </w:r>
    </w:p>
    <w:p>
      <w:pPr>
        <w:spacing w:after="0" w:line="205" w:lineRule="exact"/>
        <w:rPr>
          <w:sz w:val="20"/>
          <w:szCs w:val="20"/>
          <w:color w:val="auto"/>
        </w:rPr>
      </w:pPr>
    </w:p>
    <w:p>
      <w:pPr>
        <w:jc w:val="both"/>
        <w:ind w:left="1280" w:hanging="624"/>
        <w:spacing w:after="0" w:line="265" w:lineRule="auto"/>
        <w:tabs>
          <w:tab w:leader="none" w:pos="1262" w:val="left"/>
        </w:tabs>
        <w:numPr>
          <w:ilvl w:val="0"/>
          <w:numId w:val="163"/>
        </w:numPr>
        <w:rPr>
          <w:rFonts w:ascii="Arial" w:cs="Arial" w:eastAsia="Arial" w:hAnsi="Arial"/>
          <w:sz w:val="20"/>
          <w:szCs w:val="20"/>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Company shall, within three Business Days of a demand by the Lender, pay the Lender the amount of any Increased Costs properly incurred by the Lender or any of its Affiliates as a result of (i) the introduction of or any change in (or in the interpretation, administration or application of) any law or regulation or (ii) compliance with any law or regulation made after the date of this Agreement, or (iii) the implementation of, or compliance with Basel III and/or CRD IV or any law or regulation to the extent that it implements or applies Basel III and/or CRD IV.</w:t>
      </w:r>
    </w:p>
    <w:p>
      <w:pPr>
        <w:spacing w:after="0" w:line="168" w:lineRule="exact"/>
        <w:rPr>
          <w:rFonts w:ascii="Arial" w:cs="Arial" w:eastAsia="Arial" w:hAnsi="Arial"/>
          <w:sz w:val="20"/>
          <w:szCs w:val="20"/>
          <w:color w:val="auto"/>
        </w:rPr>
      </w:pPr>
    </w:p>
    <w:p>
      <w:pPr>
        <w:jc w:val="both"/>
        <w:ind w:left="1280" w:right="8580" w:hanging="624"/>
        <w:spacing w:after="0" w:line="468" w:lineRule="auto"/>
        <w:tabs>
          <w:tab w:leader="none" w:pos="1266" w:val="left"/>
        </w:tabs>
        <w:numPr>
          <w:ilvl w:val="0"/>
          <w:numId w:val="163"/>
        </w:numPr>
        <w:rPr>
          <w:rFonts w:ascii="Arial" w:cs="Arial" w:eastAsia="Arial" w:hAnsi="Arial"/>
          <w:sz w:val="19"/>
          <w:szCs w:val="19"/>
          <w:color w:val="auto"/>
        </w:rPr>
      </w:pPr>
      <w:r>
        <w:rPr>
          <w:rFonts w:ascii="Arial" w:cs="Arial" w:eastAsia="Arial" w:hAnsi="Arial"/>
          <w:sz w:val="17"/>
          <w:szCs w:val="17"/>
          <w:color w:val="auto"/>
        </w:rPr>
        <w:t>In this Agreement: “</w:t>
      </w:r>
      <w:r>
        <w:rPr>
          <w:rFonts w:ascii="Arial" w:cs="Arial" w:eastAsia="Arial" w:hAnsi="Arial"/>
          <w:sz w:val="17"/>
          <w:szCs w:val="17"/>
          <w:b w:val="1"/>
          <w:bCs w:val="1"/>
          <w:color w:val="auto"/>
        </w:rPr>
        <w:t>Basel III</w:t>
      </w:r>
      <w:r>
        <w:rPr>
          <w:rFonts w:ascii="Arial" w:cs="Arial" w:eastAsia="Arial" w:hAnsi="Arial"/>
          <w:sz w:val="17"/>
          <w:szCs w:val="17"/>
          <w:color w:val="auto"/>
        </w:rPr>
        <w:t>” means:</w:t>
      </w:r>
    </w:p>
    <w:p>
      <w:pPr>
        <w:spacing w:after="0" w:line="16" w:lineRule="exact"/>
        <w:rPr>
          <w:rFonts w:ascii="Arial" w:cs="Arial" w:eastAsia="Arial" w:hAnsi="Arial"/>
          <w:sz w:val="19"/>
          <w:szCs w:val="19"/>
          <w:color w:val="auto"/>
        </w:rPr>
      </w:pPr>
    </w:p>
    <w:p>
      <w:pPr>
        <w:ind w:left="1920" w:hanging="643"/>
        <w:spacing w:after="0"/>
        <w:tabs>
          <w:tab w:leader="none" w:pos="1920" w:val="left"/>
        </w:tabs>
        <w:numPr>
          <w:ilvl w:val="1"/>
          <w:numId w:val="163"/>
        </w:numPr>
        <w:rPr>
          <w:rFonts w:ascii="Arial" w:cs="Arial" w:eastAsia="Arial" w:hAnsi="Arial"/>
          <w:sz w:val="19"/>
          <w:szCs w:val="19"/>
          <w:color w:val="auto"/>
        </w:rPr>
      </w:pPr>
      <w:r>
        <w:rPr>
          <w:rFonts w:ascii="Arial" w:cs="Arial" w:eastAsia="Arial" w:hAnsi="Arial"/>
          <w:sz w:val="17"/>
          <w:szCs w:val="17"/>
          <w:color w:val="auto"/>
        </w:rPr>
        <w:t>the agreements on capital requirements, a leverage ratio and liquidity standards contained in “Basel III: A global regulatory</w:t>
      </w:r>
    </w:p>
    <w:p>
      <w:pPr>
        <w:spacing w:after="0" w:line="15" w:lineRule="exact"/>
        <w:rPr>
          <w:rFonts w:ascii="Arial" w:cs="Arial" w:eastAsia="Arial" w:hAnsi="Arial"/>
          <w:sz w:val="19"/>
          <w:szCs w:val="19"/>
          <w:color w:val="auto"/>
        </w:rPr>
      </w:pPr>
    </w:p>
    <w:p>
      <w:pPr>
        <w:jc w:val="both"/>
        <w:ind w:left="1920"/>
        <w:spacing w:after="0" w:line="300" w:lineRule="auto"/>
        <w:rPr>
          <w:rFonts w:ascii="Arial" w:cs="Arial" w:eastAsia="Arial" w:hAnsi="Arial"/>
          <w:sz w:val="19"/>
          <w:szCs w:val="19"/>
          <w:color w:val="auto"/>
        </w:rPr>
      </w:pPr>
      <w:r>
        <w:rPr>
          <w:rFonts w:ascii="Arial" w:cs="Arial" w:eastAsia="Arial" w:hAnsi="Arial"/>
          <w:sz w:val="17"/>
          <w:szCs w:val="17"/>
          <w:color w:val="auto"/>
        </w:rPr>
        <w:t>framework for more resilient banks and banking systems”, “Basel III: International framework for liquidity risk measurement, standards and monitoring” and “Guidance for international authorities operating the countercyclical capital buffer” published by the Basel Committee on Banking Supervision in December 2010, each as amended, supplemented or restated;</w:t>
      </w:r>
    </w:p>
    <w:p>
      <w:pPr>
        <w:spacing w:after="0" w:line="139" w:lineRule="exact"/>
        <w:rPr>
          <w:rFonts w:ascii="Arial" w:cs="Arial" w:eastAsia="Arial" w:hAnsi="Arial"/>
          <w:sz w:val="19"/>
          <w:szCs w:val="19"/>
          <w:color w:val="auto"/>
        </w:rPr>
      </w:pPr>
    </w:p>
    <w:p>
      <w:pPr>
        <w:jc w:val="both"/>
        <w:ind w:left="1920" w:hanging="643"/>
        <w:spacing w:after="0" w:line="264" w:lineRule="auto"/>
        <w:tabs>
          <w:tab w:leader="none" w:pos="1920" w:val="left"/>
        </w:tabs>
        <w:numPr>
          <w:ilvl w:val="1"/>
          <w:numId w:val="163"/>
        </w:numPr>
        <w:rPr>
          <w:rFonts w:ascii="Arial" w:cs="Arial" w:eastAsia="Arial" w:hAnsi="Arial"/>
          <w:sz w:val="20"/>
          <w:szCs w:val="20"/>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69" w:lineRule="exact"/>
        <w:rPr>
          <w:rFonts w:ascii="Arial" w:cs="Arial" w:eastAsia="Arial" w:hAnsi="Arial"/>
          <w:sz w:val="20"/>
          <w:szCs w:val="20"/>
          <w:color w:val="auto"/>
        </w:rPr>
      </w:pPr>
    </w:p>
    <w:p>
      <w:pPr>
        <w:ind w:left="1920" w:hanging="643"/>
        <w:spacing w:after="0"/>
        <w:tabs>
          <w:tab w:leader="none" w:pos="1920" w:val="left"/>
        </w:tabs>
        <w:numPr>
          <w:ilvl w:val="1"/>
          <w:numId w:val="163"/>
        </w:numPr>
        <w:rPr>
          <w:rFonts w:ascii="Arial" w:cs="Arial" w:eastAsia="Arial" w:hAnsi="Arial"/>
          <w:sz w:val="20"/>
          <w:szCs w:val="20"/>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CRD IV</w:t>
      </w:r>
      <w:r>
        <w:rPr>
          <w:rFonts w:ascii="Arial" w:cs="Arial" w:eastAsia="Arial" w:hAnsi="Arial"/>
          <w:sz w:val="18"/>
          <w:szCs w:val="18"/>
          <w:color w:val="auto"/>
        </w:rPr>
        <w:t>” means:</w:t>
      </w:r>
    </w:p>
    <w:p>
      <w:pPr>
        <w:spacing w:after="0" w:line="202" w:lineRule="exact"/>
        <w:rPr>
          <w:sz w:val="20"/>
          <w:szCs w:val="20"/>
          <w:color w:val="auto"/>
        </w:rPr>
      </w:pPr>
    </w:p>
    <w:p>
      <w:pPr>
        <w:ind w:left="1920" w:right="20" w:hanging="643"/>
        <w:spacing w:after="0" w:line="277" w:lineRule="auto"/>
        <w:tabs>
          <w:tab w:leader="none" w:pos="1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and</w:t>
      </w:r>
    </w:p>
    <w:p>
      <w:pPr>
        <w:spacing w:after="0" w:line="143" w:lineRule="exact"/>
        <w:rPr>
          <w:rFonts w:ascii="Arial" w:cs="Arial" w:eastAsia="Arial" w:hAnsi="Arial"/>
          <w:sz w:val="18"/>
          <w:szCs w:val="18"/>
          <w:color w:val="auto"/>
        </w:rPr>
      </w:pPr>
    </w:p>
    <w:p>
      <w:pPr>
        <w:ind w:left="1920" w:hanging="643"/>
        <w:spacing w:after="0" w:line="277" w:lineRule="auto"/>
        <w:tabs>
          <w:tab w:leader="none" w:pos="1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of 26 June 2013 on access to the activity of credit institutions and the prudential supervision of credit institutions and investment.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55" w:right="339" w:bottom="1440" w:gutter="0" w:footer="0" w:header="0"/>
        </w:sectPr>
      </w:pPr>
    </w:p>
    <w:bookmarkStart w:id="65" w:name="page66"/>
    <w:bookmarkEnd w:id="65"/>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202" w:lineRule="exact"/>
        <w:rPr>
          <w:sz w:val="20"/>
          <w:szCs w:val="20"/>
          <w:color w:val="auto"/>
        </w:rPr>
      </w:pPr>
    </w:p>
    <w:p>
      <w:pPr>
        <w:ind w:left="1920" w:hanging="643"/>
        <w:spacing w:after="0"/>
        <w:tabs>
          <w:tab w:leader="none" w:pos="19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the Lender’s (or its Affiliate's) overall capital;</w:t>
      </w:r>
    </w:p>
    <w:p>
      <w:pPr>
        <w:spacing w:after="0" w:line="198" w:lineRule="exact"/>
        <w:rPr>
          <w:rFonts w:ascii="Arial" w:cs="Arial" w:eastAsia="Arial" w:hAnsi="Arial"/>
          <w:sz w:val="18"/>
          <w:szCs w:val="18"/>
          <w:color w:val="auto"/>
        </w:rPr>
      </w:pPr>
    </w:p>
    <w:p>
      <w:pPr>
        <w:ind w:left="1680" w:hanging="403"/>
        <w:spacing w:after="0"/>
        <w:tabs>
          <w:tab w:leader="none" w:pos="1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98" w:lineRule="exact"/>
        <w:rPr>
          <w:rFonts w:ascii="Arial" w:cs="Arial" w:eastAsia="Arial" w:hAnsi="Arial"/>
          <w:sz w:val="18"/>
          <w:szCs w:val="18"/>
          <w:color w:val="auto"/>
        </w:rPr>
      </w:pPr>
    </w:p>
    <w:p>
      <w:pPr>
        <w:ind w:left="1720" w:hanging="443"/>
        <w:spacing w:after="0"/>
        <w:tabs>
          <w:tab w:leader="none" w:pos="1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98" w:lineRule="exact"/>
        <w:rPr>
          <w:sz w:val="20"/>
          <w:szCs w:val="20"/>
          <w:color w:val="auto"/>
        </w:rPr>
      </w:pPr>
    </w:p>
    <w:p>
      <w:pPr>
        <w:ind w:left="1280"/>
        <w:spacing w:after="0" w:line="277" w:lineRule="auto"/>
        <w:rPr>
          <w:sz w:val="20"/>
          <w:szCs w:val="20"/>
          <w:color w:val="auto"/>
        </w:rPr>
      </w:pPr>
      <w:r>
        <w:rPr>
          <w:rFonts w:ascii="Arial" w:cs="Arial" w:eastAsia="Arial" w:hAnsi="Arial"/>
          <w:sz w:val="18"/>
          <w:szCs w:val="18"/>
          <w:color w:val="auto"/>
        </w:rPr>
        <w:t>which is incurred or suffered by the Lender or any of its Affiliates to the extent that it is attributable to the Lender having entered into the Commitment or funding or performing its obligations under any Finance Document.</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5"/>
          <w:szCs w:val="15"/>
          <w:b w:val="1"/>
          <w:bCs w:val="1"/>
          <w:color w:val="auto"/>
        </w:rPr>
        <w:t>Increased cost claims</w:t>
      </w:r>
    </w:p>
    <w:p>
      <w:pPr>
        <w:spacing w:after="0" w:line="205" w:lineRule="exact"/>
        <w:rPr>
          <w:sz w:val="20"/>
          <w:szCs w:val="20"/>
          <w:color w:val="auto"/>
        </w:rPr>
      </w:pPr>
    </w:p>
    <w:p>
      <w:pPr>
        <w:ind w:left="1280" w:hanging="624"/>
        <w:spacing w:after="0" w:line="266" w:lineRule="auto"/>
        <w:tabs>
          <w:tab w:leader="none" w:pos="1262" w:val="left"/>
        </w:tabs>
        <w:numPr>
          <w:ilvl w:val="0"/>
          <w:numId w:val="166"/>
        </w:numPr>
        <w:rPr>
          <w:rFonts w:ascii="Arial" w:cs="Arial" w:eastAsia="Arial" w:hAnsi="Arial"/>
          <w:sz w:val="20"/>
          <w:szCs w:val="20"/>
          <w:color w:val="auto"/>
        </w:rPr>
      </w:pPr>
      <w:r>
        <w:rPr>
          <w:rFonts w:ascii="Arial" w:cs="Arial" w:eastAsia="Arial" w:hAnsi="Arial"/>
          <w:sz w:val="18"/>
          <w:szCs w:val="18"/>
          <w:color w:val="auto"/>
        </w:rPr>
        <w:t>If the Lender intends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it shall notify the Company of the event giving rise to the claim.</w:t>
      </w:r>
    </w:p>
    <w:p>
      <w:pPr>
        <w:spacing w:after="0" w:line="163"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166"/>
        </w:numPr>
        <w:rPr>
          <w:rFonts w:ascii="Arial" w:cs="Arial" w:eastAsia="Arial" w:hAnsi="Arial"/>
          <w:sz w:val="20"/>
          <w:szCs w:val="20"/>
          <w:color w:val="auto"/>
        </w:rPr>
      </w:pPr>
      <w:r>
        <w:rPr>
          <w:rFonts w:ascii="Arial" w:cs="Arial" w:eastAsia="Arial" w:hAnsi="Arial"/>
          <w:sz w:val="18"/>
          <w:szCs w:val="18"/>
          <w:color w:val="auto"/>
        </w:rPr>
        <w:t>The Lender shall, as soon as practicable after a demand by the Company, provide a certificate setting out, in reasonable detail, the amount and the event giving rise to such Increased Costs (and appending (to the extent available and capable of being disclosed) related documentary evidence).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5"/>
          <w:szCs w:val="15"/>
          <w:b w:val="1"/>
          <w:bCs w:val="1"/>
          <w:color w:val="auto"/>
        </w:rPr>
        <w:t>Exceptions</w:t>
      </w:r>
    </w:p>
    <w:p>
      <w:pPr>
        <w:spacing w:after="0" w:line="205" w:lineRule="exact"/>
        <w:rPr>
          <w:sz w:val="20"/>
          <w:szCs w:val="20"/>
          <w:color w:val="auto"/>
        </w:rPr>
      </w:pPr>
    </w:p>
    <w:p>
      <w:pPr>
        <w:ind w:left="1260" w:hanging="604"/>
        <w:spacing w:after="0"/>
        <w:tabs>
          <w:tab w:leader="none" w:pos="1260" w:val="left"/>
        </w:tabs>
        <w:numPr>
          <w:ilvl w:val="0"/>
          <w:numId w:val="167"/>
        </w:numPr>
        <w:rPr>
          <w:rFonts w:ascii="Arial" w:cs="Arial" w:eastAsia="Arial" w:hAnsi="Arial"/>
          <w:sz w:val="20"/>
          <w:szCs w:val="20"/>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67"/>
        </w:numPr>
        <w:rPr>
          <w:rFonts w:ascii="Arial" w:cs="Arial" w:eastAsia="Arial" w:hAnsi="Arial"/>
          <w:sz w:val="20"/>
          <w:szCs w:val="20"/>
          <w:color w:val="auto"/>
        </w:rPr>
      </w:pPr>
      <w:r>
        <w:rPr>
          <w:rFonts w:ascii="Arial" w:cs="Arial" w:eastAsia="Arial" w:hAnsi="Arial"/>
          <w:sz w:val="18"/>
          <w:szCs w:val="18"/>
          <w:color w:val="auto"/>
        </w:rPr>
        <w:t>attributable to a Tax Deduction required by law to be made by the Company;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67"/>
        </w:numPr>
        <w:rPr>
          <w:rFonts w:ascii="Arial" w:cs="Arial" w:eastAsia="Arial" w:hAnsi="Arial"/>
          <w:sz w:val="20"/>
          <w:szCs w:val="20"/>
          <w:color w:val="auto"/>
        </w:rPr>
      </w:pPr>
      <w:r>
        <w:rPr>
          <w:rFonts w:ascii="Arial" w:cs="Arial" w:eastAsia="Arial" w:hAnsi="Arial"/>
          <w:sz w:val="18"/>
          <w:szCs w:val="18"/>
          <w:color w:val="auto"/>
        </w:rPr>
        <w:t>attributable to a FATCA Deduction required to be made by a Party;</w:t>
      </w:r>
    </w:p>
    <w:p>
      <w:pPr>
        <w:spacing w:after="0" w:line="188" w:lineRule="exact"/>
        <w:rPr>
          <w:rFonts w:ascii="Arial" w:cs="Arial" w:eastAsia="Arial" w:hAnsi="Arial"/>
          <w:sz w:val="20"/>
          <w:szCs w:val="20"/>
          <w:color w:val="auto"/>
        </w:rPr>
      </w:pPr>
    </w:p>
    <w:p>
      <w:pPr>
        <w:ind w:left="1920" w:hanging="643"/>
        <w:spacing w:after="0" w:line="329" w:lineRule="auto"/>
        <w:tabs>
          <w:tab w:leader="none" w:pos="1920" w:val="left"/>
        </w:tabs>
        <w:numPr>
          <w:ilvl w:val="1"/>
          <w:numId w:val="167"/>
        </w:numPr>
        <w:rPr>
          <w:rFonts w:ascii="Arial" w:cs="Arial" w:eastAsia="Arial" w:hAnsi="Arial"/>
          <w:sz w:val="18"/>
          <w:szCs w:val="18"/>
          <w:color w:val="auto"/>
        </w:rPr>
      </w:pPr>
      <w:r>
        <w:rPr>
          <w:rFonts w:ascii="Arial" w:cs="Arial" w:eastAsia="Arial" w:hAnsi="Arial"/>
          <w:sz w:val="16"/>
          <w:szCs w:val="16"/>
          <w:color w:val="auto"/>
        </w:rPr>
        <w:t>compensated for by Clause 12.2(d) (</w:t>
      </w:r>
      <w:r>
        <w:rPr>
          <w:rFonts w:ascii="Arial" w:cs="Arial" w:eastAsia="Arial" w:hAnsi="Arial"/>
          <w:sz w:val="16"/>
          <w:szCs w:val="16"/>
          <w:i w:val="1"/>
          <w:iCs w:val="1"/>
          <w:color w:val="auto"/>
        </w:rPr>
        <w:t>Tax indemnity</w:t>
      </w:r>
      <w:r>
        <w:rPr>
          <w:rFonts w:ascii="Arial" w:cs="Arial" w:eastAsia="Arial" w:hAnsi="Arial"/>
          <w:sz w:val="16"/>
          <w:szCs w:val="16"/>
          <w:color w:val="auto"/>
        </w:rPr>
        <w:t>) (or would have been compensated for under Clause 12.2(d) (</w:t>
      </w:r>
      <w:r>
        <w:rPr>
          <w:rFonts w:ascii="Arial" w:cs="Arial" w:eastAsia="Arial" w:hAnsi="Arial"/>
          <w:sz w:val="16"/>
          <w:szCs w:val="16"/>
          <w:i w:val="1"/>
          <w:iCs w:val="1"/>
          <w:color w:val="auto"/>
        </w:rPr>
        <w:t>Tax indemnity</w:t>
      </w:r>
      <w:r>
        <w:rPr>
          <w:rFonts w:ascii="Arial" w:cs="Arial" w:eastAsia="Arial" w:hAnsi="Arial"/>
          <w:sz w:val="16"/>
          <w:szCs w:val="16"/>
          <w:color w:val="auto"/>
        </w:rPr>
        <w:t>) but was not so compensated solely because any of the exclusions in paragraph (b) of Clause 12.2(d) (</w:t>
      </w:r>
      <w:r>
        <w:rPr>
          <w:rFonts w:ascii="Arial" w:cs="Arial" w:eastAsia="Arial" w:hAnsi="Arial"/>
          <w:sz w:val="16"/>
          <w:szCs w:val="16"/>
          <w:i w:val="1"/>
          <w:iCs w:val="1"/>
          <w:color w:val="auto"/>
        </w:rPr>
        <w:t>Tax indemnity</w:t>
      </w:r>
      <w:r>
        <w:rPr>
          <w:rFonts w:ascii="Arial" w:cs="Arial" w:eastAsia="Arial" w:hAnsi="Arial"/>
          <w:sz w:val="16"/>
          <w:szCs w:val="16"/>
          <w:color w:val="auto"/>
        </w:rPr>
        <w:t>) applied); or</w:t>
      </w:r>
    </w:p>
    <w:p>
      <w:pPr>
        <w:spacing w:after="0" w:line="112" w:lineRule="exact"/>
        <w:rPr>
          <w:rFonts w:ascii="Arial" w:cs="Arial" w:eastAsia="Arial" w:hAnsi="Arial"/>
          <w:sz w:val="18"/>
          <w:szCs w:val="18"/>
          <w:color w:val="auto"/>
        </w:rPr>
      </w:pPr>
    </w:p>
    <w:p>
      <w:pPr>
        <w:ind w:left="1920" w:hanging="643"/>
        <w:spacing w:after="0"/>
        <w:tabs>
          <w:tab w:leader="none" w:pos="1920" w:val="left"/>
        </w:tabs>
        <w:numPr>
          <w:ilvl w:val="1"/>
          <w:numId w:val="167"/>
        </w:numPr>
        <w:rPr>
          <w:rFonts w:ascii="Arial" w:cs="Arial" w:eastAsia="Arial" w:hAnsi="Arial"/>
          <w:sz w:val="20"/>
          <w:szCs w:val="20"/>
          <w:color w:val="auto"/>
        </w:rPr>
      </w:pPr>
      <w:r>
        <w:rPr>
          <w:rFonts w:ascii="Arial" w:cs="Arial" w:eastAsia="Arial" w:hAnsi="Arial"/>
          <w:sz w:val="18"/>
          <w:szCs w:val="18"/>
          <w:color w:val="auto"/>
        </w:rPr>
        <w:t>attributable to the wilful breach by the Lender or its Affiliates of any law or regulation.</w:t>
      </w:r>
    </w:p>
    <w:p>
      <w:pPr>
        <w:spacing w:after="0" w:line="184" w:lineRule="exact"/>
        <w:rPr>
          <w:rFonts w:ascii="Arial" w:cs="Arial" w:eastAsia="Arial" w:hAnsi="Arial"/>
          <w:sz w:val="20"/>
          <w:szCs w:val="20"/>
          <w:color w:val="auto"/>
        </w:rPr>
      </w:pPr>
    </w:p>
    <w:p>
      <w:pPr>
        <w:ind w:left="1260" w:hanging="604"/>
        <w:spacing w:after="0"/>
        <w:tabs>
          <w:tab w:leader="none" w:pos="1260" w:val="left"/>
        </w:tabs>
        <w:numPr>
          <w:ilvl w:val="0"/>
          <w:numId w:val="167"/>
        </w:numPr>
        <w:rPr>
          <w:rFonts w:ascii="Arial" w:cs="Arial" w:eastAsia="Arial" w:hAnsi="Arial"/>
          <w:sz w:val="20"/>
          <w:szCs w:val="20"/>
          <w:color w:val="auto"/>
        </w:rPr>
      </w:pPr>
      <w:r>
        <w:rPr>
          <w:rFonts w:ascii="Arial" w:cs="Arial" w:eastAsia="Arial" w:hAnsi="Arial"/>
          <w:sz w:val="18"/>
          <w:szCs w:val="18"/>
          <w:color w:val="auto"/>
        </w:rPr>
        <w:t>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has the same meaning given to that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89" w:lineRule="exact"/>
        <w:rPr>
          <w:sz w:val="20"/>
          <w:szCs w:val="20"/>
          <w:color w:val="auto"/>
        </w:rPr>
      </w:pPr>
    </w:p>
    <w:p>
      <w:pPr>
        <w:ind w:left="620" w:hanging="612"/>
        <w:spacing w:after="0"/>
        <w:tabs>
          <w:tab w:leader="none" w:pos="620" w:val="left"/>
        </w:tabs>
        <w:numPr>
          <w:ilvl w:val="0"/>
          <w:numId w:val="168"/>
        </w:numPr>
        <w:rPr>
          <w:rFonts w:ascii="Arial" w:cs="Arial" w:eastAsia="Arial" w:hAnsi="Arial"/>
          <w:sz w:val="20"/>
          <w:szCs w:val="20"/>
          <w:b w:val="1"/>
          <w:bCs w:val="1"/>
          <w:color w:val="auto"/>
        </w:rPr>
      </w:pPr>
      <w:r>
        <w:rPr>
          <w:rFonts w:ascii="Arial" w:cs="Arial" w:eastAsia="Arial" w:hAnsi="Arial"/>
          <w:sz w:val="18"/>
          <w:szCs w:val="18"/>
          <w:b w:val="1"/>
          <w:bCs w:val="1"/>
          <w:color w:val="auto"/>
        </w:rPr>
        <w:t>OTHER INDEMNITIES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b w:val="1"/>
          <w:bCs w:val="1"/>
          <w:color w:val="auto"/>
        </w:rPr>
        <w:t>Currency indemnity</w:t>
      </w:r>
    </w:p>
    <w:p>
      <w:pPr>
        <w:spacing w:after="0" w:line="201" w:lineRule="exact"/>
        <w:rPr>
          <w:sz w:val="20"/>
          <w:szCs w:val="20"/>
          <w:color w:val="auto"/>
        </w:rPr>
      </w:pPr>
    </w:p>
    <w:p>
      <w:pPr>
        <w:jc w:val="both"/>
        <w:ind w:left="1280" w:hanging="624"/>
        <w:spacing w:after="0" w:line="267" w:lineRule="auto"/>
        <w:tabs>
          <w:tab w:leader="none" w:pos="1262" w:val="left"/>
        </w:tabs>
        <w:numPr>
          <w:ilvl w:val="0"/>
          <w:numId w:val="169"/>
        </w:numPr>
        <w:rPr>
          <w:rFonts w:ascii="Arial" w:cs="Arial" w:eastAsia="Arial" w:hAnsi="Arial"/>
          <w:sz w:val="20"/>
          <w:szCs w:val="20"/>
          <w:color w:val="auto"/>
        </w:rPr>
      </w:pPr>
      <w:r>
        <w:rPr>
          <w:rFonts w:ascii="Arial" w:cs="Arial" w:eastAsia="Arial" w:hAnsi="Arial"/>
          <w:sz w:val="18"/>
          <w:szCs w:val="18"/>
          <w:color w:val="auto"/>
        </w:rPr>
        <w:t>If any sum due from the Company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 for the purpose of:</w:t>
      </w:r>
    </w:p>
    <w:p>
      <w:pPr>
        <w:spacing w:after="0" w:line="165" w:lineRule="exact"/>
        <w:rPr>
          <w:rFonts w:ascii="Arial" w:cs="Arial" w:eastAsia="Arial" w:hAnsi="Arial"/>
          <w:sz w:val="20"/>
          <w:szCs w:val="20"/>
          <w:color w:val="auto"/>
        </w:rPr>
      </w:pPr>
    </w:p>
    <w:p>
      <w:pPr>
        <w:ind w:left="1920" w:hanging="643"/>
        <w:spacing w:after="0"/>
        <w:tabs>
          <w:tab w:leader="none" w:pos="1920" w:val="left"/>
        </w:tabs>
        <w:numPr>
          <w:ilvl w:val="1"/>
          <w:numId w:val="169"/>
        </w:numPr>
        <w:rPr>
          <w:rFonts w:ascii="Arial" w:cs="Arial" w:eastAsia="Arial" w:hAnsi="Arial"/>
          <w:sz w:val="20"/>
          <w:szCs w:val="20"/>
          <w:color w:val="auto"/>
        </w:rPr>
      </w:pPr>
      <w:r>
        <w:rPr>
          <w:rFonts w:ascii="Arial" w:cs="Arial" w:eastAsia="Arial" w:hAnsi="Arial"/>
          <w:sz w:val="18"/>
          <w:szCs w:val="18"/>
          <w:color w:val="auto"/>
        </w:rPr>
        <w:t>making or filing a claim or proof against the Company;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169"/>
        </w:numPr>
        <w:rPr>
          <w:rFonts w:ascii="Arial" w:cs="Arial" w:eastAsia="Arial" w:hAnsi="Arial"/>
          <w:sz w:val="20"/>
          <w:szCs w:val="20"/>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37" w:right="339" w:bottom="1440" w:gutter="0" w:footer="0" w:header="0"/>
        </w:sectPr>
      </w:pPr>
    </w:p>
    <w:bookmarkStart w:id="66" w:name="page67"/>
    <w:bookmarkEnd w:id="66"/>
    <w:p>
      <w:pPr>
        <w:jc w:val="both"/>
        <w:ind w:left="1280"/>
        <w:spacing w:after="0" w:line="259" w:lineRule="auto"/>
        <w:rPr>
          <w:sz w:val="20"/>
          <w:szCs w:val="20"/>
          <w:color w:val="auto"/>
        </w:rPr>
      </w:pPr>
      <w:r>
        <w:rPr>
          <w:rFonts w:ascii="Arial" w:cs="Arial" w:eastAsia="Arial" w:hAnsi="Arial"/>
          <w:sz w:val="18"/>
          <w:szCs w:val="18"/>
          <w:color w:val="auto"/>
        </w:rPr>
        <w:t>the Company shall as an independent obligation, within three Business Days of demand, indemnify the Lender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73" w:lineRule="exact"/>
        <w:rPr>
          <w:sz w:val="20"/>
          <w:szCs w:val="20"/>
          <w:color w:val="auto"/>
        </w:rPr>
      </w:pPr>
    </w:p>
    <w:p>
      <w:pPr>
        <w:ind w:left="1280" w:hanging="624"/>
        <w:spacing w:after="0" w:line="266" w:lineRule="auto"/>
        <w:tabs>
          <w:tab w:leader="none" w:pos="1262" w:val="left"/>
        </w:tabs>
        <w:numPr>
          <w:ilvl w:val="0"/>
          <w:numId w:val="170"/>
        </w:numPr>
        <w:rPr>
          <w:rFonts w:ascii="Arial" w:cs="Arial" w:eastAsia="Arial" w:hAnsi="Arial"/>
          <w:sz w:val="20"/>
          <w:szCs w:val="20"/>
          <w:color w:val="auto"/>
        </w:rPr>
      </w:pPr>
      <w:r>
        <w:rPr>
          <w:rFonts w:ascii="Arial" w:cs="Arial" w:eastAsia="Arial" w:hAnsi="Arial"/>
          <w:sz w:val="18"/>
          <w:szCs w:val="18"/>
          <w:color w:val="auto"/>
        </w:rPr>
        <w:t>The Company waives any right it may have in any jurisdiction to pay any amount under the Finance Documents in a currency or currency unit other than that in which it is expressed to be payable.</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6"/>
          <w:szCs w:val="16"/>
          <w:b w:val="1"/>
          <w:bCs w:val="1"/>
          <w:color w:val="auto"/>
        </w:rPr>
        <w:t>Other indemnities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shall, within three Business Days of demand, indemnify the Lender against any cost, loss or liability incurred by it as a result of:</w:t>
      </w:r>
    </w:p>
    <w:p>
      <w:pPr>
        <w:spacing w:after="0" w:line="235" w:lineRule="exact"/>
        <w:rPr>
          <w:sz w:val="20"/>
          <w:szCs w:val="20"/>
          <w:color w:val="auto"/>
        </w:rPr>
      </w:pPr>
    </w:p>
    <w:p>
      <w:pPr>
        <w:ind w:left="1260" w:hanging="604"/>
        <w:spacing w:after="0"/>
        <w:tabs>
          <w:tab w:leader="none" w:pos="1260" w:val="left"/>
        </w:tabs>
        <w:numPr>
          <w:ilvl w:val="0"/>
          <w:numId w:val="171"/>
        </w:numPr>
        <w:rPr>
          <w:rFonts w:ascii="Arial" w:cs="Arial" w:eastAsia="Arial" w:hAnsi="Arial"/>
          <w:sz w:val="20"/>
          <w:szCs w:val="20"/>
          <w:color w:val="auto"/>
        </w:rPr>
      </w:pPr>
      <w:r>
        <w:rPr>
          <w:rFonts w:ascii="Arial" w:cs="Arial" w:eastAsia="Arial" w:hAnsi="Arial"/>
          <w:sz w:val="18"/>
          <w:szCs w:val="18"/>
          <w:color w:val="auto"/>
        </w:rPr>
        <w:t>the occurrence of any Event of Default;</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71"/>
        </w:numPr>
        <w:rPr>
          <w:rFonts w:ascii="Arial" w:cs="Arial" w:eastAsia="Arial" w:hAnsi="Arial"/>
          <w:sz w:val="20"/>
          <w:szCs w:val="20"/>
          <w:color w:val="auto"/>
        </w:rPr>
      </w:pPr>
      <w:r>
        <w:rPr>
          <w:rFonts w:ascii="Arial" w:cs="Arial" w:eastAsia="Arial" w:hAnsi="Arial"/>
          <w:sz w:val="18"/>
          <w:szCs w:val="18"/>
          <w:color w:val="auto"/>
        </w:rPr>
        <w:t>a failure by the Company to pay any amount due under a Finance Document on its due date;</w:t>
      </w:r>
    </w:p>
    <w:p>
      <w:pPr>
        <w:spacing w:after="0" w:line="188"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171"/>
        </w:numPr>
        <w:rPr>
          <w:rFonts w:ascii="Arial" w:cs="Arial" w:eastAsia="Arial" w:hAnsi="Arial"/>
          <w:sz w:val="20"/>
          <w:szCs w:val="20"/>
          <w:color w:val="auto"/>
        </w:rPr>
      </w:pPr>
      <w:r>
        <w:rPr>
          <w:rFonts w:ascii="Arial" w:cs="Arial" w:eastAsia="Arial" w:hAnsi="Arial"/>
          <w:sz w:val="18"/>
          <w:szCs w:val="18"/>
          <w:color w:val="auto"/>
        </w:rPr>
        <w:t>funding, or making arrangements to fund, its participation in a Loan requested by the Company in a Utilisation Request but not made by reason of the operation of any one or more of the provisions of this Agreement (other than by reason of default or negligence by the Lender alone); or</w:t>
      </w:r>
    </w:p>
    <w:p>
      <w:pPr>
        <w:spacing w:after="0" w:line="169" w:lineRule="exact"/>
        <w:rPr>
          <w:rFonts w:ascii="Arial" w:cs="Arial" w:eastAsia="Arial" w:hAnsi="Arial"/>
          <w:sz w:val="20"/>
          <w:szCs w:val="20"/>
          <w:color w:val="auto"/>
        </w:rPr>
      </w:pPr>
    </w:p>
    <w:p>
      <w:pPr>
        <w:ind w:left="1260" w:hanging="604"/>
        <w:spacing w:after="0"/>
        <w:tabs>
          <w:tab w:leader="none" w:pos="1260" w:val="left"/>
        </w:tabs>
        <w:numPr>
          <w:ilvl w:val="0"/>
          <w:numId w:val="171"/>
        </w:numPr>
        <w:rPr>
          <w:rFonts w:ascii="Arial" w:cs="Arial" w:eastAsia="Arial" w:hAnsi="Arial"/>
          <w:sz w:val="20"/>
          <w:szCs w:val="20"/>
          <w:color w:val="auto"/>
        </w:rPr>
      </w:pPr>
      <w:r>
        <w:rPr>
          <w:rFonts w:ascii="Arial" w:cs="Arial" w:eastAsia="Arial" w:hAnsi="Arial"/>
          <w:sz w:val="18"/>
          <w:szCs w:val="18"/>
          <w:color w:val="auto"/>
        </w:rPr>
        <w:t>a Loan (or part of a Loan) not being prepaid in accordance with a notice of prepayment given by the Company.</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b w:val="1"/>
          <w:bCs w:val="1"/>
          <w:color w:val="auto"/>
        </w:rPr>
        <w:t>Indemnity to the Lender</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shall promptly indemnify the Lender against any cost, loss or liability incurred by the Lender (acting reasonably) as a result of:</w:t>
      </w:r>
    </w:p>
    <w:p>
      <w:pPr>
        <w:spacing w:after="0" w:line="223" w:lineRule="exact"/>
        <w:rPr>
          <w:sz w:val="20"/>
          <w:szCs w:val="20"/>
          <w:color w:val="auto"/>
        </w:rPr>
      </w:pPr>
    </w:p>
    <w:p>
      <w:pPr>
        <w:ind w:left="1260" w:hanging="604"/>
        <w:spacing w:after="0"/>
        <w:tabs>
          <w:tab w:leader="none" w:pos="1260" w:val="left"/>
        </w:tabs>
        <w:numPr>
          <w:ilvl w:val="1"/>
          <w:numId w:val="172"/>
        </w:numPr>
        <w:rPr>
          <w:rFonts w:ascii="Arial" w:cs="Arial" w:eastAsia="Arial" w:hAnsi="Arial"/>
          <w:sz w:val="20"/>
          <w:szCs w:val="20"/>
          <w:color w:val="auto"/>
        </w:rPr>
      </w:pPr>
      <w:r>
        <w:rPr>
          <w:rFonts w:ascii="Arial" w:cs="Arial" w:eastAsia="Arial" w:hAnsi="Arial"/>
          <w:sz w:val="18"/>
          <w:szCs w:val="18"/>
          <w:color w:val="auto"/>
        </w:rPr>
        <w:t>investigating any event which it reasonably believes is a Default;</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172"/>
        </w:numPr>
        <w:rPr>
          <w:rFonts w:ascii="Arial" w:cs="Arial" w:eastAsia="Arial" w:hAnsi="Arial"/>
          <w:sz w:val="18"/>
          <w:szCs w:val="18"/>
          <w:color w:val="auto"/>
        </w:rPr>
      </w:pPr>
      <w:r>
        <w:rPr>
          <w:rFonts w:ascii="Arial" w:cs="Arial" w:eastAsia="Arial" w:hAnsi="Arial"/>
          <w:sz w:val="16"/>
          <w:szCs w:val="16"/>
          <w:color w:val="auto"/>
        </w:rPr>
        <w:t>acting or relying on any notice, request or instruction which it reasonably believes to be genuine, correct and appropriately authorised; or</w:t>
      </w:r>
    </w:p>
    <w:p>
      <w:pPr>
        <w:spacing w:after="0" w:line="211" w:lineRule="exact"/>
        <w:rPr>
          <w:rFonts w:ascii="Arial" w:cs="Arial" w:eastAsia="Arial" w:hAnsi="Arial"/>
          <w:sz w:val="18"/>
          <w:szCs w:val="18"/>
          <w:color w:val="auto"/>
        </w:rPr>
      </w:pPr>
    </w:p>
    <w:p>
      <w:pPr>
        <w:ind w:left="1260" w:hanging="604"/>
        <w:spacing w:after="0"/>
        <w:tabs>
          <w:tab w:leader="none" w:pos="1260" w:val="left"/>
        </w:tabs>
        <w:numPr>
          <w:ilvl w:val="1"/>
          <w:numId w:val="172"/>
        </w:numPr>
        <w:rPr>
          <w:rFonts w:ascii="Arial" w:cs="Arial" w:eastAsia="Arial" w:hAnsi="Arial"/>
          <w:sz w:val="18"/>
          <w:szCs w:val="18"/>
          <w:color w:val="auto"/>
        </w:rPr>
      </w:pPr>
      <w:r>
        <w:rPr>
          <w:rFonts w:ascii="Arial" w:cs="Arial" w:eastAsia="Arial" w:hAnsi="Arial"/>
          <w:sz w:val="16"/>
          <w:szCs w:val="16"/>
          <w:color w:val="auto"/>
        </w:rPr>
        <w:t>instructing lawyers, accountants, tax advisers, surveyors or other professional advisers or experts as permitted under this Agreement.</w:t>
      </w:r>
    </w:p>
    <w:p>
      <w:pPr>
        <w:spacing w:after="0" w:line="207" w:lineRule="exact"/>
        <w:rPr>
          <w:rFonts w:ascii="Arial" w:cs="Arial" w:eastAsia="Arial" w:hAnsi="Arial"/>
          <w:sz w:val="18"/>
          <w:szCs w:val="18"/>
          <w:color w:val="auto"/>
        </w:rPr>
      </w:pPr>
    </w:p>
    <w:p>
      <w:pPr>
        <w:ind w:left="620" w:hanging="612"/>
        <w:spacing w:after="0"/>
        <w:tabs>
          <w:tab w:leader="none" w:pos="620" w:val="left"/>
        </w:tabs>
        <w:numPr>
          <w:ilvl w:val="0"/>
          <w:numId w:val="173"/>
        </w:numPr>
        <w:rPr>
          <w:rFonts w:ascii="Arial" w:cs="Arial" w:eastAsia="Arial" w:hAnsi="Arial"/>
          <w:sz w:val="20"/>
          <w:szCs w:val="20"/>
          <w:b w:val="1"/>
          <w:bCs w:val="1"/>
          <w:color w:val="auto"/>
        </w:rPr>
      </w:pPr>
      <w:r>
        <w:rPr>
          <w:rFonts w:ascii="Arial" w:cs="Arial" w:eastAsia="Arial" w:hAnsi="Arial"/>
          <w:sz w:val="18"/>
          <w:szCs w:val="18"/>
          <w:b w:val="1"/>
          <w:bCs w:val="1"/>
          <w:color w:val="auto"/>
        </w:rPr>
        <w:t>MITIGATION BY THE LENDER</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7"/>
          <w:szCs w:val="17"/>
          <w:b w:val="1"/>
          <w:bCs w:val="1"/>
          <w:color w:val="auto"/>
        </w:rPr>
        <w:t>Mitigation</w:t>
      </w:r>
    </w:p>
    <w:p>
      <w:pPr>
        <w:spacing w:after="0" w:line="205" w:lineRule="exact"/>
        <w:rPr>
          <w:sz w:val="20"/>
          <w:szCs w:val="20"/>
          <w:color w:val="auto"/>
        </w:rPr>
      </w:pPr>
    </w:p>
    <w:p>
      <w:pPr>
        <w:jc w:val="both"/>
        <w:ind w:left="1280" w:hanging="624"/>
        <w:spacing w:after="0" w:line="265" w:lineRule="auto"/>
        <w:tabs>
          <w:tab w:leader="none" w:pos="1262" w:val="left"/>
        </w:tabs>
        <w:numPr>
          <w:ilvl w:val="0"/>
          <w:numId w:val="174"/>
        </w:numPr>
        <w:rPr>
          <w:rFonts w:ascii="Arial" w:cs="Arial" w:eastAsia="Arial" w:hAnsi="Arial"/>
          <w:sz w:val="20"/>
          <w:szCs w:val="20"/>
          <w:color w:val="auto"/>
        </w:rPr>
      </w:pPr>
      <w:r>
        <w:rPr>
          <w:rFonts w:ascii="Arial" w:cs="Arial" w:eastAsia="Arial" w:hAnsi="Arial"/>
          <w:sz w:val="18"/>
          <w:szCs w:val="18"/>
          <w:color w:val="auto"/>
        </w:rPr>
        <w:t>The Lender shall, in consultation with the Company, take all reasonable steps to mitigate any circumstances which arise and which would result in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gross-up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transferring its rights and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Documents to another Affiliate or Facility Office.</w:t>
      </w:r>
    </w:p>
    <w:p>
      <w:pPr>
        <w:spacing w:after="0" w:line="167" w:lineRule="exact"/>
        <w:rPr>
          <w:rFonts w:ascii="Arial" w:cs="Arial" w:eastAsia="Arial" w:hAnsi="Arial"/>
          <w:sz w:val="20"/>
          <w:szCs w:val="20"/>
          <w:color w:val="auto"/>
        </w:rPr>
      </w:pPr>
    </w:p>
    <w:p>
      <w:pPr>
        <w:ind w:left="1260" w:hanging="604"/>
        <w:spacing w:after="0"/>
        <w:tabs>
          <w:tab w:leader="none" w:pos="1260" w:val="left"/>
        </w:tabs>
        <w:numPr>
          <w:ilvl w:val="0"/>
          <w:numId w:val="174"/>
        </w:numPr>
        <w:rPr>
          <w:rFonts w:ascii="Arial" w:cs="Arial" w:eastAsia="Arial" w:hAnsi="Arial"/>
          <w:sz w:val="20"/>
          <w:szCs w:val="20"/>
          <w:color w:val="auto"/>
        </w:rPr>
      </w:pPr>
      <w:r>
        <w:rPr>
          <w:rFonts w:ascii="Arial" w:cs="Arial" w:eastAsia="Arial" w:hAnsi="Arial"/>
          <w:sz w:val="18"/>
          <w:szCs w:val="18"/>
          <w:color w:val="auto"/>
        </w:rPr>
        <w:t>Paragraph (a) above does not in any way limit the obligations of the Company under the Finance Documents.</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7"/>
          <w:szCs w:val="17"/>
          <w:b w:val="1"/>
          <w:bCs w:val="1"/>
          <w:color w:val="auto"/>
        </w:rPr>
        <w:t>Limitation of liability</w:t>
      </w:r>
    </w:p>
    <w:p>
      <w:pPr>
        <w:spacing w:after="0" w:line="205" w:lineRule="exact"/>
        <w:rPr>
          <w:sz w:val="20"/>
          <w:szCs w:val="20"/>
          <w:color w:val="auto"/>
        </w:rPr>
      </w:pPr>
    </w:p>
    <w:p>
      <w:pPr>
        <w:ind w:left="1280" w:hanging="624"/>
        <w:spacing w:after="0" w:line="266" w:lineRule="auto"/>
        <w:tabs>
          <w:tab w:leader="none" w:pos="1262" w:val="left"/>
        </w:tabs>
        <w:numPr>
          <w:ilvl w:val="0"/>
          <w:numId w:val="175"/>
        </w:numPr>
        <w:rPr>
          <w:rFonts w:ascii="Arial" w:cs="Arial" w:eastAsia="Arial" w:hAnsi="Arial"/>
          <w:sz w:val="20"/>
          <w:szCs w:val="20"/>
          <w:color w:val="auto"/>
        </w:rPr>
      </w:pPr>
      <w:r>
        <w:rPr>
          <w:rFonts w:ascii="Arial" w:cs="Arial" w:eastAsia="Arial" w:hAnsi="Arial"/>
          <w:sz w:val="18"/>
          <w:szCs w:val="18"/>
          <w:color w:val="auto"/>
        </w:rPr>
        <w:t>The Company shall promptly indemnify the Lender for all costs and expenses reasonably incurred by it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63"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175"/>
        </w:numPr>
        <w:rPr>
          <w:rFonts w:ascii="Arial" w:cs="Arial" w:eastAsia="Arial" w:hAnsi="Arial"/>
          <w:sz w:val="20"/>
          <w:szCs w:val="20"/>
          <w:color w:val="auto"/>
        </w:rPr>
      </w:pPr>
      <w:r>
        <w:rPr>
          <w:rFonts w:ascii="Arial" w:cs="Arial" w:eastAsia="Arial" w:hAnsi="Arial"/>
          <w:sz w:val="18"/>
          <w:szCs w:val="18"/>
          <w:color w:val="auto"/>
        </w:rPr>
        <w:t>The Lender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its opinion (acting reasonably), to do so might be prejudicial to it.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41" w:right="339" w:bottom="1440" w:gutter="0" w:footer="0" w:header="0"/>
        </w:sectPr>
      </w:pPr>
    </w:p>
    <w:bookmarkStart w:id="67" w:name="page68"/>
    <w:bookmarkEnd w:id="67"/>
    <w:p>
      <w:pPr>
        <w:ind w:left="620" w:hanging="612"/>
        <w:spacing w:after="0"/>
        <w:tabs>
          <w:tab w:leader="none" w:pos="620" w:val="left"/>
        </w:tabs>
        <w:numPr>
          <w:ilvl w:val="0"/>
          <w:numId w:val="176"/>
        </w:numPr>
        <w:rPr>
          <w:rFonts w:ascii="Arial" w:cs="Arial" w:eastAsia="Arial" w:hAnsi="Arial"/>
          <w:sz w:val="20"/>
          <w:szCs w:val="20"/>
          <w:b w:val="1"/>
          <w:bCs w:val="1"/>
          <w:color w:val="auto"/>
        </w:rPr>
      </w:pPr>
      <w:r>
        <w:rPr>
          <w:rFonts w:ascii="Arial" w:cs="Arial" w:eastAsia="Arial" w:hAnsi="Arial"/>
          <w:sz w:val="18"/>
          <w:szCs w:val="18"/>
          <w:b w:val="1"/>
          <w:bCs w:val="1"/>
          <w:color w:val="auto"/>
        </w:rPr>
        <w:t>COSTS AND EXPENSES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5"/>
          <w:szCs w:val="15"/>
          <w:b w:val="1"/>
          <w:bCs w:val="1"/>
          <w:color w:val="auto"/>
        </w:rPr>
        <w:t>Transaction expenses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shall promptly on demand pay the Lender, subject to any agreed caps, the amount of all costs and expenses (including legal fees)</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reasonably incurred by any of them in connection with the negotiation, preparation, printing and execution of:</w:t>
      </w:r>
    </w:p>
    <w:p>
      <w:pPr>
        <w:spacing w:after="0" w:line="197" w:lineRule="exact"/>
        <w:rPr>
          <w:sz w:val="20"/>
          <w:szCs w:val="20"/>
          <w:color w:val="auto"/>
        </w:rPr>
      </w:pPr>
    </w:p>
    <w:p>
      <w:pPr>
        <w:ind w:left="1260" w:hanging="604"/>
        <w:spacing w:after="0"/>
        <w:tabs>
          <w:tab w:leader="none" w:pos="1260" w:val="left"/>
        </w:tabs>
        <w:numPr>
          <w:ilvl w:val="0"/>
          <w:numId w:val="177"/>
        </w:numPr>
        <w:rPr>
          <w:rFonts w:ascii="Arial" w:cs="Arial" w:eastAsia="Arial" w:hAnsi="Arial"/>
          <w:sz w:val="20"/>
          <w:szCs w:val="20"/>
          <w:color w:val="auto"/>
        </w:rPr>
      </w:pPr>
      <w:r>
        <w:rPr>
          <w:rFonts w:ascii="Arial" w:cs="Arial" w:eastAsia="Arial" w:hAnsi="Arial"/>
          <w:sz w:val="18"/>
          <w:szCs w:val="18"/>
          <w:color w:val="auto"/>
        </w:rPr>
        <w:t>this Agreement and any other documents referred to in this Agreement;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77"/>
        </w:numPr>
        <w:rPr>
          <w:rFonts w:ascii="Arial" w:cs="Arial" w:eastAsia="Arial" w:hAnsi="Arial"/>
          <w:sz w:val="20"/>
          <w:szCs w:val="20"/>
          <w:color w:val="auto"/>
        </w:rPr>
      </w:pPr>
      <w:r>
        <w:rPr>
          <w:rFonts w:ascii="Arial" w:cs="Arial" w:eastAsia="Arial" w:hAnsi="Arial"/>
          <w:sz w:val="18"/>
          <w:szCs w:val="18"/>
          <w:color w:val="auto"/>
        </w:rPr>
        <w:t>any other Finance Documents executed after the date of this Agreement.</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5"/>
          <w:szCs w:val="15"/>
          <w:b w:val="1"/>
          <w:bCs w:val="1"/>
          <w:color w:val="auto"/>
        </w:rPr>
        <w:t>Amendment costs</w:t>
      </w:r>
    </w:p>
    <w:p>
      <w:pPr>
        <w:spacing w:after="0" w:line="19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If the Company requests an amendment, waiver or consent, the Company shall, within three Business Days of demand, reimburse the Lender for the amount of all costs and expenses (including legal fees) reasonably incurred by it in responding to, evaluating, negotiating or complying with that request or requirement.</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5"/>
          <w:szCs w:val="15"/>
          <w:b w:val="1"/>
          <w:bCs w:val="1"/>
          <w:color w:val="auto"/>
        </w:rPr>
        <w:t>Enforcement costs</w:t>
      </w:r>
    </w:p>
    <w:p>
      <w:pPr>
        <w:spacing w:after="0" w:line="191" w:lineRule="exact"/>
        <w:rPr>
          <w:sz w:val="20"/>
          <w:szCs w:val="20"/>
          <w:color w:val="auto"/>
        </w:rPr>
      </w:pPr>
    </w:p>
    <w:p>
      <w:pPr>
        <w:jc w:val="both"/>
        <w:ind w:left="620" w:right="20"/>
        <w:spacing w:after="0" w:line="277" w:lineRule="auto"/>
        <w:rPr>
          <w:sz w:val="20"/>
          <w:szCs w:val="20"/>
          <w:color w:val="auto"/>
        </w:rPr>
      </w:pPr>
      <w:r>
        <w:rPr>
          <w:rFonts w:ascii="Arial" w:cs="Arial" w:eastAsia="Arial" w:hAnsi="Arial"/>
          <w:sz w:val="18"/>
          <w:szCs w:val="18"/>
          <w:color w:val="auto"/>
        </w:rPr>
        <w:t>The Company shall, within three Business Days of demand, pay to the Lender the amount of all costs and expenses (including legal fees) incurred by the Lender in connection with the enforcement of, or the preservation of any rights under, any Finance Document.</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UNDERTAKINGS AND EVENTS OF DEFAULT</w:t>
      </w:r>
    </w:p>
    <w:p>
      <w:pPr>
        <w:spacing w:after="0" w:line="193" w:lineRule="exact"/>
        <w:rPr>
          <w:sz w:val="20"/>
          <w:szCs w:val="20"/>
          <w:color w:val="auto"/>
        </w:rPr>
      </w:pPr>
    </w:p>
    <w:p>
      <w:pPr>
        <w:ind w:left="620" w:hanging="612"/>
        <w:spacing w:after="0"/>
        <w:tabs>
          <w:tab w:leader="none" w:pos="620" w:val="left"/>
        </w:tabs>
        <w:numPr>
          <w:ilvl w:val="0"/>
          <w:numId w:val="178"/>
        </w:numPr>
        <w:rPr>
          <w:rFonts w:ascii="Arial" w:cs="Arial" w:eastAsia="Arial" w:hAnsi="Arial"/>
          <w:sz w:val="20"/>
          <w:szCs w:val="20"/>
          <w:b w:val="1"/>
          <w:bCs w:val="1"/>
          <w:color w:val="auto"/>
        </w:rPr>
      </w:pPr>
      <w:r>
        <w:rPr>
          <w:rFonts w:ascii="Arial" w:cs="Arial" w:eastAsia="Arial" w:hAnsi="Arial"/>
          <w:sz w:val="18"/>
          <w:szCs w:val="18"/>
          <w:b w:val="1"/>
          <w:bCs w:val="1"/>
          <w:color w:val="auto"/>
        </w:rPr>
        <w:t>REPRESENTATIONS</w:t>
      </w:r>
    </w:p>
    <w:p>
      <w:pPr>
        <w:spacing w:after="0" w:line="192" w:lineRule="exact"/>
        <w:rPr>
          <w:rFonts w:ascii="Arial" w:cs="Arial" w:eastAsia="Arial" w:hAnsi="Arial"/>
          <w:sz w:val="20"/>
          <w:szCs w:val="20"/>
          <w:b w:val="1"/>
          <w:bCs w:val="1"/>
          <w:color w:val="auto"/>
        </w:rPr>
      </w:pPr>
    </w:p>
    <w:p>
      <w:pPr>
        <w:ind w:left="1280" w:hanging="624"/>
        <w:spacing w:after="0" w:line="266" w:lineRule="auto"/>
        <w:tabs>
          <w:tab w:leader="none" w:pos="1262" w:val="left"/>
        </w:tabs>
        <w:numPr>
          <w:ilvl w:val="1"/>
          <w:numId w:val="178"/>
        </w:numPr>
        <w:rPr>
          <w:rFonts w:ascii="Arial" w:cs="Arial" w:eastAsia="Arial" w:hAnsi="Arial"/>
          <w:sz w:val="20"/>
          <w:szCs w:val="20"/>
          <w:color w:val="auto"/>
        </w:rPr>
      </w:pPr>
      <w:r>
        <w:rPr>
          <w:rFonts w:ascii="Arial" w:cs="Arial" w:eastAsia="Arial" w:hAnsi="Arial"/>
          <w:sz w:val="18"/>
          <w:szCs w:val="18"/>
          <w:color w:val="auto"/>
        </w:rPr>
        <w:t>Subject to paragraph (b) below, the Company makes the representations and warranties set out in this Clause 17 to the Lender on the date of this Agreement.</w:t>
      </w:r>
    </w:p>
    <w:p>
      <w:pPr>
        <w:spacing w:after="0" w:line="163" w:lineRule="exact"/>
        <w:rPr>
          <w:rFonts w:ascii="Arial" w:cs="Arial" w:eastAsia="Arial" w:hAnsi="Arial"/>
          <w:sz w:val="20"/>
          <w:szCs w:val="20"/>
          <w:color w:val="auto"/>
        </w:rPr>
      </w:pPr>
    </w:p>
    <w:p>
      <w:pPr>
        <w:ind w:left="1280" w:hanging="624"/>
        <w:spacing w:after="0" w:line="266" w:lineRule="auto"/>
        <w:tabs>
          <w:tab w:leader="none" w:pos="1262" w:val="left"/>
        </w:tabs>
        <w:numPr>
          <w:ilvl w:val="1"/>
          <w:numId w:val="178"/>
        </w:numPr>
        <w:rPr>
          <w:rFonts w:ascii="Arial" w:cs="Arial" w:eastAsia="Arial" w:hAnsi="Arial"/>
          <w:sz w:val="20"/>
          <w:szCs w:val="20"/>
          <w:color w:val="auto"/>
        </w:rPr>
      </w:pPr>
      <w:r>
        <w:rPr>
          <w:rFonts w:ascii="Arial" w:cs="Arial" w:eastAsia="Arial" w:hAnsi="Arial"/>
          <w:sz w:val="18"/>
          <w:szCs w:val="18"/>
          <w:color w:val="auto"/>
        </w:rPr>
        <w:t>The representations and warranties set out in paragraphs (a) and (b) of Clause 17.12 (</w:t>
      </w:r>
      <w:r>
        <w:rPr>
          <w:rFonts w:ascii="Arial" w:cs="Arial" w:eastAsia="Arial" w:hAnsi="Arial"/>
          <w:sz w:val="18"/>
          <w:szCs w:val="18"/>
          <w:i w:val="1"/>
          <w:iCs w:val="1"/>
          <w:color w:val="auto"/>
        </w:rPr>
        <w:t>No misleading information</w:t>
      </w:r>
      <w:r>
        <w:rPr>
          <w:rFonts w:ascii="Arial" w:cs="Arial" w:eastAsia="Arial" w:hAnsi="Arial"/>
          <w:sz w:val="18"/>
          <w:szCs w:val="18"/>
          <w:color w:val="auto"/>
        </w:rPr>
        <w:t>) are made by the Company on the date of this Agreement or, if later, on the date such information or projections are delivered.</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5"/>
          <w:szCs w:val="15"/>
          <w:b w:val="1"/>
          <w:bCs w:val="1"/>
          <w:color w:val="auto"/>
        </w:rPr>
        <w:t>Status</w:t>
      </w:r>
    </w:p>
    <w:p>
      <w:pPr>
        <w:spacing w:after="0" w:line="205" w:lineRule="exact"/>
        <w:rPr>
          <w:sz w:val="20"/>
          <w:szCs w:val="20"/>
          <w:color w:val="auto"/>
        </w:rPr>
      </w:pPr>
    </w:p>
    <w:p>
      <w:pPr>
        <w:ind w:left="5540" w:right="2320" w:hanging="4884"/>
        <w:spacing w:after="0" w:line="720" w:lineRule="auto"/>
        <w:tabs>
          <w:tab w:leader="none" w:pos="1269" w:val="left"/>
        </w:tabs>
        <w:numPr>
          <w:ilvl w:val="0"/>
          <w:numId w:val="179"/>
        </w:numPr>
        <w:rPr>
          <w:rFonts w:ascii="Arial" w:cs="Arial" w:eastAsia="Arial" w:hAnsi="Arial"/>
          <w:sz w:val="20"/>
          <w:szCs w:val="20"/>
          <w:color w:val="auto"/>
        </w:rPr>
      </w:pPr>
      <w:r>
        <w:rPr>
          <w:rFonts w:ascii="Arial" w:cs="Arial" w:eastAsia="Arial" w:hAnsi="Arial"/>
          <w:sz w:val="18"/>
          <w:szCs w:val="18"/>
          <w:color w:val="auto"/>
        </w:rPr>
        <w:t>It is a corporation, duly incorporated and validly existing under the law of its jurisdiction of incorporation. 40</w:t>
      </w:r>
    </w:p>
    <w:p>
      <w:pPr>
        <w:sectPr>
          <w:pgSz w:w="11900" w:h="16838" w:orient="portrait"/>
          <w:cols w:equalWidth="0" w:num="1">
            <w:col w:w="11240"/>
          </w:cols>
          <w:pgMar w:left="320" w:top="351" w:right="339" w:bottom="1440" w:gutter="0" w:footer="0" w:header="0"/>
        </w:sectPr>
      </w:pPr>
    </w:p>
    <w:bookmarkStart w:id="68" w:name="page69"/>
    <w:bookmarkEnd w:id="68"/>
    <w:p>
      <w:pPr>
        <w:ind w:left="1260" w:hanging="604"/>
        <w:spacing w:after="0"/>
        <w:tabs>
          <w:tab w:leader="none" w:pos="1260" w:val="left"/>
        </w:tabs>
        <w:numPr>
          <w:ilvl w:val="0"/>
          <w:numId w:val="180"/>
        </w:numPr>
        <w:rPr>
          <w:rFonts w:ascii="Arial" w:cs="Arial" w:eastAsia="Arial" w:hAnsi="Arial"/>
          <w:sz w:val="20"/>
          <w:szCs w:val="20"/>
          <w:color w:val="auto"/>
        </w:rPr>
      </w:pPr>
      <w:r>
        <w:rPr>
          <w:rFonts w:ascii="Arial" w:cs="Arial" w:eastAsia="Arial" w:hAnsi="Arial"/>
          <w:sz w:val="18"/>
          <w:szCs w:val="18"/>
          <w:color w:val="auto"/>
        </w:rPr>
        <w:t>It and each of its Subsidiaries has the power to own its assets and carry on its business as it is being conducted.</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6"/>
          <w:szCs w:val="16"/>
          <w:b w:val="1"/>
          <w:bCs w:val="1"/>
          <w:color w:val="auto"/>
        </w:rPr>
        <w:t>Binding obligations</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obligations expressed to be assumed by it in each Finance Document are, subject to the Legal Reservations, legal, valid, binding and enforceable obligations.</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b w:val="1"/>
          <w:bCs w:val="1"/>
          <w:color w:val="auto"/>
        </w:rPr>
        <w:t>Non-conflict with other obligations</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Subject to the Legal Reservations, the entry into and performance by it of, and the transactions contemplated by, the Finance Documents do not and will not conflict with:</w:t>
      </w:r>
    </w:p>
    <w:p>
      <w:pPr>
        <w:spacing w:after="0" w:line="157" w:lineRule="exact"/>
        <w:rPr>
          <w:sz w:val="20"/>
          <w:szCs w:val="20"/>
          <w:color w:val="auto"/>
        </w:rPr>
      </w:pPr>
    </w:p>
    <w:p>
      <w:pPr>
        <w:ind w:left="1260" w:hanging="604"/>
        <w:spacing w:after="0"/>
        <w:tabs>
          <w:tab w:leader="none" w:pos="1260" w:val="left"/>
        </w:tabs>
        <w:numPr>
          <w:ilvl w:val="0"/>
          <w:numId w:val="181"/>
        </w:numPr>
        <w:rPr>
          <w:rFonts w:ascii="Arial" w:cs="Arial" w:eastAsia="Arial" w:hAnsi="Arial"/>
          <w:sz w:val="20"/>
          <w:szCs w:val="20"/>
          <w:color w:val="auto"/>
        </w:rPr>
      </w:pPr>
      <w:r>
        <w:rPr>
          <w:rFonts w:ascii="Arial" w:cs="Arial" w:eastAsia="Arial" w:hAnsi="Arial"/>
          <w:sz w:val="18"/>
          <w:szCs w:val="18"/>
          <w:color w:val="auto"/>
        </w:rPr>
        <w:t>any law or regulation applicable to it;</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81"/>
        </w:numPr>
        <w:rPr>
          <w:rFonts w:ascii="Arial" w:cs="Arial" w:eastAsia="Arial" w:hAnsi="Arial"/>
          <w:sz w:val="20"/>
          <w:szCs w:val="20"/>
          <w:color w:val="auto"/>
        </w:rPr>
      </w:pPr>
      <w:r>
        <w:rPr>
          <w:rFonts w:ascii="Arial" w:cs="Arial" w:eastAsia="Arial" w:hAnsi="Arial"/>
          <w:sz w:val="18"/>
          <w:szCs w:val="18"/>
          <w:color w:val="auto"/>
        </w:rPr>
        <w:t>its or any of its Subsidiaries' constitutional documents;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81"/>
        </w:numPr>
        <w:rPr>
          <w:rFonts w:ascii="Arial" w:cs="Arial" w:eastAsia="Arial" w:hAnsi="Arial"/>
          <w:sz w:val="20"/>
          <w:szCs w:val="20"/>
          <w:color w:val="auto"/>
        </w:rPr>
      </w:pPr>
      <w:r>
        <w:rPr>
          <w:rFonts w:ascii="Arial" w:cs="Arial" w:eastAsia="Arial" w:hAnsi="Arial"/>
          <w:sz w:val="18"/>
          <w:szCs w:val="18"/>
          <w:color w:val="auto"/>
        </w:rPr>
        <w:t>any agreement or instrument binding upon it or any of its Subsidiaries or any of its or any of its Subsidiaries' assets.</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6"/>
          <w:szCs w:val="16"/>
          <w:b w:val="1"/>
          <w:bCs w:val="1"/>
          <w:color w:val="auto"/>
        </w:rPr>
        <w:t>Power and authority</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the Finance Documents and the transactions contemplated by those Finance Documents.</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6"/>
          <w:szCs w:val="16"/>
          <w:b w:val="1"/>
          <w:bCs w:val="1"/>
          <w:color w:val="auto"/>
        </w:rPr>
        <w:t>Validity and admissibility in evidence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All Authorisations required:</w:t>
      </w:r>
    </w:p>
    <w:p>
      <w:pPr>
        <w:spacing w:after="0" w:line="212" w:lineRule="exact"/>
        <w:rPr>
          <w:sz w:val="20"/>
          <w:szCs w:val="20"/>
          <w:color w:val="auto"/>
        </w:rPr>
      </w:pPr>
    </w:p>
    <w:p>
      <w:pPr>
        <w:ind w:left="1260" w:hanging="604"/>
        <w:spacing w:after="0"/>
        <w:tabs>
          <w:tab w:leader="none" w:pos="1260" w:val="left"/>
        </w:tabs>
        <w:numPr>
          <w:ilvl w:val="0"/>
          <w:numId w:val="182"/>
        </w:numPr>
        <w:rPr>
          <w:rFonts w:ascii="Arial" w:cs="Arial" w:eastAsia="Arial" w:hAnsi="Arial"/>
          <w:sz w:val="20"/>
          <w:szCs w:val="20"/>
          <w:color w:val="auto"/>
        </w:rPr>
      </w:pPr>
      <w:r>
        <w:rPr>
          <w:rFonts w:ascii="Arial" w:cs="Arial" w:eastAsia="Arial" w:hAnsi="Arial"/>
          <w:sz w:val="18"/>
          <w:szCs w:val="18"/>
          <w:color w:val="auto"/>
        </w:rPr>
        <w:t>to enable it lawfully to enter into, exercise its rights and comply with its obligations in the Finance Documents;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82"/>
        </w:numPr>
        <w:rPr>
          <w:rFonts w:ascii="Arial" w:cs="Arial" w:eastAsia="Arial" w:hAnsi="Arial"/>
          <w:sz w:val="20"/>
          <w:szCs w:val="20"/>
          <w:color w:val="auto"/>
        </w:rPr>
      </w:pPr>
      <w:r>
        <w:rPr>
          <w:rFonts w:ascii="Arial" w:cs="Arial" w:eastAsia="Arial" w:hAnsi="Arial"/>
          <w:sz w:val="18"/>
          <w:szCs w:val="18"/>
          <w:color w:val="auto"/>
        </w:rPr>
        <w:t>to make the Finance Documents admissible in evidence in its jurisdiction of incorporation,</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17.7</w:t>
      </w:r>
      <w:r>
        <w:rPr>
          <w:sz w:val="20"/>
          <w:szCs w:val="20"/>
          <w:color w:val="auto"/>
        </w:rPr>
        <w:tab/>
      </w:r>
      <w:r>
        <w:rPr>
          <w:rFonts w:ascii="Arial" w:cs="Arial" w:eastAsia="Arial" w:hAnsi="Arial"/>
          <w:sz w:val="16"/>
          <w:szCs w:val="16"/>
          <w:b w:val="1"/>
          <w:bCs w:val="1"/>
          <w:color w:val="auto"/>
        </w:rPr>
        <w:t>Governing law and enforcement</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Legal Reservations:</w:t>
      </w:r>
    </w:p>
    <w:p>
      <w:pPr>
        <w:spacing w:after="0" w:line="212" w:lineRule="exact"/>
        <w:rPr>
          <w:sz w:val="20"/>
          <w:szCs w:val="20"/>
          <w:color w:val="auto"/>
        </w:rPr>
      </w:pPr>
    </w:p>
    <w:p>
      <w:pPr>
        <w:ind w:left="1280" w:hanging="624"/>
        <w:spacing w:after="0" w:line="266" w:lineRule="auto"/>
        <w:tabs>
          <w:tab w:leader="none" w:pos="1262" w:val="left"/>
        </w:tabs>
        <w:numPr>
          <w:ilvl w:val="0"/>
          <w:numId w:val="183"/>
        </w:numPr>
        <w:rPr>
          <w:rFonts w:ascii="Arial" w:cs="Arial" w:eastAsia="Arial" w:hAnsi="Arial"/>
          <w:sz w:val="20"/>
          <w:szCs w:val="20"/>
          <w:color w:val="auto"/>
        </w:rPr>
      </w:pPr>
      <w:r>
        <w:rPr>
          <w:rFonts w:ascii="Arial" w:cs="Arial" w:eastAsia="Arial" w:hAnsi="Arial"/>
          <w:sz w:val="18"/>
          <w:szCs w:val="18"/>
          <w:color w:val="auto"/>
        </w:rPr>
        <w:t>the choice of English law as the governing law of the Finance Documents will be recognised and enforced in its jurisdiction of incorporation; and</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183"/>
        </w:numPr>
        <w:rPr>
          <w:rFonts w:ascii="Arial" w:cs="Arial" w:eastAsia="Arial" w:hAnsi="Arial"/>
          <w:sz w:val="18"/>
          <w:szCs w:val="18"/>
          <w:color w:val="auto"/>
        </w:rPr>
      </w:pPr>
      <w:r>
        <w:rPr>
          <w:rFonts w:ascii="Arial" w:cs="Arial" w:eastAsia="Arial" w:hAnsi="Arial"/>
          <w:sz w:val="16"/>
          <w:szCs w:val="16"/>
          <w:color w:val="auto"/>
        </w:rPr>
        <w:t>any judgment obtained in England in relation to a Finance Document will be recognised and enforced in its jurisdiction of incorporation.</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5"/>
          <w:szCs w:val="15"/>
          <w:b w:val="1"/>
          <w:bCs w:val="1"/>
          <w:color w:val="auto"/>
        </w:rPr>
        <w:t>Insolvency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t>
      </w:r>
    </w:p>
    <w:p>
      <w:pPr>
        <w:spacing w:after="0" w:line="239" w:lineRule="exact"/>
        <w:rPr>
          <w:sz w:val="20"/>
          <w:szCs w:val="20"/>
          <w:color w:val="auto"/>
        </w:rPr>
      </w:pPr>
    </w:p>
    <w:p>
      <w:pPr>
        <w:ind w:left="5540" w:right="460" w:hanging="4884"/>
        <w:spacing w:after="0" w:line="720" w:lineRule="auto"/>
        <w:tabs>
          <w:tab w:leader="none" w:pos="1310" w:val="left"/>
        </w:tabs>
        <w:numPr>
          <w:ilvl w:val="0"/>
          <w:numId w:val="184"/>
        </w:numPr>
        <w:rPr>
          <w:rFonts w:ascii="Arial" w:cs="Arial" w:eastAsia="Arial" w:hAnsi="Arial"/>
          <w:sz w:val="20"/>
          <w:szCs w:val="20"/>
          <w:color w:val="auto"/>
        </w:rPr>
      </w:pPr>
      <w:r>
        <w:rPr>
          <w:rFonts w:ascii="Arial" w:cs="Arial" w:eastAsia="Arial" w:hAnsi="Arial"/>
          <w:sz w:val="18"/>
          <w:szCs w:val="18"/>
          <w:color w:val="auto"/>
        </w:rPr>
        <w:t>corporate action, legal proceeding or other procedure or step described in paragraph (a) of Clause 21.7 (</w:t>
      </w:r>
      <w:r>
        <w:rPr>
          <w:rFonts w:ascii="Arial" w:cs="Arial" w:eastAsia="Arial" w:hAnsi="Arial"/>
          <w:sz w:val="18"/>
          <w:szCs w:val="18"/>
          <w:i w:val="1"/>
          <w:iCs w:val="1"/>
          <w:color w:val="auto"/>
        </w:rPr>
        <w:t>Insolvency Proceedings</w:t>
      </w:r>
      <w:r>
        <w:rPr>
          <w:rFonts w:ascii="Arial" w:cs="Arial" w:eastAsia="Arial" w:hAnsi="Arial"/>
          <w:sz w:val="18"/>
          <w:szCs w:val="18"/>
          <w:color w:val="auto"/>
        </w:rPr>
        <w:t>); or 41</w:t>
      </w:r>
    </w:p>
    <w:p>
      <w:pPr>
        <w:sectPr>
          <w:pgSz w:w="11900" w:h="16838" w:orient="portrait"/>
          <w:cols w:equalWidth="0" w:num="1">
            <w:col w:w="11240"/>
          </w:cols>
          <w:pgMar w:left="320" w:top="355" w:right="339" w:bottom="1440" w:gutter="0" w:footer="0" w:header="0"/>
        </w:sectPr>
      </w:pPr>
    </w:p>
    <w:bookmarkStart w:id="69" w:name="page70"/>
    <w:bookmarkEnd w:id="69"/>
    <w:p>
      <w:pPr>
        <w:ind w:left="1300" w:hanging="644"/>
        <w:spacing w:after="0"/>
        <w:tabs>
          <w:tab w:leader="none" w:pos="1300" w:val="left"/>
        </w:tabs>
        <w:numPr>
          <w:ilvl w:val="0"/>
          <w:numId w:val="185"/>
        </w:numPr>
        <w:rPr>
          <w:rFonts w:ascii="Arial" w:cs="Arial" w:eastAsia="Arial" w:hAnsi="Arial"/>
          <w:sz w:val="20"/>
          <w:szCs w:val="20"/>
          <w:color w:val="auto"/>
        </w:rPr>
      </w:pPr>
      <w:r>
        <w:rPr>
          <w:rFonts w:ascii="Arial" w:cs="Arial" w:eastAsia="Arial" w:hAnsi="Arial"/>
          <w:sz w:val="18"/>
          <w:szCs w:val="18"/>
          <w:color w:val="auto"/>
        </w:rPr>
        <w:t>creditors' process described in Clause 21.8 (</w:t>
      </w:r>
      <w:r>
        <w:rPr>
          <w:rFonts w:ascii="Arial" w:cs="Arial" w:eastAsia="Arial" w:hAnsi="Arial"/>
          <w:sz w:val="18"/>
          <w:szCs w:val="18"/>
          <w:i w:val="1"/>
          <w:iCs w:val="1"/>
          <w:color w:val="auto"/>
        </w:rPr>
        <w:t>Creditor’s process</w:t>
      </w:r>
      <w:r>
        <w:rPr>
          <w:rFonts w:ascii="Arial" w:cs="Arial" w:eastAsia="Arial" w:hAnsi="Arial"/>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has been taken or, to its knowledge, threatened in relation to the Company or any Material Subsidiary; and</w:t>
      </w:r>
    </w:p>
    <w:p>
      <w:pPr>
        <w:spacing w:after="0" w:line="239" w:lineRule="exact"/>
        <w:rPr>
          <w:sz w:val="20"/>
          <w:szCs w:val="20"/>
          <w:color w:val="auto"/>
        </w:rPr>
      </w:pPr>
    </w:p>
    <w:p>
      <w:pPr>
        <w:ind w:left="1260" w:hanging="604"/>
        <w:spacing w:after="0"/>
        <w:tabs>
          <w:tab w:leader="none" w:pos="1260" w:val="left"/>
        </w:tabs>
        <w:numPr>
          <w:ilvl w:val="0"/>
          <w:numId w:val="186"/>
        </w:numPr>
        <w:rPr>
          <w:rFonts w:ascii="Arial" w:cs="Arial" w:eastAsia="Arial" w:hAnsi="Arial"/>
          <w:sz w:val="20"/>
          <w:szCs w:val="20"/>
          <w:color w:val="auto"/>
        </w:rPr>
      </w:pPr>
      <w:r>
        <w:rPr>
          <w:rFonts w:ascii="Arial" w:cs="Arial" w:eastAsia="Arial" w:hAnsi="Arial"/>
          <w:sz w:val="18"/>
          <w:szCs w:val="18"/>
          <w:color w:val="auto"/>
        </w:rPr>
        <w:t>none of the circumstances described in Clause 21.6 (</w:t>
      </w:r>
      <w:r>
        <w:rPr>
          <w:rFonts w:ascii="Arial" w:cs="Arial" w:eastAsia="Arial" w:hAnsi="Arial"/>
          <w:sz w:val="18"/>
          <w:szCs w:val="18"/>
          <w:i w:val="1"/>
          <w:iCs w:val="1"/>
          <w:color w:val="auto"/>
        </w:rPr>
        <w:t>Insolvency</w:t>
      </w:r>
      <w:r>
        <w:rPr>
          <w:rFonts w:ascii="Arial" w:cs="Arial" w:eastAsia="Arial" w:hAnsi="Arial"/>
          <w:sz w:val="18"/>
          <w:szCs w:val="18"/>
          <w:color w:val="auto"/>
        </w:rPr>
        <w:t>) applies to a the Company or any Material Subsidiary; and</w:t>
      </w:r>
    </w:p>
    <w:p>
      <w:pPr>
        <w:spacing w:after="0" w:line="188"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186"/>
        </w:numPr>
        <w:rPr>
          <w:rFonts w:ascii="Arial" w:cs="Arial" w:eastAsia="Arial" w:hAnsi="Arial"/>
          <w:sz w:val="20"/>
          <w:szCs w:val="20"/>
          <w:color w:val="auto"/>
        </w:rPr>
      </w:pPr>
      <w:r>
        <w:rPr>
          <w:rFonts w:ascii="Arial" w:cs="Arial" w:eastAsia="Arial" w:hAnsi="Arial"/>
          <w:sz w:val="18"/>
          <w:szCs w:val="18"/>
          <w:color w:val="auto"/>
        </w:rPr>
        <w:t>none of the circumstances set out in Article 2446 and Article 2447 of the Italian Civil Code exists with respect to any Material Subsidiary incorporated under the laws of Italy.</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17.9</w:t>
      </w:r>
      <w:r>
        <w:rPr>
          <w:sz w:val="20"/>
          <w:szCs w:val="20"/>
          <w:color w:val="auto"/>
        </w:rPr>
        <w:tab/>
      </w:r>
      <w:r>
        <w:rPr>
          <w:rFonts w:ascii="Arial" w:cs="Arial" w:eastAsia="Arial" w:hAnsi="Arial"/>
          <w:sz w:val="16"/>
          <w:szCs w:val="16"/>
          <w:b w:val="1"/>
          <w:bCs w:val="1"/>
          <w:color w:val="auto"/>
        </w:rPr>
        <w:t>No filing or stamp taxes</w:t>
      </w:r>
    </w:p>
    <w:p>
      <w:pPr>
        <w:spacing w:after="0" w:line="19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17.10</w:t>
      </w:r>
      <w:r>
        <w:rPr>
          <w:sz w:val="20"/>
          <w:szCs w:val="20"/>
          <w:color w:val="auto"/>
        </w:rPr>
        <w:tab/>
      </w:r>
      <w:r>
        <w:rPr>
          <w:rFonts w:ascii="Arial" w:cs="Arial" w:eastAsia="Arial" w:hAnsi="Arial"/>
          <w:sz w:val="16"/>
          <w:szCs w:val="16"/>
          <w:b w:val="1"/>
          <w:bCs w:val="1"/>
          <w:color w:val="auto"/>
        </w:rPr>
        <w:t>Deduction of Tax</w:t>
      </w:r>
    </w:p>
    <w:p>
      <w:pPr>
        <w:spacing w:after="0" w:line="205" w:lineRule="exact"/>
        <w:rPr>
          <w:sz w:val="20"/>
          <w:szCs w:val="20"/>
          <w:color w:val="auto"/>
        </w:rPr>
      </w:pPr>
    </w:p>
    <w:p>
      <w:pPr>
        <w:ind w:left="1280" w:right="20" w:hanging="624"/>
        <w:spacing w:after="0" w:line="266" w:lineRule="auto"/>
        <w:tabs>
          <w:tab w:leader="none" w:pos="1262" w:val="left"/>
        </w:tabs>
        <w:numPr>
          <w:ilvl w:val="0"/>
          <w:numId w:val="187"/>
        </w:numPr>
        <w:rPr>
          <w:rFonts w:ascii="Arial" w:cs="Arial" w:eastAsia="Arial" w:hAnsi="Arial"/>
          <w:sz w:val="20"/>
          <w:szCs w:val="20"/>
          <w:color w:val="auto"/>
        </w:rPr>
      </w:pPr>
      <w:r>
        <w:rPr>
          <w:rFonts w:ascii="Arial" w:cs="Arial" w:eastAsia="Arial" w:hAnsi="Arial"/>
          <w:sz w:val="18"/>
          <w:szCs w:val="18"/>
          <w:color w:val="auto"/>
        </w:rPr>
        <w:t>It is not required to make any Tax Deduction (as defined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 on account of Tax imposed by the UK from any payment it may make under any Finance Document to a Lender which is:</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187"/>
        </w:numPr>
        <w:rPr>
          <w:rFonts w:ascii="Arial" w:cs="Arial" w:eastAsia="Arial" w:hAnsi="Arial"/>
          <w:sz w:val="20"/>
          <w:szCs w:val="20"/>
          <w:color w:val="auto"/>
        </w:rPr>
      </w:pPr>
      <w:r>
        <w:rPr>
          <w:rFonts w:ascii="Arial" w:cs="Arial" w:eastAsia="Arial" w:hAnsi="Arial"/>
          <w:sz w:val="18"/>
          <w:szCs w:val="18"/>
          <w:color w:val="auto"/>
        </w:rPr>
        <w:t>a UK Qualifying Lender:</w:t>
      </w:r>
    </w:p>
    <w:p>
      <w:pPr>
        <w:spacing w:after="0" w:line="188" w:lineRule="exact"/>
        <w:rPr>
          <w:rFonts w:ascii="Arial" w:cs="Arial" w:eastAsia="Arial" w:hAnsi="Arial"/>
          <w:sz w:val="20"/>
          <w:szCs w:val="20"/>
          <w:color w:val="auto"/>
        </w:rPr>
      </w:pPr>
    </w:p>
    <w:p>
      <w:pPr>
        <w:ind w:left="2540" w:hanging="615"/>
        <w:spacing w:after="0"/>
        <w:tabs>
          <w:tab w:leader="none" w:pos="2540" w:val="left"/>
        </w:tabs>
        <w:numPr>
          <w:ilvl w:val="2"/>
          <w:numId w:val="187"/>
        </w:numPr>
        <w:rPr>
          <w:rFonts w:ascii="Arial" w:cs="Arial" w:eastAsia="Arial" w:hAnsi="Arial"/>
          <w:sz w:val="20"/>
          <w:szCs w:val="20"/>
          <w:color w:val="auto"/>
        </w:rPr>
      </w:pPr>
      <w:r>
        <w:rPr>
          <w:rFonts w:ascii="Arial" w:cs="Arial" w:eastAsia="Arial" w:hAnsi="Arial"/>
          <w:sz w:val="18"/>
          <w:szCs w:val="18"/>
          <w:color w:val="auto"/>
        </w:rPr>
        <w:t>falling within paragraph (a)(i) of the definition of “UK Qualifying Lender”; or</w:t>
      </w:r>
    </w:p>
    <w:p>
      <w:pPr>
        <w:spacing w:after="0" w:line="188" w:lineRule="exact"/>
        <w:rPr>
          <w:rFonts w:ascii="Arial" w:cs="Arial" w:eastAsia="Arial" w:hAnsi="Arial"/>
          <w:sz w:val="20"/>
          <w:szCs w:val="20"/>
          <w:color w:val="auto"/>
        </w:rPr>
      </w:pPr>
    </w:p>
    <w:p>
      <w:pPr>
        <w:ind w:left="2560" w:hanging="635"/>
        <w:spacing w:after="0" w:line="266" w:lineRule="auto"/>
        <w:tabs>
          <w:tab w:leader="none" w:pos="2542" w:val="left"/>
        </w:tabs>
        <w:numPr>
          <w:ilvl w:val="2"/>
          <w:numId w:val="187"/>
        </w:numPr>
        <w:rPr>
          <w:rFonts w:ascii="Arial" w:cs="Arial" w:eastAsia="Arial" w:hAnsi="Arial"/>
          <w:sz w:val="20"/>
          <w:szCs w:val="20"/>
          <w:color w:val="auto"/>
        </w:rPr>
      </w:pPr>
      <w:r>
        <w:rPr>
          <w:rFonts w:ascii="Arial" w:cs="Arial" w:eastAsia="Arial" w:hAnsi="Arial"/>
          <w:sz w:val="18"/>
          <w:szCs w:val="18"/>
          <w:color w:val="auto"/>
        </w:rPr>
        <w:t>except where a Direction has been given under section 931 of the ITA in relation to the payment concerned, falling within paragraph (a)(ii) of the definition of “UK Qualifying Lender”; or</w:t>
      </w:r>
    </w:p>
    <w:p>
      <w:pPr>
        <w:spacing w:after="0" w:line="163" w:lineRule="exact"/>
        <w:rPr>
          <w:rFonts w:ascii="Arial" w:cs="Arial" w:eastAsia="Arial" w:hAnsi="Arial"/>
          <w:sz w:val="20"/>
          <w:szCs w:val="20"/>
          <w:color w:val="auto"/>
        </w:rPr>
      </w:pPr>
    </w:p>
    <w:p>
      <w:pPr>
        <w:ind w:left="2540" w:hanging="615"/>
        <w:spacing w:after="0"/>
        <w:tabs>
          <w:tab w:leader="none" w:pos="2540" w:val="left"/>
        </w:tabs>
        <w:numPr>
          <w:ilvl w:val="2"/>
          <w:numId w:val="187"/>
        </w:numPr>
        <w:rPr>
          <w:rFonts w:ascii="Arial" w:cs="Arial" w:eastAsia="Arial" w:hAnsi="Arial"/>
          <w:sz w:val="20"/>
          <w:szCs w:val="20"/>
          <w:color w:val="auto"/>
        </w:rPr>
      </w:pPr>
      <w:r>
        <w:rPr>
          <w:rFonts w:ascii="Arial" w:cs="Arial" w:eastAsia="Arial" w:hAnsi="Arial"/>
          <w:sz w:val="18"/>
          <w:szCs w:val="18"/>
          <w:color w:val="auto"/>
        </w:rPr>
        <w:t>falling within paragraph (b) of the definition of “UK Qualifying Lender”; or</w:t>
      </w:r>
    </w:p>
    <w:p>
      <w:pPr>
        <w:spacing w:after="0" w:line="188" w:lineRule="exact"/>
        <w:rPr>
          <w:rFonts w:ascii="Arial" w:cs="Arial" w:eastAsia="Arial" w:hAnsi="Arial"/>
          <w:sz w:val="20"/>
          <w:szCs w:val="20"/>
          <w:color w:val="auto"/>
        </w:rPr>
      </w:pPr>
    </w:p>
    <w:p>
      <w:pPr>
        <w:ind w:left="1920" w:hanging="643"/>
        <w:spacing w:after="0" w:line="296" w:lineRule="auto"/>
        <w:tabs>
          <w:tab w:leader="none" w:pos="1920" w:val="left"/>
        </w:tabs>
        <w:numPr>
          <w:ilvl w:val="1"/>
          <w:numId w:val="187"/>
        </w:numPr>
        <w:rPr>
          <w:rFonts w:ascii="Arial" w:cs="Arial" w:eastAsia="Arial" w:hAnsi="Arial"/>
          <w:sz w:val="19"/>
          <w:szCs w:val="19"/>
          <w:color w:val="auto"/>
        </w:rPr>
      </w:pPr>
      <w:r>
        <w:rPr>
          <w:rFonts w:ascii="Arial" w:cs="Arial" w:eastAsia="Arial" w:hAnsi="Arial"/>
          <w:sz w:val="17"/>
          <w:szCs w:val="17"/>
          <w:color w:val="auto"/>
        </w:rPr>
        <w:t>a UK Treaty Lender and the payment is one specified in a direction given by the Commissioners of Revenue &amp; Customs under Regulation 2 of the Double Taxation Relief (Taxes on Income) (General) Regulations 1970 (SI 1970/488).</w:t>
      </w:r>
    </w:p>
    <w:p>
      <w:pPr>
        <w:spacing w:after="0" w:line="137" w:lineRule="exact"/>
        <w:rPr>
          <w:rFonts w:ascii="Arial" w:cs="Arial" w:eastAsia="Arial" w:hAnsi="Arial"/>
          <w:sz w:val="19"/>
          <w:szCs w:val="19"/>
          <w:color w:val="auto"/>
        </w:rPr>
      </w:pPr>
    </w:p>
    <w:p>
      <w:pPr>
        <w:ind w:left="1280" w:hanging="624"/>
        <w:spacing w:after="0" w:line="329" w:lineRule="auto"/>
        <w:tabs>
          <w:tab w:leader="none" w:pos="1262" w:val="left"/>
        </w:tabs>
        <w:numPr>
          <w:ilvl w:val="0"/>
          <w:numId w:val="187"/>
        </w:numPr>
        <w:rPr>
          <w:rFonts w:ascii="Arial" w:cs="Arial" w:eastAsia="Arial" w:hAnsi="Arial"/>
          <w:sz w:val="18"/>
          <w:szCs w:val="18"/>
          <w:color w:val="auto"/>
        </w:rPr>
      </w:pPr>
      <w:r>
        <w:rPr>
          <w:rFonts w:ascii="Arial" w:cs="Arial" w:eastAsia="Arial" w:hAnsi="Arial"/>
          <w:sz w:val="16"/>
          <w:szCs w:val="16"/>
          <w:color w:val="auto"/>
        </w:rPr>
        <w:t>It is not required to make any Tax Deduction (as defined in Clause 12.1 (</w:t>
      </w:r>
      <w:r>
        <w:rPr>
          <w:rFonts w:ascii="Arial" w:cs="Arial" w:eastAsia="Arial" w:hAnsi="Arial"/>
          <w:sz w:val="16"/>
          <w:szCs w:val="16"/>
          <w:i w:val="1"/>
          <w:iCs w:val="1"/>
          <w:color w:val="auto"/>
        </w:rPr>
        <w:t>Definitions</w:t>
      </w:r>
      <w:r>
        <w:rPr>
          <w:rFonts w:ascii="Arial" w:cs="Arial" w:eastAsia="Arial" w:hAnsi="Arial"/>
          <w:sz w:val="16"/>
          <w:szCs w:val="16"/>
          <w:color w:val="auto"/>
        </w:rPr>
        <w:t>)) on account of Tax imposed by Italy from any interest payment it may make in respect of an advance under any Finance Document to a Lender which is an Italian Qualifying Lender.</w:t>
      </w:r>
    </w:p>
    <w:p>
      <w:pPr>
        <w:spacing w:after="0" w:line="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17.11</w:t>
      </w:r>
      <w:r>
        <w:rPr>
          <w:sz w:val="20"/>
          <w:szCs w:val="20"/>
          <w:color w:val="auto"/>
        </w:rPr>
        <w:tab/>
      </w:r>
      <w:r>
        <w:rPr>
          <w:rFonts w:ascii="Arial" w:cs="Arial" w:eastAsia="Arial" w:hAnsi="Arial"/>
          <w:sz w:val="16"/>
          <w:szCs w:val="16"/>
          <w:b w:val="1"/>
          <w:bCs w:val="1"/>
          <w:color w:val="auto"/>
        </w:rPr>
        <w:t>No default</w:t>
      </w:r>
    </w:p>
    <w:p>
      <w:pPr>
        <w:spacing w:after="0" w:line="205" w:lineRule="exact"/>
        <w:rPr>
          <w:sz w:val="20"/>
          <w:szCs w:val="20"/>
          <w:color w:val="auto"/>
        </w:rPr>
      </w:pPr>
    </w:p>
    <w:p>
      <w:pPr>
        <w:ind w:left="1260" w:hanging="604"/>
        <w:spacing w:after="0"/>
        <w:tabs>
          <w:tab w:leader="none" w:pos="1260" w:val="left"/>
        </w:tabs>
        <w:numPr>
          <w:ilvl w:val="0"/>
          <w:numId w:val="188"/>
        </w:numPr>
        <w:rPr>
          <w:rFonts w:ascii="Arial" w:cs="Arial" w:eastAsia="Arial" w:hAnsi="Arial"/>
          <w:sz w:val="20"/>
          <w:szCs w:val="20"/>
          <w:color w:val="auto"/>
        </w:rPr>
      </w:pPr>
      <w:r>
        <w:rPr>
          <w:rFonts w:ascii="Arial" w:cs="Arial" w:eastAsia="Arial" w:hAnsi="Arial"/>
          <w:sz w:val="18"/>
          <w:szCs w:val="18"/>
          <w:color w:val="auto"/>
        </w:rPr>
        <w:t>No Event of Default is continuing or might reasonably be expected to result from the making of any Utilisation.</w:t>
      </w:r>
    </w:p>
    <w:p>
      <w:pPr>
        <w:spacing w:after="0" w:line="188"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188"/>
        </w:numPr>
        <w:rPr>
          <w:rFonts w:ascii="Arial" w:cs="Arial" w:eastAsia="Arial" w:hAnsi="Arial"/>
          <w:sz w:val="20"/>
          <w:szCs w:val="20"/>
          <w:color w:val="auto"/>
        </w:rPr>
      </w:pPr>
      <w:r>
        <w:rPr>
          <w:rFonts w:ascii="Arial" w:cs="Arial" w:eastAsia="Arial" w:hAnsi="Arial"/>
          <w:sz w:val="18"/>
          <w:szCs w:val="18"/>
          <w:color w:val="auto"/>
        </w:rPr>
        <w:t>No other event or circumstance is outstanding which constitutes a default under any other agreement or instrument which is binding on it or any of its Material Subsidiaries or to which its (or any of its Material Subsidiaries') assets are subject which would have a Material Adverse Effect.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55" w:right="339" w:bottom="1440" w:gutter="0" w:footer="0" w:header="0"/>
        </w:sectPr>
      </w:pPr>
    </w:p>
    <w:bookmarkStart w:id="70" w:name="page71"/>
    <w:bookmarkEnd w:id="70"/>
    <w:p>
      <w:pPr>
        <w:spacing w:after="0"/>
        <w:tabs>
          <w:tab w:leader="none" w:pos="600" w:val="left"/>
        </w:tabs>
        <w:rPr>
          <w:sz w:val="20"/>
          <w:szCs w:val="20"/>
          <w:color w:val="auto"/>
        </w:rPr>
      </w:pPr>
      <w:r>
        <w:rPr>
          <w:rFonts w:ascii="Arial" w:cs="Arial" w:eastAsia="Arial" w:hAnsi="Arial"/>
          <w:sz w:val="20"/>
          <w:szCs w:val="20"/>
          <w:color w:val="auto"/>
        </w:rPr>
        <w:t>17.12</w:t>
      </w:r>
      <w:r>
        <w:rPr>
          <w:sz w:val="20"/>
          <w:szCs w:val="20"/>
          <w:color w:val="auto"/>
        </w:rPr>
        <w:tab/>
      </w:r>
      <w:r>
        <w:rPr>
          <w:rFonts w:ascii="Arial" w:cs="Arial" w:eastAsia="Arial" w:hAnsi="Arial"/>
          <w:sz w:val="16"/>
          <w:szCs w:val="16"/>
          <w:b w:val="1"/>
          <w:bCs w:val="1"/>
          <w:color w:val="auto"/>
        </w:rPr>
        <w:t>No misleading information</w:t>
      </w:r>
    </w:p>
    <w:p>
      <w:pPr>
        <w:spacing w:after="0" w:line="205" w:lineRule="exact"/>
        <w:rPr>
          <w:sz w:val="20"/>
          <w:szCs w:val="20"/>
          <w:color w:val="auto"/>
        </w:rPr>
      </w:pPr>
    </w:p>
    <w:p>
      <w:pPr>
        <w:ind w:left="1300" w:hanging="644"/>
        <w:spacing w:after="0" w:line="266" w:lineRule="auto"/>
        <w:tabs>
          <w:tab w:leader="none" w:pos="1300" w:val="left"/>
        </w:tabs>
        <w:numPr>
          <w:ilvl w:val="0"/>
          <w:numId w:val="189"/>
        </w:numPr>
        <w:rPr>
          <w:rFonts w:ascii="Arial" w:cs="Arial" w:eastAsia="Arial" w:hAnsi="Arial"/>
          <w:sz w:val="20"/>
          <w:szCs w:val="20"/>
          <w:color w:val="auto"/>
        </w:rPr>
      </w:pPr>
      <w:r>
        <w:rPr>
          <w:rFonts w:ascii="Arial" w:cs="Arial" w:eastAsia="Arial" w:hAnsi="Arial"/>
          <w:sz w:val="18"/>
          <w:szCs w:val="18"/>
          <w:color w:val="auto"/>
        </w:rPr>
        <w:t>Any material factual information provided by any member of the Group to the Lender was true and accurate in all material respects as at the date it was provided or as at the date (if any) at which it is stated.</w:t>
      </w:r>
    </w:p>
    <w:p>
      <w:pPr>
        <w:spacing w:after="0" w:line="163" w:lineRule="exact"/>
        <w:rPr>
          <w:rFonts w:ascii="Arial" w:cs="Arial" w:eastAsia="Arial" w:hAnsi="Arial"/>
          <w:sz w:val="20"/>
          <w:szCs w:val="20"/>
          <w:color w:val="auto"/>
        </w:rPr>
      </w:pPr>
    </w:p>
    <w:p>
      <w:pPr>
        <w:ind w:left="1300" w:hanging="644"/>
        <w:spacing w:after="0" w:line="266" w:lineRule="auto"/>
        <w:tabs>
          <w:tab w:leader="none" w:pos="1300" w:val="left"/>
        </w:tabs>
        <w:numPr>
          <w:ilvl w:val="0"/>
          <w:numId w:val="189"/>
        </w:numPr>
        <w:rPr>
          <w:rFonts w:ascii="Arial" w:cs="Arial" w:eastAsia="Arial" w:hAnsi="Arial"/>
          <w:sz w:val="20"/>
          <w:szCs w:val="20"/>
          <w:color w:val="auto"/>
        </w:rPr>
      </w:pPr>
      <w:r>
        <w:rPr>
          <w:rFonts w:ascii="Arial" w:cs="Arial" w:eastAsia="Arial" w:hAnsi="Arial"/>
          <w:sz w:val="18"/>
          <w:szCs w:val="18"/>
          <w:color w:val="auto"/>
        </w:rPr>
        <w:t>The financial projections provided by the Group to the Lender have been prepared on the basis of recent historical information and on the basis of reasonable assumptions.</w:t>
      </w:r>
    </w:p>
    <w:p>
      <w:pPr>
        <w:spacing w:after="0" w:line="163" w:lineRule="exact"/>
        <w:rPr>
          <w:rFonts w:ascii="Arial" w:cs="Arial" w:eastAsia="Arial" w:hAnsi="Arial"/>
          <w:sz w:val="20"/>
          <w:szCs w:val="20"/>
          <w:color w:val="auto"/>
        </w:rPr>
      </w:pPr>
    </w:p>
    <w:p>
      <w:pPr>
        <w:ind w:left="1300" w:hanging="644"/>
        <w:spacing w:after="0" w:line="296" w:lineRule="auto"/>
        <w:tabs>
          <w:tab w:leader="none" w:pos="1300" w:val="left"/>
        </w:tabs>
        <w:numPr>
          <w:ilvl w:val="0"/>
          <w:numId w:val="189"/>
        </w:numPr>
        <w:rPr>
          <w:rFonts w:ascii="Arial" w:cs="Arial" w:eastAsia="Arial" w:hAnsi="Arial"/>
          <w:sz w:val="19"/>
          <w:szCs w:val="19"/>
          <w:color w:val="auto"/>
        </w:rPr>
      </w:pPr>
      <w:r>
        <w:rPr>
          <w:rFonts w:ascii="Arial" w:cs="Arial" w:eastAsia="Arial" w:hAnsi="Arial"/>
          <w:sz w:val="17"/>
          <w:szCs w:val="17"/>
          <w:color w:val="auto"/>
        </w:rPr>
        <w:t>Nothing has occurred since the date that any such information was provided or been omitted from such information provided and no information has been given or withheld that results in the information provided being untrue or misleading in any material respect.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representations and warranties in this paragraph are made by the Company only so far as it is aware having made due and careful enquiries.</w:t>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17.13</w:t>
      </w:r>
      <w:r>
        <w:rPr>
          <w:sz w:val="20"/>
          <w:szCs w:val="20"/>
          <w:color w:val="auto"/>
        </w:rPr>
        <w:tab/>
      </w:r>
      <w:r>
        <w:rPr>
          <w:rFonts w:ascii="Arial" w:cs="Arial" w:eastAsia="Arial" w:hAnsi="Arial"/>
          <w:sz w:val="16"/>
          <w:szCs w:val="16"/>
          <w:b w:val="1"/>
          <w:bCs w:val="1"/>
          <w:color w:val="auto"/>
        </w:rPr>
        <w:t>Financial statements</w:t>
      </w:r>
    </w:p>
    <w:p>
      <w:pPr>
        <w:spacing w:after="0" w:line="205"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20"/>
          <w:szCs w:val="20"/>
          <w:color w:val="auto"/>
        </w:rPr>
      </w:pPr>
      <w:r>
        <w:rPr>
          <w:rFonts w:ascii="Arial" w:cs="Arial" w:eastAsia="Arial" w:hAnsi="Arial"/>
          <w:sz w:val="18"/>
          <w:szCs w:val="18"/>
          <w:color w:val="auto"/>
        </w:rPr>
        <w:t>Its Original Financial Statements were prepared in accordance with the Accounting Principles consistently applied.</w:t>
      </w:r>
    </w:p>
    <w:p>
      <w:pPr>
        <w:spacing w:after="0" w:line="188" w:lineRule="exact"/>
        <w:rPr>
          <w:rFonts w:ascii="Arial" w:cs="Arial" w:eastAsia="Arial" w:hAnsi="Arial"/>
          <w:sz w:val="20"/>
          <w:szCs w:val="20"/>
          <w:color w:val="auto"/>
        </w:rPr>
      </w:pPr>
    </w:p>
    <w:p>
      <w:pPr>
        <w:ind w:left="1300" w:hanging="644"/>
        <w:spacing w:after="0" w:line="266" w:lineRule="auto"/>
        <w:tabs>
          <w:tab w:leader="none" w:pos="1300" w:val="left"/>
        </w:tabs>
        <w:numPr>
          <w:ilvl w:val="0"/>
          <w:numId w:val="190"/>
        </w:numPr>
        <w:rPr>
          <w:rFonts w:ascii="Arial" w:cs="Arial" w:eastAsia="Arial" w:hAnsi="Arial"/>
          <w:sz w:val="20"/>
          <w:szCs w:val="20"/>
          <w:color w:val="auto"/>
        </w:rPr>
      </w:pPr>
      <w:r>
        <w:rPr>
          <w:rFonts w:ascii="Arial" w:cs="Arial" w:eastAsia="Arial" w:hAnsi="Arial"/>
          <w:sz w:val="18"/>
          <w:szCs w:val="18"/>
          <w:color w:val="auto"/>
        </w:rPr>
        <w:t>Its Original Financial Statements fairly represent its financial condition as at the end of the relevant financial year during the relevant financial year (consolidated in the case of the Company).</w:t>
      </w:r>
    </w:p>
    <w:p>
      <w:pPr>
        <w:spacing w:after="0" w:line="163" w:lineRule="exact"/>
        <w:rPr>
          <w:rFonts w:ascii="Arial" w:cs="Arial" w:eastAsia="Arial" w:hAnsi="Arial"/>
          <w:sz w:val="20"/>
          <w:szCs w:val="20"/>
          <w:color w:val="auto"/>
        </w:rPr>
      </w:pPr>
    </w:p>
    <w:p>
      <w:pPr>
        <w:ind w:left="1300" w:hanging="644"/>
        <w:spacing w:after="0" w:line="266" w:lineRule="auto"/>
        <w:tabs>
          <w:tab w:leader="none" w:pos="1300" w:val="left"/>
        </w:tabs>
        <w:numPr>
          <w:ilvl w:val="0"/>
          <w:numId w:val="190"/>
        </w:numPr>
        <w:rPr>
          <w:rFonts w:ascii="Arial" w:cs="Arial" w:eastAsia="Arial" w:hAnsi="Arial"/>
          <w:sz w:val="20"/>
          <w:szCs w:val="20"/>
          <w:color w:val="auto"/>
        </w:rPr>
      </w:pPr>
      <w:r>
        <w:rPr>
          <w:rFonts w:ascii="Arial" w:cs="Arial" w:eastAsia="Arial" w:hAnsi="Arial"/>
          <w:sz w:val="18"/>
          <w:szCs w:val="18"/>
          <w:color w:val="auto"/>
        </w:rPr>
        <w:t>There has been no material adverse change in the business or consolidated financial condition of the Group since the date of its Original Financial Statements.</w:t>
      </w:r>
    </w:p>
    <w:p>
      <w:pPr>
        <w:spacing w:after="0" w:line="163" w:lineRule="exact"/>
        <w:rPr>
          <w:rFonts w:ascii="Arial" w:cs="Arial" w:eastAsia="Arial" w:hAnsi="Arial"/>
          <w:sz w:val="20"/>
          <w:szCs w:val="20"/>
          <w:color w:val="auto"/>
        </w:rPr>
      </w:pPr>
    </w:p>
    <w:p>
      <w:pPr>
        <w:ind w:left="1300" w:hanging="644"/>
        <w:spacing w:after="0"/>
        <w:tabs>
          <w:tab w:leader="none" w:pos="1300" w:val="left"/>
        </w:tabs>
        <w:numPr>
          <w:ilvl w:val="0"/>
          <w:numId w:val="190"/>
        </w:numPr>
        <w:rPr>
          <w:rFonts w:ascii="Arial" w:cs="Arial" w:eastAsia="Arial" w:hAnsi="Arial"/>
          <w:sz w:val="20"/>
          <w:szCs w:val="20"/>
          <w:color w:val="auto"/>
        </w:rPr>
      </w:pPr>
      <w:r>
        <w:rPr>
          <w:rFonts w:ascii="Arial" w:cs="Arial" w:eastAsia="Arial" w:hAnsi="Arial"/>
          <w:sz w:val="18"/>
          <w:szCs w:val="18"/>
          <w:color w:val="auto"/>
        </w:rPr>
        <w:t>Its most recent financial statements required to be delivered in accordance with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88" w:lineRule="exact"/>
        <w:rPr>
          <w:rFonts w:ascii="Arial" w:cs="Arial" w:eastAsia="Arial" w:hAnsi="Arial"/>
          <w:sz w:val="20"/>
          <w:szCs w:val="20"/>
          <w:color w:val="auto"/>
        </w:rPr>
      </w:pPr>
    </w:p>
    <w:p>
      <w:pPr>
        <w:ind w:left="1960" w:hanging="656"/>
        <w:spacing w:after="0"/>
        <w:tabs>
          <w:tab w:leader="none" w:pos="1960" w:val="left"/>
        </w:tabs>
        <w:numPr>
          <w:ilvl w:val="1"/>
          <w:numId w:val="190"/>
        </w:numPr>
        <w:rPr>
          <w:rFonts w:ascii="Arial" w:cs="Arial" w:eastAsia="Arial" w:hAnsi="Arial"/>
          <w:sz w:val="19"/>
          <w:szCs w:val="19"/>
          <w:color w:val="auto"/>
        </w:rPr>
      </w:pPr>
      <w:r>
        <w:rPr>
          <w:rFonts w:ascii="Arial" w:cs="Arial" w:eastAsia="Arial" w:hAnsi="Arial"/>
          <w:sz w:val="17"/>
          <w:szCs w:val="17"/>
          <w:color w:val="auto"/>
        </w:rPr>
        <w:t>have been prepared in accordance with the Accounting Principles as applied to the Original Financial Statements; and</w:t>
      </w:r>
    </w:p>
    <w:p>
      <w:pPr>
        <w:spacing w:after="0" w:line="200" w:lineRule="exact"/>
        <w:rPr>
          <w:rFonts w:ascii="Arial" w:cs="Arial" w:eastAsia="Arial" w:hAnsi="Arial"/>
          <w:sz w:val="19"/>
          <w:szCs w:val="19"/>
          <w:color w:val="auto"/>
        </w:rPr>
      </w:pPr>
    </w:p>
    <w:p>
      <w:pPr>
        <w:ind w:left="1960" w:hanging="656"/>
        <w:spacing w:after="0" w:line="266" w:lineRule="auto"/>
        <w:tabs>
          <w:tab w:leader="none" w:pos="1960" w:val="left"/>
        </w:tabs>
        <w:numPr>
          <w:ilvl w:val="1"/>
          <w:numId w:val="190"/>
        </w:numPr>
        <w:rPr>
          <w:rFonts w:ascii="Arial" w:cs="Arial" w:eastAsia="Arial" w:hAnsi="Arial"/>
          <w:sz w:val="20"/>
          <w:szCs w:val="20"/>
          <w:color w:val="auto"/>
        </w:rPr>
      </w:pPr>
      <w:r>
        <w:rPr>
          <w:rFonts w:ascii="Arial" w:cs="Arial" w:eastAsia="Arial" w:hAnsi="Arial"/>
          <w:sz w:val="18"/>
          <w:szCs w:val="18"/>
          <w:color w:val="auto"/>
        </w:rPr>
        <w:t>fairly represent in all material respects its consolidated financial condition as at the end of, and consolidated results of operations for, the period to which they relate.</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17.14</w:t>
      </w:r>
      <w:r>
        <w:rPr>
          <w:sz w:val="20"/>
          <w:szCs w:val="20"/>
          <w:color w:val="auto"/>
        </w:rPr>
        <w:tab/>
      </w:r>
      <w:r>
        <w:rPr>
          <w:rFonts w:ascii="Arial" w:cs="Arial" w:eastAsia="Arial" w:hAnsi="Arial"/>
          <w:sz w:val="15"/>
          <w:szCs w:val="15"/>
          <w:b w:val="1"/>
          <w:bCs w:val="1"/>
          <w:color w:val="auto"/>
        </w:rPr>
        <w:t>No proceedings pending or threatened</w:t>
      </w:r>
    </w:p>
    <w:p>
      <w:pPr>
        <w:spacing w:after="0" w:line="191"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No litigation, arbitration or administrative proceedings of or before any court, arbitral body or agency which, if adversely determined, are reasonably likely to have a Material Adverse Effect has or have (to the best of its knowledge and belief) been started or threatened against it or any of its Subsidiaries.</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17.15</w:t>
      </w:r>
      <w:r>
        <w:rPr>
          <w:sz w:val="20"/>
          <w:szCs w:val="20"/>
          <w:color w:val="auto"/>
        </w:rPr>
        <w:tab/>
      </w:r>
      <w:r>
        <w:rPr>
          <w:rFonts w:ascii="Arial" w:cs="Arial" w:eastAsia="Arial" w:hAnsi="Arial"/>
          <w:sz w:val="16"/>
          <w:szCs w:val="16"/>
          <w:b w:val="1"/>
          <w:bCs w:val="1"/>
          <w:color w:val="auto"/>
        </w:rPr>
        <w:t>No breach of laws</w:t>
      </w:r>
    </w:p>
    <w:p>
      <w:pPr>
        <w:spacing w:after="0" w:line="205" w:lineRule="exact"/>
        <w:rPr>
          <w:sz w:val="20"/>
          <w:szCs w:val="20"/>
          <w:color w:val="auto"/>
        </w:rPr>
      </w:pPr>
    </w:p>
    <w:p>
      <w:pPr>
        <w:ind w:left="1300" w:hanging="644"/>
        <w:spacing w:after="0" w:line="266" w:lineRule="auto"/>
        <w:tabs>
          <w:tab w:leader="none" w:pos="1300" w:val="left"/>
        </w:tabs>
        <w:numPr>
          <w:ilvl w:val="0"/>
          <w:numId w:val="191"/>
        </w:numPr>
        <w:rPr>
          <w:rFonts w:ascii="Arial" w:cs="Arial" w:eastAsia="Arial" w:hAnsi="Arial"/>
          <w:sz w:val="20"/>
          <w:szCs w:val="20"/>
          <w:color w:val="auto"/>
        </w:rPr>
      </w:pPr>
      <w:r>
        <w:rPr>
          <w:rFonts w:ascii="Arial" w:cs="Arial" w:eastAsia="Arial" w:hAnsi="Arial"/>
          <w:sz w:val="18"/>
          <w:szCs w:val="18"/>
          <w:color w:val="auto"/>
        </w:rPr>
        <w:t>It has not (and none of its Subsidiaries has) breached any law or regulation which breach has or is reasonably likely to have a Material Adverse Effect.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39" w:right="339" w:bottom="1440" w:gutter="0" w:footer="0" w:header="0"/>
        </w:sectPr>
      </w:pPr>
    </w:p>
    <w:bookmarkStart w:id="71" w:name="page72"/>
    <w:bookmarkEnd w:id="71"/>
    <w:p>
      <w:pPr>
        <w:ind w:left="1300" w:right="20" w:hanging="644"/>
        <w:spacing w:after="0" w:line="266" w:lineRule="auto"/>
        <w:tabs>
          <w:tab w:leader="none" w:pos="130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No labour disputes are current or, to the best of its knowledge and belief (having made due and careful enquiry), threatened against any member of the Group which have or are reasonably likely to have a Material Adverse Effect.</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17.16</w:t>
      </w:r>
      <w:r>
        <w:rPr>
          <w:sz w:val="20"/>
          <w:szCs w:val="20"/>
          <w:color w:val="auto"/>
        </w:rPr>
        <w:tab/>
      </w:r>
      <w:r>
        <w:rPr>
          <w:rFonts w:ascii="Arial" w:cs="Arial" w:eastAsia="Arial" w:hAnsi="Arial"/>
          <w:sz w:val="16"/>
          <w:szCs w:val="16"/>
          <w:b w:val="1"/>
          <w:bCs w:val="1"/>
          <w:color w:val="auto"/>
        </w:rPr>
        <w:t>Environmental laws</w:t>
      </w:r>
    </w:p>
    <w:p>
      <w:pPr>
        <w:spacing w:after="0" w:line="205" w:lineRule="exact"/>
        <w:rPr>
          <w:sz w:val="20"/>
          <w:szCs w:val="20"/>
          <w:color w:val="auto"/>
        </w:rPr>
      </w:pPr>
    </w:p>
    <w:p>
      <w:pPr>
        <w:jc w:val="both"/>
        <w:ind w:left="1300" w:hanging="644"/>
        <w:spacing w:after="0" w:line="264" w:lineRule="auto"/>
        <w:tabs>
          <w:tab w:leader="none" w:pos="1300" w:val="left"/>
        </w:tabs>
        <w:numPr>
          <w:ilvl w:val="0"/>
          <w:numId w:val="193"/>
        </w:numPr>
        <w:rPr>
          <w:rFonts w:ascii="Arial" w:cs="Arial" w:eastAsia="Arial" w:hAnsi="Arial"/>
          <w:sz w:val="20"/>
          <w:szCs w:val="20"/>
          <w:color w:val="auto"/>
        </w:rPr>
      </w:pPr>
      <w:r>
        <w:rPr>
          <w:rFonts w:ascii="Arial" w:cs="Arial" w:eastAsia="Arial" w:hAnsi="Arial"/>
          <w:sz w:val="18"/>
          <w:szCs w:val="18"/>
          <w:color w:val="auto"/>
        </w:rPr>
        <w:t>Each member of the Group is in compliance with Clause 20.3 (</w:t>
      </w:r>
      <w:r>
        <w:rPr>
          <w:rFonts w:ascii="Arial" w:cs="Arial" w:eastAsia="Arial" w:hAnsi="Arial"/>
          <w:sz w:val="18"/>
          <w:szCs w:val="18"/>
          <w:i w:val="1"/>
          <w:iCs w:val="1"/>
          <w:color w:val="auto"/>
        </w:rPr>
        <w:t>Environmental Compliance</w:t>
      </w:r>
      <w:r>
        <w:rPr>
          <w:rFonts w:ascii="Arial" w:cs="Arial" w:eastAsia="Arial" w:hAnsi="Arial"/>
          <w:sz w:val="18"/>
          <w:szCs w:val="18"/>
          <w:color w:val="auto"/>
        </w:rPr>
        <w:t>) and to the best of its knowledge and belief (having made due and careful enquiry) no circumstances have occurred which would prevent such compliance in a manner or to an extent which has or is reasonably likely to have a Material Adverse Effect.</w:t>
      </w:r>
    </w:p>
    <w:p>
      <w:pPr>
        <w:spacing w:after="0" w:line="169" w:lineRule="exact"/>
        <w:rPr>
          <w:rFonts w:ascii="Arial" w:cs="Arial" w:eastAsia="Arial" w:hAnsi="Arial"/>
          <w:sz w:val="20"/>
          <w:szCs w:val="20"/>
          <w:color w:val="auto"/>
        </w:rPr>
      </w:pPr>
    </w:p>
    <w:p>
      <w:pPr>
        <w:jc w:val="both"/>
        <w:ind w:left="1300" w:hanging="644"/>
        <w:spacing w:after="0" w:line="264" w:lineRule="auto"/>
        <w:tabs>
          <w:tab w:leader="none" w:pos="1300" w:val="left"/>
        </w:tabs>
        <w:numPr>
          <w:ilvl w:val="0"/>
          <w:numId w:val="193"/>
        </w:numPr>
        <w:rPr>
          <w:rFonts w:ascii="Arial" w:cs="Arial" w:eastAsia="Arial" w:hAnsi="Arial"/>
          <w:sz w:val="20"/>
          <w:szCs w:val="20"/>
          <w:color w:val="auto"/>
        </w:rPr>
      </w:pPr>
      <w:r>
        <w:rPr>
          <w:rFonts w:ascii="Arial" w:cs="Arial" w:eastAsia="Arial" w:hAnsi="Arial"/>
          <w:sz w:val="18"/>
          <w:szCs w:val="18"/>
          <w:color w:val="auto"/>
        </w:rPr>
        <w:t>No Environmental Claim has been commenced or (to the best of its knowledge and belief (having made due and careful enquiry)) is threatened against any member of the Group where that claim has or is reasonably likely, if determined against that member of the Group, to have a Material Adverse Effect.</w:t>
      </w:r>
    </w:p>
    <w:p>
      <w:pPr>
        <w:spacing w:after="0" w:line="169" w:lineRule="exact"/>
        <w:rPr>
          <w:rFonts w:ascii="Arial" w:cs="Arial" w:eastAsia="Arial" w:hAnsi="Arial"/>
          <w:sz w:val="20"/>
          <w:szCs w:val="20"/>
          <w:color w:val="auto"/>
        </w:rPr>
      </w:pPr>
    </w:p>
    <w:p>
      <w:pPr>
        <w:ind w:left="1300" w:hanging="644"/>
        <w:spacing w:after="0" w:line="266" w:lineRule="auto"/>
        <w:tabs>
          <w:tab w:leader="none" w:pos="1300" w:val="left"/>
        </w:tabs>
        <w:numPr>
          <w:ilvl w:val="0"/>
          <w:numId w:val="193"/>
        </w:numPr>
        <w:rPr>
          <w:rFonts w:ascii="Arial" w:cs="Arial" w:eastAsia="Arial" w:hAnsi="Arial"/>
          <w:sz w:val="20"/>
          <w:szCs w:val="20"/>
          <w:color w:val="auto"/>
        </w:rPr>
      </w:pPr>
      <w:r>
        <w:rPr>
          <w:rFonts w:ascii="Arial" w:cs="Arial" w:eastAsia="Arial" w:hAnsi="Arial"/>
          <w:sz w:val="18"/>
          <w:szCs w:val="18"/>
          <w:color w:val="auto"/>
        </w:rPr>
        <w:t>The cost to the Group of compliance with Environmental Laws (including Environmental Permits) is (to the best of its knowledge and belief, having made due and careful enquiry) adequately provided for.</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17.17</w:t>
      </w:r>
      <w:r>
        <w:rPr>
          <w:sz w:val="20"/>
          <w:szCs w:val="20"/>
          <w:color w:val="auto"/>
        </w:rPr>
        <w:tab/>
      </w:r>
      <w:r>
        <w:rPr>
          <w:rFonts w:ascii="Arial" w:cs="Arial" w:eastAsia="Arial" w:hAnsi="Arial"/>
          <w:sz w:val="16"/>
          <w:szCs w:val="16"/>
          <w:b w:val="1"/>
          <w:bCs w:val="1"/>
          <w:color w:val="auto"/>
        </w:rPr>
        <w:t>Taxation</w:t>
      </w:r>
    </w:p>
    <w:p>
      <w:pPr>
        <w:spacing w:after="0" w:line="205" w:lineRule="exact"/>
        <w:rPr>
          <w:sz w:val="20"/>
          <w:szCs w:val="20"/>
          <w:color w:val="auto"/>
        </w:rPr>
      </w:pPr>
    </w:p>
    <w:p>
      <w:pPr>
        <w:ind w:left="1300" w:hanging="644"/>
        <w:spacing w:after="0" w:line="296" w:lineRule="auto"/>
        <w:tabs>
          <w:tab w:leader="none" w:pos="1300" w:val="left"/>
        </w:tabs>
        <w:numPr>
          <w:ilvl w:val="0"/>
          <w:numId w:val="194"/>
        </w:numPr>
        <w:rPr>
          <w:rFonts w:ascii="Arial" w:cs="Arial" w:eastAsia="Arial" w:hAnsi="Arial"/>
          <w:sz w:val="19"/>
          <w:szCs w:val="19"/>
          <w:color w:val="auto"/>
        </w:rPr>
      </w:pPr>
      <w:r>
        <w:rPr>
          <w:rFonts w:ascii="Arial" w:cs="Arial" w:eastAsia="Arial" w:hAnsi="Arial"/>
          <w:sz w:val="17"/>
          <w:szCs w:val="17"/>
          <w:color w:val="auto"/>
        </w:rPr>
        <w:t>It is not (and none of its Material Subsidiaries is) materially overdue in the filing of any Tax returns and it is not (and none of its Material Subsidiaries is) overdue in the payment of any material amount in respect of Tax unless and only to the extent that:</w:t>
      </w:r>
    </w:p>
    <w:p>
      <w:pPr>
        <w:spacing w:after="0" w:line="137" w:lineRule="exact"/>
        <w:rPr>
          <w:rFonts w:ascii="Arial" w:cs="Arial" w:eastAsia="Arial" w:hAnsi="Arial"/>
          <w:sz w:val="19"/>
          <w:szCs w:val="19"/>
          <w:color w:val="auto"/>
        </w:rPr>
      </w:pPr>
    </w:p>
    <w:p>
      <w:pPr>
        <w:ind w:left="1960" w:hanging="656"/>
        <w:spacing w:after="0"/>
        <w:tabs>
          <w:tab w:leader="none" w:pos="1960" w:val="left"/>
        </w:tabs>
        <w:numPr>
          <w:ilvl w:val="1"/>
          <w:numId w:val="194"/>
        </w:numPr>
        <w:rPr>
          <w:rFonts w:ascii="Arial" w:cs="Arial" w:eastAsia="Arial" w:hAnsi="Arial"/>
          <w:sz w:val="20"/>
          <w:szCs w:val="20"/>
          <w:color w:val="auto"/>
        </w:rPr>
      </w:pPr>
      <w:r>
        <w:rPr>
          <w:rFonts w:ascii="Arial" w:cs="Arial" w:eastAsia="Arial" w:hAnsi="Arial"/>
          <w:sz w:val="18"/>
          <w:szCs w:val="18"/>
          <w:color w:val="auto"/>
        </w:rPr>
        <w:t>such payment is being contested, postponed or compromised in good faith;</w:t>
      </w:r>
    </w:p>
    <w:p>
      <w:pPr>
        <w:spacing w:after="0" w:line="188" w:lineRule="exact"/>
        <w:rPr>
          <w:rFonts w:ascii="Arial" w:cs="Arial" w:eastAsia="Arial" w:hAnsi="Arial"/>
          <w:sz w:val="20"/>
          <w:szCs w:val="20"/>
          <w:color w:val="auto"/>
        </w:rPr>
      </w:pPr>
    </w:p>
    <w:p>
      <w:pPr>
        <w:ind w:left="1960" w:hanging="656"/>
        <w:spacing w:after="0"/>
        <w:tabs>
          <w:tab w:leader="none" w:pos="1960" w:val="left"/>
        </w:tabs>
        <w:numPr>
          <w:ilvl w:val="1"/>
          <w:numId w:val="194"/>
        </w:numPr>
        <w:rPr>
          <w:rFonts w:ascii="Arial" w:cs="Arial" w:eastAsia="Arial" w:hAnsi="Arial"/>
          <w:sz w:val="18"/>
          <w:szCs w:val="18"/>
          <w:color w:val="auto"/>
        </w:rPr>
      </w:pPr>
      <w:r>
        <w:rPr>
          <w:rFonts w:ascii="Arial" w:cs="Arial" w:eastAsia="Arial" w:hAnsi="Arial"/>
          <w:sz w:val="16"/>
          <w:szCs w:val="16"/>
          <w:color w:val="auto"/>
        </w:rPr>
        <w:t>adequate reserves are being maintained for those Taxes and the costs required to contest, postpone or compromise them; and</w:t>
      </w:r>
    </w:p>
    <w:p>
      <w:pPr>
        <w:spacing w:after="0" w:line="211" w:lineRule="exact"/>
        <w:rPr>
          <w:rFonts w:ascii="Arial" w:cs="Arial" w:eastAsia="Arial" w:hAnsi="Arial"/>
          <w:sz w:val="18"/>
          <w:szCs w:val="18"/>
          <w:color w:val="auto"/>
        </w:rPr>
      </w:pPr>
    </w:p>
    <w:p>
      <w:pPr>
        <w:ind w:left="1960" w:hanging="656"/>
        <w:spacing w:after="0" w:line="266" w:lineRule="auto"/>
        <w:tabs>
          <w:tab w:leader="none" w:pos="1960" w:val="left"/>
        </w:tabs>
        <w:numPr>
          <w:ilvl w:val="1"/>
          <w:numId w:val="194"/>
        </w:numPr>
        <w:rPr>
          <w:rFonts w:ascii="Arial" w:cs="Arial" w:eastAsia="Arial" w:hAnsi="Arial"/>
          <w:sz w:val="20"/>
          <w:szCs w:val="20"/>
          <w:color w:val="auto"/>
        </w:rPr>
      </w:pPr>
      <w:r>
        <w:rPr>
          <w:rFonts w:ascii="Arial" w:cs="Arial" w:eastAsia="Arial" w:hAnsi="Arial"/>
          <w:sz w:val="18"/>
          <w:szCs w:val="18"/>
          <w:color w:val="auto"/>
        </w:rPr>
        <w:t>such payment can be lawfully withheld and failure to pay those Taxes does not have, or to the Company's knowledge, would not reasonably be expected to have a Material Adverse Effect.</w:t>
      </w:r>
    </w:p>
    <w:p>
      <w:pPr>
        <w:spacing w:after="0" w:line="163" w:lineRule="exact"/>
        <w:rPr>
          <w:rFonts w:ascii="Arial" w:cs="Arial" w:eastAsia="Arial" w:hAnsi="Arial"/>
          <w:sz w:val="20"/>
          <w:szCs w:val="20"/>
          <w:color w:val="auto"/>
        </w:rPr>
      </w:pPr>
    </w:p>
    <w:p>
      <w:pPr>
        <w:jc w:val="both"/>
        <w:ind w:left="1300" w:hanging="644"/>
        <w:spacing w:after="0" w:line="286" w:lineRule="auto"/>
        <w:tabs>
          <w:tab w:leader="none" w:pos="1300" w:val="left"/>
        </w:tabs>
        <w:numPr>
          <w:ilvl w:val="0"/>
          <w:numId w:val="194"/>
        </w:numPr>
        <w:rPr>
          <w:rFonts w:ascii="Arial" w:cs="Arial" w:eastAsia="Arial" w:hAnsi="Arial"/>
          <w:sz w:val="19"/>
          <w:szCs w:val="19"/>
          <w:color w:val="auto"/>
        </w:rPr>
      </w:pPr>
      <w:r>
        <w:rPr>
          <w:rFonts w:ascii="Arial" w:cs="Arial" w:eastAsia="Arial" w:hAnsi="Arial"/>
          <w:sz w:val="17"/>
          <w:szCs w:val="17"/>
          <w:color w:val="auto"/>
        </w:rPr>
        <w:t>No claims or investigations that are not provided for in its latest financial statements are being made or conducted against it (or any of its Material Subsidiaries) with respect to Taxes such that a liability of the Company or any Material Subsidiary of USD 20,000,000 (or its equivalent in any other currency) or more is reasonably likely to arise upon a final determination of that claim or investigation.</w:t>
      </w:r>
    </w:p>
    <w:p>
      <w:pPr>
        <w:spacing w:after="0" w:line="151" w:lineRule="exact"/>
        <w:rPr>
          <w:rFonts w:ascii="Arial" w:cs="Arial" w:eastAsia="Arial" w:hAnsi="Arial"/>
          <w:sz w:val="19"/>
          <w:szCs w:val="19"/>
          <w:color w:val="auto"/>
        </w:rPr>
      </w:pPr>
    </w:p>
    <w:p>
      <w:pPr>
        <w:ind w:left="1300" w:hanging="644"/>
        <w:spacing w:after="0" w:line="266" w:lineRule="auto"/>
        <w:tabs>
          <w:tab w:leader="none" w:pos="1300" w:val="left"/>
        </w:tabs>
        <w:numPr>
          <w:ilvl w:val="0"/>
          <w:numId w:val="194"/>
        </w:numPr>
        <w:rPr>
          <w:rFonts w:ascii="Arial" w:cs="Arial" w:eastAsia="Arial" w:hAnsi="Arial"/>
          <w:sz w:val="20"/>
          <w:szCs w:val="20"/>
          <w:color w:val="auto"/>
        </w:rPr>
      </w:pPr>
      <w:r>
        <w:rPr>
          <w:rFonts w:ascii="Arial" w:cs="Arial" w:eastAsia="Arial" w:hAnsi="Arial"/>
          <w:sz w:val="18"/>
          <w:szCs w:val="18"/>
          <w:color w:val="auto"/>
        </w:rPr>
        <w:t>The Company acts for the purposes of any Finance Documents through its Italian Branch which qualifies as a permanent establishment (“</w:t>
      </w:r>
      <w:r>
        <w:rPr>
          <w:rFonts w:ascii="Arial" w:cs="Arial" w:eastAsia="Arial" w:hAnsi="Arial"/>
          <w:sz w:val="18"/>
          <w:szCs w:val="18"/>
          <w:i w:val="1"/>
          <w:iCs w:val="1"/>
          <w:color w:val="auto"/>
        </w:rPr>
        <w:t>stabile organizzazione</w:t>
      </w:r>
      <w:r>
        <w:rPr>
          <w:rFonts w:ascii="Arial" w:cs="Arial" w:eastAsia="Arial" w:hAnsi="Arial"/>
          <w:sz w:val="18"/>
          <w:szCs w:val="18"/>
          <w:color w:val="auto"/>
        </w:rPr>
        <w:t>”) pursuant to Article 162 of Italian Presidential Decree No. 917 of 22 December 1986.</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17.18</w:t>
      </w:r>
      <w:r>
        <w:rPr>
          <w:sz w:val="20"/>
          <w:szCs w:val="20"/>
          <w:color w:val="auto"/>
        </w:rPr>
        <w:tab/>
      </w:r>
      <w:r>
        <w:rPr>
          <w:rFonts w:ascii="Arial" w:cs="Arial" w:eastAsia="Arial" w:hAnsi="Arial"/>
          <w:sz w:val="16"/>
          <w:szCs w:val="16"/>
          <w:b w:val="1"/>
          <w:bCs w:val="1"/>
          <w:color w:val="auto"/>
        </w:rPr>
        <w:t>Security and Financial Indebtedness</w:t>
      </w:r>
    </w:p>
    <w:p>
      <w:pPr>
        <w:spacing w:after="0" w:line="205" w:lineRule="exact"/>
        <w:rPr>
          <w:sz w:val="20"/>
          <w:szCs w:val="20"/>
          <w:color w:val="auto"/>
        </w:rPr>
      </w:pPr>
    </w:p>
    <w:p>
      <w:pPr>
        <w:ind w:left="1300" w:hanging="644"/>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6"/>
          <w:szCs w:val="16"/>
          <w:color w:val="auto"/>
        </w:rPr>
        <w:t>No Security exists over all or any of the present or future assets of any member of the Group other than as permitted by this Agreement.</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6"/>
          <w:szCs w:val="16"/>
          <w:color w:val="auto"/>
        </w:rPr>
        <w:t>No member of the Group has any Financial Indebtedness outstanding that is prohibited under Clause 20.18 (</w:t>
      </w:r>
      <w:r>
        <w:rPr>
          <w:rFonts w:ascii="Arial" w:cs="Arial" w:eastAsia="Arial" w:hAnsi="Arial"/>
          <w:sz w:val="16"/>
          <w:szCs w:val="16"/>
          <w:i w:val="1"/>
          <w:iCs w:val="1"/>
          <w:color w:val="auto"/>
        </w:rPr>
        <w:t>Financial Indebtedness</w:t>
      </w:r>
      <w:r>
        <w:rPr>
          <w:rFonts w:ascii="Arial" w:cs="Arial" w:eastAsia="Arial" w:hAnsi="Arial"/>
          <w:sz w:val="16"/>
          <w:szCs w:val="16"/>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55" w:right="339" w:bottom="1440" w:gutter="0" w:footer="0" w:header="0"/>
        </w:sectPr>
      </w:pPr>
    </w:p>
    <w:bookmarkStart w:id="72" w:name="page73"/>
    <w:bookmarkEnd w:id="72"/>
    <w:p>
      <w:pPr>
        <w:spacing w:after="0"/>
        <w:tabs>
          <w:tab w:leader="none" w:pos="600" w:val="left"/>
        </w:tabs>
        <w:rPr>
          <w:sz w:val="20"/>
          <w:szCs w:val="20"/>
          <w:color w:val="auto"/>
        </w:rPr>
      </w:pPr>
      <w:r>
        <w:rPr>
          <w:rFonts w:ascii="Arial" w:cs="Arial" w:eastAsia="Arial" w:hAnsi="Arial"/>
          <w:sz w:val="20"/>
          <w:szCs w:val="20"/>
          <w:color w:val="auto"/>
        </w:rPr>
        <w:t>17.19</w:t>
      </w:r>
      <w:r>
        <w:rPr>
          <w:sz w:val="20"/>
          <w:szCs w:val="20"/>
          <w:color w:val="auto"/>
        </w:rPr>
        <w:tab/>
      </w:r>
      <w:r>
        <w:rPr>
          <w:rFonts w:ascii="Arial" w:cs="Arial" w:eastAsia="Arial" w:hAnsi="Arial"/>
          <w:sz w:val="16"/>
          <w:szCs w:val="16"/>
          <w:b w:val="1"/>
          <w:bCs w:val="1"/>
          <w:color w:val="auto"/>
        </w:rPr>
        <w:t>Pari passu ranking</w:t>
      </w:r>
    </w:p>
    <w:p>
      <w:pPr>
        <w:spacing w:after="0" w:line="19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Subject to the Legal Reservations, its payment obligations under the Finance Documents rank at least pari passu with the claims of all its other unsecured and unsubordinated creditors, except for obligations mandatorily preferred by law applying to companies generally.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17.20</w:t>
      </w:r>
      <w:r>
        <w:rPr>
          <w:sz w:val="20"/>
          <w:szCs w:val="20"/>
          <w:color w:val="auto"/>
        </w:rPr>
        <w:tab/>
      </w:r>
      <w:r>
        <w:rPr>
          <w:rFonts w:ascii="Arial" w:cs="Arial" w:eastAsia="Arial" w:hAnsi="Arial"/>
          <w:sz w:val="15"/>
          <w:szCs w:val="15"/>
          <w:b w:val="1"/>
          <w:bCs w:val="1"/>
          <w:color w:val="auto"/>
        </w:rPr>
        <w:t>Good title to assets</w:t>
      </w:r>
    </w:p>
    <w:p>
      <w:pPr>
        <w:spacing w:after="0" w:line="19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It and each of its Subsidiaries has a good, valid and marketable title to, or valid leases or licences of, and all appropriate Authorisations to use, the assets necessary to carry on its business as presently conducted other than where a failure to do so could not reasonably be expected to have a Material Adverse Effect.</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17.21</w:t>
      </w:r>
      <w:r>
        <w:rPr>
          <w:sz w:val="20"/>
          <w:szCs w:val="20"/>
          <w:color w:val="auto"/>
        </w:rPr>
        <w:tab/>
      </w:r>
      <w:r>
        <w:rPr>
          <w:rFonts w:ascii="Arial" w:cs="Arial" w:eastAsia="Arial" w:hAnsi="Arial"/>
          <w:sz w:val="16"/>
          <w:szCs w:val="16"/>
          <w:b w:val="1"/>
          <w:bCs w:val="1"/>
          <w:color w:val="auto"/>
        </w:rPr>
        <w:t>Legal and beneficial ownership</w:t>
      </w:r>
    </w:p>
    <w:p>
      <w:pPr>
        <w:spacing w:after="0" w:line="19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It and each of its Subsidiaries is the sole legal and beneficial owner of the assets which are material in the context of its business and which are required by it in order to carry on its business as it is being conducted, other than where a failure to be so could not reasonably be expected to have a Material Adverse Effect.</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17.22</w:t>
      </w:r>
      <w:r>
        <w:rPr>
          <w:sz w:val="20"/>
          <w:szCs w:val="20"/>
          <w:color w:val="auto"/>
        </w:rPr>
        <w:tab/>
      </w:r>
      <w:r>
        <w:rPr>
          <w:rFonts w:ascii="Arial" w:cs="Arial" w:eastAsia="Arial" w:hAnsi="Arial"/>
          <w:sz w:val="16"/>
          <w:szCs w:val="16"/>
          <w:b w:val="1"/>
          <w:bCs w:val="1"/>
          <w:color w:val="auto"/>
        </w:rPr>
        <w:t>Intellectual Property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and each of its Subsidiaries:</w:t>
      </w:r>
    </w:p>
    <w:p>
      <w:pPr>
        <w:spacing w:after="0" w:line="239" w:lineRule="exact"/>
        <w:rPr>
          <w:sz w:val="20"/>
          <w:szCs w:val="20"/>
          <w:color w:val="auto"/>
        </w:rPr>
      </w:pPr>
    </w:p>
    <w:p>
      <w:pPr>
        <w:ind w:left="1300" w:hanging="644"/>
        <w:spacing w:after="0" w:line="266" w:lineRule="auto"/>
        <w:tabs>
          <w:tab w:leader="none" w:pos="1300" w:val="left"/>
        </w:tabs>
        <w:numPr>
          <w:ilvl w:val="0"/>
          <w:numId w:val="196"/>
        </w:numPr>
        <w:rPr>
          <w:rFonts w:ascii="Arial" w:cs="Arial" w:eastAsia="Arial" w:hAnsi="Arial"/>
          <w:sz w:val="20"/>
          <w:szCs w:val="20"/>
          <w:color w:val="auto"/>
        </w:rPr>
      </w:pPr>
      <w:r>
        <w:rPr>
          <w:rFonts w:ascii="Arial" w:cs="Arial" w:eastAsia="Arial" w:hAnsi="Arial"/>
          <w:sz w:val="18"/>
          <w:szCs w:val="18"/>
          <w:color w:val="auto"/>
        </w:rPr>
        <w:t>is the sole legal and beneficial owner of or has licensed to it on normal commercial terms all the Intellectual Property which is material in the context of its business and which is required by it in order to carry on its business as it is being conducted;</w:t>
      </w:r>
    </w:p>
    <w:p>
      <w:pPr>
        <w:spacing w:after="0" w:line="163" w:lineRule="exact"/>
        <w:rPr>
          <w:rFonts w:ascii="Arial" w:cs="Arial" w:eastAsia="Arial" w:hAnsi="Arial"/>
          <w:sz w:val="20"/>
          <w:szCs w:val="20"/>
          <w:color w:val="auto"/>
        </w:rPr>
      </w:pPr>
    </w:p>
    <w:p>
      <w:pPr>
        <w:ind w:left="1300" w:hanging="644"/>
        <w:spacing w:after="0" w:line="266" w:lineRule="auto"/>
        <w:tabs>
          <w:tab w:leader="none" w:pos="1300" w:val="left"/>
        </w:tabs>
        <w:numPr>
          <w:ilvl w:val="0"/>
          <w:numId w:val="196"/>
        </w:numPr>
        <w:rPr>
          <w:rFonts w:ascii="Arial" w:cs="Arial" w:eastAsia="Arial" w:hAnsi="Arial"/>
          <w:sz w:val="20"/>
          <w:szCs w:val="20"/>
          <w:color w:val="auto"/>
        </w:rPr>
      </w:pPr>
      <w:r>
        <w:rPr>
          <w:rFonts w:ascii="Arial" w:cs="Arial" w:eastAsia="Arial" w:hAnsi="Arial"/>
          <w:sz w:val="18"/>
          <w:szCs w:val="18"/>
          <w:color w:val="auto"/>
        </w:rPr>
        <w:t>does not (nor does any of its Subsidiaries), in carrying on its businesses, infringe any Intellectual Property of any third party in any respect; and</w:t>
      </w:r>
    </w:p>
    <w:p>
      <w:pPr>
        <w:spacing w:after="0" w:line="163" w:lineRule="exact"/>
        <w:rPr>
          <w:rFonts w:ascii="Arial" w:cs="Arial" w:eastAsia="Arial" w:hAnsi="Arial"/>
          <w:sz w:val="20"/>
          <w:szCs w:val="20"/>
          <w:color w:val="auto"/>
        </w:rPr>
      </w:pPr>
    </w:p>
    <w:p>
      <w:pPr>
        <w:ind w:left="1300" w:hanging="644"/>
        <w:spacing w:after="0"/>
        <w:tabs>
          <w:tab w:leader="none" w:pos="1300" w:val="left"/>
        </w:tabs>
        <w:numPr>
          <w:ilvl w:val="0"/>
          <w:numId w:val="196"/>
        </w:numPr>
        <w:rPr>
          <w:rFonts w:ascii="Arial" w:cs="Arial" w:eastAsia="Arial" w:hAnsi="Arial"/>
          <w:sz w:val="18"/>
          <w:szCs w:val="18"/>
          <w:color w:val="auto"/>
        </w:rPr>
      </w:pPr>
      <w:r>
        <w:rPr>
          <w:rFonts w:ascii="Arial" w:cs="Arial" w:eastAsia="Arial" w:hAnsi="Arial"/>
          <w:sz w:val="16"/>
          <w:szCs w:val="16"/>
          <w:color w:val="auto"/>
        </w:rPr>
        <w:t>has taken all formal or procedural actions (including payment of fees) required to maintain any material Intellectual Property owned by it,</w:t>
      </w:r>
    </w:p>
    <w:p>
      <w:pPr>
        <w:spacing w:after="0" w:line="212" w:lineRule="exact"/>
        <w:rPr>
          <w:sz w:val="20"/>
          <w:szCs w:val="20"/>
          <w:color w:val="auto"/>
        </w:rPr>
      </w:pPr>
    </w:p>
    <w:p>
      <w:pPr>
        <w:ind w:left="660" w:hanging="639"/>
        <w:spacing w:after="0"/>
        <w:tabs>
          <w:tab w:leader="none" w:pos="660" w:val="left"/>
        </w:tabs>
        <w:numPr>
          <w:ilvl w:val="0"/>
          <w:numId w:val="197"/>
        </w:numPr>
        <w:rPr>
          <w:rFonts w:ascii="Arial" w:cs="Arial" w:eastAsia="Arial" w:hAnsi="Arial"/>
          <w:sz w:val="20"/>
          <w:szCs w:val="20"/>
          <w:color w:val="auto"/>
        </w:rPr>
      </w:pPr>
      <w:r>
        <w:rPr>
          <w:rFonts w:ascii="Arial" w:cs="Arial" w:eastAsia="Arial" w:hAnsi="Arial"/>
          <w:sz w:val="18"/>
          <w:szCs w:val="18"/>
          <w:color w:val="auto"/>
        </w:rPr>
        <w:t>other than where a failure to be or do so could not reasonably be expected to have a Material Adverse Effect.</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17.23</w:t>
      </w:r>
      <w:r>
        <w:rPr>
          <w:sz w:val="20"/>
          <w:szCs w:val="20"/>
          <w:color w:val="auto"/>
        </w:rPr>
        <w:tab/>
      </w:r>
      <w:r>
        <w:rPr>
          <w:rFonts w:ascii="Arial" w:cs="Arial" w:eastAsia="Arial" w:hAnsi="Arial"/>
          <w:sz w:val="16"/>
          <w:szCs w:val="16"/>
          <w:b w:val="1"/>
          <w:bCs w:val="1"/>
          <w:color w:val="auto"/>
        </w:rPr>
        <w:t>Accounting Reference Date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Accounting Reference Date of each member of the Group is 31 December.</w:t>
      </w:r>
    </w:p>
    <w:p>
      <w:pPr>
        <w:spacing w:after="0" w:line="22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17.24</w:t>
      </w:r>
      <w:r>
        <w:rPr>
          <w:sz w:val="20"/>
          <w:szCs w:val="20"/>
          <w:color w:val="auto"/>
        </w:rPr>
        <w:tab/>
      </w:r>
      <w:r>
        <w:rPr>
          <w:rFonts w:ascii="Arial" w:cs="Arial" w:eastAsia="Arial" w:hAnsi="Arial"/>
          <w:sz w:val="15"/>
          <w:szCs w:val="15"/>
          <w:b w:val="1"/>
          <w:bCs w:val="1"/>
          <w:color w:val="auto"/>
        </w:rPr>
        <w:t>Centre of main interests and establishments</w:t>
      </w:r>
    </w:p>
    <w:p>
      <w:pPr>
        <w:spacing w:after="0" w:line="187" w:lineRule="exact"/>
        <w:rPr>
          <w:sz w:val="20"/>
          <w:szCs w:val="20"/>
          <w:color w:val="auto"/>
        </w:rPr>
      </w:pPr>
    </w:p>
    <w:p>
      <w:pPr>
        <w:ind w:left="660" w:right="260"/>
        <w:spacing w:after="0" w:line="266" w:lineRule="auto"/>
        <w:rPr>
          <w:sz w:val="20"/>
          <w:szCs w:val="20"/>
          <w:color w:val="auto"/>
        </w:rPr>
      </w:pPr>
      <w:r>
        <w:rPr>
          <w:rFonts w:ascii="Arial" w:cs="Arial" w:eastAsia="Arial" w:hAnsi="Arial"/>
          <w:sz w:val="18"/>
          <w:szCs w:val="18"/>
          <w:color w:val="auto"/>
        </w:rPr>
        <w:t>For the purposes of The Council of the European Union Regulation No 2015/848 on Insolvency Proceedings (recast) (the “</w:t>
      </w:r>
      <w:r>
        <w:rPr>
          <w:rFonts w:ascii="Arial" w:cs="Arial" w:eastAsia="Arial" w:hAnsi="Arial"/>
          <w:sz w:val="18"/>
          <w:szCs w:val="18"/>
          <w:b w:val="1"/>
          <w:bCs w:val="1"/>
          <w:color w:val="auto"/>
        </w:rPr>
        <w:t>Regulation</w:t>
      </w:r>
      <w:r>
        <w:rPr>
          <w:rFonts w:ascii="Arial" w:cs="Arial" w:eastAsia="Arial" w:hAnsi="Arial"/>
          <w:sz w:val="18"/>
          <w:szCs w:val="18"/>
          <w:color w:val="auto"/>
        </w:rPr>
        <w:t>”), its centre of main interest (as that term is used in Article 3(1) of the Regulation) is situated in England and Wales and it has no “</w:t>
      </w:r>
      <w:r>
        <w:rPr>
          <w:rFonts w:ascii="Arial" w:cs="Arial" w:eastAsia="Arial" w:hAnsi="Arial"/>
          <w:sz w:val="18"/>
          <w:szCs w:val="18"/>
          <w:i w:val="1"/>
          <w:iCs w:val="1"/>
          <w:color w:val="auto"/>
        </w:rPr>
        <w:t>establishment</w:t>
      </w:r>
      <w:r>
        <w:rPr>
          <w:rFonts w:ascii="Arial" w:cs="Arial" w:eastAsia="Arial" w:hAnsi="Arial"/>
          <w:sz w:val="18"/>
          <w:szCs w:val="18"/>
          <w:color w:val="auto"/>
        </w:rPr>
        <w:t>” (as that term is used in Article 2(h) of the Regulation) in any other jurisdiction (other than Italy).</w:t>
      </w:r>
    </w:p>
    <w:p>
      <w:pPr>
        <w:spacing w:after="0" w:line="177" w:lineRule="exact"/>
        <w:rPr>
          <w:sz w:val="20"/>
          <w:szCs w:val="20"/>
          <w:color w:val="auto"/>
        </w:rPr>
      </w:pPr>
    </w:p>
    <w:p>
      <w:pPr>
        <w:spacing w:after="0" w:line="230" w:lineRule="exact"/>
        <w:tabs>
          <w:tab w:leader="none" w:pos="600" w:val="left"/>
        </w:tabs>
        <w:rPr>
          <w:sz w:val="20"/>
          <w:szCs w:val="20"/>
          <w:color w:val="auto"/>
        </w:rPr>
      </w:pPr>
      <w:r>
        <w:rPr>
          <w:rFonts w:ascii="Arial" w:cs="Arial" w:eastAsia="Arial" w:hAnsi="Arial"/>
          <w:sz w:val="20"/>
          <w:szCs w:val="20"/>
          <w:color w:val="auto"/>
        </w:rPr>
        <w:t>17.25</w:t>
      </w:r>
      <w:r>
        <w:rPr>
          <w:sz w:val="20"/>
          <w:szCs w:val="20"/>
          <w:color w:val="auto"/>
        </w:rPr>
        <w:tab/>
      </w:r>
      <w:r>
        <w:rPr>
          <w:rFonts w:ascii="Arial" w:cs="Arial" w:eastAsia="Arial" w:hAnsi="Arial"/>
          <w:sz w:val="16"/>
          <w:szCs w:val="16"/>
          <w:b w:val="1"/>
          <w:bCs w:val="1"/>
          <w:color w:val="auto"/>
        </w:rPr>
        <w:t>Anti</w:t>
      </w:r>
      <w:r>
        <w:rPr>
          <w:rFonts w:ascii="MS PGothic" w:cs="MS PGothic" w:eastAsia="MS PGothic" w:hAnsi="MS PGothic"/>
          <w:sz w:val="16"/>
          <w:szCs w:val="16"/>
          <w:color w:val="auto"/>
        </w:rPr>
        <w:t>‑</w:t>
      </w:r>
      <w:r>
        <w:rPr>
          <w:rFonts w:ascii="Arial" w:cs="Arial" w:eastAsia="Arial" w:hAnsi="Arial"/>
          <w:sz w:val="16"/>
          <w:szCs w:val="16"/>
          <w:b w:val="1"/>
          <w:bCs w:val="1"/>
          <w:color w:val="auto"/>
        </w:rPr>
        <w:t>corruption and anti-money laundering law</w:t>
      </w:r>
    </w:p>
    <w:p>
      <w:pPr>
        <w:spacing w:after="0" w:line="191" w:lineRule="exact"/>
        <w:rPr>
          <w:sz w:val="20"/>
          <w:szCs w:val="20"/>
          <w:color w:val="auto"/>
        </w:rPr>
      </w:pPr>
    </w:p>
    <w:p>
      <w:pPr>
        <w:ind w:left="660" w:right="20"/>
        <w:spacing w:after="0" w:line="220" w:lineRule="exact"/>
        <w:rPr>
          <w:sz w:val="20"/>
          <w:szCs w:val="20"/>
          <w:color w:val="auto"/>
        </w:rPr>
      </w:pPr>
      <w:r>
        <w:rPr>
          <w:rFonts w:ascii="Arial" w:cs="Arial" w:eastAsia="Arial" w:hAnsi="Arial"/>
          <w:sz w:val="18"/>
          <w:szCs w:val="18"/>
          <w:color w:val="auto"/>
        </w:rPr>
        <w:t>To the best of its knowledge and belief (after due and careful enquiry), each member of the Group has conducted its businesses in compliance with applicable anti</w:t>
      </w:r>
      <w:r>
        <w:rPr>
          <w:rFonts w:ascii="MS PGothic" w:cs="MS PGothic" w:eastAsia="MS PGothic" w:hAnsi="MS PGothic"/>
          <w:sz w:val="18"/>
          <w:szCs w:val="18"/>
          <w:color w:val="auto"/>
        </w:rPr>
        <w:t>‑</w:t>
      </w:r>
      <w:r>
        <w:rPr>
          <w:rFonts w:ascii="Arial" w:cs="Arial" w:eastAsia="Arial" w:hAnsi="Arial"/>
          <w:sz w:val="18"/>
          <w:szCs w:val="18"/>
          <w:color w:val="auto"/>
        </w:rPr>
        <w:t>corruption laws and all applicable laws and regulations that relate to anti-money laundering, counter-terrorist financing or record keeping or reporting requirements relating to anti-money laundering or counter-terrorist financing, and has instituted and maintained policies and procedures designed to promote and achieve compliance with such laws.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39" w:right="339" w:bottom="1440" w:gutter="0" w:footer="0" w:header="0"/>
        </w:sectPr>
      </w:pPr>
    </w:p>
    <w:bookmarkStart w:id="73" w:name="page74"/>
    <w:bookmarkEnd w:id="73"/>
    <w:p>
      <w:pPr>
        <w:spacing w:after="0"/>
        <w:tabs>
          <w:tab w:leader="none" w:pos="600" w:val="left"/>
        </w:tabs>
        <w:rPr>
          <w:sz w:val="20"/>
          <w:szCs w:val="20"/>
          <w:color w:val="auto"/>
        </w:rPr>
      </w:pPr>
      <w:r>
        <w:rPr>
          <w:rFonts w:ascii="Arial" w:cs="Arial" w:eastAsia="Arial" w:hAnsi="Arial"/>
          <w:sz w:val="20"/>
          <w:szCs w:val="20"/>
          <w:color w:val="auto"/>
        </w:rPr>
        <w:t>17.26</w:t>
      </w:r>
      <w:r>
        <w:rPr>
          <w:sz w:val="20"/>
          <w:szCs w:val="20"/>
          <w:color w:val="auto"/>
        </w:rPr>
        <w:tab/>
      </w:r>
      <w:r>
        <w:rPr>
          <w:rFonts w:ascii="Arial" w:cs="Arial" w:eastAsia="Arial" w:hAnsi="Arial"/>
          <w:sz w:val="15"/>
          <w:szCs w:val="15"/>
          <w:b w:val="1"/>
          <w:bCs w:val="1"/>
          <w:color w:val="auto"/>
        </w:rPr>
        <w:t>Sanctions</w:t>
      </w:r>
    </w:p>
    <w:p>
      <w:pPr>
        <w:spacing w:after="0" w:line="205" w:lineRule="exact"/>
        <w:rPr>
          <w:sz w:val="20"/>
          <w:szCs w:val="20"/>
          <w:color w:val="auto"/>
        </w:rPr>
      </w:pPr>
    </w:p>
    <w:p>
      <w:pPr>
        <w:ind w:left="1300" w:hanging="644"/>
        <w:spacing w:after="0" w:line="266" w:lineRule="auto"/>
        <w:tabs>
          <w:tab w:leader="none" w:pos="1300" w:val="left"/>
        </w:tabs>
        <w:numPr>
          <w:ilvl w:val="0"/>
          <w:numId w:val="198"/>
        </w:numPr>
        <w:rPr>
          <w:rFonts w:ascii="Arial" w:cs="Arial" w:eastAsia="Arial" w:hAnsi="Arial"/>
          <w:sz w:val="20"/>
          <w:szCs w:val="20"/>
          <w:color w:val="auto"/>
        </w:rPr>
      </w:pPr>
      <w:r>
        <w:rPr>
          <w:rFonts w:ascii="Arial" w:cs="Arial" w:eastAsia="Arial" w:hAnsi="Arial"/>
          <w:sz w:val="18"/>
          <w:szCs w:val="18"/>
          <w:color w:val="auto"/>
        </w:rPr>
        <w:t>To the best of its knowledge and belief (after due and careful enquiry), neither it nor any of its Subsidiaries, nor any directors, officers or employees of it or any of its Subsidiaries:</w:t>
      </w:r>
    </w:p>
    <w:p>
      <w:pPr>
        <w:spacing w:after="0" w:line="163" w:lineRule="exact"/>
        <w:rPr>
          <w:rFonts w:ascii="Arial" w:cs="Arial" w:eastAsia="Arial" w:hAnsi="Arial"/>
          <w:sz w:val="20"/>
          <w:szCs w:val="20"/>
          <w:color w:val="auto"/>
        </w:rPr>
      </w:pPr>
    </w:p>
    <w:p>
      <w:pPr>
        <w:ind w:left="1960" w:hanging="656"/>
        <w:spacing w:after="0" w:line="266" w:lineRule="auto"/>
        <w:tabs>
          <w:tab w:leader="none" w:pos="1960" w:val="left"/>
        </w:tabs>
        <w:numPr>
          <w:ilvl w:val="1"/>
          <w:numId w:val="198"/>
        </w:numPr>
        <w:rPr>
          <w:rFonts w:ascii="Arial" w:cs="Arial" w:eastAsia="Arial" w:hAnsi="Arial"/>
          <w:sz w:val="20"/>
          <w:szCs w:val="20"/>
          <w:color w:val="auto"/>
        </w:rPr>
      </w:pPr>
      <w:r>
        <w:rPr>
          <w:rFonts w:ascii="Arial" w:cs="Arial" w:eastAsia="Arial" w:hAnsi="Arial"/>
          <w:sz w:val="18"/>
          <w:szCs w:val="18"/>
          <w:color w:val="auto"/>
        </w:rPr>
        <w:t>is a Restricted Party or is engaging in or has engaged in any transaction or conduct that could result in it becoming a Restricted Party;</w:t>
      </w:r>
    </w:p>
    <w:p>
      <w:pPr>
        <w:spacing w:after="0" w:line="163" w:lineRule="exact"/>
        <w:rPr>
          <w:rFonts w:ascii="Arial" w:cs="Arial" w:eastAsia="Arial" w:hAnsi="Arial"/>
          <w:sz w:val="20"/>
          <w:szCs w:val="20"/>
          <w:color w:val="auto"/>
        </w:rPr>
      </w:pPr>
    </w:p>
    <w:p>
      <w:pPr>
        <w:ind w:left="1960" w:hanging="656"/>
        <w:spacing w:after="0"/>
        <w:tabs>
          <w:tab w:leader="none" w:pos="1960" w:val="left"/>
        </w:tabs>
        <w:numPr>
          <w:ilvl w:val="1"/>
          <w:numId w:val="198"/>
        </w:numPr>
        <w:rPr>
          <w:rFonts w:ascii="Arial" w:cs="Arial" w:eastAsia="Arial" w:hAnsi="Arial"/>
          <w:sz w:val="20"/>
          <w:szCs w:val="20"/>
          <w:color w:val="auto"/>
        </w:rPr>
      </w:pPr>
      <w:r>
        <w:rPr>
          <w:rFonts w:ascii="Arial" w:cs="Arial" w:eastAsia="Arial" w:hAnsi="Arial"/>
          <w:sz w:val="18"/>
          <w:szCs w:val="18"/>
          <w:color w:val="auto"/>
        </w:rPr>
        <w:t>is subject to any claim, proceeding, formal notice or investigation with respect to Sanctions;</w:t>
      </w:r>
    </w:p>
    <w:p>
      <w:pPr>
        <w:spacing w:after="0" w:line="188" w:lineRule="exact"/>
        <w:rPr>
          <w:rFonts w:ascii="Arial" w:cs="Arial" w:eastAsia="Arial" w:hAnsi="Arial"/>
          <w:sz w:val="20"/>
          <w:szCs w:val="20"/>
          <w:color w:val="auto"/>
        </w:rPr>
      </w:pPr>
    </w:p>
    <w:p>
      <w:pPr>
        <w:ind w:left="1960" w:hanging="656"/>
        <w:spacing w:after="0" w:line="266" w:lineRule="auto"/>
        <w:tabs>
          <w:tab w:leader="none" w:pos="1960" w:val="left"/>
        </w:tabs>
        <w:numPr>
          <w:ilvl w:val="1"/>
          <w:numId w:val="198"/>
        </w:numPr>
        <w:rPr>
          <w:rFonts w:ascii="Arial" w:cs="Arial" w:eastAsia="Arial" w:hAnsi="Arial"/>
          <w:sz w:val="20"/>
          <w:szCs w:val="20"/>
          <w:color w:val="auto"/>
        </w:rPr>
      </w:pPr>
      <w:r>
        <w:rPr>
          <w:rFonts w:ascii="Arial" w:cs="Arial" w:eastAsia="Arial" w:hAnsi="Arial"/>
          <w:sz w:val="18"/>
          <w:szCs w:val="18"/>
          <w:color w:val="auto"/>
        </w:rPr>
        <w:t>is engaging in any transaction that evades or avoids, or has the purpose of evading or avoiding, or breaches or attempts to breach, directly or indirectly, any Sanctions applicable to it; or</w:t>
      </w:r>
    </w:p>
    <w:p>
      <w:pPr>
        <w:spacing w:after="0" w:line="163" w:lineRule="exact"/>
        <w:rPr>
          <w:rFonts w:ascii="Arial" w:cs="Arial" w:eastAsia="Arial" w:hAnsi="Arial"/>
          <w:sz w:val="20"/>
          <w:szCs w:val="20"/>
          <w:color w:val="auto"/>
        </w:rPr>
      </w:pPr>
    </w:p>
    <w:p>
      <w:pPr>
        <w:ind w:left="1960" w:hanging="656"/>
        <w:spacing w:after="0" w:line="266" w:lineRule="auto"/>
        <w:tabs>
          <w:tab w:leader="none" w:pos="1960" w:val="left"/>
        </w:tabs>
        <w:numPr>
          <w:ilvl w:val="1"/>
          <w:numId w:val="198"/>
        </w:numPr>
        <w:rPr>
          <w:rFonts w:ascii="Arial" w:cs="Arial" w:eastAsia="Arial" w:hAnsi="Arial"/>
          <w:sz w:val="20"/>
          <w:szCs w:val="20"/>
          <w:color w:val="auto"/>
        </w:rPr>
      </w:pPr>
      <w:r>
        <w:rPr>
          <w:rFonts w:ascii="Arial" w:cs="Arial" w:eastAsia="Arial" w:hAnsi="Arial"/>
          <w:sz w:val="18"/>
          <w:szCs w:val="18"/>
          <w:color w:val="auto"/>
        </w:rPr>
        <w:t>is engaging, directly or indirectly, in any trade, business or other activities with or for the benefit of any Restricted Party where such trade, business or activity is in breach of Sanctions.</w:t>
      </w:r>
    </w:p>
    <w:p>
      <w:pPr>
        <w:spacing w:after="0" w:line="163" w:lineRule="exact"/>
        <w:rPr>
          <w:rFonts w:ascii="Arial" w:cs="Arial" w:eastAsia="Arial" w:hAnsi="Arial"/>
          <w:sz w:val="20"/>
          <w:szCs w:val="20"/>
          <w:color w:val="auto"/>
        </w:rPr>
      </w:pPr>
    </w:p>
    <w:p>
      <w:pPr>
        <w:ind w:left="1300" w:right="20" w:hanging="644"/>
        <w:spacing w:after="0" w:line="266" w:lineRule="auto"/>
        <w:tabs>
          <w:tab w:leader="none" w:pos="1300" w:val="left"/>
        </w:tabs>
        <w:numPr>
          <w:ilvl w:val="0"/>
          <w:numId w:val="198"/>
        </w:numPr>
        <w:rPr>
          <w:rFonts w:ascii="Arial" w:cs="Arial" w:eastAsia="Arial" w:hAnsi="Arial"/>
          <w:sz w:val="20"/>
          <w:szCs w:val="20"/>
          <w:color w:val="auto"/>
        </w:rPr>
      </w:pPr>
      <w:r>
        <w:rPr>
          <w:rFonts w:ascii="Arial" w:cs="Arial" w:eastAsia="Arial" w:hAnsi="Arial"/>
          <w:sz w:val="18"/>
          <w:szCs w:val="18"/>
          <w:color w:val="auto"/>
        </w:rPr>
        <w:t>No Utilisation, nor the proceeds from any Utilisation, has been used, directly or (knowingly) indirectly, to lend, contribute, provide or has otherwise been made to fund or finance any business activities or transactions:</w:t>
      </w:r>
    </w:p>
    <w:p>
      <w:pPr>
        <w:spacing w:after="0" w:line="163" w:lineRule="exact"/>
        <w:rPr>
          <w:rFonts w:ascii="Arial" w:cs="Arial" w:eastAsia="Arial" w:hAnsi="Arial"/>
          <w:sz w:val="20"/>
          <w:szCs w:val="20"/>
          <w:color w:val="auto"/>
        </w:rPr>
      </w:pPr>
    </w:p>
    <w:p>
      <w:pPr>
        <w:ind w:left="1960" w:hanging="656"/>
        <w:spacing w:after="0"/>
        <w:tabs>
          <w:tab w:leader="none" w:pos="1960" w:val="left"/>
        </w:tabs>
        <w:numPr>
          <w:ilvl w:val="1"/>
          <w:numId w:val="198"/>
        </w:numPr>
        <w:rPr>
          <w:rFonts w:ascii="Arial" w:cs="Arial" w:eastAsia="Arial" w:hAnsi="Arial"/>
          <w:sz w:val="20"/>
          <w:szCs w:val="20"/>
          <w:color w:val="auto"/>
        </w:rPr>
      </w:pPr>
      <w:r>
        <w:rPr>
          <w:rFonts w:ascii="Arial" w:cs="Arial" w:eastAsia="Arial" w:hAnsi="Arial"/>
          <w:sz w:val="18"/>
          <w:szCs w:val="18"/>
          <w:color w:val="auto"/>
        </w:rPr>
        <w:t>of or with a Restricted Party; or</w:t>
      </w:r>
    </w:p>
    <w:p>
      <w:pPr>
        <w:spacing w:after="0" w:line="188" w:lineRule="exact"/>
        <w:rPr>
          <w:rFonts w:ascii="Arial" w:cs="Arial" w:eastAsia="Arial" w:hAnsi="Arial"/>
          <w:sz w:val="20"/>
          <w:szCs w:val="20"/>
          <w:color w:val="auto"/>
        </w:rPr>
      </w:pPr>
    </w:p>
    <w:p>
      <w:pPr>
        <w:ind w:left="1960" w:hanging="656"/>
        <w:spacing w:after="0" w:line="266" w:lineRule="auto"/>
        <w:tabs>
          <w:tab w:leader="none" w:pos="1960" w:val="left"/>
        </w:tabs>
        <w:numPr>
          <w:ilvl w:val="1"/>
          <w:numId w:val="198"/>
        </w:numPr>
        <w:rPr>
          <w:rFonts w:ascii="Arial" w:cs="Arial" w:eastAsia="Arial" w:hAnsi="Arial"/>
          <w:sz w:val="20"/>
          <w:szCs w:val="20"/>
          <w:color w:val="auto"/>
        </w:rPr>
      </w:pPr>
      <w:r>
        <w:rPr>
          <w:rFonts w:ascii="Arial" w:cs="Arial" w:eastAsia="Arial" w:hAnsi="Arial"/>
          <w:sz w:val="18"/>
          <w:szCs w:val="18"/>
          <w:color w:val="auto"/>
        </w:rPr>
        <w:t>in any other manner which would result in any member of the Group or the Lender being in breach of any Sanctions or becoming a Restricted Party.</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17.27</w:t>
      </w:r>
      <w:r>
        <w:rPr>
          <w:sz w:val="20"/>
          <w:szCs w:val="20"/>
          <w:color w:val="auto"/>
        </w:rPr>
        <w:tab/>
      </w:r>
      <w:r>
        <w:rPr>
          <w:rFonts w:ascii="Arial" w:cs="Arial" w:eastAsia="Arial" w:hAnsi="Arial"/>
          <w:sz w:val="16"/>
          <w:szCs w:val="16"/>
          <w:b w:val="1"/>
          <w:bCs w:val="1"/>
          <w:color w:val="auto"/>
        </w:rPr>
        <w:t>Repetition</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Repeating Representations are deemed to be made by the Company by reference to the facts and circumstances then existing on the date of each Utilisation Request and the first day of each Interest Period.</w:t>
      </w:r>
    </w:p>
    <w:p>
      <w:pPr>
        <w:spacing w:after="0" w:line="153" w:lineRule="exact"/>
        <w:rPr>
          <w:sz w:val="20"/>
          <w:szCs w:val="20"/>
          <w:color w:val="auto"/>
        </w:rPr>
      </w:pPr>
    </w:p>
    <w:p>
      <w:pPr>
        <w:ind w:left="620" w:hanging="612"/>
        <w:spacing w:after="0"/>
        <w:tabs>
          <w:tab w:leader="none" w:pos="620" w:val="left"/>
        </w:tabs>
        <w:numPr>
          <w:ilvl w:val="0"/>
          <w:numId w:val="199"/>
        </w:numPr>
        <w:rPr>
          <w:rFonts w:ascii="Arial" w:cs="Arial" w:eastAsia="Arial" w:hAnsi="Arial"/>
          <w:sz w:val="20"/>
          <w:szCs w:val="20"/>
          <w:b w:val="1"/>
          <w:bCs w:val="1"/>
          <w:color w:val="auto"/>
        </w:rPr>
      </w:pPr>
      <w:r>
        <w:rPr>
          <w:rFonts w:ascii="Arial" w:cs="Arial" w:eastAsia="Arial" w:hAnsi="Arial"/>
          <w:sz w:val="18"/>
          <w:szCs w:val="18"/>
          <w:b w:val="1"/>
          <w:bCs w:val="1"/>
          <w:color w:val="auto"/>
        </w:rPr>
        <w:t>INFORMATION UNDERTAKINGS</w:t>
      </w:r>
    </w:p>
    <w:p>
      <w:pPr>
        <w:spacing w:after="0" w:line="179" w:lineRule="exact"/>
        <w:rPr>
          <w:rFonts w:ascii="Arial" w:cs="Arial" w:eastAsia="Arial" w:hAnsi="Arial"/>
          <w:sz w:val="20"/>
          <w:szCs w:val="20"/>
          <w:b w:val="1"/>
          <w:bCs w:val="1"/>
          <w:color w:val="auto"/>
        </w:rPr>
      </w:pPr>
    </w:p>
    <w:p>
      <w:pPr>
        <w:ind w:left="620" w:right="20"/>
        <w:spacing w:after="0" w:line="277" w:lineRule="auto"/>
        <w:rPr>
          <w:rFonts w:ascii="Arial" w:cs="Arial" w:eastAsia="Arial" w:hAnsi="Arial"/>
          <w:sz w:val="20"/>
          <w:szCs w:val="20"/>
          <w:b w:val="1"/>
          <w:bCs w:val="1"/>
          <w:color w:val="auto"/>
        </w:rPr>
      </w:pPr>
      <w:r>
        <w:rPr>
          <w:rFonts w:ascii="Arial" w:cs="Arial" w:eastAsia="Arial" w:hAnsi="Arial"/>
          <w:sz w:val="18"/>
          <w:szCs w:val="18"/>
          <w:color w:val="auto"/>
        </w:rPr>
        <w:t>The undertakings in this Clause 18 remain in force from the date of this Agreement for so long as any amount is outstanding under the Finance Documents or any Commitment is in force.</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6"/>
          <w:szCs w:val="16"/>
          <w:b w:val="1"/>
          <w:bCs w:val="1"/>
          <w:color w:val="auto"/>
        </w:rPr>
        <w:t>Financial statements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shall supply to the Lender:</w:t>
      </w:r>
    </w:p>
    <w:p>
      <w:pPr>
        <w:spacing w:after="0" w:line="212" w:lineRule="exact"/>
        <w:rPr>
          <w:sz w:val="20"/>
          <w:szCs w:val="20"/>
          <w:color w:val="auto"/>
        </w:rPr>
      </w:pPr>
    </w:p>
    <w:p>
      <w:pPr>
        <w:ind w:left="1280" w:hanging="624"/>
        <w:spacing w:after="0" w:line="266" w:lineRule="auto"/>
        <w:tabs>
          <w:tab w:leader="none" w:pos="1262" w:val="left"/>
        </w:tabs>
        <w:numPr>
          <w:ilvl w:val="0"/>
          <w:numId w:val="200"/>
        </w:numPr>
        <w:rPr>
          <w:rFonts w:ascii="Arial" w:cs="Arial" w:eastAsia="Arial" w:hAnsi="Arial"/>
          <w:sz w:val="20"/>
          <w:szCs w:val="20"/>
          <w:color w:val="auto"/>
        </w:rPr>
      </w:pPr>
      <w:r>
        <w:rPr>
          <w:rFonts w:ascii="Arial" w:cs="Arial" w:eastAsia="Arial" w:hAnsi="Arial"/>
          <w:sz w:val="18"/>
          <w:szCs w:val="18"/>
          <w:color w:val="auto"/>
        </w:rPr>
        <w:t>as soon as the same become available, but in any event within 180 days after the end of each of its financial years, its audited consolidated financial statements for that financial year; and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39" w:right="339" w:bottom="1440" w:gutter="0" w:footer="0" w:header="0"/>
        </w:sectPr>
      </w:pPr>
    </w:p>
    <w:bookmarkStart w:id="74" w:name="page75"/>
    <w:bookmarkEnd w:id="74"/>
    <w:p>
      <w:pPr>
        <w:ind w:left="1280" w:hanging="624"/>
        <w:spacing w:after="0" w:line="266" w:lineRule="auto"/>
        <w:tabs>
          <w:tab w:leader="none" w:pos="1262" w:val="left"/>
        </w:tabs>
        <w:numPr>
          <w:ilvl w:val="0"/>
          <w:numId w:val="201"/>
        </w:numPr>
        <w:rPr>
          <w:rFonts w:ascii="Arial" w:cs="Arial" w:eastAsia="Arial" w:hAnsi="Arial"/>
          <w:sz w:val="20"/>
          <w:szCs w:val="20"/>
          <w:color w:val="auto"/>
        </w:rPr>
      </w:pPr>
      <w:r>
        <w:rPr>
          <w:rFonts w:ascii="Arial" w:cs="Arial" w:eastAsia="Arial" w:hAnsi="Arial"/>
          <w:sz w:val="18"/>
          <w:szCs w:val="18"/>
          <w:color w:val="auto"/>
        </w:rPr>
        <w:t>as soon as the same become available, but in any event within 90 days after the end of the first half of each of its financial years, its consolidated financial statements for that financial half year.</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6"/>
          <w:szCs w:val="16"/>
          <w:b w:val="1"/>
          <w:bCs w:val="1"/>
          <w:color w:val="auto"/>
        </w:rPr>
        <w:t>Compliance Certificate</w:t>
      </w:r>
    </w:p>
    <w:p>
      <w:pPr>
        <w:spacing w:after="0" w:line="205" w:lineRule="exact"/>
        <w:rPr>
          <w:sz w:val="20"/>
          <w:szCs w:val="20"/>
          <w:color w:val="auto"/>
        </w:rPr>
      </w:pPr>
    </w:p>
    <w:p>
      <w:pPr>
        <w:jc w:val="both"/>
        <w:ind w:left="1280" w:hanging="624"/>
        <w:spacing w:after="0" w:line="264" w:lineRule="auto"/>
        <w:tabs>
          <w:tab w:leader="none" w:pos="1262" w:val="left"/>
        </w:tabs>
        <w:numPr>
          <w:ilvl w:val="0"/>
          <w:numId w:val="202"/>
        </w:numPr>
        <w:rPr>
          <w:rFonts w:ascii="Arial" w:cs="Arial" w:eastAsia="Arial" w:hAnsi="Arial"/>
          <w:sz w:val="20"/>
          <w:szCs w:val="20"/>
          <w:color w:val="auto"/>
        </w:rPr>
      </w:pPr>
      <w:r>
        <w:rPr>
          <w:rFonts w:ascii="Arial" w:cs="Arial" w:eastAsia="Arial" w:hAnsi="Arial"/>
          <w:sz w:val="18"/>
          <w:szCs w:val="18"/>
          <w:color w:val="auto"/>
        </w:rPr>
        <w:t>The Company shall supply to the Lender, with each set of financial statements delivered pursuant to paragraph (a) or (b) of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 a Compliance Certificate setting out (in reasonable detail) computations as to compliance with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 as at the date as at which those financial statements were drawn up.</w:t>
      </w:r>
    </w:p>
    <w:p>
      <w:pPr>
        <w:spacing w:after="0" w:line="169" w:lineRule="exact"/>
        <w:rPr>
          <w:rFonts w:ascii="Arial" w:cs="Arial" w:eastAsia="Arial" w:hAnsi="Arial"/>
          <w:sz w:val="20"/>
          <w:szCs w:val="20"/>
          <w:color w:val="auto"/>
        </w:rPr>
      </w:pPr>
    </w:p>
    <w:p>
      <w:pPr>
        <w:ind w:left="1260" w:hanging="604"/>
        <w:spacing w:after="0"/>
        <w:tabs>
          <w:tab w:leader="none" w:pos="1260" w:val="left"/>
        </w:tabs>
        <w:numPr>
          <w:ilvl w:val="0"/>
          <w:numId w:val="202"/>
        </w:numPr>
        <w:rPr>
          <w:rFonts w:ascii="Arial" w:cs="Arial" w:eastAsia="Arial" w:hAnsi="Arial"/>
          <w:sz w:val="20"/>
          <w:szCs w:val="20"/>
          <w:color w:val="auto"/>
        </w:rPr>
      </w:pPr>
      <w:r>
        <w:rPr>
          <w:rFonts w:ascii="Arial" w:cs="Arial" w:eastAsia="Arial" w:hAnsi="Arial"/>
          <w:sz w:val="18"/>
          <w:szCs w:val="18"/>
          <w:color w:val="auto"/>
        </w:rPr>
        <w:t>Each Compliance Certificate shall be signed by the Chief Executive Officer or two directors of the Company.</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5"/>
          <w:szCs w:val="15"/>
          <w:b w:val="1"/>
          <w:bCs w:val="1"/>
          <w:color w:val="auto"/>
        </w:rPr>
        <w:t>Requirements as to financial statements</w:t>
      </w:r>
    </w:p>
    <w:p>
      <w:pPr>
        <w:spacing w:after="0" w:line="205" w:lineRule="exact"/>
        <w:rPr>
          <w:sz w:val="20"/>
          <w:szCs w:val="20"/>
          <w:color w:val="auto"/>
        </w:rPr>
      </w:pPr>
    </w:p>
    <w:p>
      <w:pPr>
        <w:ind w:left="1280" w:hanging="624"/>
        <w:spacing w:after="0" w:line="266" w:lineRule="auto"/>
        <w:tabs>
          <w:tab w:leader="none" w:pos="1262" w:val="left"/>
        </w:tabs>
        <w:numPr>
          <w:ilvl w:val="0"/>
          <w:numId w:val="203"/>
        </w:numPr>
        <w:rPr>
          <w:rFonts w:ascii="Arial" w:cs="Arial" w:eastAsia="Arial" w:hAnsi="Arial"/>
          <w:sz w:val="20"/>
          <w:szCs w:val="20"/>
          <w:color w:val="auto"/>
        </w:rPr>
      </w:pPr>
      <w:r>
        <w:rPr>
          <w:rFonts w:ascii="Arial" w:cs="Arial" w:eastAsia="Arial" w:hAnsi="Arial"/>
          <w:sz w:val="18"/>
          <w:szCs w:val="18"/>
          <w:color w:val="auto"/>
        </w:rPr>
        <w:t>Each set of financial statements delivered by the Company pursuant to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be certified in accordance with applicable laws and the rules of any relevant stock exchange.</w:t>
      </w:r>
    </w:p>
    <w:p>
      <w:pPr>
        <w:spacing w:after="0" w:line="163" w:lineRule="exact"/>
        <w:rPr>
          <w:rFonts w:ascii="Arial" w:cs="Arial" w:eastAsia="Arial" w:hAnsi="Arial"/>
          <w:sz w:val="20"/>
          <w:szCs w:val="20"/>
          <w:color w:val="auto"/>
        </w:rPr>
      </w:pPr>
    </w:p>
    <w:p>
      <w:pPr>
        <w:jc w:val="both"/>
        <w:ind w:left="1280" w:hanging="624"/>
        <w:spacing w:after="0" w:line="306" w:lineRule="auto"/>
        <w:tabs>
          <w:tab w:leader="none" w:pos="1262" w:val="left"/>
        </w:tabs>
        <w:numPr>
          <w:ilvl w:val="0"/>
          <w:numId w:val="203"/>
        </w:numPr>
        <w:rPr>
          <w:rFonts w:ascii="Arial" w:cs="Arial" w:eastAsia="Arial" w:hAnsi="Arial"/>
          <w:sz w:val="18"/>
          <w:szCs w:val="18"/>
          <w:color w:val="auto"/>
        </w:rPr>
      </w:pPr>
      <w:r>
        <w:rPr>
          <w:rFonts w:ascii="Arial" w:cs="Arial" w:eastAsia="Arial" w:hAnsi="Arial"/>
          <w:sz w:val="16"/>
          <w:szCs w:val="16"/>
          <w:color w:val="auto"/>
        </w:rPr>
        <w:t>The Company shall procure that each set of financial statements of the Company delivered pursuant to Clause 18.1 (</w:t>
      </w:r>
      <w:r>
        <w:rPr>
          <w:rFonts w:ascii="Arial" w:cs="Arial" w:eastAsia="Arial" w:hAnsi="Arial"/>
          <w:sz w:val="16"/>
          <w:szCs w:val="16"/>
          <w:i w:val="1"/>
          <w:iCs w:val="1"/>
          <w:color w:val="auto"/>
        </w:rPr>
        <w:t>Financial statements</w:t>
      </w:r>
      <w:r>
        <w:rPr>
          <w:rFonts w:ascii="Arial" w:cs="Arial" w:eastAsia="Arial" w:hAnsi="Arial"/>
          <w:sz w:val="16"/>
          <w:szCs w:val="16"/>
          <w:color w:val="auto"/>
        </w:rPr>
        <w:t>) is prepared using the Accounting Principles, accounting practices and financial reference periods consistent with those applied in the preparation of the Original Financial Statements unless, in relation to any set of financial statements, it notifies the Lender that there has been a change in the Accounting Principles, the accounting practices or reference periods and its auditors deliver to the Lender:</w:t>
      </w:r>
    </w:p>
    <w:p>
      <w:pPr>
        <w:spacing w:after="0" w:line="139" w:lineRule="exact"/>
        <w:rPr>
          <w:rFonts w:ascii="Arial" w:cs="Arial" w:eastAsia="Arial" w:hAnsi="Arial"/>
          <w:sz w:val="18"/>
          <w:szCs w:val="18"/>
          <w:color w:val="auto"/>
        </w:rPr>
      </w:pPr>
    </w:p>
    <w:p>
      <w:pPr>
        <w:ind w:left="1920" w:right="20" w:hanging="643"/>
        <w:spacing w:after="0" w:line="266" w:lineRule="auto"/>
        <w:tabs>
          <w:tab w:leader="none" w:pos="1920" w:val="left"/>
        </w:tabs>
        <w:numPr>
          <w:ilvl w:val="1"/>
          <w:numId w:val="203"/>
        </w:numPr>
        <w:rPr>
          <w:rFonts w:ascii="Arial" w:cs="Arial" w:eastAsia="Arial" w:hAnsi="Arial"/>
          <w:sz w:val="20"/>
          <w:szCs w:val="20"/>
          <w:color w:val="auto"/>
        </w:rPr>
      </w:pPr>
      <w:r>
        <w:rPr>
          <w:rFonts w:ascii="Arial" w:cs="Arial" w:eastAsia="Arial" w:hAnsi="Arial"/>
          <w:sz w:val="18"/>
          <w:szCs w:val="18"/>
          <w:color w:val="auto"/>
        </w:rPr>
        <w:t>a description of any change necessary for those financial statements to reflect the Accounting Principles, accounting practices and reference periods upon which the Original Financial Statements were prepared; and</w:t>
      </w:r>
    </w:p>
    <w:p>
      <w:pPr>
        <w:spacing w:after="0" w:line="163" w:lineRule="exact"/>
        <w:rPr>
          <w:rFonts w:ascii="Arial" w:cs="Arial" w:eastAsia="Arial" w:hAnsi="Arial"/>
          <w:sz w:val="20"/>
          <w:szCs w:val="20"/>
          <w:color w:val="auto"/>
        </w:rPr>
      </w:pPr>
    </w:p>
    <w:p>
      <w:pPr>
        <w:jc w:val="both"/>
        <w:ind w:left="1920" w:hanging="643"/>
        <w:spacing w:after="0" w:line="264" w:lineRule="auto"/>
        <w:tabs>
          <w:tab w:leader="none" w:pos="1920" w:val="left"/>
        </w:tabs>
        <w:numPr>
          <w:ilvl w:val="1"/>
          <w:numId w:val="203"/>
        </w:numPr>
        <w:rPr>
          <w:rFonts w:ascii="Arial" w:cs="Arial" w:eastAsia="Arial" w:hAnsi="Arial"/>
          <w:sz w:val="20"/>
          <w:szCs w:val="20"/>
          <w:color w:val="auto"/>
        </w:rPr>
      </w:pPr>
      <w:r>
        <w:rPr>
          <w:rFonts w:ascii="Arial" w:cs="Arial" w:eastAsia="Arial" w:hAnsi="Arial"/>
          <w:sz w:val="18"/>
          <w:szCs w:val="18"/>
          <w:color w:val="auto"/>
        </w:rPr>
        <w:t>sufficient information, in form and substance as may be reasonably required by the Lender, to enable it to determine whether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 has been complied with and make an accurate comparison between the financial position indicated in those financial statements and the Original Financial Statements.</w:t>
      </w:r>
    </w:p>
    <w:p>
      <w:pPr>
        <w:spacing w:after="0" w:line="156" w:lineRule="exact"/>
        <w:rPr>
          <w:sz w:val="20"/>
          <w:szCs w:val="20"/>
          <w:color w:val="auto"/>
        </w:rPr>
      </w:pPr>
    </w:p>
    <w:p>
      <w:pPr>
        <w:ind w:left="1280" w:right="20"/>
        <w:spacing w:after="0" w:line="277" w:lineRule="auto"/>
        <w:rPr>
          <w:sz w:val="20"/>
          <w:szCs w:val="20"/>
          <w:color w:val="auto"/>
        </w:rPr>
      </w:pPr>
      <w:r>
        <w:rPr>
          <w:rFonts w:ascii="Arial" w:cs="Arial" w:eastAsia="Arial" w:hAnsi="Arial"/>
          <w:sz w:val="18"/>
          <w:szCs w:val="18"/>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6"/>
          <w:szCs w:val="16"/>
          <w:b w:val="1"/>
          <w:bCs w:val="1"/>
          <w:color w:val="auto"/>
        </w:rPr>
        <w:t>Information: miscellaneous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shall supply to the Lender:</w:t>
      </w:r>
    </w:p>
    <w:p>
      <w:pPr>
        <w:spacing w:after="0" w:line="212" w:lineRule="exact"/>
        <w:rPr>
          <w:sz w:val="20"/>
          <w:szCs w:val="20"/>
          <w:color w:val="auto"/>
        </w:rPr>
      </w:pPr>
    </w:p>
    <w:p>
      <w:pPr>
        <w:ind w:left="1280" w:hanging="624"/>
        <w:spacing w:after="0" w:line="266" w:lineRule="auto"/>
        <w:tabs>
          <w:tab w:leader="none" w:pos="1262" w:val="left"/>
        </w:tabs>
        <w:numPr>
          <w:ilvl w:val="0"/>
          <w:numId w:val="204"/>
        </w:numPr>
        <w:rPr>
          <w:rFonts w:ascii="Arial" w:cs="Arial" w:eastAsia="Arial" w:hAnsi="Arial"/>
          <w:sz w:val="20"/>
          <w:szCs w:val="20"/>
          <w:color w:val="auto"/>
        </w:rPr>
      </w:pPr>
      <w:r>
        <w:rPr>
          <w:rFonts w:ascii="Arial" w:cs="Arial" w:eastAsia="Arial" w:hAnsi="Arial"/>
          <w:sz w:val="18"/>
          <w:szCs w:val="18"/>
          <w:color w:val="auto"/>
        </w:rPr>
        <w:t>all material documents dispatched by the Company to its shareholders (or any class of them) or its creditors (or any class of them) at the same time as they are dispatched;</w:t>
      </w:r>
    </w:p>
    <w:p>
      <w:pPr>
        <w:spacing w:after="0" w:line="163"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204"/>
        </w:numPr>
        <w:rPr>
          <w:rFonts w:ascii="Arial" w:cs="Arial" w:eastAsia="Arial" w:hAnsi="Arial"/>
          <w:sz w:val="20"/>
          <w:szCs w:val="20"/>
          <w:color w:val="auto"/>
        </w:rPr>
      </w:pPr>
      <w:r>
        <w:rPr>
          <w:rFonts w:ascii="Arial" w:cs="Arial" w:eastAsia="Arial" w:hAnsi="Arial"/>
          <w:sz w:val="18"/>
          <w:szCs w:val="18"/>
          <w:color w:val="auto"/>
        </w:rPr>
        <w:t>promptly upon becoming aware of them, the details of any material litigation, arbitration or administrative proceedings which are current, threatened or pending against any member of the Group, and which are likely to be adversely determined and if adversely determined, would have a Material Adverse Effect; and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55" w:right="339" w:bottom="1440" w:gutter="0" w:footer="0" w:header="0"/>
        </w:sectPr>
      </w:pPr>
    </w:p>
    <w:bookmarkStart w:id="75" w:name="page76"/>
    <w:bookmarkEnd w:id="75"/>
    <w:p>
      <w:pPr>
        <w:ind w:left="1280" w:right="20" w:hanging="624"/>
        <w:spacing w:after="0" w:line="266" w:lineRule="auto"/>
        <w:tabs>
          <w:tab w:leader="none" w:pos="1262" w:val="left"/>
        </w:tabs>
        <w:numPr>
          <w:ilvl w:val="0"/>
          <w:numId w:val="205"/>
        </w:numPr>
        <w:rPr>
          <w:rFonts w:ascii="Arial" w:cs="Arial" w:eastAsia="Arial" w:hAnsi="Arial"/>
          <w:sz w:val="20"/>
          <w:szCs w:val="20"/>
          <w:color w:val="auto"/>
        </w:rPr>
      </w:pPr>
      <w:r>
        <w:rPr>
          <w:rFonts w:ascii="Arial" w:cs="Arial" w:eastAsia="Arial" w:hAnsi="Arial"/>
          <w:sz w:val="18"/>
          <w:szCs w:val="18"/>
          <w:color w:val="auto"/>
        </w:rPr>
        <w:t>promptly, such further information regarding the financial condition, assets, business and operations of any member of the Group as the Lender may reasonably request.</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16"/>
          <w:szCs w:val="16"/>
          <w:b w:val="1"/>
          <w:bCs w:val="1"/>
          <w:color w:val="auto"/>
        </w:rPr>
        <w:t>Notification of default</w:t>
      </w:r>
    </w:p>
    <w:p>
      <w:pPr>
        <w:spacing w:after="0" w:line="205" w:lineRule="exact"/>
        <w:rPr>
          <w:sz w:val="20"/>
          <w:szCs w:val="20"/>
          <w:color w:val="auto"/>
        </w:rPr>
      </w:pPr>
    </w:p>
    <w:p>
      <w:pPr>
        <w:ind w:left="1280" w:hanging="624"/>
        <w:spacing w:after="0" w:line="266" w:lineRule="auto"/>
        <w:tabs>
          <w:tab w:leader="none" w:pos="1262" w:val="left"/>
        </w:tabs>
        <w:numPr>
          <w:ilvl w:val="0"/>
          <w:numId w:val="206"/>
        </w:numPr>
        <w:rPr>
          <w:rFonts w:ascii="Arial" w:cs="Arial" w:eastAsia="Arial" w:hAnsi="Arial"/>
          <w:sz w:val="20"/>
          <w:szCs w:val="20"/>
          <w:color w:val="auto"/>
        </w:rPr>
      </w:pPr>
      <w:r>
        <w:rPr>
          <w:rFonts w:ascii="Arial" w:cs="Arial" w:eastAsia="Arial" w:hAnsi="Arial"/>
          <w:sz w:val="18"/>
          <w:szCs w:val="18"/>
          <w:color w:val="auto"/>
        </w:rPr>
        <w:t>The Company shall notify the Lender of any Default (and the steps, if any, being taken to remedy it) promptly upon becoming aware of its occurrence.</w:t>
      </w:r>
    </w:p>
    <w:p>
      <w:pPr>
        <w:spacing w:after="0" w:line="163"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206"/>
        </w:numPr>
        <w:rPr>
          <w:rFonts w:ascii="Arial" w:cs="Arial" w:eastAsia="Arial" w:hAnsi="Arial"/>
          <w:sz w:val="20"/>
          <w:szCs w:val="20"/>
          <w:color w:val="auto"/>
        </w:rPr>
      </w:pPr>
      <w:r>
        <w:rPr>
          <w:rFonts w:ascii="Arial" w:cs="Arial" w:eastAsia="Arial" w:hAnsi="Arial"/>
          <w:sz w:val="18"/>
          <w:szCs w:val="18"/>
          <w:color w:val="auto"/>
        </w:rPr>
        <w:t>Promptly upon a request by the Lender, the Company shall supply to the Lender a certificate signed by two of its directors or senior officers on its behalf certifying that no Default is continuing (or if a Default is continuing, specifying the Default and the steps, if any, being taken to remedy it).</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15"/>
          <w:szCs w:val="15"/>
          <w:b w:val="1"/>
          <w:bCs w:val="1"/>
          <w:color w:val="auto"/>
        </w:rPr>
        <w:t>Use of websites</w:t>
      </w:r>
    </w:p>
    <w:p>
      <w:pPr>
        <w:spacing w:after="0" w:line="205" w:lineRule="exact"/>
        <w:rPr>
          <w:sz w:val="20"/>
          <w:szCs w:val="20"/>
          <w:color w:val="auto"/>
        </w:rPr>
      </w:pPr>
    </w:p>
    <w:p>
      <w:pPr>
        <w:ind w:left="1280" w:right="20" w:hanging="624"/>
        <w:spacing w:after="0" w:line="266" w:lineRule="auto"/>
        <w:tabs>
          <w:tab w:leader="none" w:pos="1262" w:val="left"/>
        </w:tabs>
        <w:numPr>
          <w:ilvl w:val="0"/>
          <w:numId w:val="207"/>
        </w:numPr>
        <w:rPr>
          <w:rFonts w:ascii="Arial" w:cs="Arial" w:eastAsia="Arial" w:hAnsi="Arial"/>
          <w:sz w:val="20"/>
          <w:szCs w:val="20"/>
          <w:color w:val="auto"/>
        </w:rPr>
      </w:pPr>
      <w:r>
        <w:rPr>
          <w:rFonts w:ascii="Arial" w:cs="Arial" w:eastAsia="Arial" w:hAnsi="Arial"/>
          <w:sz w:val="18"/>
          <w:szCs w:val="18"/>
          <w:color w:val="auto"/>
        </w:rPr>
        <w:t>The Company may satisfy its obligation under this Agreement to deliver any information in relation to the Lender by posting this information onto an electronic website designated by the Company and the Lender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207"/>
        </w:numPr>
        <w:rPr>
          <w:rFonts w:ascii="Arial" w:cs="Arial" w:eastAsia="Arial" w:hAnsi="Arial"/>
          <w:sz w:val="20"/>
          <w:szCs w:val="20"/>
          <w:color w:val="auto"/>
        </w:rPr>
      </w:pPr>
      <w:r>
        <w:rPr>
          <w:rFonts w:ascii="Arial" w:cs="Arial" w:eastAsia="Arial" w:hAnsi="Arial"/>
          <w:sz w:val="18"/>
          <w:szCs w:val="18"/>
          <w:color w:val="auto"/>
        </w:rPr>
        <w:t>the Lender expressly agrees that it will accept communication of the information by this method;</w:t>
      </w:r>
    </w:p>
    <w:p>
      <w:pPr>
        <w:spacing w:after="0" w:line="188"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207"/>
        </w:numPr>
        <w:rPr>
          <w:rFonts w:ascii="Arial" w:cs="Arial" w:eastAsia="Arial" w:hAnsi="Arial"/>
          <w:sz w:val="20"/>
          <w:szCs w:val="20"/>
          <w:color w:val="auto"/>
        </w:rPr>
      </w:pPr>
      <w:r>
        <w:rPr>
          <w:rFonts w:ascii="Arial" w:cs="Arial" w:eastAsia="Arial" w:hAnsi="Arial"/>
          <w:sz w:val="18"/>
          <w:szCs w:val="18"/>
          <w:color w:val="auto"/>
        </w:rPr>
        <w:t>both the Company and the Lender are aware of the address of and any relevant password specifications for the Designated Website; and</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207"/>
        </w:numPr>
        <w:rPr>
          <w:rFonts w:ascii="Arial" w:cs="Arial" w:eastAsia="Arial" w:hAnsi="Arial"/>
          <w:sz w:val="20"/>
          <w:szCs w:val="20"/>
          <w:color w:val="auto"/>
        </w:rPr>
      </w:pPr>
      <w:r>
        <w:rPr>
          <w:rFonts w:ascii="Arial" w:cs="Arial" w:eastAsia="Arial" w:hAnsi="Arial"/>
          <w:sz w:val="18"/>
          <w:szCs w:val="18"/>
          <w:color w:val="auto"/>
        </w:rPr>
        <w:t>the information is in a format previously agreed between the Company and the Lender.</w:t>
      </w:r>
    </w:p>
    <w:p>
      <w:pPr>
        <w:spacing w:after="0" w:line="175" w:lineRule="exact"/>
        <w:rPr>
          <w:sz w:val="20"/>
          <w:szCs w:val="20"/>
          <w:color w:val="auto"/>
        </w:rPr>
      </w:pPr>
    </w:p>
    <w:p>
      <w:pPr>
        <w:ind w:left="1280"/>
        <w:spacing w:after="0" w:line="277" w:lineRule="auto"/>
        <w:rPr>
          <w:sz w:val="20"/>
          <w:szCs w:val="20"/>
          <w:color w:val="auto"/>
        </w:rPr>
      </w:pPr>
      <w:r>
        <w:rPr>
          <w:rFonts w:ascii="Arial" w:cs="Arial" w:eastAsia="Arial" w:hAnsi="Arial"/>
          <w:sz w:val="18"/>
          <w:szCs w:val="18"/>
          <w:color w:val="auto"/>
        </w:rPr>
        <w:t>If the Lender does not agree to the delivery of information electronically then it shall notify the Company accordingly and the Company shall supply the information to the Lender in paper form.</w:t>
      </w:r>
    </w:p>
    <w:p>
      <w:pPr>
        <w:spacing w:after="0" w:line="157" w:lineRule="exact"/>
        <w:rPr>
          <w:sz w:val="20"/>
          <w:szCs w:val="20"/>
          <w:color w:val="auto"/>
        </w:rPr>
      </w:pPr>
    </w:p>
    <w:p>
      <w:pPr>
        <w:ind w:left="1260" w:hanging="604"/>
        <w:spacing w:after="0"/>
        <w:tabs>
          <w:tab w:leader="none" w:pos="1260" w:val="left"/>
        </w:tabs>
        <w:numPr>
          <w:ilvl w:val="0"/>
          <w:numId w:val="208"/>
        </w:numPr>
        <w:rPr>
          <w:rFonts w:ascii="Arial" w:cs="Arial" w:eastAsia="Arial" w:hAnsi="Arial"/>
          <w:sz w:val="20"/>
          <w:szCs w:val="20"/>
          <w:color w:val="auto"/>
        </w:rPr>
      </w:pPr>
      <w:r>
        <w:rPr>
          <w:rFonts w:ascii="Arial" w:cs="Arial" w:eastAsia="Arial" w:hAnsi="Arial"/>
          <w:sz w:val="18"/>
          <w:szCs w:val="18"/>
          <w:color w:val="auto"/>
        </w:rPr>
        <w:t>The Company shall promptly upon becoming aware of its occurrence notify the Lender if:</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08"/>
        </w:numPr>
        <w:rPr>
          <w:rFonts w:ascii="Arial" w:cs="Arial" w:eastAsia="Arial" w:hAnsi="Arial"/>
          <w:sz w:val="20"/>
          <w:szCs w:val="20"/>
          <w:color w:val="auto"/>
        </w:rPr>
      </w:pPr>
      <w:r>
        <w:rPr>
          <w:rFonts w:ascii="Arial" w:cs="Arial" w:eastAsia="Arial" w:hAnsi="Arial"/>
          <w:sz w:val="18"/>
          <w:szCs w:val="18"/>
          <w:color w:val="auto"/>
        </w:rPr>
        <w:t>the Designated Website cannot be accessed due to technical failure;</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08"/>
        </w:numPr>
        <w:rPr>
          <w:rFonts w:ascii="Arial" w:cs="Arial" w:eastAsia="Arial" w:hAnsi="Arial"/>
          <w:sz w:val="20"/>
          <w:szCs w:val="20"/>
          <w:color w:val="auto"/>
        </w:rPr>
      </w:pPr>
      <w:r>
        <w:rPr>
          <w:rFonts w:ascii="Arial" w:cs="Arial" w:eastAsia="Arial" w:hAnsi="Arial"/>
          <w:sz w:val="18"/>
          <w:szCs w:val="18"/>
          <w:color w:val="auto"/>
        </w:rPr>
        <w:t>the password specifications for the Designated Website change;</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08"/>
        </w:numPr>
        <w:rPr>
          <w:rFonts w:ascii="Arial" w:cs="Arial" w:eastAsia="Arial" w:hAnsi="Arial"/>
          <w:sz w:val="20"/>
          <w:szCs w:val="20"/>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08"/>
        </w:numPr>
        <w:rPr>
          <w:rFonts w:ascii="Arial" w:cs="Arial" w:eastAsia="Arial" w:hAnsi="Arial"/>
          <w:sz w:val="18"/>
          <w:szCs w:val="18"/>
          <w:color w:val="auto"/>
        </w:rPr>
      </w:pPr>
      <w:r>
        <w:rPr>
          <w:rFonts w:ascii="Arial" w:cs="Arial" w:eastAsia="Arial" w:hAnsi="Arial"/>
          <w:sz w:val="16"/>
          <w:szCs w:val="16"/>
          <w:color w:val="auto"/>
        </w:rPr>
        <w:t>any existing information which has been provided under this Agreement and posted onto the Designated Website is amended; or</w:t>
      </w:r>
    </w:p>
    <w:p>
      <w:pPr>
        <w:spacing w:after="0" w:line="211" w:lineRule="exact"/>
        <w:rPr>
          <w:rFonts w:ascii="Arial" w:cs="Arial" w:eastAsia="Arial" w:hAnsi="Arial"/>
          <w:sz w:val="18"/>
          <w:szCs w:val="18"/>
          <w:color w:val="auto"/>
        </w:rPr>
      </w:pPr>
    </w:p>
    <w:p>
      <w:pPr>
        <w:ind w:left="1920" w:right="20" w:hanging="643"/>
        <w:spacing w:after="0" w:line="266" w:lineRule="auto"/>
        <w:tabs>
          <w:tab w:leader="none" w:pos="1920" w:val="left"/>
        </w:tabs>
        <w:numPr>
          <w:ilvl w:val="1"/>
          <w:numId w:val="208"/>
        </w:numPr>
        <w:rPr>
          <w:rFonts w:ascii="Arial" w:cs="Arial" w:eastAsia="Arial" w:hAnsi="Arial"/>
          <w:sz w:val="20"/>
          <w:szCs w:val="20"/>
          <w:color w:val="auto"/>
        </w:rPr>
      </w:pPr>
      <w:r>
        <w:rPr>
          <w:rFonts w:ascii="Arial" w:cs="Arial" w:eastAsia="Arial" w:hAnsi="Arial"/>
          <w:sz w:val="18"/>
          <w:szCs w:val="18"/>
          <w:color w:val="auto"/>
        </w:rPr>
        <w:t>the Company becomes aware that the Designated Website or any information posted onto the Designated Website is or has been infected by any electronic virus or similar software.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55" w:right="339" w:bottom="1440" w:gutter="0" w:footer="0" w:header="0"/>
        </w:sectPr>
      </w:pPr>
    </w:p>
    <w:bookmarkStart w:id="76" w:name="page77"/>
    <w:bookmarkEnd w:id="76"/>
    <w:p>
      <w:pPr>
        <w:jc w:val="both"/>
        <w:ind w:left="1280" w:hanging="624"/>
        <w:spacing w:after="0" w:line="264" w:lineRule="auto"/>
        <w:tabs>
          <w:tab w:leader="none" w:pos="1262" w:val="left"/>
        </w:tabs>
        <w:numPr>
          <w:ilvl w:val="0"/>
          <w:numId w:val="209"/>
        </w:numPr>
        <w:rPr>
          <w:rFonts w:ascii="Arial" w:cs="Arial" w:eastAsia="Arial" w:hAnsi="Arial"/>
          <w:sz w:val="20"/>
          <w:szCs w:val="20"/>
          <w:color w:val="auto"/>
        </w:rPr>
      </w:pPr>
      <w:r>
        <w:rPr>
          <w:rFonts w:ascii="Arial" w:cs="Arial" w:eastAsia="Arial" w:hAnsi="Arial"/>
          <w:sz w:val="18"/>
          <w:szCs w:val="18"/>
          <w:color w:val="auto"/>
        </w:rPr>
        <w:t>If the Company notifies the Lender under paragraph (b)(i) or paragraph (b)(v) above, all information to be provided by the Company under this Agreement after the date of that notice shall be supplied in paper form unless and until the Lender is satisfied that the circumstances giving rise to the notification are no longer continuing.</w:t>
      </w:r>
    </w:p>
    <w:p>
      <w:pPr>
        <w:spacing w:after="0" w:line="169"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209"/>
        </w:numPr>
        <w:rPr>
          <w:rFonts w:ascii="Arial" w:cs="Arial" w:eastAsia="Arial" w:hAnsi="Arial"/>
          <w:sz w:val="20"/>
          <w:szCs w:val="20"/>
          <w:color w:val="auto"/>
        </w:rPr>
      </w:pPr>
      <w:r>
        <w:rPr>
          <w:rFonts w:ascii="Arial" w:cs="Arial" w:eastAsia="Arial" w:hAnsi="Arial"/>
          <w:sz w:val="18"/>
          <w:szCs w:val="18"/>
          <w:color w:val="auto"/>
        </w:rPr>
        <w:t>The Lender may request one paper copy of any information required to be provided under this Agreement which is posted onto the Designated Website. The Company shall comply with any such request within ten Business Days.</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16"/>
          <w:szCs w:val="16"/>
          <w:b w:val="1"/>
          <w:bCs w:val="1"/>
          <w:color w:val="auto"/>
        </w:rPr>
        <w:t>“Know your customer” checks</w:t>
      </w:r>
    </w:p>
    <w:p>
      <w:pPr>
        <w:spacing w:after="0" w:line="205" w:lineRule="exact"/>
        <w:rPr>
          <w:sz w:val="20"/>
          <w:szCs w:val="20"/>
          <w:color w:val="auto"/>
        </w:rPr>
      </w:pPr>
    </w:p>
    <w:p>
      <w:pPr>
        <w:ind w:left="1260" w:hanging="604"/>
        <w:spacing w:after="0"/>
        <w:tabs>
          <w:tab w:leader="none" w:pos="1260" w:val="left"/>
        </w:tabs>
        <w:numPr>
          <w:ilvl w:val="0"/>
          <w:numId w:val="210"/>
        </w:numPr>
        <w:rPr>
          <w:rFonts w:ascii="Arial" w:cs="Arial" w:eastAsia="Arial" w:hAnsi="Arial"/>
          <w:sz w:val="20"/>
          <w:szCs w:val="20"/>
          <w:color w:val="auto"/>
        </w:rPr>
      </w:pPr>
      <w:r>
        <w:rPr>
          <w:rFonts w:ascii="Arial" w:cs="Arial" w:eastAsia="Arial" w:hAnsi="Arial"/>
          <w:sz w:val="18"/>
          <w:szCs w:val="18"/>
          <w:color w:val="auto"/>
        </w:rPr>
        <w:t>If:</w:t>
      </w:r>
    </w:p>
    <w:p>
      <w:pPr>
        <w:spacing w:after="0" w:line="188"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210"/>
        </w:numPr>
        <w:rPr>
          <w:rFonts w:ascii="Arial" w:cs="Arial" w:eastAsia="Arial" w:hAnsi="Arial"/>
          <w:sz w:val="20"/>
          <w:szCs w:val="20"/>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210"/>
        </w:numPr>
        <w:rPr>
          <w:rFonts w:ascii="Arial" w:cs="Arial" w:eastAsia="Arial" w:hAnsi="Arial"/>
          <w:sz w:val="20"/>
          <w:szCs w:val="20"/>
          <w:color w:val="auto"/>
        </w:rPr>
      </w:pPr>
      <w:r>
        <w:rPr>
          <w:rFonts w:ascii="Arial" w:cs="Arial" w:eastAsia="Arial" w:hAnsi="Arial"/>
          <w:sz w:val="18"/>
          <w:szCs w:val="18"/>
          <w:color w:val="auto"/>
        </w:rPr>
        <w:t>any change in the status of the Company after the date of this Agreement; or</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10"/>
        </w:numPr>
        <w:rPr>
          <w:rFonts w:ascii="Arial" w:cs="Arial" w:eastAsia="Arial" w:hAnsi="Arial"/>
          <w:sz w:val="19"/>
          <w:szCs w:val="19"/>
          <w:color w:val="auto"/>
        </w:rPr>
      </w:pPr>
      <w:r>
        <w:rPr>
          <w:rFonts w:ascii="Arial" w:cs="Arial" w:eastAsia="Arial" w:hAnsi="Arial"/>
          <w:sz w:val="17"/>
          <w:szCs w:val="17"/>
          <w:color w:val="auto"/>
        </w:rPr>
        <w:t>a proposed assignment or transfer by the Lender of any of its rights and obligations under this Agreement to a third party,</w:t>
      </w:r>
    </w:p>
    <w:p>
      <w:pPr>
        <w:spacing w:after="0" w:line="187" w:lineRule="exact"/>
        <w:rPr>
          <w:sz w:val="20"/>
          <w:szCs w:val="20"/>
          <w:color w:val="auto"/>
        </w:rPr>
      </w:pPr>
    </w:p>
    <w:p>
      <w:pPr>
        <w:jc w:val="both"/>
        <w:ind w:left="1280"/>
        <w:spacing w:after="0" w:line="257" w:lineRule="auto"/>
        <w:rPr>
          <w:sz w:val="20"/>
          <w:szCs w:val="20"/>
          <w:color w:val="auto"/>
        </w:rPr>
      </w:pPr>
      <w:r>
        <w:rPr>
          <w:rFonts w:ascii="Arial" w:cs="Arial" w:eastAsia="Arial" w:hAnsi="Arial"/>
          <w:sz w:val="18"/>
          <w:szCs w:val="18"/>
          <w:color w:val="auto"/>
        </w:rPr>
        <w:t>obliges the Lender to comply with “know your customer” or similar identification procedures in circumstances where the necessary information is not already available to it, the Company shall promptly upon the request of the Lender supply, or procure the supply of, such documentation and other evidence as is reasonably requested by the Lender in order for it to carry out and be satisfied it has complied with all necessary “know your customer” or other similar checks under all applicable laws and regulations pursuant to the transactions contemplated in the Finance Documents.</w:t>
      </w:r>
    </w:p>
    <w:p>
      <w:pPr>
        <w:spacing w:after="0" w:line="170" w:lineRule="exact"/>
        <w:rPr>
          <w:sz w:val="20"/>
          <w:szCs w:val="20"/>
          <w:color w:val="auto"/>
        </w:rPr>
      </w:pPr>
    </w:p>
    <w:p>
      <w:pPr>
        <w:ind w:left="620" w:hanging="612"/>
        <w:spacing w:after="0"/>
        <w:tabs>
          <w:tab w:leader="none" w:pos="620" w:val="left"/>
        </w:tabs>
        <w:numPr>
          <w:ilvl w:val="0"/>
          <w:numId w:val="211"/>
        </w:numPr>
        <w:rPr>
          <w:rFonts w:ascii="Arial" w:cs="Arial" w:eastAsia="Arial" w:hAnsi="Arial"/>
          <w:sz w:val="20"/>
          <w:szCs w:val="20"/>
          <w:b w:val="1"/>
          <w:bCs w:val="1"/>
          <w:color w:val="auto"/>
        </w:rPr>
      </w:pPr>
      <w:r>
        <w:rPr>
          <w:rFonts w:ascii="Arial" w:cs="Arial" w:eastAsia="Arial" w:hAnsi="Arial"/>
          <w:sz w:val="18"/>
          <w:szCs w:val="18"/>
          <w:b w:val="1"/>
          <w:bCs w:val="1"/>
          <w:color w:val="auto"/>
        </w:rPr>
        <w:t>FINANCIAL COVENANTS</w:t>
      </w:r>
    </w:p>
    <w:p>
      <w:pPr>
        <w:spacing w:after="0" w:line="179" w:lineRule="exact"/>
        <w:rPr>
          <w:rFonts w:ascii="Arial" w:cs="Arial" w:eastAsia="Arial" w:hAnsi="Arial"/>
          <w:sz w:val="20"/>
          <w:szCs w:val="20"/>
          <w:b w:val="1"/>
          <w:bCs w:val="1"/>
          <w:color w:val="auto"/>
        </w:rPr>
      </w:pPr>
    </w:p>
    <w:p>
      <w:pPr>
        <w:ind w:left="620"/>
        <w:spacing w:after="0" w:line="277" w:lineRule="auto"/>
        <w:rPr>
          <w:rFonts w:ascii="Arial" w:cs="Arial" w:eastAsia="Arial" w:hAnsi="Arial"/>
          <w:sz w:val="20"/>
          <w:szCs w:val="20"/>
          <w:b w:val="1"/>
          <w:bCs w:val="1"/>
          <w:color w:val="auto"/>
        </w:rPr>
      </w:pPr>
      <w:r>
        <w:rPr>
          <w:rFonts w:ascii="Arial" w:cs="Arial" w:eastAsia="Arial" w:hAnsi="Arial"/>
          <w:sz w:val="18"/>
          <w:szCs w:val="18"/>
          <w:color w:val="auto"/>
        </w:rPr>
        <w:t>The financial undertakings set out in this Clause 19 shall remain in force from the date of this Agreement for so long as any amount is outstanding under the Finance Documents or any Commitment is in force (unless indicated otherwise).</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6"/>
          <w:szCs w:val="16"/>
          <w:b w:val="1"/>
          <w:bCs w:val="1"/>
          <w:color w:val="auto"/>
        </w:rPr>
        <w:t>Financial condition</w:t>
      </w:r>
    </w:p>
    <w:p>
      <w:pPr>
        <w:spacing w:after="0" w:line="201" w:lineRule="exact"/>
        <w:rPr>
          <w:sz w:val="20"/>
          <w:szCs w:val="20"/>
          <w:color w:val="auto"/>
        </w:rPr>
      </w:pPr>
    </w:p>
    <w:p>
      <w:pPr>
        <w:jc w:val="both"/>
        <w:ind w:left="1300" w:hanging="644"/>
        <w:spacing w:after="0" w:line="267" w:lineRule="auto"/>
        <w:tabs>
          <w:tab w:leader="none" w:pos="1300" w:val="left"/>
        </w:tabs>
        <w:numPr>
          <w:ilvl w:val="0"/>
          <w:numId w:val="212"/>
        </w:numPr>
        <w:rPr>
          <w:rFonts w:ascii="Arial" w:cs="Arial" w:eastAsia="Arial" w:hAnsi="Arial"/>
          <w:sz w:val="20"/>
          <w:szCs w:val="20"/>
          <w:color w:val="auto"/>
        </w:rPr>
      </w:pPr>
      <w:r>
        <w:rPr>
          <w:rFonts w:ascii="Arial" w:cs="Arial" w:eastAsia="Arial" w:hAnsi="Arial"/>
          <w:sz w:val="18"/>
          <w:szCs w:val="18"/>
          <w:b w:val="1"/>
          <w:bCs w:val="1"/>
          <w:color w:val="auto"/>
        </w:rPr>
        <w:t xml:space="preserve">Consolidated Net Financial Indebtedness to Consolidated EBITDA: </w:t>
      </w:r>
      <w:r>
        <w:rPr>
          <w:rFonts w:ascii="Arial" w:cs="Arial" w:eastAsia="Arial" w:hAnsi="Arial"/>
          <w:sz w:val="18"/>
          <w:szCs w:val="18"/>
          <w:color w:val="auto"/>
        </w:rPr>
        <w:t>The Company shall ensure that Consolidated Net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as at any Accounting Date shall not be more than 2.50 times the Consolidated EBITDA for the applicable Test Period ending on that Accounting Date.</w:t>
      </w:r>
    </w:p>
    <w:p>
      <w:pPr>
        <w:spacing w:after="0" w:line="161" w:lineRule="exact"/>
        <w:rPr>
          <w:rFonts w:ascii="Arial" w:cs="Arial" w:eastAsia="Arial" w:hAnsi="Arial"/>
          <w:sz w:val="20"/>
          <w:szCs w:val="20"/>
          <w:color w:val="auto"/>
        </w:rPr>
      </w:pPr>
    </w:p>
    <w:p>
      <w:pPr>
        <w:ind w:left="1300" w:right="20" w:hanging="644"/>
        <w:spacing w:after="0" w:line="301" w:lineRule="auto"/>
        <w:tabs>
          <w:tab w:leader="none" w:pos="1300" w:val="left"/>
        </w:tabs>
        <w:numPr>
          <w:ilvl w:val="0"/>
          <w:numId w:val="212"/>
        </w:numPr>
        <w:rPr>
          <w:rFonts w:ascii="Arial" w:cs="Arial" w:eastAsia="Arial" w:hAnsi="Arial"/>
          <w:sz w:val="19"/>
          <w:szCs w:val="19"/>
          <w:color w:val="auto"/>
        </w:rPr>
      </w:pPr>
      <w:r>
        <w:rPr>
          <w:rFonts w:ascii="Arial" w:cs="Arial" w:eastAsia="Arial" w:hAnsi="Arial"/>
          <w:sz w:val="17"/>
          <w:szCs w:val="17"/>
          <w:b w:val="1"/>
          <w:bCs w:val="1"/>
          <w:color w:val="auto"/>
        </w:rPr>
        <w:t xml:space="preserve">Consolidated EBITDA to Consolidated Total Net Interest Payable: </w:t>
      </w:r>
      <w:r>
        <w:rPr>
          <w:rFonts w:ascii="Arial" w:cs="Arial" w:eastAsia="Arial" w:hAnsi="Arial"/>
          <w:sz w:val="17"/>
          <w:szCs w:val="17"/>
          <w:color w:val="auto"/>
        </w:rPr>
        <w:t>Consolidated EBITDA for the applicable Test Period ending on</w:t>
      </w:r>
      <w:r>
        <w:rPr>
          <w:rFonts w:ascii="Arial" w:cs="Arial" w:eastAsia="Arial" w:hAnsi="Arial"/>
          <w:sz w:val="17"/>
          <w:szCs w:val="17"/>
          <w:b w:val="1"/>
          <w:bCs w:val="1"/>
          <w:color w:val="auto"/>
        </w:rPr>
        <w:t xml:space="preserve"> </w:t>
      </w:r>
      <w:r>
        <w:rPr>
          <w:rFonts w:ascii="Arial" w:cs="Arial" w:eastAsia="Arial" w:hAnsi="Arial"/>
          <w:sz w:val="17"/>
          <w:szCs w:val="17"/>
          <w:color w:val="auto"/>
        </w:rPr>
        <w:t>an Accounting Date shall not be lower than 6.30 times the Consolidated Total Net Interest Payable for that Test Period.</w:t>
      </w:r>
    </w:p>
    <w:p>
      <w:pPr>
        <w:spacing w:after="0" w:line="128" w:lineRule="exact"/>
        <w:rPr>
          <w:rFonts w:ascii="Arial" w:cs="Arial" w:eastAsia="Arial" w:hAnsi="Arial"/>
          <w:sz w:val="19"/>
          <w:szCs w:val="19"/>
          <w:color w:val="auto"/>
        </w:rPr>
      </w:pPr>
    </w:p>
    <w:p>
      <w:pPr>
        <w:ind w:left="1300" w:right="20" w:hanging="644"/>
        <w:spacing w:after="0" w:line="271" w:lineRule="auto"/>
        <w:tabs>
          <w:tab w:leader="none" w:pos="1300" w:val="left"/>
        </w:tabs>
        <w:numPr>
          <w:ilvl w:val="0"/>
          <w:numId w:val="212"/>
        </w:numPr>
        <w:rPr>
          <w:rFonts w:ascii="Arial" w:cs="Arial" w:eastAsia="Arial" w:hAnsi="Arial"/>
          <w:sz w:val="20"/>
          <w:szCs w:val="20"/>
          <w:color w:val="auto"/>
        </w:rPr>
      </w:pPr>
      <w:r>
        <w:rPr>
          <w:rFonts w:ascii="Arial" w:cs="Arial" w:eastAsia="Arial" w:hAnsi="Arial"/>
          <w:sz w:val="18"/>
          <w:szCs w:val="18"/>
          <w:b w:val="1"/>
          <w:bCs w:val="1"/>
          <w:color w:val="auto"/>
        </w:rPr>
        <w:t xml:space="preserve">Consolidated Net Financial Indebtedness to Consolidated Net Worth: </w:t>
      </w:r>
      <w:r>
        <w:rPr>
          <w:rFonts w:ascii="Arial" w:cs="Arial" w:eastAsia="Arial" w:hAnsi="Arial"/>
          <w:sz w:val="18"/>
          <w:szCs w:val="18"/>
          <w:color w:val="auto"/>
        </w:rPr>
        <w:t>Consolidated Net Financial Indebtedness as at any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shall not be more than 0.50 times the Consolidated Net Worth as at that Accounting Date.</w:t>
      </w:r>
    </w:p>
    <w:p>
      <w:pPr>
        <w:spacing w:after="0" w:line="154" w:lineRule="exact"/>
        <w:rPr>
          <w:rFonts w:ascii="Arial" w:cs="Arial" w:eastAsia="Arial" w:hAnsi="Arial"/>
          <w:sz w:val="20"/>
          <w:szCs w:val="20"/>
          <w:color w:val="auto"/>
        </w:rPr>
      </w:pPr>
    </w:p>
    <w:p>
      <w:pPr>
        <w:ind w:left="1300" w:hanging="644"/>
        <w:spacing w:after="0"/>
        <w:tabs>
          <w:tab w:leader="none" w:pos="1300" w:val="left"/>
        </w:tabs>
        <w:numPr>
          <w:ilvl w:val="0"/>
          <w:numId w:val="212"/>
        </w:numPr>
        <w:rPr>
          <w:rFonts w:ascii="Arial" w:cs="Arial" w:eastAsia="Arial" w:hAnsi="Arial"/>
          <w:sz w:val="20"/>
          <w:szCs w:val="20"/>
          <w:color w:val="auto"/>
        </w:rPr>
      </w:pPr>
      <w:r>
        <w:rPr>
          <w:rFonts w:ascii="Arial" w:cs="Arial" w:eastAsia="Arial" w:hAnsi="Arial"/>
          <w:sz w:val="18"/>
          <w:szCs w:val="18"/>
          <w:b w:val="1"/>
          <w:bCs w:val="1"/>
          <w:color w:val="auto"/>
        </w:rPr>
        <w:t>Consolidated Net Worth</w:t>
      </w:r>
      <w:r>
        <w:rPr>
          <w:rFonts w:ascii="Arial" w:cs="Arial" w:eastAsia="Arial" w:hAnsi="Arial"/>
          <w:sz w:val="18"/>
          <w:szCs w:val="18"/>
          <w:color w:val="auto"/>
        </w:rPr>
        <w:t>: the Consolidated Net Worth shall at no time be lower than USD 725,000,000.</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55" w:right="339" w:bottom="1440" w:gutter="0" w:footer="0" w:header="0"/>
        </w:sectPr>
      </w:pPr>
    </w:p>
    <w:bookmarkStart w:id="77" w:name="page78"/>
    <w:bookmarkEnd w:id="77"/>
    <w:p>
      <w:pPr>
        <w:spacing w:after="0"/>
        <w:tabs>
          <w:tab w:leader="none" w:pos="60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b w:val="1"/>
          <w:bCs w:val="1"/>
          <w:color w:val="auto"/>
        </w:rPr>
        <w:t>Financial covenant calculations</w:t>
      </w:r>
    </w:p>
    <w:p>
      <w:pPr>
        <w:spacing w:after="0" w:line="19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financial ratios shall be calculated in accordance with the Accounting Principles and tested by reference to each of the financial statements and each compliance certificate to be delivered as set out in Clause 18 (</w:t>
      </w:r>
      <w:r>
        <w:rPr>
          <w:rFonts w:ascii="Arial" w:cs="Arial" w:eastAsia="Arial" w:hAnsi="Arial"/>
          <w:sz w:val="18"/>
          <w:szCs w:val="18"/>
          <w:i w:val="1"/>
          <w:iCs w:val="1"/>
          <w:color w:val="auto"/>
        </w:rPr>
        <w:t>Compliance Certificate</w:t>
      </w:r>
      <w:r>
        <w:rPr>
          <w:rFonts w:ascii="Arial" w:cs="Arial" w:eastAsia="Arial" w:hAnsi="Arial"/>
          <w:sz w:val="18"/>
          <w:szCs w:val="18"/>
          <w:color w:val="auto"/>
        </w:rPr>
        <w:t>).</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6"/>
          <w:szCs w:val="16"/>
          <w:b w:val="1"/>
          <w:bCs w:val="1"/>
          <w:color w:val="auto"/>
        </w:rPr>
        <w:t>Definitions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Clause 19:</w:t>
      </w:r>
    </w:p>
    <w:p>
      <w:pPr>
        <w:spacing w:after="0" w:line="221" w:lineRule="exact"/>
        <w:rPr>
          <w:sz w:val="20"/>
          <w:szCs w:val="20"/>
          <w:color w:val="auto"/>
        </w:rPr>
      </w:pPr>
    </w:p>
    <w:p>
      <w:pPr>
        <w:ind w:left="620" w:right="8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shall mean in relation to the Group the consolidated profit and loss statement of the Group and determined in accordance with the Accounting Principles: the amount of the consolidated operating income of the Group:</w:t>
      </w:r>
    </w:p>
    <w:p>
      <w:pPr>
        <w:spacing w:after="0" w:line="179"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18"/>
          <w:szCs w:val="18"/>
          <w:color w:val="auto"/>
        </w:rPr>
        <w:t>plus depreciation and amortization expenses for plant, property and equipment; and</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18"/>
          <w:szCs w:val="18"/>
          <w:color w:val="auto"/>
        </w:rPr>
        <w:t>plus amortization of intangible assets and impairment losses; and</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18"/>
          <w:szCs w:val="18"/>
          <w:color w:val="auto"/>
        </w:rPr>
        <w:t>plus restructuring, merger and integration expenses; and</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18"/>
          <w:szCs w:val="18"/>
          <w:color w:val="auto"/>
        </w:rPr>
        <w:t>plus litigation expenses; and</w:t>
      </w:r>
    </w:p>
    <w:p>
      <w:pPr>
        <w:spacing w:after="0" w:line="188" w:lineRule="exact"/>
        <w:rPr>
          <w:rFonts w:ascii="Arial" w:cs="Arial" w:eastAsia="Arial" w:hAnsi="Arial"/>
          <w:sz w:val="20"/>
          <w:szCs w:val="20"/>
          <w:color w:val="auto"/>
        </w:rPr>
      </w:pPr>
    </w:p>
    <w:p>
      <w:pPr>
        <w:ind w:left="1300" w:hanging="644"/>
        <w:spacing w:after="0" w:line="266" w:lineRule="auto"/>
        <w:tabs>
          <w:tab w:leader="none" w:pos="1300" w:val="left"/>
        </w:tabs>
        <w:numPr>
          <w:ilvl w:val="0"/>
          <w:numId w:val="213"/>
        </w:numPr>
        <w:rPr>
          <w:rFonts w:ascii="Arial" w:cs="Arial" w:eastAsia="Arial" w:hAnsi="Arial"/>
          <w:sz w:val="20"/>
          <w:szCs w:val="20"/>
          <w:color w:val="auto"/>
        </w:rPr>
      </w:pPr>
      <w:r>
        <w:rPr>
          <w:rFonts w:ascii="Arial" w:cs="Arial" w:eastAsia="Arial" w:hAnsi="Arial"/>
          <w:sz w:val="18"/>
          <w:szCs w:val="18"/>
          <w:color w:val="auto"/>
        </w:rPr>
        <w:t>plus extraordinary and non-cash items of expense, but only to the extent such items have been deducted in the determination of operating income;</w:t>
      </w:r>
    </w:p>
    <w:p>
      <w:pPr>
        <w:spacing w:after="0" w:line="163" w:lineRule="exact"/>
        <w:rPr>
          <w:rFonts w:ascii="Arial" w:cs="Arial" w:eastAsia="Arial" w:hAnsi="Arial"/>
          <w:sz w:val="20"/>
          <w:szCs w:val="20"/>
          <w:color w:val="auto"/>
        </w:rPr>
      </w:pPr>
    </w:p>
    <w:p>
      <w:pPr>
        <w:ind w:left="1300" w:hanging="64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18"/>
          <w:szCs w:val="18"/>
          <w:color w:val="auto"/>
        </w:rPr>
        <w:t>minus extraordinary and non-cash items of income, but only to the extent such items are included in the operating income.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Financial Indebtedness</w:t>
      </w:r>
      <w:r>
        <w:rPr>
          <w:rFonts w:ascii="Arial" w:cs="Arial" w:eastAsia="Arial" w:hAnsi="Arial"/>
          <w:sz w:val="18"/>
          <w:szCs w:val="18"/>
          <w:color w:val="auto"/>
        </w:rPr>
        <w:t>” shall mean at any time:</w:t>
      </w:r>
    </w:p>
    <w:p>
      <w:pPr>
        <w:spacing w:after="0" w:line="243" w:lineRule="exact"/>
        <w:rPr>
          <w:sz w:val="20"/>
          <w:szCs w:val="20"/>
          <w:color w:val="auto"/>
        </w:rPr>
      </w:pPr>
    </w:p>
    <w:p>
      <w:pPr>
        <w:ind w:left="1300" w:hanging="644"/>
        <w:spacing w:after="0" w:line="266" w:lineRule="auto"/>
        <w:tabs>
          <w:tab w:leader="none" w:pos="1300" w:val="left"/>
        </w:tabs>
        <w:numPr>
          <w:ilvl w:val="0"/>
          <w:numId w:val="214"/>
        </w:numPr>
        <w:rPr>
          <w:rFonts w:ascii="Arial" w:cs="Arial" w:eastAsia="Arial" w:hAnsi="Arial"/>
          <w:sz w:val="20"/>
          <w:szCs w:val="20"/>
          <w:color w:val="auto"/>
        </w:rPr>
      </w:pPr>
      <w:r>
        <w:rPr>
          <w:rFonts w:ascii="Arial" w:cs="Arial" w:eastAsia="Arial" w:hAnsi="Arial"/>
          <w:sz w:val="18"/>
          <w:szCs w:val="18"/>
          <w:color w:val="auto"/>
        </w:rPr>
        <w:t>the aggregate at that time of Financial Indebtedness of the members of the Group from sources external to the Group (including guarantees for an aggregate amount exceeding USD 40,000,000 (forty million US dollars) at that time); less</w:t>
      </w:r>
    </w:p>
    <w:p>
      <w:pPr>
        <w:spacing w:after="0" w:line="163" w:lineRule="exact"/>
        <w:rPr>
          <w:rFonts w:ascii="Arial" w:cs="Arial" w:eastAsia="Arial" w:hAnsi="Arial"/>
          <w:sz w:val="20"/>
          <w:szCs w:val="20"/>
          <w:color w:val="auto"/>
        </w:rPr>
      </w:pPr>
    </w:p>
    <w:p>
      <w:pPr>
        <w:jc w:val="both"/>
        <w:ind w:left="1300" w:hanging="644"/>
        <w:spacing w:after="0" w:line="264" w:lineRule="auto"/>
        <w:tabs>
          <w:tab w:leader="none" w:pos="1300" w:val="left"/>
        </w:tabs>
        <w:numPr>
          <w:ilvl w:val="0"/>
          <w:numId w:val="214"/>
        </w:numPr>
        <w:rPr>
          <w:rFonts w:ascii="Arial" w:cs="Arial" w:eastAsia="Arial" w:hAnsi="Arial"/>
          <w:sz w:val="20"/>
          <w:szCs w:val="20"/>
          <w:color w:val="auto"/>
        </w:rPr>
      </w:pPr>
      <w:r>
        <w:rPr>
          <w:rFonts w:ascii="Arial" w:cs="Arial" w:eastAsia="Arial" w:hAnsi="Arial"/>
          <w:sz w:val="18"/>
          <w:szCs w:val="18"/>
          <w:color w:val="auto"/>
        </w:rPr>
        <w:t>the aggregate amount at that time of: (i) cash; (ii) debt securities issued or guaranteed by any member state of the OECD that benefit from an investment grade rating; and (iii) receivables from any derivative transaction entered into in connection with protection against or benefit from fluctuation in any rate or price.</w:t>
      </w:r>
    </w:p>
    <w:p>
      <w:pPr>
        <w:spacing w:after="0" w:line="152" w:lineRule="exact"/>
        <w:rPr>
          <w:sz w:val="20"/>
          <w:szCs w:val="20"/>
          <w:color w:val="auto"/>
        </w:rPr>
      </w:pPr>
    </w:p>
    <w:p>
      <w:pPr>
        <w:ind w:left="620"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in respect of the Group shall mean the consolidated net worth of the Group determined in accordance with the Accounting Principles.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Net Interest Payable</w:t>
      </w:r>
      <w:r>
        <w:rPr>
          <w:rFonts w:ascii="Arial" w:cs="Arial" w:eastAsia="Arial" w:hAnsi="Arial"/>
          <w:sz w:val="18"/>
          <w:szCs w:val="18"/>
          <w:color w:val="auto"/>
        </w:rPr>
        <w:t>” shall mean for a period in relation to the Group:</w:t>
      </w:r>
    </w:p>
    <w:p>
      <w:pPr>
        <w:spacing w:after="0" w:line="243" w:lineRule="exact"/>
        <w:rPr>
          <w:sz w:val="20"/>
          <w:szCs w:val="20"/>
          <w:color w:val="auto"/>
        </w:rPr>
      </w:pPr>
    </w:p>
    <w:p>
      <w:pPr>
        <w:ind w:left="1300" w:hanging="644"/>
        <w:spacing w:after="0" w:line="266" w:lineRule="auto"/>
        <w:tabs>
          <w:tab w:leader="none" w:pos="1300" w:val="left"/>
        </w:tabs>
        <w:numPr>
          <w:ilvl w:val="0"/>
          <w:numId w:val="215"/>
        </w:numPr>
        <w:rPr>
          <w:rFonts w:ascii="Arial" w:cs="Arial" w:eastAsia="Arial" w:hAnsi="Arial"/>
          <w:sz w:val="20"/>
          <w:szCs w:val="20"/>
          <w:color w:val="auto"/>
        </w:rPr>
      </w:pPr>
      <w:r>
        <w:rPr>
          <w:rFonts w:ascii="Arial" w:cs="Arial" w:eastAsia="Arial" w:hAnsi="Arial"/>
          <w:sz w:val="18"/>
          <w:szCs w:val="18"/>
          <w:color w:val="auto"/>
        </w:rPr>
        <w:t>interest accrued during such period as an obligation of any member of the Group (whether or not paid or capitalised during or deferred for payment after such period); less</w:t>
      </w:r>
    </w:p>
    <w:p>
      <w:pPr>
        <w:spacing w:after="0" w:line="163" w:lineRule="exact"/>
        <w:rPr>
          <w:rFonts w:ascii="Arial" w:cs="Arial" w:eastAsia="Arial" w:hAnsi="Arial"/>
          <w:sz w:val="20"/>
          <w:szCs w:val="20"/>
          <w:color w:val="auto"/>
        </w:rPr>
      </w:pPr>
    </w:p>
    <w:p>
      <w:pPr>
        <w:ind w:left="1300" w:hanging="644"/>
        <w:spacing w:after="0"/>
        <w:tabs>
          <w:tab w:leader="none" w:pos="1300" w:val="left"/>
        </w:tabs>
        <w:numPr>
          <w:ilvl w:val="0"/>
          <w:numId w:val="215"/>
        </w:numPr>
        <w:rPr>
          <w:rFonts w:ascii="Arial" w:cs="Arial" w:eastAsia="Arial" w:hAnsi="Arial"/>
          <w:sz w:val="19"/>
          <w:szCs w:val="19"/>
          <w:color w:val="auto"/>
        </w:rPr>
      </w:pPr>
      <w:r>
        <w:rPr>
          <w:rFonts w:ascii="Arial" w:cs="Arial" w:eastAsia="Arial" w:hAnsi="Arial"/>
          <w:sz w:val="17"/>
          <w:szCs w:val="17"/>
          <w:color w:val="auto"/>
        </w:rPr>
        <w:t>any interest received or receivable by any member of the Group (after deducting any applicable withholding tax) in such period.</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shall mean: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39" w:right="339" w:bottom="1440" w:gutter="0" w:footer="0" w:header="0"/>
        </w:sectPr>
      </w:pPr>
    </w:p>
    <w:bookmarkStart w:id="78" w:name="page79"/>
    <w:bookmarkEnd w:id="78"/>
    <w:p>
      <w:pPr>
        <w:ind w:left="1300" w:hanging="644"/>
        <w:spacing w:after="0"/>
        <w:tabs>
          <w:tab w:leader="none" w:pos="1300" w:val="left"/>
        </w:tabs>
        <w:numPr>
          <w:ilvl w:val="1"/>
          <w:numId w:val="216"/>
        </w:numPr>
        <w:rPr>
          <w:rFonts w:ascii="Arial" w:cs="Arial" w:eastAsia="Arial" w:hAnsi="Arial"/>
          <w:sz w:val="20"/>
          <w:szCs w:val="20"/>
          <w:color w:val="auto"/>
        </w:rPr>
      </w:pPr>
      <w:r>
        <w:rPr>
          <w:rFonts w:ascii="Arial" w:cs="Arial" w:eastAsia="Arial" w:hAnsi="Arial"/>
          <w:sz w:val="18"/>
          <w:szCs w:val="18"/>
          <w:color w:val="auto"/>
        </w:rPr>
        <w:t>for the purpose of Clause 19.1(a), each period of twelve months ending on an Accounting Date; and</w:t>
      </w:r>
    </w:p>
    <w:p>
      <w:pPr>
        <w:spacing w:after="0" w:line="188" w:lineRule="exact"/>
        <w:rPr>
          <w:rFonts w:ascii="Arial" w:cs="Arial" w:eastAsia="Arial" w:hAnsi="Arial"/>
          <w:sz w:val="20"/>
          <w:szCs w:val="20"/>
          <w:color w:val="auto"/>
        </w:rPr>
      </w:pPr>
    </w:p>
    <w:p>
      <w:pPr>
        <w:ind w:left="1300" w:hanging="644"/>
        <w:spacing w:after="0" w:line="266" w:lineRule="auto"/>
        <w:tabs>
          <w:tab w:leader="none" w:pos="1300" w:val="left"/>
        </w:tabs>
        <w:numPr>
          <w:ilvl w:val="1"/>
          <w:numId w:val="216"/>
        </w:numPr>
        <w:rPr>
          <w:rFonts w:ascii="Arial" w:cs="Arial" w:eastAsia="Arial" w:hAnsi="Arial"/>
          <w:sz w:val="20"/>
          <w:szCs w:val="20"/>
          <w:color w:val="auto"/>
        </w:rPr>
      </w:pPr>
      <w:r>
        <w:rPr>
          <w:rFonts w:ascii="Arial" w:cs="Arial" w:eastAsia="Arial" w:hAnsi="Arial"/>
          <w:sz w:val="18"/>
          <w:szCs w:val="18"/>
          <w:color w:val="auto"/>
        </w:rPr>
        <w:t>for the purpose of Clause 19.1(b), a period of six or, as the case may be, twelve months starting on 1 January of a financial year and ending on an Accounting Date in that financial year.</w:t>
      </w:r>
    </w:p>
    <w:p>
      <w:pPr>
        <w:spacing w:after="0" w:line="159" w:lineRule="exact"/>
        <w:rPr>
          <w:rFonts w:ascii="Arial" w:cs="Arial" w:eastAsia="Arial" w:hAnsi="Arial"/>
          <w:sz w:val="20"/>
          <w:szCs w:val="20"/>
          <w:color w:val="auto"/>
        </w:rPr>
      </w:pPr>
    </w:p>
    <w:p>
      <w:pPr>
        <w:ind w:left="620" w:hanging="612"/>
        <w:spacing w:after="0"/>
        <w:tabs>
          <w:tab w:leader="none" w:pos="620" w:val="left"/>
        </w:tabs>
        <w:numPr>
          <w:ilvl w:val="0"/>
          <w:numId w:val="217"/>
        </w:numPr>
        <w:rPr>
          <w:rFonts w:ascii="Arial" w:cs="Arial" w:eastAsia="Arial" w:hAnsi="Arial"/>
          <w:sz w:val="20"/>
          <w:szCs w:val="20"/>
          <w:b w:val="1"/>
          <w:bCs w:val="1"/>
          <w:color w:val="auto"/>
        </w:rPr>
      </w:pPr>
      <w:r>
        <w:rPr>
          <w:rFonts w:ascii="Arial" w:cs="Arial" w:eastAsia="Arial" w:hAnsi="Arial"/>
          <w:sz w:val="18"/>
          <w:szCs w:val="18"/>
          <w:b w:val="1"/>
          <w:bCs w:val="1"/>
          <w:color w:val="auto"/>
        </w:rPr>
        <w:t>GENERAL UNDERTAKINGS</w:t>
      </w:r>
    </w:p>
    <w:p>
      <w:pPr>
        <w:spacing w:after="0" w:line="179" w:lineRule="exact"/>
        <w:rPr>
          <w:rFonts w:ascii="Arial" w:cs="Arial" w:eastAsia="Arial" w:hAnsi="Arial"/>
          <w:sz w:val="20"/>
          <w:szCs w:val="20"/>
          <w:b w:val="1"/>
          <w:bCs w:val="1"/>
          <w:color w:val="auto"/>
        </w:rPr>
      </w:pPr>
    </w:p>
    <w:p>
      <w:pPr>
        <w:ind w:left="620" w:right="20"/>
        <w:spacing w:after="0" w:line="277" w:lineRule="auto"/>
        <w:rPr>
          <w:rFonts w:ascii="Arial" w:cs="Arial" w:eastAsia="Arial" w:hAnsi="Arial"/>
          <w:sz w:val="20"/>
          <w:szCs w:val="20"/>
          <w:b w:val="1"/>
          <w:bCs w:val="1"/>
          <w:color w:val="auto"/>
        </w:rPr>
      </w:pPr>
      <w:r>
        <w:rPr>
          <w:rFonts w:ascii="Arial" w:cs="Arial" w:eastAsia="Arial" w:hAnsi="Arial"/>
          <w:sz w:val="18"/>
          <w:szCs w:val="18"/>
          <w:color w:val="auto"/>
        </w:rPr>
        <w:t>The undertakings in this Clause 20 remain in force from the date of this Agreement for so long as any amount is outstanding under the Finance Documents or any Commitment is in force.</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6"/>
          <w:szCs w:val="16"/>
          <w:b w:val="1"/>
          <w:bCs w:val="1"/>
          <w:color w:val="auto"/>
        </w:rPr>
        <w:t>Authorisations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shall promptly:</w:t>
      </w:r>
    </w:p>
    <w:p>
      <w:pPr>
        <w:spacing w:after="0" w:line="23" w:lineRule="exact"/>
        <w:rPr>
          <w:sz w:val="20"/>
          <w:szCs w:val="20"/>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supply certified copies to the Lender of,</w:t>
      </w:r>
    </w:p>
    <w:p>
      <w:pPr>
        <w:spacing w:after="0" w:line="198" w:lineRule="exact"/>
        <w:rPr>
          <w:sz w:val="20"/>
          <w:szCs w:val="20"/>
          <w:color w:val="auto"/>
        </w:rPr>
      </w:pPr>
    </w:p>
    <w:p>
      <w:pPr>
        <w:jc w:val="both"/>
        <w:ind w:left="620" w:right="20"/>
        <w:spacing w:after="0" w:line="263" w:lineRule="auto"/>
        <w:rPr>
          <w:sz w:val="20"/>
          <w:szCs w:val="20"/>
          <w:color w:val="auto"/>
        </w:rPr>
      </w:pPr>
      <w:r>
        <w:rPr>
          <w:rFonts w:ascii="Arial" w:cs="Arial" w:eastAsia="Arial" w:hAnsi="Arial"/>
          <w:sz w:val="18"/>
          <w:szCs w:val="18"/>
          <w:color w:val="auto"/>
        </w:rPr>
        <w:t>any Authorisation required under any law or regulation of its jurisdiction of incorporation to enable it to perform its obligations under the Finance Documents and to ensure the legality, validity, enforceability or admissibility in evidence in its jurisdiction of incorporation of any Finance Document.</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6"/>
          <w:szCs w:val="16"/>
          <w:b w:val="1"/>
          <w:bCs w:val="1"/>
          <w:color w:val="auto"/>
        </w:rPr>
        <w:t>Compliance with laws</w:t>
      </w:r>
    </w:p>
    <w:p>
      <w:pPr>
        <w:spacing w:after="0" w:line="191" w:lineRule="exact"/>
        <w:rPr>
          <w:sz w:val="20"/>
          <w:szCs w:val="20"/>
          <w:color w:val="auto"/>
        </w:rPr>
      </w:pPr>
    </w:p>
    <w:p>
      <w:pPr>
        <w:jc w:val="both"/>
        <w:ind w:left="620"/>
        <w:spacing w:after="0" w:line="342" w:lineRule="auto"/>
        <w:rPr>
          <w:sz w:val="20"/>
          <w:szCs w:val="20"/>
          <w:color w:val="auto"/>
        </w:rPr>
      </w:pPr>
      <w:r>
        <w:rPr>
          <w:rFonts w:ascii="Arial" w:cs="Arial" w:eastAsia="Arial" w:hAnsi="Arial"/>
          <w:sz w:val="16"/>
          <w:szCs w:val="16"/>
          <w:color w:val="auto"/>
        </w:rPr>
        <w:t>The Company shall comply in all respects with all laws to which it may be subject, if failure so to comply would materially impair its ability to perform its obligations under the Finance Documents to which it is a party or would reasonably be expected to have a Material Adverse Effect.</w:t>
      </w:r>
    </w:p>
    <w:p>
      <w:pPr>
        <w:spacing w:after="0" w:line="9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6"/>
          <w:szCs w:val="16"/>
          <w:b w:val="1"/>
          <w:bCs w:val="1"/>
          <w:color w:val="auto"/>
        </w:rPr>
        <w:t>Environmental compliance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shall (and it shall ensure that each other member of the Group will):</w:t>
      </w:r>
    </w:p>
    <w:p>
      <w:pPr>
        <w:spacing w:after="0" w:line="198" w:lineRule="exact"/>
        <w:rPr>
          <w:sz w:val="20"/>
          <w:szCs w:val="20"/>
          <w:color w:val="auto"/>
        </w:rPr>
      </w:pPr>
    </w:p>
    <w:p>
      <w:pPr>
        <w:ind w:left="1300" w:hanging="644"/>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comply with all Environmental Law;</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obtain, maintain and ensure compliance with all requisite Environmental Permits;</w:t>
      </w:r>
    </w:p>
    <w:p>
      <w:pPr>
        <w:spacing w:after="0" w:line="198" w:lineRule="exact"/>
        <w:rPr>
          <w:rFonts w:ascii="Arial" w:cs="Arial" w:eastAsia="Arial" w:hAnsi="Arial"/>
          <w:sz w:val="18"/>
          <w:szCs w:val="18"/>
          <w:color w:val="auto"/>
        </w:rPr>
      </w:pPr>
    </w:p>
    <w:p>
      <w:pPr>
        <w:ind w:left="620" w:right="2340" w:firstLine="36"/>
        <w:spacing w:after="0" w:line="468" w:lineRule="auto"/>
        <w:tabs>
          <w:tab w:leader="none" w:pos="129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implement procedures to monitor compliance with and to prevent liability under any Environmental Law, where failure to do so has or is reasonably likely to have a Material Adverse Effect.</w:t>
      </w:r>
    </w:p>
    <w:p>
      <w:pPr>
        <w:spacing w:after="0"/>
        <w:tabs>
          <w:tab w:leader="none" w:pos="60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6"/>
          <w:szCs w:val="16"/>
          <w:b w:val="1"/>
          <w:bCs w:val="1"/>
          <w:color w:val="auto"/>
        </w:rPr>
        <w:t>Environmental claims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shall, promptly upon becoming aware of the same, inform the Lender in writing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55" w:right="339" w:bottom="1440" w:gutter="0" w:footer="0" w:header="0"/>
        </w:sectPr>
      </w:pPr>
    </w:p>
    <w:bookmarkStart w:id="79" w:name="page80"/>
    <w:bookmarkEnd w:id="79"/>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Environmental Claim against any member of the Group which is current, pending or threatened; and</w:t>
      </w:r>
    </w:p>
    <w:p>
      <w:pPr>
        <w:spacing w:after="0" w:line="19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facts or circumstances which are reasonably likely to result in any Environmental Claim being commenced or threatened against any member of the Group,</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 the claim, if determined against that member of the Group, has or is reasonably likely to have a Material Adverse Effect.</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6"/>
          <w:szCs w:val="16"/>
          <w:b w:val="1"/>
          <w:bCs w:val="1"/>
          <w:color w:val="auto"/>
        </w:rPr>
        <w:t>Pari passu ranking</w:t>
      </w:r>
    </w:p>
    <w:p>
      <w:pPr>
        <w:spacing w:after="0" w:line="19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The Company shall ensure that at all times any unsecured and unsubordinated claims of the Lender against it under the Finance Documents rank at least pari passu with the claims of all its other unsecured and unsubordinated creditors except those creditors whose claims are mandatorily preferred by laws of general application to companies.</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6"/>
          <w:szCs w:val="16"/>
          <w:b w:val="1"/>
          <w:bCs w:val="1"/>
          <w:color w:val="auto"/>
        </w:rPr>
        <w:t>Insurance</w:t>
      </w:r>
    </w:p>
    <w:p>
      <w:pPr>
        <w:spacing w:after="0" w:line="191" w:lineRule="exact"/>
        <w:rPr>
          <w:sz w:val="20"/>
          <w:szCs w:val="20"/>
          <w:color w:val="auto"/>
        </w:rPr>
      </w:pPr>
    </w:p>
    <w:p>
      <w:pPr>
        <w:ind w:left="1300" w:right="20" w:hanging="644"/>
        <w:spacing w:after="0" w:line="342" w:lineRule="auto"/>
        <w:tabs>
          <w:tab w:leader="none" w:pos="13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Company shall (and it shall ensure that each other member of the Group will) maintain insurances on and in relation to its business and assets against those risks and to the extent as is usual for companies carrying on the same or substantially similar business.</w:t>
      </w:r>
    </w:p>
    <w:p>
      <w:pPr>
        <w:spacing w:after="0" w:line="96" w:lineRule="exact"/>
        <w:rPr>
          <w:rFonts w:ascii="Arial" w:cs="Arial" w:eastAsia="Arial" w:hAnsi="Arial"/>
          <w:sz w:val="16"/>
          <w:szCs w:val="16"/>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All insurances must be with reputable independent insurance companies or underwriters.</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6"/>
          <w:szCs w:val="16"/>
          <w:b w:val="1"/>
          <w:bCs w:val="1"/>
          <w:color w:val="auto"/>
        </w:rPr>
        <w:t>Intellectual Property</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shall (and it shall procure that each other member of the Group will):</w:t>
      </w:r>
    </w:p>
    <w:p>
      <w:pPr>
        <w:spacing w:after="0" w:line="198" w:lineRule="exact"/>
        <w:rPr>
          <w:sz w:val="20"/>
          <w:szCs w:val="20"/>
          <w:color w:val="auto"/>
        </w:rPr>
      </w:pPr>
    </w:p>
    <w:p>
      <w:pPr>
        <w:ind w:left="1300" w:hanging="644"/>
        <w:spacing w:after="0" w:line="277" w:lineRule="auto"/>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preserve and maintain the subsistence and validity of its material Intellectual Property necessary for the business of the relevant Group member;</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use reasonable endeavours to prevent any infringement in any material respect of such Intellectual Property;</w:t>
      </w:r>
    </w:p>
    <w:p>
      <w:pPr>
        <w:spacing w:after="0" w:line="19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make registrations and pay all registration fees and taxes necessary to maintain such Intellectual Property in full force and effect and record its interest in that Intellectual Property;</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not use or permit such Intellectual Property to be used in a way or take any step or omit to take any step in respect of that Intellectual Property which may materially and adversely affect the existence or value of such Intellectual Property or imperil the right of any member of the Group to use such property; and</w:t>
      </w:r>
    </w:p>
    <w:p>
      <w:pPr>
        <w:spacing w:after="0" w:line="156" w:lineRule="exact"/>
        <w:rPr>
          <w:rFonts w:ascii="Arial" w:cs="Arial" w:eastAsia="Arial" w:hAnsi="Arial"/>
          <w:sz w:val="18"/>
          <w:szCs w:val="18"/>
          <w:color w:val="auto"/>
        </w:rPr>
      </w:pPr>
    </w:p>
    <w:p>
      <w:pPr>
        <w:ind w:left="1300" w:hanging="644"/>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not discontinue the use of such Intellectual Property,</w:t>
      </w:r>
    </w:p>
    <w:p>
      <w:pPr>
        <w:spacing w:after="0" w:line="198"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where failure to do so, in the case of paragraph (a) and (b), or, in the case of paragraph (d) and (e), such use, permission to use, omission or discontinuation, is reasonably likely to have a Material Adverse Effect.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41" w:right="339" w:bottom="1440" w:gutter="0" w:footer="0" w:header="0"/>
        </w:sectPr>
      </w:pPr>
    </w:p>
    <w:bookmarkStart w:id="80" w:name="page81"/>
    <w:bookmarkEnd w:id="80"/>
    <w:p>
      <w:pPr>
        <w:spacing w:after="0"/>
        <w:tabs>
          <w:tab w:leader="none" w:pos="60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3"/>
          <w:szCs w:val="13"/>
          <w:b w:val="1"/>
          <w:bCs w:val="1"/>
          <w:color w:val="auto"/>
        </w:rPr>
        <w:t>Access</w:t>
      </w:r>
    </w:p>
    <w:p>
      <w:pPr>
        <w:spacing w:after="0" w:line="191" w:lineRule="exact"/>
        <w:rPr>
          <w:sz w:val="20"/>
          <w:szCs w:val="20"/>
          <w:color w:val="auto"/>
        </w:rPr>
      </w:pPr>
    </w:p>
    <w:p>
      <w:pPr>
        <w:jc w:val="both"/>
        <w:ind w:left="620"/>
        <w:spacing w:after="0" w:line="275" w:lineRule="auto"/>
        <w:rPr>
          <w:sz w:val="20"/>
          <w:szCs w:val="20"/>
          <w:color w:val="auto"/>
        </w:rPr>
      </w:pPr>
      <w:r>
        <w:rPr>
          <w:rFonts w:ascii="Arial" w:cs="Arial" w:eastAsia="Arial" w:hAnsi="Arial"/>
          <w:sz w:val="17"/>
          <w:szCs w:val="17"/>
          <w:color w:val="auto"/>
        </w:rPr>
        <w:t>If an Event of Default is continuing or the Lender reasonably suspects an Event of Default is continuing, the Company shall, and it shall ensure that each Material Subsidiary will permit the Lender and/or its accountants or other professional advisers and contractors free access at all reasonable times and on reasonable notice at the risk and cost of the Company (provided such access shall be at the cost of the Lender if such access is granted and it transpires that an Event of Default is not continuing) to (a) the premises, assets, books, accounts and records of the Company and each Material Subsidiary and (b) meet and discuss matters with senior management.</w:t>
      </w:r>
    </w:p>
    <w:p>
      <w:pPr>
        <w:spacing w:after="0" w:line="14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5"/>
          <w:szCs w:val="15"/>
          <w:b w:val="1"/>
          <w:bCs w:val="1"/>
          <w:color w:val="auto"/>
        </w:rPr>
        <w:t>Preservation of assets</w:t>
      </w:r>
    </w:p>
    <w:p>
      <w:pPr>
        <w:spacing w:after="0" w:line="19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The Company shall (and it shall ensure that each other member of the Group will) maintain in good working order and condition (ordinary wear and tear excepted) all of its assets necessary or desirable in the conduct of its business where a failure to do so would have or would be reasonably likely to have a Material Adverse Effect.</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20.10</w:t>
      </w:r>
      <w:r>
        <w:rPr>
          <w:sz w:val="20"/>
          <w:szCs w:val="20"/>
          <w:color w:val="auto"/>
        </w:rPr>
        <w:tab/>
      </w:r>
      <w:r>
        <w:rPr>
          <w:rFonts w:ascii="Arial" w:cs="Arial" w:eastAsia="Arial" w:hAnsi="Arial"/>
          <w:sz w:val="16"/>
          <w:szCs w:val="16"/>
          <w:b w:val="1"/>
          <w:bCs w:val="1"/>
          <w:color w:val="auto"/>
        </w:rPr>
        <w:t>Taxation</w:t>
      </w:r>
    </w:p>
    <w:p>
      <w:pPr>
        <w:spacing w:after="0" w:line="191" w:lineRule="exact"/>
        <w:rPr>
          <w:sz w:val="20"/>
          <w:szCs w:val="20"/>
          <w:color w:val="auto"/>
        </w:rPr>
      </w:pPr>
    </w:p>
    <w:p>
      <w:pPr>
        <w:ind w:left="1300" w:hanging="644"/>
        <w:spacing w:after="0" w:line="308" w:lineRule="auto"/>
        <w:tabs>
          <w:tab w:leader="none" w:pos="13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Company shall (and it shall ensure that each other member of the Group will) pay and discharge all Taxes of a material amount imposed upon it or its assets within the time period allowed without incurring penalties unless and only to the extent that:</w:t>
      </w:r>
    </w:p>
    <w:p>
      <w:pPr>
        <w:spacing w:after="0" w:line="132" w:lineRule="exact"/>
        <w:rPr>
          <w:rFonts w:ascii="Arial" w:cs="Arial" w:eastAsia="Arial" w:hAnsi="Arial"/>
          <w:sz w:val="17"/>
          <w:szCs w:val="17"/>
          <w:color w:val="auto"/>
        </w:rPr>
      </w:pPr>
    </w:p>
    <w:p>
      <w:pPr>
        <w:ind w:left="1960" w:hanging="656"/>
        <w:spacing w:after="0"/>
        <w:tabs>
          <w:tab w:leader="none" w:pos="1960" w:val="left"/>
        </w:tabs>
        <w:numPr>
          <w:ilvl w:val="1"/>
          <w:numId w:val="223"/>
        </w:numPr>
        <w:rPr>
          <w:rFonts w:ascii="Arial" w:cs="Arial" w:eastAsia="Arial" w:hAnsi="Arial"/>
          <w:sz w:val="20"/>
          <w:szCs w:val="20"/>
          <w:color w:val="auto"/>
        </w:rPr>
      </w:pPr>
      <w:r>
        <w:rPr>
          <w:rFonts w:ascii="Arial" w:cs="Arial" w:eastAsia="Arial" w:hAnsi="Arial"/>
          <w:sz w:val="18"/>
          <w:szCs w:val="18"/>
          <w:color w:val="auto"/>
        </w:rPr>
        <w:t>such payment is being contested in good faith;</w:t>
      </w:r>
    </w:p>
    <w:p>
      <w:pPr>
        <w:spacing w:after="0" w:line="188" w:lineRule="exact"/>
        <w:rPr>
          <w:rFonts w:ascii="Arial" w:cs="Arial" w:eastAsia="Arial" w:hAnsi="Arial"/>
          <w:sz w:val="20"/>
          <w:szCs w:val="20"/>
          <w:color w:val="auto"/>
        </w:rPr>
      </w:pPr>
    </w:p>
    <w:p>
      <w:pPr>
        <w:ind w:left="1960" w:right="20" w:hanging="656"/>
        <w:spacing w:after="0" w:line="329" w:lineRule="auto"/>
        <w:tabs>
          <w:tab w:leader="none" w:pos="1960" w:val="left"/>
        </w:tabs>
        <w:numPr>
          <w:ilvl w:val="1"/>
          <w:numId w:val="223"/>
        </w:numPr>
        <w:rPr>
          <w:rFonts w:ascii="Arial" w:cs="Arial" w:eastAsia="Arial" w:hAnsi="Arial"/>
          <w:sz w:val="18"/>
          <w:szCs w:val="18"/>
          <w:color w:val="auto"/>
        </w:rPr>
      </w:pPr>
      <w:r>
        <w:rPr>
          <w:rFonts w:ascii="Arial" w:cs="Arial" w:eastAsia="Arial" w:hAnsi="Arial"/>
          <w:sz w:val="16"/>
          <w:szCs w:val="16"/>
          <w:color w:val="auto"/>
        </w:rPr>
        <w:t>adequate reserves are being maintained for those Taxes and the costs required to contest them which have been disclosed in its latest financial statements required to be delivered to the Lender in accordance with Clause 18.1 (</w:t>
      </w:r>
      <w:r>
        <w:rPr>
          <w:rFonts w:ascii="Arial" w:cs="Arial" w:eastAsia="Arial" w:hAnsi="Arial"/>
          <w:sz w:val="16"/>
          <w:szCs w:val="16"/>
          <w:i w:val="1"/>
          <w:iCs w:val="1"/>
          <w:color w:val="auto"/>
        </w:rPr>
        <w:t>Financial Statements</w:t>
      </w:r>
      <w:r>
        <w:rPr>
          <w:rFonts w:ascii="Arial" w:cs="Arial" w:eastAsia="Arial" w:hAnsi="Arial"/>
          <w:sz w:val="16"/>
          <w:szCs w:val="16"/>
          <w:color w:val="auto"/>
        </w:rPr>
        <w:t>); and</w:t>
      </w:r>
    </w:p>
    <w:p>
      <w:pPr>
        <w:spacing w:after="0" w:line="112" w:lineRule="exact"/>
        <w:rPr>
          <w:rFonts w:ascii="Arial" w:cs="Arial" w:eastAsia="Arial" w:hAnsi="Arial"/>
          <w:sz w:val="18"/>
          <w:szCs w:val="18"/>
          <w:color w:val="auto"/>
        </w:rPr>
      </w:pPr>
    </w:p>
    <w:p>
      <w:pPr>
        <w:ind w:left="1960" w:hanging="656"/>
        <w:spacing w:after="0" w:line="266" w:lineRule="auto"/>
        <w:tabs>
          <w:tab w:leader="none" w:pos="1960" w:val="left"/>
        </w:tabs>
        <w:numPr>
          <w:ilvl w:val="1"/>
          <w:numId w:val="223"/>
        </w:numPr>
        <w:rPr>
          <w:rFonts w:ascii="Arial" w:cs="Arial" w:eastAsia="Arial" w:hAnsi="Arial"/>
          <w:sz w:val="20"/>
          <w:szCs w:val="20"/>
          <w:color w:val="auto"/>
        </w:rPr>
      </w:pPr>
      <w:r>
        <w:rPr>
          <w:rFonts w:ascii="Arial" w:cs="Arial" w:eastAsia="Arial" w:hAnsi="Arial"/>
          <w:sz w:val="18"/>
          <w:szCs w:val="18"/>
          <w:color w:val="auto"/>
        </w:rPr>
        <w:t>such payment can be lawfully withheld and failure to pay those Taxes does not have or is not reasonably likely to have a Material Adverse Effect.</w:t>
      </w:r>
    </w:p>
    <w:p>
      <w:pPr>
        <w:spacing w:after="0" w:line="150" w:lineRule="exact"/>
        <w:rPr>
          <w:rFonts w:ascii="Arial" w:cs="Arial" w:eastAsia="Arial" w:hAnsi="Arial"/>
          <w:sz w:val="20"/>
          <w:szCs w:val="20"/>
          <w:color w:val="auto"/>
        </w:rPr>
      </w:pPr>
    </w:p>
    <w:p>
      <w:pPr>
        <w:ind w:left="1300" w:hanging="644"/>
        <w:spacing w:after="0" w:line="308" w:lineRule="auto"/>
        <w:tabs>
          <w:tab w:leader="none" w:pos="13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Company shall act for the purposes of any Finance Documents through its Italian Branch which qualifies as a permanent establishment (“</w:t>
      </w:r>
      <w:r>
        <w:rPr>
          <w:rFonts w:ascii="Arial" w:cs="Arial" w:eastAsia="Arial" w:hAnsi="Arial"/>
          <w:sz w:val="17"/>
          <w:szCs w:val="17"/>
          <w:i w:val="1"/>
          <w:iCs w:val="1"/>
          <w:color w:val="auto"/>
        </w:rPr>
        <w:t>stabile organizzazione</w:t>
      </w:r>
      <w:r>
        <w:rPr>
          <w:rFonts w:ascii="Arial" w:cs="Arial" w:eastAsia="Arial" w:hAnsi="Arial"/>
          <w:sz w:val="17"/>
          <w:szCs w:val="17"/>
          <w:color w:val="auto"/>
        </w:rPr>
        <w:t>”) pursuant to Article 162 of Italian Presidential Decree No. 917 of 22 December 1986.</w:t>
      </w:r>
    </w:p>
    <w:p>
      <w:pPr>
        <w:spacing w:after="0" w:line="117" w:lineRule="exact"/>
        <w:rPr>
          <w:sz w:val="20"/>
          <w:szCs w:val="20"/>
          <w:color w:val="auto"/>
        </w:rPr>
      </w:pPr>
    </w:p>
    <w:p>
      <w:pPr>
        <w:spacing w:after="0" w:line="230" w:lineRule="exact"/>
        <w:tabs>
          <w:tab w:leader="none" w:pos="600" w:val="left"/>
        </w:tabs>
        <w:rPr>
          <w:sz w:val="20"/>
          <w:szCs w:val="20"/>
          <w:color w:val="auto"/>
        </w:rPr>
      </w:pPr>
      <w:r>
        <w:rPr>
          <w:rFonts w:ascii="Arial" w:cs="Arial" w:eastAsia="Arial" w:hAnsi="Arial"/>
          <w:sz w:val="20"/>
          <w:szCs w:val="20"/>
          <w:color w:val="auto"/>
        </w:rPr>
        <w:t>20.11</w:t>
      </w:r>
      <w:r>
        <w:rPr>
          <w:sz w:val="20"/>
          <w:szCs w:val="20"/>
          <w:color w:val="auto"/>
        </w:rPr>
        <w:tab/>
      </w:r>
      <w:r>
        <w:rPr>
          <w:rFonts w:ascii="Arial" w:cs="Arial" w:eastAsia="Arial" w:hAnsi="Arial"/>
          <w:sz w:val="16"/>
          <w:szCs w:val="16"/>
          <w:b w:val="1"/>
          <w:bCs w:val="1"/>
          <w:color w:val="auto"/>
        </w:rPr>
        <w:t>Anti</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corruption and anti-money laundering law</w:t>
      </w:r>
    </w:p>
    <w:p>
      <w:pPr>
        <w:spacing w:after="0" w:line="191" w:lineRule="exact"/>
        <w:rPr>
          <w:sz w:val="20"/>
          <w:szCs w:val="20"/>
          <w:color w:val="auto"/>
        </w:rPr>
      </w:pPr>
    </w:p>
    <w:p>
      <w:pPr>
        <w:jc w:val="both"/>
        <w:ind w:left="1300" w:hanging="644"/>
        <w:spacing w:after="0" w:line="263" w:lineRule="auto"/>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Company shall not (and it shall ensure that no other member of the Group will) directly or indirectly use the proceeds of the Facilities for any purpose which would breach the Bribery Act 2010, the United States Foreign Corrupt Practices Act of 1977 or other similar legislation in other jurisdictions.</w:t>
      </w:r>
    </w:p>
    <w:p>
      <w:pPr>
        <w:spacing w:after="0" w:line="156" w:lineRule="exact"/>
        <w:rPr>
          <w:rFonts w:ascii="Arial" w:cs="Arial" w:eastAsia="Arial" w:hAnsi="Arial"/>
          <w:sz w:val="18"/>
          <w:szCs w:val="18"/>
          <w:color w:val="auto"/>
        </w:rPr>
      </w:pPr>
    </w:p>
    <w:p>
      <w:pPr>
        <w:ind w:left="1300" w:hanging="644"/>
        <w:spacing w:after="0"/>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Company shall (and it shall ensure that each other member of the Group will):</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conduct its businesses in compliance with:</w:t>
      </w:r>
    </w:p>
    <w:p>
      <w:pPr>
        <w:spacing w:after="0" w:line="211" w:lineRule="exact"/>
        <w:rPr>
          <w:rFonts w:ascii="Arial" w:cs="Arial" w:eastAsia="Arial" w:hAnsi="Arial"/>
          <w:sz w:val="18"/>
          <w:szCs w:val="18"/>
          <w:color w:val="auto"/>
        </w:rPr>
      </w:pPr>
    </w:p>
    <w:p>
      <w:pPr>
        <w:ind w:left="2600" w:hanging="648"/>
        <w:spacing w:after="0" w:line="230" w:lineRule="exact"/>
        <w:tabs>
          <w:tab w:leader="none" w:pos="2600" w:val="left"/>
        </w:tabs>
        <w:numPr>
          <w:ilvl w:val="2"/>
          <w:numId w:val="224"/>
        </w:numPr>
        <w:rPr>
          <w:rFonts w:ascii="Arial" w:cs="Arial" w:eastAsia="Arial" w:hAnsi="Arial"/>
          <w:sz w:val="20"/>
          <w:szCs w:val="20"/>
          <w:color w:val="auto"/>
        </w:rPr>
      </w:pPr>
      <w:r>
        <w:rPr>
          <w:rFonts w:ascii="Arial" w:cs="Arial" w:eastAsia="Arial" w:hAnsi="Arial"/>
          <w:sz w:val="18"/>
          <w:szCs w:val="18"/>
          <w:color w:val="auto"/>
        </w:rPr>
        <w:t>(other than in respect of matters referred to in paragraph (B) below) applicable anti</w:t>
      </w:r>
      <w:r>
        <w:rPr>
          <w:rFonts w:ascii="MS PGothic" w:cs="MS PGothic" w:eastAsia="MS PGothic" w:hAnsi="MS PGothic"/>
          <w:sz w:val="18"/>
          <w:szCs w:val="18"/>
          <w:color w:val="auto"/>
        </w:rPr>
        <w:t>‑</w:t>
      </w:r>
      <w:r>
        <w:rPr>
          <w:rFonts w:ascii="Arial" w:cs="Arial" w:eastAsia="Arial" w:hAnsi="Arial"/>
          <w:sz w:val="18"/>
          <w:szCs w:val="18"/>
          <w:color w:val="auto"/>
        </w:rPr>
        <w:t>corruption laws and all applicable anti-money laundering and counter-terrorist financing laws and regulations;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39" w:right="339" w:bottom="1440" w:gutter="0" w:footer="0" w:header="0"/>
        </w:sectPr>
      </w:pPr>
    </w:p>
    <w:bookmarkStart w:id="81" w:name="page82"/>
    <w:bookmarkEnd w:id="81"/>
    <w:p>
      <w:pPr>
        <w:ind w:left="2600" w:hanging="648"/>
        <w:spacing w:after="0" w:line="266" w:lineRule="auto"/>
        <w:tabs>
          <w:tab w:leader="none" w:pos="2600" w:val="left"/>
        </w:tabs>
        <w:numPr>
          <w:ilvl w:val="1"/>
          <w:numId w:val="225"/>
        </w:numPr>
        <w:rPr>
          <w:rFonts w:ascii="Arial" w:cs="Arial" w:eastAsia="Arial" w:hAnsi="Arial"/>
          <w:sz w:val="20"/>
          <w:szCs w:val="20"/>
          <w:color w:val="auto"/>
        </w:rPr>
      </w:pPr>
      <w:r>
        <w:rPr>
          <w:rFonts w:ascii="Arial" w:cs="Arial" w:eastAsia="Arial" w:hAnsi="Arial"/>
          <w:sz w:val="18"/>
          <w:szCs w:val="18"/>
          <w:color w:val="auto"/>
        </w:rPr>
        <w:t>all record keeping or reporting requirements required pursuant to any applicable anti-money laundering or counter-terrorist financing laws or regulations in each case in all material respects; and</w:t>
      </w:r>
    </w:p>
    <w:p>
      <w:pPr>
        <w:spacing w:after="0" w:line="150" w:lineRule="exact"/>
        <w:rPr>
          <w:rFonts w:ascii="Arial" w:cs="Arial" w:eastAsia="Arial" w:hAnsi="Arial"/>
          <w:sz w:val="20"/>
          <w:szCs w:val="20"/>
          <w:color w:val="auto"/>
        </w:rPr>
      </w:pPr>
    </w:p>
    <w:p>
      <w:pPr>
        <w:ind w:left="1960" w:hanging="656"/>
        <w:spacing w:after="0"/>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maintain policies and procedures designed to promote and achieve compliance with such laws.</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20.12</w:t>
      </w:r>
      <w:r>
        <w:rPr>
          <w:sz w:val="20"/>
          <w:szCs w:val="20"/>
          <w:color w:val="auto"/>
        </w:rPr>
        <w:tab/>
      </w:r>
      <w:r>
        <w:rPr>
          <w:rFonts w:ascii="Arial" w:cs="Arial" w:eastAsia="Arial" w:hAnsi="Arial"/>
          <w:sz w:val="15"/>
          <w:szCs w:val="15"/>
          <w:b w:val="1"/>
          <w:bCs w:val="1"/>
          <w:color w:val="auto"/>
        </w:rPr>
        <w:t>Sanctions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shall ensure that no member of the Group may:</w:t>
      </w:r>
    </w:p>
    <w:p>
      <w:pPr>
        <w:spacing w:after="0" w:line="198"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use, lend, contribute or otherwise make available any part of the proceeds of any Utilisation or other transaction contemplated:</w:t>
      </w:r>
    </w:p>
    <w:p>
      <w:pPr>
        <w:spacing w:after="0" w:line="209" w:lineRule="exact"/>
        <w:rPr>
          <w:rFonts w:ascii="Arial" w:cs="Arial" w:eastAsia="Arial" w:hAnsi="Arial"/>
          <w:sz w:val="17"/>
          <w:szCs w:val="17"/>
          <w:color w:val="auto"/>
        </w:rPr>
      </w:pPr>
    </w:p>
    <w:p>
      <w:pPr>
        <w:ind w:left="1960" w:hanging="656"/>
        <w:spacing w:after="0"/>
        <w:tabs>
          <w:tab w:leader="none" w:pos="196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for the purpose of financing any trade, business or other activities involving, or for the benefit of, any Restricted Party; or</w:t>
      </w:r>
    </w:p>
    <w:p>
      <w:pPr>
        <w:spacing w:after="0" w:line="209" w:lineRule="exact"/>
        <w:rPr>
          <w:rFonts w:ascii="Arial" w:cs="Arial" w:eastAsia="Arial" w:hAnsi="Arial"/>
          <w:sz w:val="17"/>
          <w:szCs w:val="17"/>
          <w:color w:val="auto"/>
        </w:rPr>
      </w:pPr>
    </w:p>
    <w:p>
      <w:pPr>
        <w:ind w:left="1960" w:hanging="656"/>
        <w:spacing w:after="0"/>
        <w:tabs>
          <w:tab w:leader="none" w:pos="196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in any other manner that would result in any person being in breach of any Sanctions or becoming a Restricted Party;</w:t>
      </w:r>
    </w:p>
    <w:p>
      <w:pPr>
        <w:spacing w:after="0" w:line="209" w:lineRule="exact"/>
        <w:rPr>
          <w:rFonts w:ascii="Arial" w:cs="Arial" w:eastAsia="Arial" w:hAnsi="Arial"/>
          <w:sz w:val="17"/>
          <w:szCs w:val="17"/>
          <w:color w:val="auto"/>
        </w:rPr>
      </w:pPr>
    </w:p>
    <w:p>
      <w:pPr>
        <w:ind w:left="1300" w:hanging="644"/>
        <w:spacing w:after="0"/>
        <w:tabs>
          <w:tab w:leader="none" w:pos="13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knowingly engage in any transaction that evades or avoids or breaches directly or indirectly, any Sanctions applicable to it; or</w:t>
      </w:r>
    </w:p>
    <w:p>
      <w:pPr>
        <w:spacing w:after="0" w:line="209"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knowingly fund all or part of any payment in connection with a Finance Document out of proceeds derived from business or transactions with a Restricted Party, or from any action which is in breach of any Sanctions.</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20.13</w:t>
      </w:r>
      <w:r>
        <w:rPr>
          <w:sz w:val="20"/>
          <w:szCs w:val="20"/>
          <w:color w:val="auto"/>
        </w:rPr>
        <w:tab/>
      </w:r>
      <w:r>
        <w:rPr>
          <w:rFonts w:ascii="Arial" w:cs="Arial" w:eastAsia="Arial" w:hAnsi="Arial"/>
          <w:sz w:val="15"/>
          <w:szCs w:val="15"/>
          <w:b w:val="1"/>
          <w:bCs w:val="1"/>
          <w:color w:val="auto"/>
        </w:rPr>
        <w:t>Negative pledge</w:t>
      </w:r>
    </w:p>
    <w:p>
      <w:pPr>
        <w:spacing w:after="0" w:line="191" w:lineRule="exact"/>
        <w:rPr>
          <w:sz w:val="20"/>
          <w:szCs w:val="20"/>
          <w:color w:val="auto"/>
        </w:rPr>
      </w:pPr>
    </w:p>
    <w:p>
      <w:pPr>
        <w:ind w:left="1300" w:right="20" w:hanging="644"/>
        <w:spacing w:after="0" w:line="277" w:lineRule="auto"/>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shall not (and it shall ensure that no other member of the Group will) create or permit to subsist any Security over any of its assets.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shall not (and it shall ensure that no other member of the Group will):</w:t>
      </w:r>
    </w:p>
    <w:p>
      <w:pPr>
        <w:spacing w:after="0" w:line="198" w:lineRule="exact"/>
        <w:rPr>
          <w:rFonts w:ascii="Arial" w:cs="Arial" w:eastAsia="Arial" w:hAnsi="Arial"/>
          <w:sz w:val="18"/>
          <w:szCs w:val="18"/>
          <w:color w:val="auto"/>
        </w:rPr>
      </w:pPr>
    </w:p>
    <w:p>
      <w:pPr>
        <w:ind w:left="1960" w:hanging="656"/>
        <w:spacing w:after="0" w:line="223" w:lineRule="exact"/>
        <w:tabs>
          <w:tab w:leader="none" w:pos="19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they are or may be leased to or re</w:t>
      </w:r>
      <w:r>
        <w:rPr>
          <w:rFonts w:ascii="MS PGothic" w:cs="MS PGothic" w:eastAsia="MS PGothic" w:hAnsi="MS PGothic"/>
          <w:sz w:val="18"/>
          <w:szCs w:val="18"/>
          <w:color w:val="auto"/>
        </w:rPr>
        <w:t>‑</w:t>
      </w:r>
      <w:r>
        <w:rPr>
          <w:rFonts w:ascii="Arial" w:cs="Arial" w:eastAsia="Arial" w:hAnsi="Arial"/>
          <w:sz w:val="18"/>
          <w:szCs w:val="18"/>
          <w:color w:val="auto"/>
        </w:rPr>
        <w:t>acquired by the Company or any other member of the Group;</w:t>
      </w:r>
    </w:p>
    <w:p>
      <w:pPr>
        <w:spacing w:after="0" w:line="175" w:lineRule="exact"/>
        <w:rPr>
          <w:rFonts w:ascii="Arial" w:cs="Arial" w:eastAsia="Arial" w:hAnsi="Arial"/>
          <w:sz w:val="18"/>
          <w:szCs w:val="18"/>
          <w:color w:val="auto"/>
        </w:rPr>
      </w:pPr>
    </w:p>
    <w:p>
      <w:pPr>
        <w:ind w:left="1960" w:hanging="656"/>
        <w:spacing w:after="0"/>
        <w:tabs>
          <w:tab w:leader="none" w:pos="19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sell, transfer or otherwise dispose of any of its receivables on recourse terms;</w:t>
      </w:r>
    </w:p>
    <w:p>
      <w:pPr>
        <w:spacing w:after="0" w:line="198" w:lineRule="exact"/>
        <w:rPr>
          <w:rFonts w:ascii="Arial" w:cs="Arial" w:eastAsia="Arial" w:hAnsi="Arial"/>
          <w:sz w:val="18"/>
          <w:szCs w:val="18"/>
          <w:color w:val="auto"/>
        </w:rPr>
      </w:pPr>
    </w:p>
    <w:p>
      <w:pPr>
        <w:ind w:left="1960" w:hanging="656"/>
        <w:spacing w:after="0" w:line="223" w:lineRule="exact"/>
        <w:tabs>
          <w:tab w:leader="none" w:pos="19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w:t>
      </w:r>
      <w:r>
        <w:rPr>
          <w:rFonts w:ascii="MS PGothic" w:cs="MS PGothic" w:eastAsia="MS PGothic" w:hAnsi="MS PGothic"/>
          <w:sz w:val="18"/>
          <w:szCs w:val="18"/>
          <w:color w:val="auto"/>
        </w:rPr>
        <w:t>‑</w:t>
      </w:r>
      <w:r>
        <w:rPr>
          <w:rFonts w:ascii="Arial" w:cs="Arial" w:eastAsia="Arial" w:hAnsi="Arial"/>
          <w:sz w:val="18"/>
          <w:szCs w:val="18"/>
          <w:color w:val="auto"/>
        </w:rPr>
        <w:t>off or made subject to a combination of accounts; or</w:t>
      </w:r>
    </w:p>
    <w:p>
      <w:pPr>
        <w:spacing w:after="0" w:line="175" w:lineRule="exact"/>
        <w:rPr>
          <w:rFonts w:ascii="Arial" w:cs="Arial" w:eastAsia="Arial" w:hAnsi="Arial"/>
          <w:sz w:val="18"/>
          <w:szCs w:val="18"/>
          <w:color w:val="auto"/>
        </w:rPr>
      </w:pPr>
    </w:p>
    <w:p>
      <w:pPr>
        <w:ind w:left="1960" w:hanging="656"/>
        <w:spacing w:after="0"/>
        <w:tabs>
          <w:tab w:leader="none" w:pos="19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198"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Paragraphs (a) and (b) do not apply to any Permitted Security or any Permitted Receivables Disposal.</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20.14</w:t>
      </w:r>
      <w:r>
        <w:rPr>
          <w:sz w:val="20"/>
          <w:szCs w:val="20"/>
          <w:color w:val="auto"/>
        </w:rPr>
        <w:tab/>
      </w:r>
      <w:r>
        <w:rPr>
          <w:rFonts w:ascii="Arial" w:cs="Arial" w:eastAsia="Arial" w:hAnsi="Arial"/>
          <w:sz w:val="16"/>
          <w:szCs w:val="16"/>
          <w:b w:val="1"/>
          <w:bCs w:val="1"/>
          <w:color w:val="auto"/>
        </w:rPr>
        <w:t>Loans or credit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55" w:right="339" w:bottom="1440" w:gutter="0" w:footer="0" w:header="0"/>
        </w:sectPr>
      </w:pPr>
    </w:p>
    <w:bookmarkStart w:id="82" w:name="page83"/>
    <w:bookmarkEnd w:id="82"/>
    <w:p>
      <w:pPr>
        <w:ind w:left="1300" w:hanging="644"/>
        <w:spacing w:after="0" w:line="277" w:lineRule="auto"/>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Except as permitted under paragraph (b), the Company shall not (and it shall ensure that no other member of the Group will) be a creditor in respect of any Financial Indebtedness.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Paragraph (a) does not apply to a Permitted Loan.</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20.15</w:t>
      </w:r>
      <w:r>
        <w:rPr>
          <w:sz w:val="20"/>
          <w:szCs w:val="20"/>
          <w:color w:val="auto"/>
        </w:rPr>
        <w:tab/>
      </w:r>
      <w:r>
        <w:rPr>
          <w:rFonts w:ascii="Arial" w:cs="Arial" w:eastAsia="Arial" w:hAnsi="Arial"/>
          <w:sz w:val="15"/>
          <w:szCs w:val="15"/>
          <w:b w:val="1"/>
          <w:bCs w:val="1"/>
          <w:color w:val="auto"/>
        </w:rPr>
        <w:t>Acquisitions</w:t>
      </w:r>
    </w:p>
    <w:p>
      <w:pPr>
        <w:spacing w:after="0" w:line="191" w:lineRule="exact"/>
        <w:rPr>
          <w:sz w:val="20"/>
          <w:szCs w:val="20"/>
          <w:color w:val="auto"/>
        </w:rPr>
      </w:pPr>
    </w:p>
    <w:p>
      <w:pPr>
        <w:ind w:left="1300" w:hanging="644"/>
        <w:spacing w:after="0" w:line="277" w:lineRule="auto"/>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as permitted under paragraph (b), the Company shall not (and it shall ensure that no other member of the Group will) acquire a company or any shares or securities or a business or undertaking (or any interest in any of them).</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Paragraph (a) does not apply to an acquisition that is a Permitted Acquisition.</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20.16</w:t>
      </w:r>
      <w:r>
        <w:rPr>
          <w:sz w:val="20"/>
          <w:szCs w:val="20"/>
          <w:color w:val="auto"/>
        </w:rPr>
        <w:tab/>
      </w:r>
      <w:r>
        <w:rPr>
          <w:rFonts w:ascii="Arial" w:cs="Arial" w:eastAsia="Arial" w:hAnsi="Arial"/>
          <w:sz w:val="17"/>
          <w:szCs w:val="17"/>
          <w:b w:val="1"/>
          <w:bCs w:val="1"/>
          <w:color w:val="auto"/>
        </w:rPr>
        <w:t>Merger</w:t>
      </w:r>
    </w:p>
    <w:p>
      <w:pPr>
        <w:spacing w:after="0" w:line="191" w:lineRule="exact"/>
        <w:rPr>
          <w:sz w:val="20"/>
          <w:szCs w:val="20"/>
          <w:color w:val="auto"/>
        </w:rPr>
      </w:pPr>
    </w:p>
    <w:p>
      <w:pPr>
        <w:ind w:left="1300" w:hanging="644"/>
        <w:spacing w:after="0" w:line="277" w:lineRule="auto"/>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shall not (and it shall ensure that no other member of the Group will) enter into any amalgamation, demerger, merger or corporate reconstruction.</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Paragraph (a) does not apply to any Permitted Transaction.</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20.17</w:t>
      </w:r>
      <w:r>
        <w:rPr>
          <w:sz w:val="20"/>
          <w:szCs w:val="20"/>
          <w:color w:val="auto"/>
        </w:rPr>
        <w:tab/>
      </w:r>
      <w:r>
        <w:rPr>
          <w:rFonts w:ascii="Arial" w:cs="Arial" w:eastAsia="Arial" w:hAnsi="Arial"/>
          <w:sz w:val="16"/>
          <w:szCs w:val="16"/>
          <w:b w:val="1"/>
          <w:bCs w:val="1"/>
          <w:color w:val="auto"/>
        </w:rPr>
        <w:t>No Guarantees or indemnities</w:t>
      </w:r>
    </w:p>
    <w:p>
      <w:pPr>
        <w:spacing w:after="0" w:line="191" w:lineRule="exact"/>
        <w:rPr>
          <w:sz w:val="20"/>
          <w:szCs w:val="20"/>
          <w:color w:val="auto"/>
        </w:rPr>
      </w:pPr>
    </w:p>
    <w:p>
      <w:pPr>
        <w:ind w:left="1300" w:right="20" w:hanging="644"/>
        <w:spacing w:after="0" w:line="277" w:lineRule="auto"/>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Except as permitted under paragraph (b), the Company shall not (and it shall ensure that no other member of the Group will) incur or allow to remain outstanding any guarantee in respect of any obligation of any person.</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Paragraph (a) does not apply to a guarantee which is a Permitted Guarantee.</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20.18</w:t>
      </w:r>
      <w:r>
        <w:rPr>
          <w:sz w:val="20"/>
          <w:szCs w:val="20"/>
          <w:color w:val="auto"/>
        </w:rPr>
        <w:tab/>
      </w:r>
      <w:r>
        <w:rPr>
          <w:rFonts w:ascii="Arial" w:cs="Arial" w:eastAsia="Arial" w:hAnsi="Arial"/>
          <w:sz w:val="16"/>
          <w:szCs w:val="16"/>
          <w:b w:val="1"/>
          <w:bCs w:val="1"/>
          <w:color w:val="auto"/>
        </w:rPr>
        <w:t>Financial Indebtedness</w:t>
      </w:r>
    </w:p>
    <w:p>
      <w:pPr>
        <w:spacing w:after="0" w:line="191" w:lineRule="exact"/>
        <w:rPr>
          <w:sz w:val="20"/>
          <w:szCs w:val="20"/>
          <w:color w:val="auto"/>
        </w:rPr>
      </w:pPr>
    </w:p>
    <w:p>
      <w:pPr>
        <w:ind w:left="1300" w:right="20" w:hanging="644"/>
        <w:spacing w:after="0" w:line="277" w:lineRule="auto"/>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Company shall ensure that the Subsidiary Financial Indebtedness does not exceed at any time 35 per cent. of Group Financial Indebtedness.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For the purposes of this Clause 20.18:</w:t>
      </w:r>
    </w:p>
    <w:p>
      <w:pPr>
        <w:spacing w:after="0" w:line="194" w:lineRule="exact"/>
        <w:rPr>
          <w:sz w:val="20"/>
          <w:szCs w:val="20"/>
          <w:color w:val="auto"/>
        </w:rPr>
      </w:pPr>
    </w:p>
    <w:p>
      <w:pPr>
        <w:jc w:val="both"/>
        <w:ind w:left="1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Financial Indebtedness</w:t>
      </w:r>
      <w:r>
        <w:rPr>
          <w:rFonts w:ascii="Arial" w:cs="Arial" w:eastAsia="Arial" w:hAnsi="Arial"/>
          <w:sz w:val="18"/>
          <w:szCs w:val="18"/>
          <w:color w:val="auto"/>
        </w:rPr>
        <w:t>” means the Financial Indebtedness of the Group excluding, in each case, Financial Indebtedness of the Group incurred under any Excluded Guarantee; and</w:t>
      </w:r>
    </w:p>
    <w:p>
      <w:pPr>
        <w:spacing w:after="0" w:line="135" w:lineRule="exact"/>
        <w:rPr>
          <w:sz w:val="20"/>
          <w:szCs w:val="20"/>
          <w:color w:val="auto"/>
        </w:rPr>
      </w:pPr>
    </w:p>
    <w:p>
      <w:pPr>
        <w:jc w:val="both"/>
        <w:ind w:left="12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 Financial Indebtedness</w:t>
      </w:r>
      <w:r>
        <w:rPr>
          <w:rFonts w:ascii="Arial" w:cs="Arial" w:eastAsia="Arial" w:hAnsi="Arial"/>
          <w:sz w:val="17"/>
          <w:szCs w:val="17"/>
          <w:color w:val="auto"/>
        </w:rPr>
        <w:t>” means the aggregate Financial Indebtedness of each Subsidiary excluding, in each case, the Financial Indebtedness of the Company, any Financial Indebtedness comprising of guarantees of Financial Indebtedness of the Company granted by the Italian Subsidiary and the Financial Indebtedness of the Group incurred under any Excluded Guarantee.</w:t>
      </w:r>
    </w:p>
    <w:p>
      <w:pPr>
        <w:spacing w:after="0" w:line="135" w:lineRule="exact"/>
        <w:rPr>
          <w:sz w:val="20"/>
          <w:szCs w:val="20"/>
          <w:color w:val="auto"/>
        </w:rPr>
      </w:pPr>
    </w:p>
    <w:p>
      <w:pPr>
        <w:ind w:left="1300" w:hanging="644"/>
        <w:spacing w:after="0" w:line="223" w:lineRule="exact"/>
        <w:tabs>
          <w:tab w:leader="none" w:pos="1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For the avoidance of doubt and notwithstanding anything to the contrary, intra</w:t>
      </w:r>
      <w:r>
        <w:rPr>
          <w:rFonts w:ascii="MS PGothic" w:cs="MS PGothic" w:eastAsia="MS PGothic" w:hAnsi="MS PGothic"/>
          <w:sz w:val="18"/>
          <w:szCs w:val="18"/>
          <w:color w:val="auto"/>
        </w:rPr>
        <w:t>‑</w:t>
      </w:r>
      <w:r>
        <w:rPr>
          <w:rFonts w:ascii="Arial" w:cs="Arial" w:eastAsia="Arial" w:hAnsi="Arial"/>
          <w:sz w:val="18"/>
          <w:szCs w:val="18"/>
          <w:color w:val="auto"/>
        </w:rPr>
        <w:t>group debt shall not constitute or in any way be included in the definition of Financial Indebtedness or Subsidiary Financial Indebtedness.</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20.19</w:t>
      </w:r>
      <w:r>
        <w:rPr>
          <w:sz w:val="20"/>
          <w:szCs w:val="20"/>
          <w:color w:val="auto"/>
        </w:rPr>
        <w:tab/>
      </w:r>
      <w:r>
        <w:rPr>
          <w:rFonts w:ascii="Arial" w:cs="Arial" w:eastAsia="Arial" w:hAnsi="Arial"/>
          <w:sz w:val="15"/>
          <w:szCs w:val="15"/>
          <w:b w:val="1"/>
          <w:bCs w:val="1"/>
          <w:color w:val="auto"/>
        </w:rPr>
        <w:t>Disposal of assets</w:t>
      </w:r>
    </w:p>
    <w:p>
      <w:pPr>
        <w:spacing w:after="0" w:line="191" w:lineRule="exact"/>
        <w:rPr>
          <w:sz w:val="20"/>
          <w:szCs w:val="20"/>
          <w:color w:val="auto"/>
        </w:rPr>
      </w:pPr>
    </w:p>
    <w:p>
      <w:pPr>
        <w:jc w:val="both"/>
        <w:ind w:left="1300" w:hanging="644"/>
        <w:spacing w:after="0" w:line="263" w:lineRule="auto"/>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Except as permitted under paragraph (b), the Company shall not (and it shall ensure that no other member of the Group will) enter into a single transaction or a series of transactions (whether related or not) and whether voluntary or involuntary to sell, lease, transfer or otherwise dispose of any asset.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341" w:right="339" w:bottom="1440" w:gutter="0" w:footer="0" w:header="0"/>
        </w:sectPr>
      </w:pPr>
    </w:p>
    <w:bookmarkStart w:id="83" w:name="page84"/>
    <w:bookmarkEnd w:id="83"/>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Paragraph (a) does not apply to any sale, lease, transfer or other disposal for fair market value and at arm’s length:</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made in the ordinary course of trading of the disposing entity;</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of assets in exchange of other assets comparable or superior as to type, value and quality;</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of obsolete or redundant vehicles, plant and equipment for cash;</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of receivables being part of Permitted Receivables Disposals; or</w:t>
      </w:r>
    </w:p>
    <w:p>
      <w:pPr>
        <w:spacing w:after="0" w:line="198"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of assets not falling within paragraphs (b)(i) to (b)(iv), provided that over the life of the Facility the aggregate value of the disposed assets and other disposals of assets not falling within paragraphs (b)(i) to (b)(iv), shall not exceed 10 per cent. of the total assets of the Group as reports in the latest audited consolidated financial statements.</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20.20</w:t>
      </w:r>
      <w:r>
        <w:rPr>
          <w:sz w:val="20"/>
          <w:szCs w:val="20"/>
          <w:color w:val="auto"/>
        </w:rPr>
        <w:tab/>
      </w:r>
      <w:r>
        <w:rPr>
          <w:rFonts w:ascii="Arial" w:cs="Arial" w:eastAsia="Arial" w:hAnsi="Arial"/>
          <w:sz w:val="15"/>
          <w:szCs w:val="15"/>
          <w:b w:val="1"/>
          <w:bCs w:val="1"/>
          <w:color w:val="auto"/>
        </w:rPr>
        <w:t>Change of business</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Company shall procure that no substantial change is made to the general nature of the business of the Company or the Group from that carried on at the date of this Agreement.</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20.21</w:t>
      </w:r>
      <w:r>
        <w:rPr>
          <w:sz w:val="20"/>
          <w:szCs w:val="20"/>
          <w:color w:val="auto"/>
        </w:rPr>
        <w:tab/>
      </w:r>
      <w:r>
        <w:rPr>
          <w:rFonts w:ascii="Arial" w:cs="Arial" w:eastAsia="Arial" w:hAnsi="Arial"/>
          <w:sz w:val="16"/>
          <w:szCs w:val="16"/>
          <w:b w:val="1"/>
          <w:bCs w:val="1"/>
          <w:color w:val="auto"/>
        </w:rPr>
        <w:t>Arm's length basis</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Company shall not (and it shall ensure that no other member of the Group will) enter into any material transaction with any person except on arm's length terms and for full market value.</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20.22</w:t>
      </w:r>
      <w:r>
        <w:rPr>
          <w:sz w:val="20"/>
          <w:szCs w:val="20"/>
          <w:color w:val="auto"/>
        </w:rPr>
        <w:tab/>
      </w:r>
      <w:r>
        <w:rPr>
          <w:rFonts w:ascii="Arial" w:cs="Arial" w:eastAsia="Arial" w:hAnsi="Arial"/>
          <w:sz w:val="16"/>
          <w:szCs w:val="16"/>
          <w:b w:val="1"/>
          <w:bCs w:val="1"/>
          <w:color w:val="auto"/>
        </w:rPr>
        <w:t>Amendments</w:t>
      </w:r>
    </w:p>
    <w:p>
      <w:pPr>
        <w:spacing w:after="0" w:line="191" w:lineRule="exact"/>
        <w:rPr>
          <w:sz w:val="20"/>
          <w:szCs w:val="20"/>
          <w:color w:val="auto"/>
        </w:rPr>
      </w:pPr>
    </w:p>
    <w:p>
      <w:pPr>
        <w:ind w:left="1300" w:right="20" w:hanging="644"/>
        <w:spacing w:after="0" w:line="342" w:lineRule="auto"/>
        <w:tabs>
          <w:tab w:leader="none" w:pos="130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Company shall not (and it shall ensure that no other member of the Group will) amend, vary, novate, supplement, supersede, waive or terminate any term of any document delivered to the Lender pursuant to Schedule 1 (</w:t>
      </w:r>
      <w:r>
        <w:rPr>
          <w:rFonts w:ascii="Arial" w:cs="Arial" w:eastAsia="Arial" w:hAnsi="Arial"/>
          <w:sz w:val="16"/>
          <w:szCs w:val="16"/>
          <w:i w:val="1"/>
          <w:iCs w:val="1"/>
          <w:color w:val="auto"/>
        </w:rPr>
        <w:t>Conditions Precedent</w:t>
      </w:r>
      <w:r>
        <w:rPr>
          <w:rFonts w:ascii="Arial" w:cs="Arial" w:eastAsia="Arial" w:hAnsi="Arial"/>
          <w:sz w:val="16"/>
          <w:szCs w:val="16"/>
          <w:color w:val="auto"/>
        </w:rPr>
        <w:t>) except in writing:</w:t>
      </w:r>
    </w:p>
    <w:p>
      <w:pPr>
        <w:spacing w:after="0" w:line="96" w:lineRule="exact"/>
        <w:rPr>
          <w:rFonts w:ascii="Arial" w:cs="Arial" w:eastAsia="Arial" w:hAnsi="Arial"/>
          <w:sz w:val="16"/>
          <w:szCs w:val="16"/>
          <w:color w:val="auto"/>
        </w:rPr>
      </w:pPr>
    </w:p>
    <w:p>
      <w:pPr>
        <w:ind w:left="1960" w:hanging="656"/>
        <w:spacing w:after="0"/>
        <w:tabs>
          <w:tab w:leader="none" w:pos="19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in accordance with this Agreement;</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prior to or on the first Utilisation Date, with the prior written consent of the Lender; or</w:t>
      </w:r>
    </w:p>
    <w:p>
      <w:pPr>
        <w:spacing w:after="0" w:line="198"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after the first Utilisation Date, in a way which could not be reasonably expected materially and adversely to affect the interests of the Lender.</w:t>
      </w:r>
    </w:p>
    <w:p>
      <w:pPr>
        <w:spacing w:after="0" w:line="14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Company shall promptly supply to the Lender a copy of any document relating to any of the matters referred to in paragraphs (a)(i) to (a)(iii).</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20.23</w:t>
      </w:r>
      <w:r>
        <w:rPr>
          <w:sz w:val="20"/>
          <w:szCs w:val="20"/>
          <w:color w:val="auto"/>
        </w:rPr>
        <w:tab/>
      </w:r>
      <w:r>
        <w:rPr>
          <w:rFonts w:ascii="Arial" w:cs="Arial" w:eastAsia="Arial" w:hAnsi="Arial"/>
          <w:sz w:val="15"/>
          <w:szCs w:val="15"/>
          <w:b w:val="1"/>
          <w:bCs w:val="1"/>
          <w:color w:val="auto"/>
        </w:rPr>
        <w:t>Accounting practices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41" w:right="339" w:bottom="1440" w:gutter="0" w:footer="0" w:header="0"/>
        </w:sectPr>
      </w:pPr>
    </w:p>
    <w:bookmarkStart w:id="84" w:name="page85"/>
    <w:bookmarkEnd w:id="84"/>
    <w:p>
      <w:pPr>
        <w:ind w:left="620" w:right="20"/>
        <w:spacing w:after="0" w:line="277" w:lineRule="auto"/>
        <w:rPr>
          <w:sz w:val="20"/>
          <w:szCs w:val="20"/>
          <w:color w:val="auto"/>
        </w:rPr>
      </w:pPr>
      <w:r>
        <w:rPr>
          <w:rFonts w:ascii="Arial" w:cs="Arial" w:eastAsia="Arial" w:hAnsi="Arial"/>
          <w:sz w:val="18"/>
          <w:szCs w:val="18"/>
          <w:color w:val="auto"/>
        </w:rPr>
        <w:t>The Company shall not change its Accounting Reference Date nor materially change its accounting policies, in each case unless required to do so in order to comply with the Accounting Principles.</w:t>
      </w:r>
    </w:p>
    <w:p>
      <w:pPr>
        <w:spacing w:after="0" w:line="153" w:lineRule="exact"/>
        <w:rPr>
          <w:sz w:val="20"/>
          <w:szCs w:val="20"/>
          <w:color w:val="auto"/>
        </w:rPr>
      </w:pPr>
    </w:p>
    <w:p>
      <w:pPr>
        <w:ind w:left="620" w:hanging="612"/>
        <w:spacing w:after="0"/>
        <w:tabs>
          <w:tab w:leader="none" w:pos="620" w:val="left"/>
        </w:tabs>
        <w:numPr>
          <w:ilvl w:val="0"/>
          <w:numId w:val="238"/>
        </w:numPr>
        <w:rPr>
          <w:rFonts w:ascii="Arial" w:cs="Arial" w:eastAsia="Arial" w:hAnsi="Arial"/>
          <w:sz w:val="20"/>
          <w:szCs w:val="20"/>
          <w:b w:val="1"/>
          <w:bCs w:val="1"/>
          <w:color w:val="auto"/>
        </w:rPr>
      </w:pPr>
      <w:r>
        <w:rPr>
          <w:rFonts w:ascii="Arial" w:cs="Arial" w:eastAsia="Arial" w:hAnsi="Arial"/>
          <w:sz w:val="18"/>
          <w:szCs w:val="18"/>
          <w:b w:val="1"/>
          <w:bCs w:val="1"/>
          <w:color w:val="auto"/>
        </w:rPr>
        <w:t>EVENTS OF DEFAULT</w:t>
      </w:r>
    </w:p>
    <w:p>
      <w:pPr>
        <w:spacing w:after="0" w:line="179"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Each of the events or circumstances set out in Clause 21 is an Event of Default (save for Clause 21.17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196" w:lineRule="exact"/>
        <w:rPr>
          <w:sz w:val="20"/>
          <w:szCs w:val="20"/>
          <w:color w:val="auto"/>
        </w:rPr>
      </w:pPr>
    </w:p>
    <w:p>
      <w:pPr>
        <w:spacing w:after="0" w:line="230" w:lineRule="exact"/>
        <w:tabs>
          <w:tab w:leader="none" w:pos="6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payment</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Company does not pay on the due date any amount payable pursuant to a Finance Document at the place and in the currency in which it is expressed to be payable unless:</w:t>
      </w:r>
    </w:p>
    <w:p>
      <w:pPr>
        <w:spacing w:after="0" w:line="143" w:lineRule="exact"/>
        <w:rPr>
          <w:sz w:val="20"/>
          <w:szCs w:val="20"/>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payment is made within five Business Days of its due date.</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6"/>
          <w:szCs w:val="16"/>
          <w:b w:val="1"/>
          <w:bCs w:val="1"/>
          <w:color w:val="auto"/>
        </w:rPr>
        <w:t>Financial covenants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Any requirement of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 is not satisfied.</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b w:val="1"/>
          <w:bCs w:val="1"/>
          <w:color w:val="auto"/>
        </w:rPr>
        <w:t>Other obligations</w:t>
      </w:r>
    </w:p>
    <w:p>
      <w:pPr>
        <w:spacing w:after="0" w:line="191" w:lineRule="exact"/>
        <w:rPr>
          <w:sz w:val="20"/>
          <w:szCs w:val="20"/>
          <w:color w:val="auto"/>
        </w:rPr>
      </w:pPr>
    </w:p>
    <w:p>
      <w:pPr>
        <w:ind w:left="1300" w:hanging="644"/>
        <w:spacing w:after="0" w:line="277" w:lineRule="auto"/>
        <w:tabs>
          <w:tab w:leader="none" w:pos="13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Company does not comply with any provision of the Finance Documents (other than those referred to in Clause 21.1 (</w:t>
      </w:r>
      <w:r>
        <w:rPr>
          <w:rFonts w:ascii="Arial" w:cs="Arial" w:eastAsia="Arial" w:hAnsi="Arial"/>
          <w:sz w:val="18"/>
          <w:szCs w:val="18"/>
          <w:i w:val="1"/>
          <w:iCs w:val="1"/>
          <w:color w:val="auto"/>
        </w:rPr>
        <w:t>Non-payment</w:t>
      </w:r>
      <w:r>
        <w:rPr>
          <w:rFonts w:ascii="Arial" w:cs="Arial" w:eastAsia="Arial" w:hAnsi="Arial"/>
          <w:sz w:val="18"/>
          <w:szCs w:val="18"/>
          <w:color w:val="auto"/>
        </w:rPr>
        <w:t>) and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No Event of Default under paragraph (a) will occur if the failure to comply is capable of remedy and is remedied within 15 Business Days, of the earlier of (A) the Lender giving notice to the Company and (B) the Company becoming aware of the failure to comply.</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b w:val="1"/>
          <w:bCs w:val="1"/>
          <w:color w:val="auto"/>
        </w:rPr>
        <w:t>Misrepresentation</w:t>
      </w:r>
    </w:p>
    <w:p>
      <w:pPr>
        <w:spacing w:after="0" w:line="19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Any representation or statement made or deemed to be made by the Company in the Finance Documents or any other document delivered by or on its behalf under or in connection with any Finance Document is or proves to have been incorrect or misleading in any material respect when made or deemed to be made.</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b w:val="1"/>
          <w:bCs w:val="1"/>
          <w:color w:val="auto"/>
        </w:rPr>
        <w:t>Cross default</w:t>
      </w:r>
    </w:p>
    <w:p>
      <w:pPr>
        <w:spacing w:after="0" w:line="191" w:lineRule="exact"/>
        <w:rPr>
          <w:sz w:val="20"/>
          <w:szCs w:val="20"/>
          <w:color w:val="auto"/>
        </w:rPr>
      </w:pPr>
    </w:p>
    <w:p>
      <w:pPr>
        <w:ind w:left="1300" w:hanging="644"/>
        <w:spacing w:after="0" w:line="277" w:lineRule="auto"/>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Financial Indebtedness of the Company or any Material Subsidiary is not paid when due nor within any originally applicable grace period.</w:t>
      </w:r>
    </w:p>
    <w:p>
      <w:pPr>
        <w:spacing w:after="0" w:line="14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Financial Indebtedness of the Company or any Material Subsidiary is declared to be or otherwise becomes due and payable prior to its specified maturity as a result of an event of default (however described).</w:t>
      </w:r>
    </w:p>
    <w:p>
      <w:pPr>
        <w:spacing w:after="0" w:line="14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member the Company or any Material Subsidiary is cancelled or suspended by a creditor of the Company or any Material Subsidiary as a result of an event of default (however described).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41" w:right="339" w:bottom="1440" w:gutter="0" w:footer="0" w:header="0"/>
        </w:sectPr>
      </w:pPr>
    </w:p>
    <w:bookmarkStart w:id="85" w:name="page86"/>
    <w:bookmarkEnd w:id="85"/>
    <w:p>
      <w:pPr>
        <w:ind w:left="1300" w:hanging="644"/>
        <w:spacing w:after="0" w:line="277" w:lineRule="auto"/>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creditor of any member of the Group becomes entitled to declare any Financial Indebtedness of any member of the Group due and payable prior to its specified maturity as a result of an event of default.</w:t>
      </w:r>
    </w:p>
    <w:p>
      <w:pPr>
        <w:spacing w:after="0" w:line="14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No Event of Default will occur under this Clause 21.5 if the aggregate amount of Financial Indebtedness or commitment for Financial Indebtedness falling within paragraphs (a) to (d) is less than USD 7,500,000 (or its equivalent in any other currency or currencies).</w:t>
      </w:r>
    </w:p>
    <w:p>
      <w:pPr>
        <w:spacing w:after="0" w:line="9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5"/>
          <w:szCs w:val="15"/>
          <w:b w:val="1"/>
          <w:bCs w:val="1"/>
          <w:color w:val="auto"/>
        </w:rPr>
        <w:t>Insolvency</w:t>
      </w:r>
    </w:p>
    <w:p>
      <w:pPr>
        <w:spacing w:after="0" w:line="191" w:lineRule="exact"/>
        <w:rPr>
          <w:sz w:val="20"/>
          <w:szCs w:val="20"/>
          <w:color w:val="auto"/>
        </w:rPr>
      </w:pPr>
    </w:p>
    <w:p>
      <w:pPr>
        <w:ind w:left="1300" w:hanging="644"/>
        <w:spacing w:after="0"/>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 or any Material Subsidiary:</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is unable or admits inability to pay its debts as they fall due;</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suspends making payments on any of its debts; or</w:t>
      </w:r>
    </w:p>
    <w:p>
      <w:pPr>
        <w:spacing w:after="0" w:line="198"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by reason of actual or anticipated financial difficulties, commences negotiations with one or more of its creditors (excluding the Lender) with a view to rescheduling any of its indebtedness.</w:t>
      </w:r>
    </w:p>
    <w:p>
      <w:pPr>
        <w:spacing w:after="0" w:line="14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value of the assets of any the Company or any Material Subsidiary is less than its liabilities (taking into account contingent and prospective liabilities).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the Company or any Material Subsidiary.</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5"/>
          <w:szCs w:val="15"/>
          <w:b w:val="1"/>
          <w:bCs w:val="1"/>
          <w:color w:val="auto"/>
        </w:rPr>
        <w:t>Insolvency proceedings</w:t>
      </w:r>
    </w:p>
    <w:p>
      <w:pPr>
        <w:spacing w:after="0" w:line="191" w:lineRule="exact"/>
        <w:rPr>
          <w:sz w:val="20"/>
          <w:szCs w:val="20"/>
          <w:color w:val="auto"/>
        </w:rPr>
      </w:pPr>
    </w:p>
    <w:p>
      <w:pPr>
        <w:ind w:left="1300" w:hanging="644"/>
        <w:spacing w:after="0"/>
        <w:tabs>
          <w:tab w:leader="none" w:pos="13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198" w:lineRule="exact"/>
        <w:rPr>
          <w:rFonts w:ascii="Arial" w:cs="Arial" w:eastAsia="Arial" w:hAnsi="Arial"/>
          <w:sz w:val="18"/>
          <w:szCs w:val="18"/>
          <w:color w:val="auto"/>
        </w:rPr>
      </w:pPr>
    </w:p>
    <w:p>
      <w:pPr>
        <w:jc w:val="both"/>
        <w:ind w:left="1960" w:hanging="656"/>
        <w:spacing w:after="0" w:line="220" w:lineRule="exact"/>
        <w:tabs>
          <w:tab w:leader="none" w:pos="19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w:t>
      </w:r>
      <w:r>
        <w:rPr>
          <w:rFonts w:ascii="MS PGothic" w:cs="MS PGothic" w:eastAsia="MS PGothic" w:hAnsi="MS PGothic"/>
          <w:sz w:val="18"/>
          <w:szCs w:val="18"/>
          <w:color w:val="auto"/>
        </w:rPr>
        <w:t>‑</w:t>
      </w:r>
      <w:r>
        <w:rPr>
          <w:rFonts w:ascii="Arial" w:cs="Arial" w:eastAsia="Arial" w:hAnsi="Arial"/>
          <w:sz w:val="18"/>
          <w:szCs w:val="18"/>
          <w:color w:val="auto"/>
        </w:rPr>
        <w:t>up, dissolution, administration or reorganisation (by way of voluntary arrangement, scheme of arrangement or otherwise) of the Company or any Material Subsidiary other than a solvent liquidation or reorganisation of any Material Subsidiary;</w:t>
      </w:r>
    </w:p>
    <w:p>
      <w:pPr>
        <w:spacing w:after="0" w:line="177" w:lineRule="exact"/>
        <w:rPr>
          <w:rFonts w:ascii="Arial" w:cs="Arial" w:eastAsia="Arial" w:hAnsi="Arial"/>
          <w:sz w:val="18"/>
          <w:szCs w:val="18"/>
          <w:color w:val="auto"/>
        </w:rPr>
      </w:pPr>
    </w:p>
    <w:p>
      <w:pPr>
        <w:ind w:left="1960" w:hanging="656"/>
        <w:spacing w:after="0"/>
        <w:tabs>
          <w:tab w:leader="none" w:pos="196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 composition, compromise, assignment or arrangement with any creditor of the Company or any Material Subsidiary;</w:t>
      </w:r>
    </w:p>
    <w:p>
      <w:pPr>
        <w:spacing w:after="0" w:line="209"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appointment of a liquidator (other than in respect of a solvent liquidation of a Material Subsidiary), receiver, administrative receiver, administrator, compulsory manager or other similar officer in respect of the Company or any Material Subsidiary or any of its assets; or</w:t>
      </w:r>
    </w:p>
    <w:p>
      <w:pPr>
        <w:spacing w:after="0" w:line="156" w:lineRule="exact"/>
        <w:rPr>
          <w:rFonts w:ascii="Arial" w:cs="Arial" w:eastAsia="Arial" w:hAnsi="Arial"/>
          <w:sz w:val="18"/>
          <w:szCs w:val="18"/>
          <w:color w:val="auto"/>
        </w:rPr>
      </w:pPr>
    </w:p>
    <w:p>
      <w:pPr>
        <w:ind w:left="1960" w:hanging="656"/>
        <w:spacing w:after="0"/>
        <w:tabs>
          <w:tab w:leader="none" w:pos="19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enforcement of any Security over any assets of the Company or any Material Subsidiary,</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341" w:right="339" w:bottom="1440" w:gutter="0" w:footer="0" w:header="0"/>
        </w:sectPr>
      </w:pPr>
    </w:p>
    <w:bookmarkStart w:id="86" w:name="page87"/>
    <w:bookmarkEnd w:id="86"/>
    <w:p>
      <w:pPr>
        <w:ind w:left="1300" w:hanging="644"/>
        <w:spacing w:after="0" w:line="223" w:lineRule="exact"/>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This Clause 21.7 shall not apply to any winding</w:t>
      </w:r>
      <w:r>
        <w:rPr>
          <w:rFonts w:ascii="MS PGothic" w:cs="MS PGothic" w:eastAsia="MS PGothic" w:hAnsi="MS PGothic"/>
          <w:sz w:val="18"/>
          <w:szCs w:val="18"/>
          <w:color w:val="auto"/>
        </w:rPr>
        <w:t>‑</w:t>
      </w:r>
      <w:r>
        <w:rPr>
          <w:rFonts w:ascii="Arial" w:cs="Arial" w:eastAsia="Arial" w:hAnsi="Arial"/>
          <w:sz w:val="18"/>
          <w:szCs w:val="18"/>
          <w:color w:val="auto"/>
        </w:rPr>
        <w:t>up petition which is frivolous or vexatious and is discharged, stayed or dismissed within 10 Business Days of commencement.</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5"/>
          <w:szCs w:val="15"/>
          <w:b w:val="1"/>
          <w:bCs w:val="1"/>
          <w:color w:val="auto"/>
        </w:rPr>
        <w:t>Creditors' process</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Any expropriation, attachment, sequestration, distress or execution affects any asset or assets of the Company or any Material Subsidiary and is not discharged within 10 Business Days of commencement.</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6"/>
          <w:szCs w:val="16"/>
          <w:b w:val="1"/>
          <w:bCs w:val="1"/>
          <w:color w:val="auto"/>
        </w:rPr>
        <w:t>Unlawfulness and invalidity</w:t>
      </w:r>
    </w:p>
    <w:p>
      <w:pPr>
        <w:spacing w:after="0" w:line="191"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It is or becomes unlawful for the Company to perform any of its obligations under the Finance Documents.</w:t>
      </w:r>
    </w:p>
    <w:p>
      <w:pPr>
        <w:spacing w:after="0" w:line="19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obligation or obligations of the Company under any Finance Documents are not (subject to the Legal Reservations) or cease to be legal, valid, binding or enforceable.</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Finance Document ceases to be in full force.</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21.10</w:t>
      </w:r>
      <w:r>
        <w:rPr>
          <w:sz w:val="20"/>
          <w:szCs w:val="20"/>
          <w:color w:val="auto"/>
        </w:rPr>
        <w:tab/>
      </w:r>
      <w:r>
        <w:rPr>
          <w:rFonts w:ascii="Arial" w:cs="Arial" w:eastAsia="Arial" w:hAnsi="Arial"/>
          <w:sz w:val="15"/>
          <w:szCs w:val="15"/>
          <w:b w:val="1"/>
          <w:bCs w:val="1"/>
          <w:color w:val="auto"/>
        </w:rPr>
        <w:t>Cessation of business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Any Material Subsidiary suspends or ceases to carry on (or threatens to suspend or cease to carry on) all or a material part of its business.</w:t>
      </w:r>
    </w:p>
    <w:p>
      <w:pPr>
        <w:spacing w:after="0" w:line="20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21.11</w:t>
      </w:r>
      <w:r>
        <w:rPr>
          <w:sz w:val="20"/>
          <w:szCs w:val="20"/>
          <w:color w:val="auto"/>
        </w:rPr>
        <w:tab/>
      </w:r>
      <w:r>
        <w:rPr>
          <w:rFonts w:ascii="Arial" w:cs="Arial" w:eastAsia="Arial" w:hAnsi="Arial"/>
          <w:sz w:val="16"/>
          <w:szCs w:val="16"/>
          <w:b w:val="1"/>
          <w:bCs w:val="1"/>
          <w:color w:val="auto"/>
        </w:rPr>
        <w:t>Change of ownership</w:t>
      </w:r>
    </w:p>
    <w:p>
      <w:pPr>
        <w:spacing w:after="0" w:line="191" w:lineRule="exact"/>
        <w:rPr>
          <w:sz w:val="20"/>
          <w:szCs w:val="20"/>
          <w:color w:val="auto"/>
        </w:rPr>
      </w:pPr>
    </w:p>
    <w:p>
      <w:pPr>
        <w:jc w:val="both"/>
        <w:ind w:left="620"/>
        <w:spacing w:after="0" w:line="277" w:lineRule="auto"/>
        <w:rPr>
          <w:sz w:val="20"/>
          <w:szCs w:val="20"/>
          <w:color w:val="auto"/>
        </w:rPr>
      </w:pPr>
      <w:r>
        <w:rPr>
          <w:rFonts w:ascii="Arial" w:cs="Arial" w:eastAsia="Arial" w:hAnsi="Arial"/>
          <w:sz w:val="18"/>
          <w:szCs w:val="18"/>
          <w:color w:val="auto"/>
        </w:rPr>
        <w:t>The Company ceases to be the beneficial owner directly or indirectly through wholly owned subsidiaries of more than 50 fifty per cent. of the issued share capital of the Italian Subsidiary.</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21.12</w:t>
      </w:r>
      <w:r>
        <w:rPr>
          <w:sz w:val="20"/>
          <w:szCs w:val="20"/>
          <w:color w:val="auto"/>
        </w:rPr>
        <w:tab/>
      </w:r>
      <w:r>
        <w:rPr>
          <w:rFonts w:ascii="Arial" w:cs="Arial" w:eastAsia="Arial" w:hAnsi="Arial"/>
          <w:sz w:val="16"/>
          <w:szCs w:val="16"/>
          <w:b w:val="1"/>
          <w:bCs w:val="1"/>
          <w:color w:val="auto"/>
        </w:rPr>
        <w:t>Audit qualification</w:t>
      </w:r>
    </w:p>
    <w:p>
      <w:pPr>
        <w:spacing w:after="0" w:line="19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The Company’s auditors qualify the audited annual consolidated financial statements of the Company on the grounds of inadequate or unreliable information or being unable to prepare the accounts on a going concern basis, in each case which would have or would be reasonably likely to have a Material Adverse Effect.</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21.13</w:t>
      </w:r>
      <w:r>
        <w:rPr>
          <w:sz w:val="20"/>
          <w:szCs w:val="20"/>
          <w:color w:val="auto"/>
        </w:rPr>
        <w:tab/>
      </w:r>
      <w:r>
        <w:rPr>
          <w:rFonts w:ascii="Arial" w:cs="Arial" w:eastAsia="Arial" w:hAnsi="Arial"/>
          <w:sz w:val="16"/>
          <w:szCs w:val="16"/>
          <w:b w:val="1"/>
          <w:bCs w:val="1"/>
          <w:color w:val="auto"/>
        </w:rPr>
        <w:t>Expropriation</w:t>
      </w:r>
    </w:p>
    <w:p>
      <w:pPr>
        <w:spacing w:after="0" w:line="191" w:lineRule="exact"/>
        <w:rPr>
          <w:sz w:val="20"/>
          <w:szCs w:val="20"/>
          <w:color w:val="auto"/>
        </w:rPr>
      </w:pPr>
    </w:p>
    <w:p>
      <w:pPr>
        <w:jc w:val="both"/>
        <w:ind w:left="620"/>
        <w:spacing w:after="0" w:line="259" w:lineRule="auto"/>
        <w:rPr>
          <w:sz w:val="20"/>
          <w:szCs w:val="20"/>
          <w:color w:val="auto"/>
        </w:rPr>
      </w:pPr>
      <w:r>
        <w:rPr>
          <w:rFonts w:ascii="Arial" w:cs="Arial" w:eastAsia="Arial" w:hAnsi="Arial"/>
          <w:sz w:val="18"/>
          <w:szCs w:val="18"/>
          <w:color w:val="auto"/>
        </w:rPr>
        <w:t>The authority or ability of any Material Subsidiary to conduct its business is limited or wholly or substantially curtailed by any seizure, expropriation, nationalisation, intervention, restriction or other action by or on behalf of any governmental, regulatory or other authority or other person in relation to any Material Subsidiary or any of its assets where such limitation or curtailment has or is reasonably likely to have a Material Adverse Effect.</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21.14</w:t>
      </w:r>
      <w:r>
        <w:rPr>
          <w:sz w:val="20"/>
          <w:szCs w:val="20"/>
          <w:color w:val="auto"/>
        </w:rPr>
        <w:tab/>
      </w:r>
      <w:r>
        <w:rPr>
          <w:rFonts w:ascii="Arial" w:cs="Arial" w:eastAsia="Arial" w:hAnsi="Arial"/>
          <w:sz w:val="15"/>
          <w:szCs w:val="15"/>
          <w:b w:val="1"/>
          <w:bCs w:val="1"/>
          <w:color w:val="auto"/>
        </w:rPr>
        <w:t>Repudiation and rescission of agreements</w:t>
      </w:r>
    </w:p>
    <w:p>
      <w:pPr>
        <w:spacing w:after="0" w:line="191" w:lineRule="exact"/>
        <w:rPr>
          <w:sz w:val="20"/>
          <w:szCs w:val="20"/>
          <w:color w:val="auto"/>
        </w:rPr>
      </w:pPr>
    </w:p>
    <w:p>
      <w:pPr>
        <w:jc w:val="both"/>
        <w:ind w:left="620"/>
        <w:spacing w:after="0" w:line="277" w:lineRule="auto"/>
        <w:rPr>
          <w:sz w:val="20"/>
          <w:szCs w:val="20"/>
          <w:color w:val="auto"/>
        </w:rPr>
      </w:pPr>
      <w:r>
        <w:rPr>
          <w:rFonts w:ascii="Arial" w:cs="Arial" w:eastAsia="Arial" w:hAnsi="Arial"/>
          <w:sz w:val="18"/>
          <w:szCs w:val="18"/>
          <w:color w:val="auto"/>
        </w:rPr>
        <w:t>The Company rescinds or purports to rescind or repudiates or purports to repudiate a Finance Document or evidences an intention to rescind or repudiate a Finance Document.</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21.15</w:t>
      </w:r>
      <w:r>
        <w:rPr>
          <w:sz w:val="20"/>
          <w:szCs w:val="20"/>
          <w:color w:val="auto"/>
        </w:rPr>
        <w:tab/>
      </w:r>
      <w:r>
        <w:rPr>
          <w:rFonts w:ascii="Arial" w:cs="Arial" w:eastAsia="Arial" w:hAnsi="Arial"/>
          <w:sz w:val="16"/>
          <w:szCs w:val="16"/>
          <w:b w:val="1"/>
          <w:bCs w:val="1"/>
          <w:color w:val="auto"/>
        </w:rPr>
        <w:t>Litigation</w:t>
      </w:r>
    </w:p>
    <w:p>
      <w:pPr>
        <w:spacing w:after="0" w:line="19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Any litigation, arbitration, administrative, governmental, regulatory or other investigations, proceedings or disputes are commenced or threatened in relation to the Transaction Documents or the transactions contemplated in the Transaction Documents or against the Company or any Material Subsidiary or its assets which have or are reasonably likely to have a Material Adverse Effect.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41" w:right="339" w:bottom="1440" w:gutter="0" w:footer="0" w:header="0"/>
        </w:sectPr>
      </w:pPr>
    </w:p>
    <w:bookmarkStart w:id="87" w:name="page88"/>
    <w:bookmarkEnd w:id="87"/>
    <w:p>
      <w:pPr>
        <w:spacing w:after="0"/>
        <w:tabs>
          <w:tab w:leader="none" w:pos="600" w:val="left"/>
        </w:tabs>
        <w:rPr>
          <w:sz w:val="20"/>
          <w:szCs w:val="20"/>
          <w:color w:val="auto"/>
        </w:rPr>
      </w:pPr>
      <w:r>
        <w:rPr>
          <w:rFonts w:ascii="Arial" w:cs="Arial" w:eastAsia="Arial" w:hAnsi="Arial"/>
          <w:sz w:val="20"/>
          <w:szCs w:val="20"/>
          <w:color w:val="auto"/>
        </w:rPr>
        <w:t>21.16</w:t>
      </w:r>
      <w:r>
        <w:rPr>
          <w:sz w:val="20"/>
          <w:szCs w:val="20"/>
          <w:color w:val="auto"/>
        </w:rPr>
        <w:tab/>
      </w:r>
      <w:r>
        <w:rPr>
          <w:rFonts w:ascii="Arial" w:cs="Arial" w:eastAsia="Arial" w:hAnsi="Arial"/>
          <w:sz w:val="16"/>
          <w:szCs w:val="16"/>
          <w:b w:val="1"/>
          <w:bCs w:val="1"/>
          <w:color w:val="auto"/>
        </w:rPr>
        <w:t>Material adverse change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Any event or circumstance occurs which has or will have a Material Adverse Effect.</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21.17</w:t>
      </w:r>
      <w:r>
        <w:rPr>
          <w:sz w:val="20"/>
          <w:szCs w:val="20"/>
          <w:color w:val="auto"/>
        </w:rPr>
        <w:tab/>
      </w:r>
      <w:r>
        <w:rPr>
          <w:rFonts w:ascii="Arial" w:cs="Arial" w:eastAsia="Arial" w:hAnsi="Arial"/>
          <w:sz w:val="16"/>
          <w:szCs w:val="16"/>
          <w:b w:val="1"/>
          <w:bCs w:val="1"/>
          <w:color w:val="auto"/>
        </w:rPr>
        <w:t>Acceleration</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 and at any time after the occurrence of an Event of Default which is continuing the Lender may by notice to the Company:</w:t>
      </w:r>
    </w:p>
    <w:p>
      <w:pPr>
        <w:spacing w:after="0" w:line="212" w:lineRule="exact"/>
        <w:rPr>
          <w:sz w:val="20"/>
          <w:szCs w:val="20"/>
          <w:color w:val="auto"/>
        </w:rPr>
      </w:pPr>
    </w:p>
    <w:p>
      <w:pPr>
        <w:ind w:left="1260" w:hanging="604"/>
        <w:spacing w:after="0"/>
        <w:tabs>
          <w:tab w:leader="none" w:pos="1260" w:val="left"/>
        </w:tabs>
        <w:numPr>
          <w:ilvl w:val="0"/>
          <w:numId w:val="247"/>
        </w:numPr>
        <w:rPr>
          <w:rFonts w:ascii="Arial" w:cs="Arial" w:eastAsia="Arial" w:hAnsi="Arial"/>
          <w:sz w:val="20"/>
          <w:szCs w:val="20"/>
          <w:color w:val="auto"/>
        </w:rPr>
      </w:pPr>
      <w:r>
        <w:rPr>
          <w:rFonts w:ascii="Arial" w:cs="Arial" w:eastAsia="Arial" w:hAnsi="Arial"/>
          <w:sz w:val="18"/>
          <w:szCs w:val="18"/>
          <w:color w:val="auto"/>
        </w:rPr>
        <w:t>cancel the Commitment whereupon they shall immediately be cancelled;</w:t>
      </w:r>
    </w:p>
    <w:p>
      <w:pPr>
        <w:spacing w:after="0" w:line="188"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247"/>
        </w:numPr>
        <w:rPr>
          <w:rFonts w:ascii="Arial" w:cs="Arial" w:eastAsia="Arial" w:hAnsi="Arial"/>
          <w:sz w:val="20"/>
          <w:szCs w:val="20"/>
          <w:color w:val="auto"/>
        </w:rPr>
      </w:pPr>
      <w:r>
        <w:rPr>
          <w:rFonts w:ascii="Arial" w:cs="Arial" w:eastAsia="Arial" w:hAnsi="Arial"/>
          <w:sz w:val="18"/>
          <w:szCs w:val="18"/>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247"/>
        </w:numPr>
        <w:rPr>
          <w:rFonts w:ascii="Arial" w:cs="Arial" w:eastAsia="Arial" w:hAnsi="Arial"/>
          <w:sz w:val="18"/>
          <w:szCs w:val="18"/>
          <w:color w:val="auto"/>
        </w:rPr>
      </w:pPr>
      <w:r>
        <w:rPr>
          <w:rFonts w:ascii="Arial" w:cs="Arial" w:eastAsia="Arial" w:hAnsi="Arial"/>
          <w:sz w:val="16"/>
          <w:szCs w:val="16"/>
          <w:color w:val="auto"/>
        </w:rPr>
        <w:t>declare that all or part of the Loans be payable on demand, whereupon they shall immediately become payable on demand by Lender.</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TO PARTIES</w:t>
      </w:r>
    </w:p>
    <w:p>
      <w:pPr>
        <w:spacing w:after="0" w:line="193" w:lineRule="exact"/>
        <w:rPr>
          <w:sz w:val="20"/>
          <w:szCs w:val="20"/>
          <w:color w:val="auto"/>
        </w:rPr>
      </w:pPr>
    </w:p>
    <w:p>
      <w:pPr>
        <w:ind w:left="620" w:hanging="612"/>
        <w:spacing w:after="0"/>
        <w:tabs>
          <w:tab w:leader="none" w:pos="620" w:val="left"/>
        </w:tabs>
        <w:numPr>
          <w:ilvl w:val="0"/>
          <w:numId w:val="248"/>
        </w:numPr>
        <w:rPr>
          <w:rFonts w:ascii="Arial" w:cs="Arial" w:eastAsia="Arial" w:hAnsi="Arial"/>
          <w:sz w:val="20"/>
          <w:szCs w:val="20"/>
          <w:b w:val="1"/>
          <w:bCs w:val="1"/>
          <w:color w:val="auto"/>
        </w:rPr>
      </w:pPr>
      <w:r>
        <w:rPr>
          <w:rFonts w:ascii="Arial" w:cs="Arial" w:eastAsia="Arial" w:hAnsi="Arial"/>
          <w:sz w:val="18"/>
          <w:szCs w:val="18"/>
          <w:b w:val="1"/>
          <w:bCs w:val="1"/>
          <w:color w:val="auto"/>
        </w:rPr>
        <w:t>CHANGES TO THE LENDER</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6"/>
          <w:szCs w:val="16"/>
          <w:b w:val="1"/>
          <w:bCs w:val="1"/>
          <w:color w:val="auto"/>
        </w:rPr>
        <w:t>Assignments and transfers by the Lender</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Subject to this Clause 22, the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216" w:lineRule="exact"/>
        <w:rPr>
          <w:sz w:val="20"/>
          <w:szCs w:val="20"/>
          <w:color w:val="auto"/>
        </w:rPr>
      </w:pPr>
    </w:p>
    <w:p>
      <w:pPr>
        <w:ind w:left="1260" w:hanging="604"/>
        <w:spacing w:after="0"/>
        <w:tabs>
          <w:tab w:leader="none" w:pos="1260" w:val="left"/>
        </w:tabs>
        <w:numPr>
          <w:ilvl w:val="0"/>
          <w:numId w:val="249"/>
        </w:numPr>
        <w:rPr>
          <w:rFonts w:ascii="Arial" w:cs="Arial" w:eastAsia="Arial" w:hAnsi="Arial"/>
          <w:sz w:val="20"/>
          <w:szCs w:val="20"/>
          <w:color w:val="auto"/>
        </w:rPr>
      </w:pPr>
      <w:r>
        <w:rPr>
          <w:rFonts w:ascii="Arial" w:cs="Arial" w:eastAsia="Arial" w:hAnsi="Arial"/>
          <w:sz w:val="18"/>
          <w:szCs w:val="18"/>
          <w:color w:val="auto"/>
        </w:rPr>
        <w:t>assign any of its rights;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49"/>
        </w:numPr>
        <w:rPr>
          <w:rFonts w:ascii="Arial" w:cs="Arial" w:eastAsia="Arial" w:hAnsi="Arial"/>
          <w:sz w:val="20"/>
          <w:szCs w:val="20"/>
          <w:color w:val="auto"/>
        </w:rPr>
      </w:pPr>
      <w:r>
        <w:rPr>
          <w:rFonts w:ascii="Arial" w:cs="Arial" w:eastAsia="Arial" w:hAnsi="Arial"/>
          <w:sz w:val="18"/>
          <w:szCs w:val="18"/>
          <w:color w:val="auto"/>
        </w:rPr>
        <w:t>transfer by novation any of its rights and obligations,</w:t>
      </w:r>
    </w:p>
    <w:p>
      <w:pPr>
        <w:spacing w:after="0" w:line="175"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 xml:space="preserve">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5"/>
          <w:szCs w:val="15"/>
          <w:b w:val="1"/>
          <w:bCs w:val="1"/>
          <w:color w:val="auto"/>
        </w:rPr>
        <w:t>Company consent</w:t>
      </w:r>
    </w:p>
    <w:p>
      <w:pPr>
        <w:spacing w:after="0" w:line="205" w:lineRule="exact"/>
        <w:rPr>
          <w:sz w:val="20"/>
          <w:szCs w:val="20"/>
          <w:color w:val="auto"/>
        </w:rPr>
      </w:pPr>
    </w:p>
    <w:p>
      <w:pPr>
        <w:ind w:left="1280" w:hanging="624"/>
        <w:spacing w:after="0" w:line="266" w:lineRule="auto"/>
        <w:tabs>
          <w:tab w:leader="none" w:pos="1262" w:val="left"/>
        </w:tabs>
        <w:numPr>
          <w:ilvl w:val="0"/>
          <w:numId w:val="250"/>
        </w:numPr>
        <w:rPr>
          <w:rFonts w:ascii="Arial" w:cs="Arial" w:eastAsia="Arial" w:hAnsi="Arial"/>
          <w:sz w:val="20"/>
          <w:szCs w:val="20"/>
          <w:color w:val="auto"/>
        </w:rPr>
      </w:pPr>
      <w:r>
        <w:rPr>
          <w:rFonts w:ascii="Arial" w:cs="Arial" w:eastAsia="Arial" w:hAnsi="Arial"/>
          <w:sz w:val="18"/>
          <w:szCs w:val="18"/>
          <w:color w:val="auto"/>
        </w:rPr>
        <w:t>Subject to paragraph (c) below, the consent of the Company is required for an assignment or transfer by the Lender, unless the assignment or transfer is:</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250"/>
        </w:numPr>
        <w:rPr>
          <w:rFonts w:ascii="Arial" w:cs="Arial" w:eastAsia="Arial" w:hAnsi="Arial"/>
          <w:sz w:val="20"/>
          <w:szCs w:val="20"/>
          <w:color w:val="auto"/>
        </w:rPr>
      </w:pPr>
      <w:r>
        <w:rPr>
          <w:rFonts w:ascii="Arial" w:cs="Arial" w:eastAsia="Arial" w:hAnsi="Arial"/>
          <w:sz w:val="18"/>
          <w:szCs w:val="18"/>
          <w:color w:val="auto"/>
        </w:rPr>
        <w:t>to an Affiliate of the Lender or a Related Fund of the Lender; or</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50"/>
        </w:numPr>
        <w:rPr>
          <w:rFonts w:ascii="Arial" w:cs="Arial" w:eastAsia="Arial" w:hAnsi="Arial"/>
          <w:sz w:val="20"/>
          <w:szCs w:val="20"/>
          <w:color w:val="auto"/>
        </w:rPr>
      </w:pPr>
      <w:r>
        <w:rPr>
          <w:rFonts w:ascii="Arial" w:cs="Arial" w:eastAsia="Arial" w:hAnsi="Arial"/>
          <w:sz w:val="18"/>
          <w:szCs w:val="18"/>
          <w:color w:val="auto"/>
        </w:rPr>
        <w:t>made at a time when an Event of Default is continuing.</w:t>
      </w:r>
    </w:p>
    <w:p>
      <w:pPr>
        <w:spacing w:after="0" w:line="188"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250"/>
        </w:numPr>
        <w:rPr>
          <w:rFonts w:ascii="Arial" w:cs="Arial" w:eastAsia="Arial" w:hAnsi="Arial"/>
          <w:sz w:val="20"/>
          <w:szCs w:val="20"/>
          <w:color w:val="auto"/>
        </w:rPr>
      </w:pPr>
      <w:r>
        <w:rPr>
          <w:rFonts w:ascii="Arial" w:cs="Arial" w:eastAsia="Arial" w:hAnsi="Arial"/>
          <w:sz w:val="18"/>
          <w:szCs w:val="18"/>
          <w:color w:val="auto"/>
        </w:rPr>
        <w:t>The consent of the Company to an assignment or transfer must not be unreasonably withheld or delayed. The Company will be deemed to have given its consent five Business Days after the Lender has requested it unless consent is expressly refused by the Company within that time.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39" w:right="339" w:bottom="1440" w:gutter="0" w:footer="0" w:header="0"/>
        </w:sectPr>
      </w:pPr>
    </w:p>
    <w:bookmarkStart w:id="88" w:name="page89"/>
    <w:bookmarkEnd w:id="88"/>
    <w:p>
      <w:pPr>
        <w:jc w:val="both"/>
        <w:ind w:left="1280" w:hanging="624"/>
        <w:spacing w:after="0" w:line="286" w:lineRule="auto"/>
        <w:tabs>
          <w:tab w:leader="none" w:pos="1262" w:val="left"/>
        </w:tabs>
        <w:numPr>
          <w:ilvl w:val="0"/>
          <w:numId w:val="251"/>
        </w:numPr>
        <w:rPr>
          <w:rFonts w:ascii="Arial" w:cs="Arial" w:eastAsia="Arial" w:hAnsi="Arial"/>
          <w:sz w:val="19"/>
          <w:szCs w:val="19"/>
          <w:color w:val="auto"/>
        </w:rPr>
      </w:pPr>
      <w:r>
        <w:rPr>
          <w:rFonts w:ascii="Arial" w:cs="Arial" w:eastAsia="Arial" w:hAnsi="Arial"/>
          <w:sz w:val="17"/>
          <w:szCs w:val="17"/>
          <w:color w:val="auto"/>
        </w:rPr>
        <w:t>No transfer or assignment may be made by the Lender to any person whose business is similar or related to the business carried on by the Group as a whole (or to an Affiliate of any such person or any such person acting on behalf of or on the instructions of any such person) or to a Distressed Fund without the prior written consent of the Company (in its sole discretion).</w:t>
      </w:r>
    </w:p>
    <w:p>
      <w:pPr>
        <w:spacing w:after="0" w:line="13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6"/>
          <w:szCs w:val="16"/>
          <w:b w:val="1"/>
          <w:bCs w:val="1"/>
          <w:color w:val="auto"/>
        </w:rPr>
        <w:t>Other conditions of assignment or transfer</w:t>
      </w:r>
    </w:p>
    <w:p>
      <w:pPr>
        <w:spacing w:after="0" w:line="205" w:lineRule="exact"/>
        <w:rPr>
          <w:sz w:val="20"/>
          <w:szCs w:val="20"/>
          <w:color w:val="auto"/>
        </w:rPr>
      </w:pPr>
    </w:p>
    <w:p>
      <w:pPr>
        <w:ind w:left="1260" w:hanging="604"/>
        <w:spacing w:after="0"/>
        <w:tabs>
          <w:tab w:leader="none" w:pos="1260" w:val="left"/>
        </w:tabs>
        <w:numPr>
          <w:ilvl w:val="0"/>
          <w:numId w:val="252"/>
        </w:numPr>
        <w:rPr>
          <w:rFonts w:ascii="Arial" w:cs="Arial" w:eastAsia="Arial" w:hAnsi="Arial"/>
          <w:sz w:val="20"/>
          <w:szCs w:val="20"/>
          <w:color w:val="auto"/>
        </w:rPr>
      </w:pPr>
      <w:r>
        <w:rPr>
          <w:rFonts w:ascii="Arial" w:cs="Arial" w:eastAsia="Arial" w:hAnsi="Arial"/>
          <w:sz w:val="18"/>
          <w:szCs w:val="18"/>
          <w:color w:val="auto"/>
        </w:rPr>
        <w:t>A transfer will only be effective if the procedure set out in Clause 22.5 (</w:t>
      </w:r>
      <w:r>
        <w:rPr>
          <w:rFonts w:ascii="Arial" w:cs="Arial" w:eastAsia="Arial" w:hAnsi="Arial"/>
          <w:sz w:val="18"/>
          <w:szCs w:val="18"/>
          <w:i w:val="1"/>
          <w:iCs w:val="1"/>
          <w:color w:val="auto"/>
        </w:rPr>
        <w:t>Procedure for transfer</w:t>
      </w:r>
      <w:r>
        <w:rPr>
          <w:rFonts w:ascii="Arial" w:cs="Arial" w:eastAsia="Arial" w:hAnsi="Arial"/>
          <w:sz w:val="18"/>
          <w:szCs w:val="18"/>
          <w:color w:val="auto"/>
        </w:rPr>
        <w:t>).</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52"/>
        </w:numPr>
        <w:rPr>
          <w:rFonts w:ascii="Arial" w:cs="Arial" w:eastAsia="Arial" w:hAnsi="Arial"/>
          <w:sz w:val="20"/>
          <w:szCs w:val="20"/>
          <w:color w:val="auto"/>
        </w:rPr>
      </w:pPr>
      <w:r>
        <w:rPr>
          <w:rFonts w:ascii="Arial" w:cs="Arial" w:eastAsia="Arial" w:hAnsi="Arial"/>
          <w:sz w:val="18"/>
          <w:szCs w:val="18"/>
          <w:color w:val="auto"/>
        </w:rPr>
        <w:t>An assignment will only be effective if the procedure set out in Clause 22.6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is complied with.</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52"/>
        </w:numPr>
        <w:rPr>
          <w:rFonts w:ascii="Arial" w:cs="Arial" w:eastAsia="Arial" w:hAnsi="Arial"/>
          <w:sz w:val="20"/>
          <w:szCs w:val="20"/>
          <w:color w:val="auto"/>
        </w:rPr>
      </w:pPr>
      <w:r>
        <w:rPr>
          <w:rFonts w:ascii="Arial" w:cs="Arial" w:eastAsia="Arial" w:hAnsi="Arial"/>
          <w:sz w:val="18"/>
          <w:szCs w:val="18"/>
          <w:color w:val="auto"/>
        </w:rPr>
        <w:t>If:</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52"/>
        </w:numPr>
        <w:rPr>
          <w:rFonts w:ascii="Arial" w:cs="Arial" w:eastAsia="Arial" w:hAnsi="Arial"/>
          <w:sz w:val="18"/>
          <w:szCs w:val="18"/>
          <w:color w:val="auto"/>
        </w:rPr>
      </w:pPr>
      <w:r>
        <w:rPr>
          <w:rFonts w:ascii="Arial" w:cs="Arial" w:eastAsia="Arial" w:hAnsi="Arial"/>
          <w:sz w:val="16"/>
          <w:szCs w:val="16"/>
          <w:color w:val="auto"/>
        </w:rPr>
        <w:t>a Lender assigns or transfers any of its rights or obligations under the Finance Documents or changes its Facility Office; and</w:t>
      </w:r>
    </w:p>
    <w:p>
      <w:pPr>
        <w:spacing w:after="0" w:line="211" w:lineRule="exact"/>
        <w:rPr>
          <w:rFonts w:ascii="Arial" w:cs="Arial" w:eastAsia="Arial" w:hAnsi="Arial"/>
          <w:sz w:val="18"/>
          <w:szCs w:val="18"/>
          <w:color w:val="auto"/>
        </w:rPr>
      </w:pPr>
    </w:p>
    <w:p>
      <w:pPr>
        <w:jc w:val="both"/>
        <w:ind w:left="1920" w:hanging="643"/>
        <w:spacing w:after="0" w:line="264" w:lineRule="auto"/>
        <w:tabs>
          <w:tab w:leader="none" w:pos="1920" w:val="left"/>
        </w:tabs>
        <w:numPr>
          <w:ilvl w:val="1"/>
          <w:numId w:val="252"/>
        </w:numPr>
        <w:rPr>
          <w:rFonts w:ascii="Arial" w:cs="Arial" w:eastAsia="Arial" w:hAnsi="Arial"/>
          <w:sz w:val="20"/>
          <w:szCs w:val="20"/>
          <w:color w:val="auto"/>
        </w:rPr>
      </w:pPr>
      <w:r>
        <w:rPr>
          <w:rFonts w:ascii="Arial" w:cs="Arial" w:eastAsia="Arial" w:hAnsi="Arial"/>
          <w:sz w:val="18"/>
          <w:szCs w:val="18"/>
          <w:color w:val="auto"/>
        </w:rPr>
        <w:t>as a result of circumstances existing at the date the assignment, transfer or change occurs, the Company would be obliged to make a payment to the New Lender or Lender acting through its new Facility Office under Clause 12 (</w:t>
      </w:r>
      <w:r>
        <w:rPr>
          <w:rFonts w:ascii="Arial" w:cs="Arial" w:eastAsia="Arial" w:hAnsi="Arial"/>
          <w:sz w:val="18"/>
          <w:szCs w:val="18"/>
          <w:i w:val="1"/>
          <w:iCs w:val="1"/>
          <w:color w:val="auto"/>
        </w:rPr>
        <w:t>Tax Gross Up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56" w:lineRule="exact"/>
        <w:rPr>
          <w:sz w:val="20"/>
          <w:szCs w:val="20"/>
          <w:color w:val="auto"/>
        </w:rPr>
      </w:pPr>
    </w:p>
    <w:p>
      <w:pPr>
        <w:jc w:val="both"/>
        <w:ind w:left="1280"/>
        <w:spacing w:after="0" w:line="263"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6"/>
          <w:szCs w:val="16"/>
          <w:b w:val="1"/>
          <w:bCs w:val="1"/>
          <w:color w:val="auto"/>
        </w:rPr>
        <w:t>Limitation of responsibility of Existing Lender</w:t>
      </w:r>
    </w:p>
    <w:p>
      <w:pPr>
        <w:spacing w:after="0" w:line="205" w:lineRule="exact"/>
        <w:rPr>
          <w:sz w:val="20"/>
          <w:szCs w:val="20"/>
          <w:color w:val="auto"/>
        </w:rPr>
      </w:pPr>
    </w:p>
    <w:p>
      <w:pPr>
        <w:ind w:left="1280" w:hanging="624"/>
        <w:spacing w:after="0" w:line="266" w:lineRule="auto"/>
        <w:tabs>
          <w:tab w:leader="none" w:pos="1262" w:val="left"/>
        </w:tabs>
        <w:numPr>
          <w:ilvl w:val="0"/>
          <w:numId w:val="253"/>
        </w:numPr>
        <w:rPr>
          <w:rFonts w:ascii="Arial" w:cs="Arial" w:eastAsia="Arial" w:hAnsi="Arial"/>
          <w:sz w:val="20"/>
          <w:szCs w:val="20"/>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253"/>
        </w:numPr>
        <w:rPr>
          <w:rFonts w:ascii="Arial" w:cs="Arial" w:eastAsia="Arial" w:hAnsi="Arial"/>
          <w:sz w:val="20"/>
          <w:szCs w:val="20"/>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53"/>
        </w:numPr>
        <w:rPr>
          <w:rFonts w:ascii="Arial" w:cs="Arial" w:eastAsia="Arial" w:hAnsi="Arial"/>
          <w:sz w:val="20"/>
          <w:szCs w:val="20"/>
          <w:color w:val="auto"/>
        </w:rPr>
      </w:pPr>
      <w:r>
        <w:rPr>
          <w:rFonts w:ascii="Arial" w:cs="Arial" w:eastAsia="Arial" w:hAnsi="Arial"/>
          <w:sz w:val="18"/>
          <w:szCs w:val="18"/>
          <w:color w:val="auto"/>
        </w:rPr>
        <w:t>the financial condition of the Company;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53"/>
        </w:numPr>
        <w:rPr>
          <w:rFonts w:ascii="Arial" w:cs="Arial" w:eastAsia="Arial" w:hAnsi="Arial"/>
          <w:sz w:val="18"/>
          <w:szCs w:val="18"/>
          <w:color w:val="auto"/>
        </w:rPr>
      </w:pPr>
      <w:r>
        <w:rPr>
          <w:rFonts w:ascii="Arial" w:cs="Arial" w:eastAsia="Arial" w:hAnsi="Arial"/>
          <w:sz w:val="16"/>
          <w:szCs w:val="16"/>
          <w:color w:val="auto"/>
        </w:rPr>
        <w:t>the performance and observance by the Company of its obligations under the Finance Documents or any other documents; or</w:t>
      </w:r>
    </w:p>
    <w:p>
      <w:pPr>
        <w:spacing w:after="0" w:line="211" w:lineRule="exact"/>
        <w:rPr>
          <w:rFonts w:ascii="Arial" w:cs="Arial" w:eastAsia="Arial" w:hAnsi="Arial"/>
          <w:sz w:val="18"/>
          <w:szCs w:val="18"/>
          <w:color w:val="auto"/>
        </w:rPr>
      </w:pPr>
    </w:p>
    <w:p>
      <w:pPr>
        <w:ind w:left="1920" w:hanging="643"/>
        <w:spacing w:after="0" w:line="266" w:lineRule="auto"/>
        <w:tabs>
          <w:tab w:leader="none" w:pos="1920" w:val="left"/>
        </w:tabs>
        <w:numPr>
          <w:ilvl w:val="1"/>
          <w:numId w:val="253"/>
        </w:numPr>
        <w:rPr>
          <w:rFonts w:ascii="Arial" w:cs="Arial" w:eastAsia="Arial" w:hAnsi="Arial"/>
          <w:sz w:val="20"/>
          <w:szCs w:val="20"/>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212" w:lineRule="exact"/>
        <w:rPr>
          <w:sz w:val="20"/>
          <w:szCs w:val="20"/>
          <w:color w:val="auto"/>
        </w:rPr>
      </w:pPr>
    </w:p>
    <w:p>
      <w:pPr>
        <w:ind w:left="1260" w:hanging="604"/>
        <w:spacing w:after="0"/>
        <w:tabs>
          <w:tab w:leader="none" w:pos="1260" w:val="left"/>
        </w:tabs>
        <w:numPr>
          <w:ilvl w:val="0"/>
          <w:numId w:val="254"/>
        </w:numPr>
        <w:rPr>
          <w:rFonts w:ascii="Arial" w:cs="Arial" w:eastAsia="Arial" w:hAnsi="Arial"/>
          <w:sz w:val="20"/>
          <w:szCs w:val="20"/>
          <w:color w:val="auto"/>
        </w:rPr>
      </w:pPr>
      <w:r>
        <w:rPr>
          <w:rFonts w:ascii="Arial" w:cs="Arial" w:eastAsia="Arial" w:hAnsi="Arial"/>
          <w:sz w:val="18"/>
          <w:szCs w:val="18"/>
          <w:color w:val="auto"/>
        </w:rPr>
        <w:t>Each New Lender confirms to the Existing Lender that it:</w:t>
      </w:r>
    </w:p>
    <w:p>
      <w:pPr>
        <w:spacing w:after="0" w:line="188" w:lineRule="exact"/>
        <w:rPr>
          <w:rFonts w:ascii="Arial" w:cs="Arial" w:eastAsia="Arial" w:hAnsi="Arial"/>
          <w:sz w:val="20"/>
          <w:szCs w:val="20"/>
          <w:color w:val="auto"/>
        </w:rPr>
      </w:pPr>
    </w:p>
    <w:p>
      <w:pPr>
        <w:jc w:val="both"/>
        <w:ind w:left="1920" w:hanging="643"/>
        <w:spacing w:after="0" w:line="286" w:lineRule="auto"/>
        <w:tabs>
          <w:tab w:leader="none" w:pos="1920" w:val="left"/>
        </w:tabs>
        <w:numPr>
          <w:ilvl w:val="1"/>
          <w:numId w:val="254"/>
        </w:numPr>
        <w:rPr>
          <w:rFonts w:ascii="Arial" w:cs="Arial" w:eastAsia="Arial" w:hAnsi="Arial"/>
          <w:sz w:val="19"/>
          <w:szCs w:val="19"/>
          <w:color w:val="auto"/>
        </w:rPr>
      </w:pPr>
      <w:r>
        <w:rPr>
          <w:rFonts w:ascii="Arial" w:cs="Arial" w:eastAsia="Arial" w:hAnsi="Arial"/>
          <w:sz w:val="17"/>
          <w:szCs w:val="17"/>
          <w:color w:val="auto"/>
        </w:rPr>
        <w:t>has made (and shall continue to make) its own independent investigation and assessment of the financial condition and affairs of the Company and its related entities in connection with its participation in this Agreement and has not relied exclusively on any information provided to it by the Existing Lender in connection with any Finance Document; and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55" w:right="339" w:bottom="1440" w:gutter="0" w:footer="0" w:header="0"/>
        </w:sectPr>
      </w:pPr>
    </w:p>
    <w:bookmarkStart w:id="89" w:name="page90"/>
    <w:bookmarkEnd w:id="89"/>
    <w:p>
      <w:pPr>
        <w:ind w:left="1920" w:right="20" w:hanging="643"/>
        <w:spacing w:after="0" w:line="266" w:lineRule="auto"/>
        <w:tabs>
          <w:tab w:leader="none" w:pos="1920" w:val="left"/>
        </w:tabs>
        <w:numPr>
          <w:ilvl w:val="1"/>
          <w:numId w:val="255"/>
        </w:numPr>
        <w:rPr>
          <w:rFonts w:ascii="Arial" w:cs="Arial" w:eastAsia="Arial" w:hAnsi="Arial"/>
          <w:sz w:val="20"/>
          <w:szCs w:val="20"/>
          <w:color w:val="auto"/>
        </w:rPr>
      </w:pPr>
      <w:r>
        <w:rPr>
          <w:rFonts w:ascii="Arial" w:cs="Arial" w:eastAsia="Arial" w:hAnsi="Arial"/>
          <w:sz w:val="18"/>
          <w:szCs w:val="18"/>
          <w:color w:val="auto"/>
        </w:rPr>
        <w:t>will continue to make its own independent appraisal of the creditworthiness of the Company and its related entities whilst any amount is or may be outstanding under the Finance Documents or any Commitment is in force.</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256"/>
        </w:numPr>
        <w:rPr>
          <w:rFonts w:ascii="Arial" w:cs="Arial" w:eastAsia="Arial" w:hAnsi="Arial"/>
          <w:sz w:val="20"/>
          <w:szCs w:val="20"/>
          <w:color w:val="auto"/>
        </w:rPr>
      </w:pPr>
      <w:r>
        <w:rPr>
          <w:rFonts w:ascii="Arial" w:cs="Arial" w:eastAsia="Arial" w:hAnsi="Arial"/>
          <w:sz w:val="18"/>
          <w:szCs w:val="18"/>
          <w:color w:val="auto"/>
        </w:rPr>
        <w:t>Nothing in any Finance Document obliges an Existing Lender to:</w:t>
      </w:r>
    </w:p>
    <w:p>
      <w:pPr>
        <w:spacing w:after="0" w:line="188"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256"/>
        </w:numPr>
        <w:rPr>
          <w:rFonts w:ascii="Arial" w:cs="Arial" w:eastAsia="Arial" w:hAnsi="Arial"/>
          <w:sz w:val="20"/>
          <w:szCs w:val="20"/>
          <w:color w:val="auto"/>
        </w:rPr>
      </w:pPr>
      <w:r>
        <w:rPr>
          <w:rFonts w:ascii="Arial" w:cs="Arial" w:eastAsia="Arial" w:hAnsi="Arial"/>
          <w:sz w:val="18"/>
          <w:szCs w:val="18"/>
          <w:color w:val="auto"/>
        </w:rPr>
        <w:t>accept a re-transfer or re-assignment from a New Lender of any of the rights and obligations assigned or transferred under this Clause 22; or</w:t>
      </w:r>
    </w:p>
    <w:p>
      <w:pPr>
        <w:spacing w:after="0" w:line="164" w:lineRule="exact"/>
        <w:rPr>
          <w:sz w:val="20"/>
          <w:szCs w:val="20"/>
          <w:color w:val="auto"/>
        </w:rPr>
      </w:pPr>
    </w:p>
    <w:p>
      <w:pPr>
        <w:ind w:left="1920" w:hanging="643"/>
        <w:spacing w:after="0" w:line="266" w:lineRule="auto"/>
        <w:tabs>
          <w:tab w:leader="none" w:pos="1920" w:val="left"/>
        </w:tabs>
        <w:numPr>
          <w:ilvl w:val="0"/>
          <w:numId w:val="257"/>
        </w:numPr>
        <w:rPr>
          <w:rFonts w:ascii="Arial" w:cs="Arial" w:eastAsia="Arial" w:hAnsi="Arial"/>
          <w:sz w:val="20"/>
          <w:szCs w:val="20"/>
          <w:color w:val="auto"/>
        </w:rPr>
      </w:pPr>
      <w:r>
        <w:rPr>
          <w:rFonts w:ascii="Arial" w:cs="Arial" w:eastAsia="Arial" w:hAnsi="Arial"/>
          <w:sz w:val="18"/>
          <w:szCs w:val="18"/>
          <w:color w:val="auto"/>
        </w:rPr>
        <w:t>support any losses directly or indirectly incurred by the New Lender by reason of the non-performance by the Company of its obligations under the Finance Documents or otherwise.</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6"/>
          <w:szCs w:val="16"/>
          <w:b w:val="1"/>
          <w:bCs w:val="1"/>
          <w:color w:val="auto"/>
        </w:rPr>
        <w:t>Procedure for transfer</w:t>
      </w:r>
    </w:p>
    <w:p>
      <w:pPr>
        <w:spacing w:after="0" w:line="205" w:lineRule="exact"/>
        <w:rPr>
          <w:sz w:val="20"/>
          <w:szCs w:val="20"/>
          <w:color w:val="auto"/>
        </w:rPr>
      </w:pPr>
    </w:p>
    <w:p>
      <w:pPr>
        <w:jc w:val="both"/>
        <w:ind w:left="1280" w:hanging="624"/>
        <w:spacing w:after="0" w:line="264" w:lineRule="auto"/>
        <w:tabs>
          <w:tab w:leader="none" w:pos="1262" w:val="left"/>
        </w:tabs>
        <w:numPr>
          <w:ilvl w:val="0"/>
          <w:numId w:val="258"/>
        </w:numPr>
        <w:rPr>
          <w:rFonts w:ascii="Arial" w:cs="Arial" w:eastAsia="Arial" w:hAnsi="Arial"/>
          <w:sz w:val="20"/>
          <w:szCs w:val="20"/>
          <w:color w:val="auto"/>
        </w:rPr>
      </w:pPr>
      <w:r>
        <w:rPr>
          <w:rFonts w:ascii="Arial" w:cs="Arial" w:eastAsia="Arial" w:hAnsi="Arial"/>
          <w:sz w:val="18"/>
          <w:szCs w:val="18"/>
          <w:color w:val="auto"/>
        </w:rPr>
        <w:t>Subject to the conditions set out in Clause 22.2 (</w:t>
      </w:r>
      <w:r>
        <w:rPr>
          <w:rFonts w:ascii="Arial" w:cs="Arial" w:eastAsia="Arial" w:hAnsi="Arial"/>
          <w:sz w:val="18"/>
          <w:szCs w:val="18"/>
          <w:i w:val="1"/>
          <w:iCs w:val="1"/>
          <w:color w:val="auto"/>
        </w:rPr>
        <w:t>Company consent</w:t>
      </w:r>
      <w:r>
        <w:rPr>
          <w:rFonts w:ascii="Arial" w:cs="Arial" w:eastAsia="Arial" w:hAnsi="Arial"/>
          <w:sz w:val="18"/>
          <w:szCs w:val="18"/>
          <w:color w:val="auto"/>
        </w:rPr>
        <w:t>) and Clause 22.3 (</w:t>
      </w:r>
      <w:r>
        <w:rPr>
          <w:rFonts w:ascii="Arial" w:cs="Arial" w:eastAsia="Arial" w:hAnsi="Arial"/>
          <w:sz w:val="18"/>
          <w:szCs w:val="18"/>
          <w:i w:val="1"/>
          <w:iCs w:val="1"/>
          <w:color w:val="auto"/>
        </w:rPr>
        <w:t>Other conditions of assignment or transfer</w:t>
      </w:r>
      <w:r>
        <w:rPr>
          <w:rFonts w:ascii="Arial" w:cs="Arial" w:eastAsia="Arial" w:hAnsi="Arial"/>
          <w:sz w:val="18"/>
          <w:szCs w:val="18"/>
          <w:color w:val="auto"/>
        </w:rPr>
        <w:t>) a transfer is effected in accordance with paragraph (b) below when the Company receives a duly completed Transfer Certificate delivered to it by the Existing Lender and the New Lender.</w:t>
      </w:r>
    </w:p>
    <w:p>
      <w:pPr>
        <w:spacing w:after="0" w:line="169" w:lineRule="exact"/>
        <w:rPr>
          <w:rFonts w:ascii="Arial" w:cs="Arial" w:eastAsia="Arial" w:hAnsi="Arial"/>
          <w:sz w:val="20"/>
          <w:szCs w:val="20"/>
          <w:color w:val="auto"/>
        </w:rPr>
      </w:pPr>
    </w:p>
    <w:p>
      <w:pPr>
        <w:ind w:left="1260" w:hanging="604"/>
        <w:spacing w:after="0"/>
        <w:tabs>
          <w:tab w:leader="none" w:pos="1260" w:val="left"/>
        </w:tabs>
        <w:numPr>
          <w:ilvl w:val="0"/>
          <w:numId w:val="258"/>
        </w:numPr>
        <w:rPr>
          <w:rFonts w:ascii="Arial" w:cs="Arial" w:eastAsia="Arial" w:hAnsi="Arial"/>
          <w:sz w:val="20"/>
          <w:szCs w:val="20"/>
          <w:color w:val="auto"/>
        </w:rPr>
      </w:pPr>
      <w:r>
        <w:rPr>
          <w:rFonts w:ascii="Arial" w:cs="Arial" w:eastAsia="Arial" w:hAnsi="Arial"/>
          <w:sz w:val="18"/>
          <w:szCs w:val="18"/>
          <w:color w:val="auto"/>
        </w:rPr>
        <w:t>on the Transfer Date:</w:t>
      </w:r>
    </w:p>
    <w:p>
      <w:pPr>
        <w:spacing w:after="0" w:line="188" w:lineRule="exact"/>
        <w:rPr>
          <w:rFonts w:ascii="Arial" w:cs="Arial" w:eastAsia="Arial" w:hAnsi="Arial"/>
          <w:sz w:val="20"/>
          <w:szCs w:val="20"/>
          <w:color w:val="auto"/>
        </w:rPr>
      </w:pPr>
    </w:p>
    <w:p>
      <w:pPr>
        <w:jc w:val="both"/>
        <w:ind w:left="1920" w:hanging="643"/>
        <w:spacing w:after="0" w:line="265" w:lineRule="auto"/>
        <w:tabs>
          <w:tab w:leader="none" w:pos="1920" w:val="left"/>
        </w:tabs>
        <w:numPr>
          <w:ilvl w:val="1"/>
          <w:numId w:val="258"/>
        </w:numPr>
        <w:rPr>
          <w:rFonts w:ascii="Arial" w:cs="Arial" w:eastAsia="Arial" w:hAnsi="Arial"/>
          <w:sz w:val="20"/>
          <w:szCs w:val="20"/>
          <w:color w:val="auto"/>
        </w:rPr>
      </w:pPr>
      <w:r>
        <w:rPr>
          <w:rFonts w:ascii="Arial" w:cs="Arial" w:eastAsia="Arial" w:hAnsi="Arial"/>
          <w:sz w:val="18"/>
          <w:szCs w:val="18"/>
          <w:color w:val="auto"/>
        </w:rPr>
        <w:t>to the extent that in the Transfer Certificate the Existing Lender seeks to transfer by novation its rights and obligations under the Finance Documents each of the Company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p>
      <w:pPr>
        <w:spacing w:after="0" w:line="167" w:lineRule="exact"/>
        <w:rPr>
          <w:rFonts w:ascii="Arial" w:cs="Arial" w:eastAsia="Arial" w:hAnsi="Arial"/>
          <w:sz w:val="20"/>
          <w:szCs w:val="20"/>
          <w:color w:val="auto"/>
        </w:rPr>
      </w:pPr>
    </w:p>
    <w:p>
      <w:pPr>
        <w:jc w:val="both"/>
        <w:ind w:left="1920" w:hanging="643"/>
        <w:spacing w:after="0" w:line="264" w:lineRule="auto"/>
        <w:tabs>
          <w:tab w:leader="none" w:pos="1920" w:val="left"/>
        </w:tabs>
        <w:numPr>
          <w:ilvl w:val="1"/>
          <w:numId w:val="258"/>
        </w:numPr>
        <w:rPr>
          <w:rFonts w:ascii="Arial" w:cs="Arial" w:eastAsia="Arial" w:hAnsi="Arial"/>
          <w:sz w:val="20"/>
          <w:szCs w:val="20"/>
          <w:color w:val="auto"/>
        </w:rPr>
      </w:pPr>
      <w:r>
        <w:rPr>
          <w:rFonts w:ascii="Arial" w:cs="Arial" w:eastAsia="Arial" w:hAnsi="Arial"/>
          <w:sz w:val="18"/>
          <w:szCs w:val="18"/>
          <w:color w:val="auto"/>
        </w:rPr>
        <w:t>the Company and the New Lender shall assume obligations towards one another and/or acquire rights against one another which differ from the Discharged Rights and Obligations only insofar as the Company and the New Lender have assumed and/or acquired the same in place of the Company and the Existing Lender; and</w:t>
      </w:r>
    </w:p>
    <w:p>
      <w:pPr>
        <w:spacing w:after="0" w:line="165" w:lineRule="exact"/>
        <w:rPr>
          <w:rFonts w:ascii="Arial" w:cs="Arial" w:eastAsia="Arial" w:hAnsi="Arial"/>
          <w:sz w:val="20"/>
          <w:szCs w:val="20"/>
          <w:color w:val="auto"/>
        </w:rPr>
      </w:pPr>
    </w:p>
    <w:p>
      <w:pPr>
        <w:ind w:left="1920" w:hanging="643"/>
        <w:spacing w:after="0"/>
        <w:tabs>
          <w:tab w:leader="none" w:pos="1920" w:val="left"/>
        </w:tabs>
        <w:numPr>
          <w:ilvl w:val="1"/>
          <w:numId w:val="258"/>
        </w:numPr>
        <w:rPr>
          <w:rFonts w:ascii="Arial" w:cs="Arial" w:eastAsia="Arial" w:hAnsi="Arial"/>
          <w:sz w:val="20"/>
          <w:szCs w:val="20"/>
          <w:color w:val="auto"/>
        </w:rPr>
      </w:pPr>
      <w:r>
        <w:rPr>
          <w:rFonts w:ascii="Arial" w:cs="Arial" w:eastAsia="Arial" w:hAnsi="Arial"/>
          <w:sz w:val="18"/>
          <w:szCs w:val="18"/>
          <w:color w:val="auto"/>
        </w:rPr>
        <w:t>the New Lender shall become a Party as a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22.6</w:t>
      </w:r>
      <w:r>
        <w:rPr>
          <w:sz w:val="20"/>
          <w:szCs w:val="20"/>
          <w:color w:val="auto"/>
        </w:rPr>
        <w:tab/>
      </w:r>
      <w:r>
        <w:rPr>
          <w:rFonts w:ascii="Arial" w:cs="Arial" w:eastAsia="Arial" w:hAnsi="Arial"/>
          <w:sz w:val="15"/>
          <w:szCs w:val="15"/>
          <w:b w:val="1"/>
          <w:bCs w:val="1"/>
          <w:color w:val="auto"/>
        </w:rPr>
        <w:t>Procedure for assignment</w:t>
      </w:r>
    </w:p>
    <w:p>
      <w:pPr>
        <w:spacing w:after="0" w:line="205" w:lineRule="exact"/>
        <w:rPr>
          <w:sz w:val="20"/>
          <w:szCs w:val="20"/>
          <w:color w:val="auto"/>
        </w:rPr>
      </w:pPr>
    </w:p>
    <w:p>
      <w:pPr>
        <w:jc w:val="both"/>
        <w:ind w:left="1280" w:hanging="624"/>
        <w:spacing w:after="0" w:line="264" w:lineRule="auto"/>
        <w:tabs>
          <w:tab w:leader="none" w:pos="1262" w:val="left"/>
        </w:tabs>
        <w:numPr>
          <w:ilvl w:val="0"/>
          <w:numId w:val="259"/>
        </w:numPr>
        <w:rPr>
          <w:rFonts w:ascii="Arial" w:cs="Arial" w:eastAsia="Arial" w:hAnsi="Arial"/>
          <w:sz w:val="20"/>
          <w:szCs w:val="20"/>
          <w:color w:val="auto"/>
        </w:rPr>
      </w:pPr>
      <w:r>
        <w:rPr>
          <w:rFonts w:ascii="Arial" w:cs="Arial" w:eastAsia="Arial" w:hAnsi="Arial"/>
          <w:sz w:val="18"/>
          <w:szCs w:val="18"/>
          <w:color w:val="auto"/>
        </w:rPr>
        <w:t>Subject to the conditions set out in Clause 22.2 (</w:t>
      </w:r>
      <w:r>
        <w:rPr>
          <w:rFonts w:ascii="Arial" w:cs="Arial" w:eastAsia="Arial" w:hAnsi="Arial"/>
          <w:sz w:val="18"/>
          <w:szCs w:val="18"/>
          <w:i w:val="1"/>
          <w:iCs w:val="1"/>
          <w:color w:val="auto"/>
        </w:rPr>
        <w:t>Company consent</w:t>
      </w:r>
      <w:r>
        <w:rPr>
          <w:rFonts w:ascii="Arial" w:cs="Arial" w:eastAsia="Arial" w:hAnsi="Arial"/>
          <w:sz w:val="18"/>
          <w:szCs w:val="18"/>
          <w:color w:val="auto"/>
        </w:rPr>
        <w:t>) and Clause 22.3 (</w:t>
      </w:r>
      <w:r>
        <w:rPr>
          <w:rFonts w:ascii="Arial" w:cs="Arial" w:eastAsia="Arial" w:hAnsi="Arial"/>
          <w:sz w:val="18"/>
          <w:szCs w:val="18"/>
          <w:i w:val="1"/>
          <w:iCs w:val="1"/>
          <w:color w:val="auto"/>
        </w:rPr>
        <w:t>Other conditions of assignment or transfer</w:t>
      </w:r>
      <w:r>
        <w:rPr>
          <w:rFonts w:ascii="Arial" w:cs="Arial" w:eastAsia="Arial" w:hAnsi="Arial"/>
          <w:sz w:val="18"/>
          <w:szCs w:val="18"/>
          <w:color w:val="auto"/>
        </w:rPr>
        <w:t>) an assignment may be effected in accordance with paragraph (c) below when the Company receives a duly completed Assignment Agreement delivered to it by the Existing Lender and the New Lender.</w:t>
      </w:r>
    </w:p>
    <w:p>
      <w:pPr>
        <w:spacing w:after="0" w:line="169" w:lineRule="exact"/>
        <w:rPr>
          <w:rFonts w:ascii="Arial" w:cs="Arial" w:eastAsia="Arial" w:hAnsi="Arial"/>
          <w:sz w:val="20"/>
          <w:szCs w:val="20"/>
          <w:color w:val="auto"/>
        </w:rPr>
      </w:pPr>
    </w:p>
    <w:p>
      <w:pPr>
        <w:ind w:left="1260" w:hanging="604"/>
        <w:spacing w:after="0"/>
        <w:tabs>
          <w:tab w:leader="none" w:pos="1260" w:val="left"/>
        </w:tabs>
        <w:numPr>
          <w:ilvl w:val="0"/>
          <w:numId w:val="259"/>
        </w:numPr>
        <w:rPr>
          <w:rFonts w:ascii="Arial" w:cs="Arial" w:eastAsia="Arial" w:hAnsi="Arial"/>
          <w:sz w:val="20"/>
          <w:szCs w:val="20"/>
          <w:color w:val="auto"/>
        </w:rPr>
      </w:pPr>
      <w:r>
        <w:rPr>
          <w:rFonts w:ascii="Arial" w:cs="Arial" w:eastAsia="Arial" w:hAnsi="Arial"/>
          <w:sz w:val="18"/>
          <w:szCs w:val="18"/>
          <w:color w:val="auto"/>
        </w:rPr>
        <w:t>On the Transfer Date:</w:t>
      </w:r>
    </w:p>
    <w:p>
      <w:pPr>
        <w:spacing w:after="0" w:line="188" w:lineRule="exact"/>
        <w:rPr>
          <w:rFonts w:ascii="Arial" w:cs="Arial" w:eastAsia="Arial" w:hAnsi="Arial"/>
          <w:sz w:val="20"/>
          <w:szCs w:val="20"/>
          <w:color w:val="auto"/>
        </w:rPr>
      </w:pPr>
    </w:p>
    <w:p>
      <w:pPr>
        <w:ind w:left="1920" w:right="20" w:hanging="643"/>
        <w:spacing w:after="0" w:line="266" w:lineRule="auto"/>
        <w:tabs>
          <w:tab w:leader="none" w:pos="1920" w:val="left"/>
        </w:tabs>
        <w:numPr>
          <w:ilvl w:val="1"/>
          <w:numId w:val="259"/>
        </w:numPr>
        <w:rPr>
          <w:rFonts w:ascii="Arial" w:cs="Arial" w:eastAsia="Arial" w:hAnsi="Arial"/>
          <w:sz w:val="20"/>
          <w:szCs w:val="20"/>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Assignment Agreement;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55" w:right="339" w:bottom="1440" w:gutter="0" w:footer="0" w:header="0"/>
        </w:sectPr>
      </w:pPr>
    </w:p>
    <w:bookmarkStart w:id="90" w:name="page91"/>
    <w:bookmarkEnd w:id="90"/>
    <w:p>
      <w:pPr>
        <w:ind w:left="1920" w:hanging="643"/>
        <w:spacing w:after="0" w:line="266" w:lineRule="auto"/>
        <w:tabs>
          <w:tab w:leader="none" w:pos="1920" w:val="left"/>
        </w:tabs>
        <w:numPr>
          <w:ilvl w:val="1"/>
          <w:numId w:val="260"/>
        </w:numPr>
        <w:rPr>
          <w:rFonts w:ascii="Arial" w:cs="Arial" w:eastAsia="Arial" w:hAnsi="Arial"/>
          <w:sz w:val="20"/>
          <w:szCs w:val="20"/>
          <w:color w:val="auto"/>
        </w:rPr>
      </w:pPr>
      <w:r>
        <w:rPr>
          <w:rFonts w:ascii="Arial" w:cs="Arial" w:eastAsia="Arial" w:hAnsi="Arial"/>
          <w:sz w:val="18"/>
          <w:szCs w:val="18"/>
          <w:color w:val="auto"/>
        </w:rPr>
        <w:t>the Existing Lender will be released by the Company and the other Finance Parties from the obligations owed by it (the “</w:t>
      </w:r>
      <w:r>
        <w:rPr>
          <w:rFonts w:ascii="Arial" w:cs="Arial" w:eastAsia="Arial" w:hAnsi="Arial"/>
          <w:sz w:val="18"/>
          <w:szCs w:val="18"/>
          <w:b w:val="1"/>
          <w:bCs w:val="1"/>
          <w:color w:val="auto"/>
        </w:rPr>
        <w:t>Relevant Obligations</w:t>
      </w:r>
      <w:r>
        <w:rPr>
          <w:rFonts w:ascii="Arial" w:cs="Arial" w:eastAsia="Arial" w:hAnsi="Arial"/>
          <w:sz w:val="18"/>
          <w:szCs w:val="18"/>
          <w:color w:val="auto"/>
        </w:rPr>
        <w:t>”) and expressed to be the subject of the release in the Assignment Agreement; and</w:t>
      </w:r>
    </w:p>
    <w:p>
      <w:pPr>
        <w:spacing w:after="0" w:line="159" w:lineRule="exact"/>
        <w:rPr>
          <w:rFonts w:ascii="Arial" w:cs="Arial" w:eastAsia="Arial" w:hAnsi="Arial"/>
          <w:sz w:val="20"/>
          <w:szCs w:val="20"/>
          <w:color w:val="auto"/>
        </w:rPr>
      </w:pPr>
    </w:p>
    <w:p>
      <w:pPr>
        <w:ind w:left="1920" w:hanging="643"/>
        <w:spacing w:after="0"/>
        <w:tabs>
          <w:tab w:leader="none" w:pos="1920" w:val="left"/>
        </w:tabs>
        <w:numPr>
          <w:ilvl w:val="1"/>
          <w:numId w:val="260"/>
        </w:numPr>
        <w:rPr>
          <w:rFonts w:ascii="Arial" w:cs="Arial" w:eastAsia="Arial" w:hAnsi="Arial"/>
          <w:sz w:val="18"/>
          <w:szCs w:val="18"/>
          <w:color w:val="auto"/>
        </w:rPr>
      </w:pPr>
      <w:r>
        <w:rPr>
          <w:rFonts w:ascii="Arial" w:cs="Arial" w:eastAsia="Arial" w:hAnsi="Arial"/>
          <w:sz w:val="16"/>
          <w:szCs w:val="16"/>
          <w:color w:val="auto"/>
        </w:rPr>
        <w:t>the New Lender shall become a Party as a “</w:t>
      </w:r>
      <w:r>
        <w:rPr>
          <w:rFonts w:ascii="Arial" w:cs="Arial" w:eastAsia="Arial" w:hAnsi="Arial"/>
          <w:sz w:val="16"/>
          <w:szCs w:val="16"/>
          <w:b w:val="1"/>
          <w:bCs w:val="1"/>
          <w:color w:val="auto"/>
        </w:rPr>
        <w:t>Lender</w:t>
      </w:r>
      <w:r>
        <w:rPr>
          <w:rFonts w:ascii="Arial" w:cs="Arial" w:eastAsia="Arial" w:hAnsi="Arial"/>
          <w:sz w:val="16"/>
          <w:szCs w:val="16"/>
          <w:color w:val="auto"/>
        </w:rPr>
        <w:t>” and will be bound by obligations equivalent to the Relevant Obligations.</w:t>
      </w:r>
    </w:p>
    <w:p>
      <w:pPr>
        <w:spacing w:after="0" w:line="215" w:lineRule="exact"/>
        <w:rPr>
          <w:rFonts w:ascii="Arial" w:cs="Arial" w:eastAsia="Arial" w:hAnsi="Arial"/>
          <w:sz w:val="18"/>
          <w:szCs w:val="18"/>
          <w:color w:val="auto"/>
        </w:rPr>
      </w:pPr>
    </w:p>
    <w:p>
      <w:pPr>
        <w:jc w:val="both"/>
        <w:ind w:left="1280" w:hanging="624"/>
        <w:spacing w:after="0" w:line="265" w:lineRule="auto"/>
        <w:tabs>
          <w:tab w:leader="none" w:pos="1262" w:val="left"/>
        </w:tabs>
        <w:numPr>
          <w:ilvl w:val="0"/>
          <w:numId w:val="261"/>
        </w:numPr>
        <w:rPr>
          <w:rFonts w:ascii="Arial" w:cs="Arial" w:eastAsia="Arial" w:hAnsi="Arial"/>
          <w:sz w:val="20"/>
          <w:szCs w:val="20"/>
          <w:color w:val="auto"/>
        </w:rPr>
      </w:pPr>
      <w:r>
        <w:rPr>
          <w:rFonts w:ascii="Arial" w:cs="Arial" w:eastAsia="Arial" w:hAnsi="Arial"/>
          <w:sz w:val="18"/>
          <w:szCs w:val="18"/>
          <w:color w:val="auto"/>
        </w:rPr>
        <w:t>The Lender may utilise procedures other than those set out in this Clause 22.6 to assign their rights under the Finance Documents (but not, without the consent of the Company or unless in accordance with Clause 22.5 (</w:t>
      </w:r>
      <w:r>
        <w:rPr>
          <w:rFonts w:ascii="Arial" w:cs="Arial" w:eastAsia="Arial" w:hAnsi="Arial"/>
          <w:sz w:val="18"/>
          <w:szCs w:val="18"/>
          <w:i w:val="1"/>
          <w:iCs w:val="1"/>
          <w:color w:val="auto"/>
        </w:rPr>
        <w:t>Procedure for transfer</w:t>
      </w:r>
      <w:r>
        <w:rPr>
          <w:rFonts w:ascii="Arial" w:cs="Arial" w:eastAsia="Arial" w:hAnsi="Arial"/>
          <w:sz w:val="18"/>
          <w:szCs w:val="18"/>
          <w:color w:val="auto"/>
        </w:rPr>
        <w:t>), to obtain a release by the Company from the obligations owed to the Company by the Lenders nor the assumption of equivalent obligations by a New Lender) provided that they comply with the conditions set out in Clause 22.2 (Company consent) and Clause 22.3 (Other conditions of assignment or transfer).</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22.7</w:t>
      </w:r>
      <w:r>
        <w:rPr>
          <w:sz w:val="20"/>
          <w:szCs w:val="20"/>
          <w:color w:val="auto"/>
        </w:rPr>
        <w:tab/>
      </w:r>
      <w:r>
        <w:rPr>
          <w:rFonts w:ascii="Arial" w:cs="Arial" w:eastAsia="Arial" w:hAnsi="Arial"/>
          <w:sz w:val="16"/>
          <w:szCs w:val="16"/>
          <w:b w:val="1"/>
          <w:bCs w:val="1"/>
          <w:color w:val="auto"/>
        </w:rPr>
        <w:t>Security over Lender’s rights</w:t>
      </w:r>
    </w:p>
    <w:p>
      <w:pPr>
        <w:spacing w:after="0" w:line="191" w:lineRule="exact"/>
        <w:rPr>
          <w:sz w:val="20"/>
          <w:szCs w:val="20"/>
          <w:color w:val="auto"/>
        </w:rPr>
      </w:pPr>
    </w:p>
    <w:p>
      <w:pPr>
        <w:jc w:val="both"/>
        <w:ind w:left="620" w:right="20"/>
        <w:spacing w:after="0" w:line="263" w:lineRule="auto"/>
        <w:rPr>
          <w:sz w:val="20"/>
          <w:szCs w:val="20"/>
          <w:color w:val="auto"/>
        </w:rPr>
      </w:pPr>
      <w:r>
        <w:rPr>
          <w:rFonts w:ascii="Arial" w:cs="Arial" w:eastAsia="Arial" w:hAnsi="Arial"/>
          <w:sz w:val="18"/>
          <w:szCs w:val="18"/>
          <w:color w:val="auto"/>
        </w:rPr>
        <w:t>In addition to the other rights provided to Lender under this Clause 22, the Lender may without consulting with or obtaining consent from the Company, at any time charge, assign or otherwise create Security in or over (whether by way of collateral or otherwise) all or any of its rights under any Finance Document to secure its obligations including, without limitation:</w:t>
      </w:r>
    </w:p>
    <w:p>
      <w:pPr>
        <w:spacing w:after="0" w:line="170" w:lineRule="exact"/>
        <w:rPr>
          <w:sz w:val="20"/>
          <w:szCs w:val="20"/>
          <w:color w:val="auto"/>
        </w:rPr>
      </w:pPr>
    </w:p>
    <w:p>
      <w:pPr>
        <w:ind w:left="1260" w:hanging="604"/>
        <w:spacing w:after="0"/>
        <w:tabs>
          <w:tab w:leader="none" w:pos="1260" w:val="left"/>
        </w:tabs>
        <w:numPr>
          <w:ilvl w:val="0"/>
          <w:numId w:val="262"/>
        </w:numPr>
        <w:rPr>
          <w:rFonts w:ascii="Arial" w:cs="Arial" w:eastAsia="Arial" w:hAnsi="Arial"/>
          <w:sz w:val="20"/>
          <w:szCs w:val="20"/>
          <w:color w:val="auto"/>
        </w:rPr>
      </w:pPr>
      <w:r>
        <w:rPr>
          <w:rFonts w:ascii="Arial" w:cs="Arial" w:eastAsia="Arial" w:hAnsi="Arial"/>
          <w:sz w:val="18"/>
          <w:szCs w:val="18"/>
          <w:color w:val="auto"/>
        </w:rPr>
        <w:t>any charge, assignment or other Security to secure obligations to a federal reserve or central bank; and</w:t>
      </w:r>
    </w:p>
    <w:p>
      <w:pPr>
        <w:spacing w:after="0" w:line="188" w:lineRule="exact"/>
        <w:rPr>
          <w:rFonts w:ascii="Arial" w:cs="Arial" w:eastAsia="Arial" w:hAnsi="Arial"/>
          <w:sz w:val="20"/>
          <w:szCs w:val="20"/>
          <w:color w:val="auto"/>
        </w:rPr>
      </w:pPr>
    </w:p>
    <w:p>
      <w:pPr>
        <w:ind w:left="1280" w:right="20" w:hanging="624"/>
        <w:spacing w:after="0" w:line="266" w:lineRule="auto"/>
        <w:tabs>
          <w:tab w:leader="none" w:pos="1262" w:val="left"/>
        </w:tabs>
        <w:numPr>
          <w:ilvl w:val="0"/>
          <w:numId w:val="262"/>
        </w:numPr>
        <w:rPr>
          <w:rFonts w:ascii="Arial" w:cs="Arial" w:eastAsia="Arial" w:hAnsi="Arial"/>
          <w:sz w:val="20"/>
          <w:szCs w:val="20"/>
          <w:color w:val="auto"/>
        </w:rPr>
      </w:pPr>
      <w:r>
        <w:rPr>
          <w:rFonts w:ascii="Arial" w:cs="Arial" w:eastAsia="Arial" w:hAnsi="Arial"/>
          <w:sz w:val="18"/>
          <w:szCs w:val="18"/>
          <w:color w:val="auto"/>
        </w:rPr>
        <w:t>any charge, assignment or other Security granted to any holders (or trustee or representatives of holders) of obligations owed, or securities issued, by that Lender as security for those obligations or securities,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except that no such charge, assignment or Security shall:</w:t>
      </w:r>
    </w:p>
    <w:p>
      <w:pPr>
        <w:spacing w:after="0" w:line="212" w:lineRule="exact"/>
        <w:rPr>
          <w:sz w:val="20"/>
          <w:szCs w:val="20"/>
          <w:color w:val="auto"/>
        </w:rPr>
      </w:pPr>
    </w:p>
    <w:p>
      <w:pPr>
        <w:ind w:left="1920" w:hanging="643"/>
        <w:spacing w:after="0" w:line="266" w:lineRule="auto"/>
        <w:tabs>
          <w:tab w:leader="none" w:pos="1920" w:val="left"/>
        </w:tabs>
        <w:numPr>
          <w:ilvl w:val="0"/>
          <w:numId w:val="263"/>
        </w:numPr>
        <w:rPr>
          <w:rFonts w:ascii="Arial" w:cs="Arial" w:eastAsia="Arial" w:hAnsi="Arial"/>
          <w:sz w:val="20"/>
          <w:szCs w:val="20"/>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for the Lender as a party to any of the Finance Documents; or</w:t>
      </w:r>
    </w:p>
    <w:p>
      <w:pPr>
        <w:spacing w:after="0" w:line="163" w:lineRule="exact"/>
        <w:rPr>
          <w:rFonts w:ascii="Arial" w:cs="Arial" w:eastAsia="Arial" w:hAnsi="Arial"/>
          <w:sz w:val="20"/>
          <w:szCs w:val="20"/>
          <w:color w:val="auto"/>
        </w:rPr>
      </w:pPr>
    </w:p>
    <w:p>
      <w:pPr>
        <w:ind w:left="1920" w:hanging="643"/>
        <w:spacing w:after="0" w:line="266" w:lineRule="auto"/>
        <w:tabs>
          <w:tab w:leader="none" w:pos="1920" w:val="left"/>
        </w:tabs>
        <w:numPr>
          <w:ilvl w:val="0"/>
          <w:numId w:val="263"/>
        </w:numPr>
        <w:rPr>
          <w:rFonts w:ascii="Arial" w:cs="Arial" w:eastAsia="Arial" w:hAnsi="Arial"/>
          <w:sz w:val="20"/>
          <w:szCs w:val="20"/>
          <w:color w:val="auto"/>
        </w:rPr>
      </w:pPr>
      <w:r>
        <w:rPr>
          <w:rFonts w:ascii="Arial" w:cs="Arial" w:eastAsia="Arial" w:hAnsi="Arial"/>
          <w:sz w:val="18"/>
          <w:szCs w:val="18"/>
          <w:color w:val="auto"/>
        </w:rPr>
        <w:t>require any payments to be made by the Company other than or in excess of, or grant to any person any more extensive rights than, those required to be made or granted to the relevant Lender under the Finance Documents.</w:t>
      </w:r>
    </w:p>
    <w:p>
      <w:pPr>
        <w:spacing w:after="0" w:line="160" w:lineRule="exact"/>
        <w:rPr>
          <w:sz w:val="20"/>
          <w:szCs w:val="20"/>
          <w:color w:val="auto"/>
        </w:rPr>
      </w:pPr>
    </w:p>
    <w:p>
      <w:pPr>
        <w:ind w:left="620" w:hanging="612"/>
        <w:spacing w:after="0"/>
        <w:tabs>
          <w:tab w:leader="none" w:pos="620" w:val="left"/>
        </w:tabs>
        <w:numPr>
          <w:ilvl w:val="0"/>
          <w:numId w:val="264"/>
        </w:numPr>
        <w:rPr>
          <w:rFonts w:ascii="Arial" w:cs="Arial" w:eastAsia="Arial" w:hAnsi="Arial"/>
          <w:sz w:val="20"/>
          <w:szCs w:val="20"/>
          <w:b w:val="1"/>
          <w:bCs w:val="1"/>
          <w:color w:val="auto"/>
        </w:rPr>
      </w:pPr>
      <w:r>
        <w:rPr>
          <w:rFonts w:ascii="Arial" w:cs="Arial" w:eastAsia="Arial" w:hAnsi="Arial"/>
          <w:sz w:val="18"/>
          <w:szCs w:val="18"/>
          <w:b w:val="1"/>
          <w:bCs w:val="1"/>
          <w:color w:val="auto"/>
        </w:rPr>
        <w:t>CHANGES TO THE COMPANY</w:t>
      </w:r>
    </w:p>
    <w:p>
      <w:pPr>
        <w:spacing w:after="0" w:line="179"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The Company may not assign any of its rights or transfer any of its rights or obligations under the Finance Documents.</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SECTION 10</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THE LENDER</w:t>
      </w:r>
    </w:p>
    <w:p>
      <w:pPr>
        <w:spacing w:after="0" w:line="193" w:lineRule="exact"/>
        <w:rPr>
          <w:sz w:val="20"/>
          <w:szCs w:val="20"/>
          <w:color w:val="auto"/>
        </w:rPr>
      </w:pPr>
    </w:p>
    <w:p>
      <w:pPr>
        <w:ind w:left="620" w:right="6980" w:hanging="612"/>
        <w:spacing w:after="0" w:line="445" w:lineRule="auto"/>
        <w:tabs>
          <w:tab w:leader="none" w:pos="620" w:val="left"/>
        </w:tabs>
        <w:numPr>
          <w:ilvl w:val="0"/>
          <w:numId w:val="265"/>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CONDUCT OF BUSINESS BY THE LENDER </w:t>
      </w:r>
      <w:r>
        <w:rPr>
          <w:rFonts w:ascii="Arial" w:cs="Arial" w:eastAsia="Arial" w:hAnsi="Arial"/>
          <w:sz w:val="18"/>
          <w:szCs w:val="18"/>
          <w:color w:val="auto"/>
        </w:rPr>
        <w:t>No provision of this Agreement will:</w:t>
      </w:r>
    </w:p>
    <w:p>
      <w:pPr>
        <w:spacing w:after="0" w:line="17" w:lineRule="exact"/>
        <w:rPr>
          <w:rFonts w:ascii="Arial" w:cs="Arial" w:eastAsia="Arial" w:hAnsi="Arial"/>
          <w:sz w:val="20"/>
          <w:szCs w:val="20"/>
          <w:b w:val="1"/>
          <w:bCs w:val="1"/>
          <w:color w:val="auto"/>
        </w:rPr>
      </w:pPr>
    </w:p>
    <w:p>
      <w:pPr>
        <w:ind w:left="1260" w:hanging="604"/>
        <w:spacing w:after="0"/>
        <w:tabs>
          <w:tab w:leader="none" w:pos="1260" w:val="left"/>
        </w:tabs>
        <w:numPr>
          <w:ilvl w:val="1"/>
          <w:numId w:val="265"/>
        </w:numPr>
        <w:rPr>
          <w:rFonts w:ascii="Arial" w:cs="Arial" w:eastAsia="Arial" w:hAnsi="Arial"/>
          <w:sz w:val="20"/>
          <w:szCs w:val="20"/>
          <w:color w:val="auto"/>
        </w:rPr>
      </w:pPr>
      <w:r>
        <w:rPr>
          <w:rFonts w:ascii="Arial" w:cs="Arial" w:eastAsia="Arial" w:hAnsi="Arial"/>
          <w:sz w:val="18"/>
          <w:szCs w:val="18"/>
          <w:color w:val="auto"/>
        </w:rPr>
        <w:t>interfere with the right of the Lender to arrange its affairs (tax or otherwise) in whatever manner it thinks fit;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355" w:right="339" w:bottom="1440" w:gutter="0" w:footer="0" w:header="0"/>
        </w:sectPr>
      </w:pPr>
    </w:p>
    <w:bookmarkStart w:id="91" w:name="page92"/>
    <w:bookmarkEnd w:id="91"/>
    <w:p>
      <w:pPr>
        <w:ind w:left="1280" w:right="20" w:hanging="624"/>
        <w:spacing w:after="0" w:line="266" w:lineRule="auto"/>
        <w:tabs>
          <w:tab w:leader="none" w:pos="1262" w:val="left"/>
        </w:tabs>
        <w:numPr>
          <w:ilvl w:val="0"/>
          <w:numId w:val="266"/>
        </w:numPr>
        <w:rPr>
          <w:rFonts w:ascii="Arial" w:cs="Arial" w:eastAsia="Arial" w:hAnsi="Arial"/>
          <w:sz w:val="20"/>
          <w:szCs w:val="20"/>
          <w:color w:val="auto"/>
        </w:rPr>
      </w:pPr>
      <w:r>
        <w:rPr>
          <w:rFonts w:ascii="Arial" w:cs="Arial" w:eastAsia="Arial" w:hAnsi="Arial"/>
          <w:sz w:val="18"/>
          <w:szCs w:val="18"/>
          <w:color w:val="auto"/>
        </w:rPr>
        <w:t>oblige the Lender to investigate or claim any credit, relief, remission or repayment available to it or the extent, order and manner of any claim; or</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266"/>
        </w:numPr>
        <w:rPr>
          <w:rFonts w:ascii="Arial" w:cs="Arial" w:eastAsia="Arial" w:hAnsi="Arial"/>
          <w:sz w:val="20"/>
          <w:szCs w:val="20"/>
          <w:color w:val="auto"/>
        </w:rPr>
      </w:pPr>
      <w:r>
        <w:rPr>
          <w:rFonts w:ascii="Arial" w:cs="Arial" w:eastAsia="Arial" w:hAnsi="Arial"/>
          <w:sz w:val="18"/>
          <w:szCs w:val="18"/>
          <w:color w:val="auto"/>
        </w:rPr>
        <w:t>oblige the Lender to disclose any information relating to its affairs (tax or otherwise) or any computations in respect of Tax.</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SECTION 11</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ADMINISTRATION</w:t>
      </w:r>
    </w:p>
    <w:p>
      <w:pPr>
        <w:spacing w:after="0" w:line="193" w:lineRule="exact"/>
        <w:rPr>
          <w:sz w:val="20"/>
          <w:szCs w:val="20"/>
          <w:color w:val="auto"/>
        </w:rPr>
      </w:pPr>
    </w:p>
    <w:p>
      <w:pPr>
        <w:ind w:left="620" w:hanging="612"/>
        <w:spacing w:after="0"/>
        <w:tabs>
          <w:tab w:leader="none" w:pos="620" w:val="left"/>
        </w:tabs>
        <w:numPr>
          <w:ilvl w:val="0"/>
          <w:numId w:val="267"/>
        </w:numPr>
        <w:rPr>
          <w:rFonts w:ascii="Arial" w:cs="Arial" w:eastAsia="Arial" w:hAnsi="Arial"/>
          <w:sz w:val="20"/>
          <w:szCs w:val="20"/>
          <w:b w:val="1"/>
          <w:bCs w:val="1"/>
          <w:color w:val="auto"/>
        </w:rPr>
      </w:pPr>
      <w:r>
        <w:rPr>
          <w:rFonts w:ascii="Arial" w:cs="Arial" w:eastAsia="Arial" w:hAnsi="Arial"/>
          <w:sz w:val="18"/>
          <w:szCs w:val="18"/>
          <w:b w:val="1"/>
          <w:bCs w:val="1"/>
          <w:color w:val="auto"/>
        </w:rPr>
        <w:t>PAYMENT MECHANICS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6"/>
          <w:szCs w:val="16"/>
          <w:b w:val="1"/>
          <w:bCs w:val="1"/>
          <w:color w:val="auto"/>
        </w:rPr>
        <w:t>Payments to the Lender</w:t>
      </w:r>
    </w:p>
    <w:p>
      <w:pPr>
        <w:spacing w:after="0" w:line="205" w:lineRule="exact"/>
        <w:rPr>
          <w:sz w:val="20"/>
          <w:szCs w:val="20"/>
          <w:color w:val="auto"/>
        </w:rPr>
      </w:pPr>
    </w:p>
    <w:p>
      <w:pPr>
        <w:jc w:val="both"/>
        <w:ind w:left="1280" w:hanging="624"/>
        <w:spacing w:after="0" w:line="265" w:lineRule="auto"/>
        <w:tabs>
          <w:tab w:leader="none" w:pos="1262" w:val="left"/>
        </w:tabs>
        <w:numPr>
          <w:ilvl w:val="0"/>
          <w:numId w:val="268"/>
        </w:numPr>
        <w:rPr>
          <w:rFonts w:ascii="Arial" w:cs="Arial" w:eastAsia="Arial" w:hAnsi="Arial"/>
          <w:sz w:val="20"/>
          <w:szCs w:val="20"/>
          <w:color w:val="auto"/>
        </w:rPr>
      </w:pPr>
      <w:r>
        <w:rPr>
          <w:rFonts w:ascii="Arial" w:cs="Arial" w:eastAsia="Arial" w:hAnsi="Arial"/>
          <w:sz w:val="18"/>
          <w:szCs w:val="18"/>
          <w:color w:val="auto"/>
        </w:rPr>
        <w:t>On each date on which the Company is required to make a payment under a Finance Document, the Company shall make the same available to the Lender (unless a contrary indication appears in a Finance Document) for value on the due date at the time and in such funds specified by the Lender as being customary at the time for settlement of transactions in the relevant currency in the place of payment.</w:t>
      </w:r>
    </w:p>
    <w:p>
      <w:pPr>
        <w:spacing w:after="0" w:line="167"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268"/>
        </w:numPr>
        <w:rPr>
          <w:rFonts w:ascii="Arial" w:cs="Arial" w:eastAsia="Arial" w:hAnsi="Arial"/>
          <w:sz w:val="20"/>
          <w:szCs w:val="20"/>
          <w:color w:val="auto"/>
        </w:rPr>
      </w:pPr>
      <w:r>
        <w:rPr>
          <w:rFonts w:ascii="Arial" w:cs="Arial" w:eastAsia="Arial" w:hAnsi="Arial"/>
          <w:sz w:val="18"/>
          <w:szCs w:val="18"/>
          <w:color w:val="auto"/>
        </w:rPr>
        <w:t>Payment shall be made to such account in the principal financial centre of the country of that currency (or, in relation to euro, in a principal financial centre in such Participating Member State or London, specified by the Lender) and with such bank as the Lender, in each case, specifies.</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16"/>
          <w:szCs w:val="16"/>
          <w:b w:val="1"/>
          <w:bCs w:val="1"/>
          <w:color w:val="auto"/>
        </w:rPr>
        <w:t>Distributions to the Company</w:t>
      </w:r>
    </w:p>
    <w:p>
      <w:pPr>
        <w:spacing w:after="0" w:line="191" w:lineRule="exact"/>
        <w:rPr>
          <w:sz w:val="20"/>
          <w:szCs w:val="20"/>
          <w:color w:val="auto"/>
        </w:rPr>
      </w:pPr>
    </w:p>
    <w:p>
      <w:pPr>
        <w:ind w:left="620" w:right="20"/>
        <w:spacing w:after="0" w:line="277" w:lineRule="auto"/>
        <w:rPr>
          <w:sz w:val="20"/>
          <w:szCs w:val="20"/>
          <w:color w:val="auto"/>
        </w:rPr>
      </w:pPr>
      <w:r>
        <w:rPr>
          <w:rFonts w:ascii="Arial" w:cs="Arial" w:eastAsia="Arial" w:hAnsi="Arial"/>
          <w:sz w:val="18"/>
          <w:szCs w:val="18"/>
          <w:color w:val="auto"/>
        </w:rPr>
        <w:t>The Lender may (in accordance with Clause 26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the Company in or towards payment (on the date and in the currency and funds of receipt) of any amount due from the Company under the Finance Documents.</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25.3</w:t>
      </w:r>
      <w:r>
        <w:rPr>
          <w:sz w:val="20"/>
          <w:szCs w:val="20"/>
          <w:color w:val="auto"/>
        </w:rPr>
        <w:tab/>
      </w:r>
      <w:r>
        <w:rPr>
          <w:rFonts w:ascii="Arial" w:cs="Arial" w:eastAsia="Arial" w:hAnsi="Arial"/>
          <w:sz w:val="16"/>
          <w:szCs w:val="16"/>
          <w:b w:val="1"/>
          <w:bCs w:val="1"/>
          <w:color w:val="auto"/>
        </w:rPr>
        <w:t>Partial payments</w:t>
      </w:r>
    </w:p>
    <w:p>
      <w:pPr>
        <w:spacing w:after="0" w:line="205" w:lineRule="exact"/>
        <w:rPr>
          <w:sz w:val="20"/>
          <w:szCs w:val="20"/>
          <w:color w:val="auto"/>
        </w:rPr>
      </w:pPr>
    </w:p>
    <w:p>
      <w:pPr>
        <w:jc w:val="both"/>
        <w:ind w:left="1280" w:hanging="624"/>
        <w:spacing w:after="0" w:line="264" w:lineRule="auto"/>
        <w:tabs>
          <w:tab w:leader="none" w:pos="1262" w:val="left"/>
        </w:tabs>
        <w:numPr>
          <w:ilvl w:val="0"/>
          <w:numId w:val="269"/>
        </w:numPr>
        <w:rPr>
          <w:rFonts w:ascii="Arial" w:cs="Arial" w:eastAsia="Arial" w:hAnsi="Arial"/>
          <w:sz w:val="20"/>
          <w:szCs w:val="20"/>
          <w:color w:val="auto"/>
        </w:rPr>
      </w:pPr>
      <w:r>
        <w:rPr>
          <w:rFonts w:ascii="Arial" w:cs="Arial" w:eastAsia="Arial" w:hAnsi="Arial"/>
          <w:sz w:val="18"/>
          <w:szCs w:val="18"/>
          <w:color w:val="auto"/>
        </w:rPr>
        <w:t>If the Lender receives a payment that is insufficient to discharge all the amounts then due and payable by the Company under the Finance Documents, the Lender shall apply that payment towards the obligations of the Company under the Finance Documents in the following order:</w:t>
      </w:r>
    </w:p>
    <w:p>
      <w:pPr>
        <w:spacing w:after="0" w:line="165" w:lineRule="exact"/>
        <w:rPr>
          <w:rFonts w:ascii="Arial" w:cs="Arial" w:eastAsia="Arial" w:hAnsi="Arial"/>
          <w:sz w:val="20"/>
          <w:szCs w:val="20"/>
          <w:color w:val="auto"/>
        </w:rPr>
      </w:pPr>
    </w:p>
    <w:p>
      <w:pPr>
        <w:ind w:left="1920" w:hanging="643"/>
        <w:spacing w:after="0"/>
        <w:tabs>
          <w:tab w:leader="none" w:pos="1920" w:val="left"/>
        </w:tabs>
        <w:numPr>
          <w:ilvl w:val="1"/>
          <w:numId w:val="269"/>
        </w:numPr>
        <w:rPr>
          <w:rFonts w:ascii="Arial" w:cs="Arial" w:eastAsia="Arial" w:hAnsi="Arial"/>
          <w:sz w:val="19"/>
          <w:szCs w:val="19"/>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in or towards payment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accrued interest, fee or commission due but unpaid under this Agreement;</w:t>
      </w:r>
    </w:p>
    <w:p>
      <w:pPr>
        <w:spacing w:after="0" w:line="200" w:lineRule="exact"/>
        <w:rPr>
          <w:rFonts w:ascii="Arial" w:cs="Arial" w:eastAsia="Arial" w:hAnsi="Arial"/>
          <w:sz w:val="19"/>
          <w:szCs w:val="19"/>
          <w:color w:val="auto"/>
        </w:rPr>
      </w:pPr>
    </w:p>
    <w:p>
      <w:pPr>
        <w:ind w:left="1920" w:hanging="643"/>
        <w:spacing w:after="0"/>
        <w:tabs>
          <w:tab w:leader="none" w:pos="1920" w:val="left"/>
        </w:tabs>
        <w:numPr>
          <w:ilvl w:val="1"/>
          <w:numId w:val="269"/>
        </w:numPr>
        <w:rPr>
          <w:rFonts w:ascii="Arial" w:cs="Arial" w:eastAsia="Arial" w:hAnsi="Arial"/>
          <w:sz w:val="20"/>
          <w:szCs w:val="20"/>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but unpaid under this Agreement; and</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69"/>
        </w:numPr>
        <w:rPr>
          <w:rFonts w:ascii="Arial" w:cs="Arial" w:eastAsia="Arial" w:hAnsi="Arial"/>
          <w:sz w:val="20"/>
          <w:szCs w:val="20"/>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but unpaid under the Finance Documents,</w:t>
      </w:r>
    </w:p>
    <w:p>
      <w:pPr>
        <w:spacing w:after="0" w:line="179" w:lineRule="exact"/>
        <w:rPr>
          <w:sz w:val="20"/>
          <w:szCs w:val="20"/>
          <w:color w:val="auto"/>
        </w:rPr>
      </w:pPr>
    </w:p>
    <w:p>
      <w:pPr>
        <w:ind w:left="128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Lender shall be entitled to vary the order set out in paragraphs (a)(i) to (a)(iii) above at any time by notice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57" w:lineRule="exact"/>
        <w:rPr>
          <w:sz w:val="20"/>
          <w:szCs w:val="20"/>
          <w:color w:val="auto"/>
        </w:rPr>
      </w:pPr>
    </w:p>
    <w:p>
      <w:pPr>
        <w:ind w:left="5540" w:right="4460" w:hanging="4884"/>
        <w:spacing w:after="0" w:line="720" w:lineRule="auto"/>
        <w:tabs>
          <w:tab w:leader="none" w:pos="1269" w:val="left"/>
        </w:tabs>
        <w:numPr>
          <w:ilvl w:val="0"/>
          <w:numId w:val="270"/>
        </w:numPr>
        <w:rPr>
          <w:rFonts w:ascii="Arial" w:cs="Arial" w:eastAsia="Arial" w:hAnsi="Arial"/>
          <w:sz w:val="20"/>
          <w:szCs w:val="20"/>
          <w:color w:val="auto"/>
        </w:rPr>
      </w:pPr>
      <w:r>
        <w:rPr>
          <w:rFonts w:ascii="Arial" w:cs="Arial" w:eastAsia="Arial" w:hAnsi="Arial"/>
          <w:sz w:val="18"/>
          <w:szCs w:val="18"/>
          <w:color w:val="auto"/>
        </w:rPr>
        <w:t>Clause 25.3(a) above will override any appropriation made by the Company. 64</w:t>
      </w:r>
    </w:p>
    <w:p>
      <w:pPr>
        <w:sectPr>
          <w:pgSz w:w="11900" w:h="16838" w:orient="portrait"/>
          <w:cols w:equalWidth="0" w:num="1">
            <w:col w:w="11240"/>
          </w:cols>
          <w:pgMar w:left="320" w:top="355" w:right="339" w:bottom="1440" w:gutter="0" w:footer="0" w:header="0"/>
        </w:sectPr>
      </w:pPr>
    </w:p>
    <w:bookmarkStart w:id="92" w:name="page93"/>
    <w:bookmarkEnd w:id="92"/>
    <w:p>
      <w:pPr>
        <w:spacing w:after="0"/>
        <w:tabs>
          <w:tab w:leader="none" w:pos="600" w:val="left"/>
        </w:tabs>
        <w:rPr>
          <w:sz w:val="20"/>
          <w:szCs w:val="20"/>
          <w:color w:val="auto"/>
        </w:rPr>
      </w:pPr>
      <w:r>
        <w:rPr>
          <w:rFonts w:ascii="Arial" w:cs="Arial" w:eastAsia="Arial" w:hAnsi="Arial"/>
          <w:sz w:val="20"/>
          <w:szCs w:val="20"/>
          <w:color w:val="auto"/>
        </w:rPr>
        <w:t>25.4</w:t>
      </w:r>
      <w:r>
        <w:rPr>
          <w:sz w:val="20"/>
          <w:szCs w:val="20"/>
          <w:color w:val="auto"/>
        </w:rPr>
        <w:tab/>
      </w:r>
      <w:r>
        <w:rPr>
          <w:rFonts w:ascii="Arial" w:cs="Arial" w:eastAsia="Arial" w:hAnsi="Arial"/>
          <w:sz w:val="16"/>
          <w:szCs w:val="16"/>
          <w:b w:val="1"/>
          <w:bCs w:val="1"/>
          <w:color w:val="auto"/>
        </w:rPr>
        <w:t>No set-off by the Company</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All payments to be made by the Company under the Finance Documents shall be calculated and be made without (and free and clear of any deduction for) set-off or counterclaim.</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25.5</w:t>
      </w:r>
      <w:r>
        <w:rPr>
          <w:sz w:val="20"/>
          <w:szCs w:val="20"/>
          <w:color w:val="auto"/>
        </w:rPr>
        <w:tab/>
      </w:r>
      <w:r>
        <w:rPr>
          <w:rFonts w:ascii="Arial" w:cs="Arial" w:eastAsia="Arial" w:hAnsi="Arial"/>
          <w:sz w:val="15"/>
          <w:szCs w:val="15"/>
          <w:b w:val="1"/>
          <w:bCs w:val="1"/>
          <w:color w:val="auto"/>
        </w:rPr>
        <w:t>Business Days</w:t>
      </w:r>
    </w:p>
    <w:p>
      <w:pPr>
        <w:spacing w:after="0" w:line="205" w:lineRule="exact"/>
        <w:rPr>
          <w:sz w:val="20"/>
          <w:szCs w:val="20"/>
          <w:color w:val="auto"/>
        </w:rPr>
      </w:pPr>
    </w:p>
    <w:p>
      <w:pPr>
        <w:ind w:left="1280" w:hanging="624"/>
        <w:spacing w:after="0" w:line="266" w:lineRule="auto"/>
        <w:tabs>
          <w:tab w:leader="none" w:pos="1262" w:val="left"/>
        </w:tabs>
        <w:numPr>
          <w:ilvl w:val="0"/>
          <w:numId w:val="271"/>
        </w:numPr>
        <w:rPr>
          <w:rFonts w:ascii="Arial" w:cs="Arial" w:eastAsia="Arial" w:hAnsi="Arial"/>
          <w:sz w:val="20"/>
          <w:szCs w:val="20"/>
          <w:color w:val="auto"/>
        </w:rPr>
      </w:pPr>
      <w:r>
        <w:rPr>
          <w:rFonts w:ascii="Arial" w:cs="Arial" w:eastAsia="Arial" w:hAnsi="Arial"/>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63" w:lineRule="exact"/>
        <w:rPr>
          <w:rFonts w:ascii="Arial" w:cs="Arial" w:eastAsia="Arial" w:hAnsi="Arial"/>
          <w:sz w:val="20"/>
          <w:szCs w:val="20"/>
          <w:color w:val="auto"/>
        </w:rPr>
      </w:pPr>
    </w:p>
    <w:p>
      <w:pPr>
        <w:ind w:left="1280" w:right="20" w:hanging="624"/>
        <w:spacing w:after="0" w:line="266" w:lineRule="auto"/>
        <w:tabs>
          <w:tab w:leader="none" w:pos="1262" w:val="left"/>
        </w:tabs>
        <w:numPr>
          <w:ilvl w:val="0"/>
          <w:numId w:val="271"/>
        </w:numPr>
        <w:rPr>
          <w:rFonts w:ascii="Arial" w:cs="Arial" w:eastAsia="Arial" w:hAnsi="Arial"/>
          <w:sz w:val="20"/>
          <w:szCs w:val="20"/>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25.6</w:t>
      </w:r>
      <w:r>
        <w:rPr>
          <w:sz w:val="20"/>
          <w:szCs w:val="20"/>
          <w:color w:val="auto"/>
        </w:rPr>
        <w:tab/>
      </w:r>
      <w:r>
        <w:rPr>
          <w:rFonts w:ascii="Arial" w:cs="Arial" w:eastAsia="Arial" w:hAnsi="Arial"/>
          <w:sz w:val="16"/>
          <w:szCs w:val="16"/>
          <w:b w:val="1"/>
          <w:bCs w:val="1"/>
          <w:color w:val="auto"/>
        </w:rPr>
        <w:t>Currency of account</w:t>
      </w:r>
    </w:p>
    <w:p>
      <w:pPr>
        <w:spacing w:after="0" w:line="205" w:lineRule="exact"/>
        <w:rPr>
          <w:sz w:val="20"/>
          <w:szCs w:val="20"/>
          <w:color w:val="auto"/>
        </w:rPr>
      </w:pPr>
    </w:p>
    <w:p>
      <w:pPr>
        <w:ind w:left="1280" w:right="20" w:hanging="624"/>
        <w:spacing w:after="0" w:line="266" w:lineRule="auto"/>
        <w:tabs>
          <w:tab w:leader="none" w:pos="1262" w:val="left"/>
        </w:tabs>
        <w:numPr>
          <w:ilvl w:val="0"/>
          <w:numId w:val="272"/>
        </w:numPr>
        <w:rPr>
          <w:rFonts w:ascii="Arial" w:cs="Arial" w:eastAsia="Arial" w:hAnsi="Arial"/>
          <w:sz w:val="20"/>
          <w:szCs w:val="20"/>
          <w:color w:val="auto"/>
        </w:rPr>
      </w:pPr>
      <w:r>
        <w:rPr>
          <w:rFonts w:ascii="Arial" w:cs="Arial" w:eastAsia="Arial" w:hAnsi="Arial"/>
          <w:sz w:val="18"/>
          <w:szCs w:val="18"/>
          <w:color w:val="auto"/>
        </w:rPr>
        <w:t>Subject to paragraphs (b) to (e) below, euro is the currency of account and payment for any sum due from the Company under any Finance Document.</w:t>
      </w:r>
    </w:p>
    <w:p>
      <w:pPr>
        <w:spacing w:after="0" w:line="163"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272"/>
        </w:numPr>
        <w:rPr>
          <w:rFonts w:ascii="Arial" w:cs="Arial" w:eastAsia="Arial" w:hAnsi="Arial"/>
          <w:sz w:val="20"/>
          <w:szCs w:val="20"/>
          <w:color w:val="auto"/>
        </w:rPr>
      </w:pPr>
      <w:r>
        <w:rPr>
          <w:rFonts w:ascii="Arial" w:cs="Arial" w:eastAsia="Arial" w:hAnsi="Arial"/>
          <w:sz w:val="18"/>
          <w:szCs w:val="18"/>
          <w:color w:val="auto"/>
        </w:rPr>
        <w:t>A repayment of a Loan or Unpaid Sum or a part of a Loan or Unpaid Sum shall be made in the currency in which that Loan or Unpaid Sum is denominated, pursuant to this Agreement, on its due date.</w:t>
      </w:r>
    </w:p>
    <w:p>
      <w:pPr>
        <w:spacing w:after="0" w:line="163"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272"/>
        </w:numPr>
        <w:rPr>
          <w:rFonts w:ascii="Arial" w:cs="Arial" w:eastAsia="Arial" w:hAnsi="Arial"/>
          <w:sz w:val="20"/>
          <w:szCs w:val="20"/>
          <w:color w:val="auto"/>
        </w:rPr>
      </w:pPr>
      <w:r>
        <w:rPr>
          <w:rFonts w:ascii="Arial" w:cs="Arial" w:eastAsia="Arial" w:hAnsi="Arial"/>
          <w:sz w:val="18"/>
          <w:szCs w:val="18"/>
          <w:color w:val="auto"/>
        </w:rPr>
        <w:t>Each payment of interest shall be made in the currency in which the sum in respect of which the interest is payable was denominated, pursuant to this Agreement, when that interest accrued.</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272"/>
        </w:numPr>
        <w:rPr>
          <w:rFonts w:ascii="Arial" w:cs="Arial" w:eastAsia="Arial" w:hAnsi="Arial"/>
          <w:sz w:val="18"/>
          <w:szCs w:val="18"/>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211" w:lineRule="exact"/>
        <w:rPr>
          <w:rFonts w:ascii="Arial" w:cs="Arial" w:eastAsia="Arial" w:hAnsi="Arial"/>
          <w:sz w:val="18"/>
          <w:szCs w:val="18"/>
          <w:color w:val="auto"/>
        </w:rPr>
      </w:pPr>
    </w:p>
    <w:p>
      <w:pPr>
        <w:ind w:left="1260" w:hanging="604"/>
        <w:spacing w:after="0"/>
        <w:tabs>
          <w:tab w:leader="none" w:pos="1260" w:val="left"/>
        </w:tabs>
        <w:numPr>
          <w:ilvl w:val="0"/>
          <w:numId w:val="272"/>
        </w:numPr>
        <w:rPr>
          <w:rFonts w:ascii="Arial" w:cs="Arial" w:eastAsia="Arial" w:hAnsi="Arial"/>
          <w:sz w:val="20"/>
          <w:szCs w:val="20"/>
          <w:color w:val="auto"/>
        </w:rPr>
      </w:pPr>
      <w:r>
        <w:rPr>
          <w:rFonts w:ascii="Arial" w:cs="Arial" w:eastAsia="Arial" w:hAnsi="Arial"/>
          <w:sz w:val="18"/>
          <w:szCs w:val="18"/>
          <w:color w:val="auto"/>
        </w:rPr>
        <w:t>Any amount expressed to be payable in a currency other than euro shall be paid in that other currency.</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25.7</w:t>
      </w:r>
      <w:r>
        <w:rPr>
          <w:sz w:val="20"/>
          <w:szCs w:val="20"/>
          <w:color w:val="auto"/>
        </w:rPr>
        <w:tab/>
      </w:r>
      <w:r>
        <w:rPr>
          <w:rFonts w:ascii="Arial" w:cs="Arial" w:eastAsia="Arial" w:hAnsi="Arial"/>
          <w:sz w:val="15"/>
          <w:szCs w:val="15"/>
          <w:b w:val="1"/>
          <w:bCs w:val="1"/>
          <w:color w:val="auto"/>
        </w:rPr>
        <w:t>Disruption to payment systems etc.</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If either the Lender determines (in its discretion) that a Disruption Event has occurred or the Lender is notified by the Company that a Disruption Event has occurred:</w:t>
      </w:r>
    </w:p>
    <w:p>
      <w:pPr>
        <w:spacing w:after="0" w:line="157" w:lineRule="exact"/>
        <w:rPr>
          <w:sz w:val="20"/>
          <w:szCs w:val="20"/>
          <w:color w:val="auto"/>
        </w:rPr>
      </w:pPr>
    </w:p>
    <w:p>
      <w:pPr>
        <w:ind w:left="1280" w:hanging="624"/>
        <w:spacing w:after="0" w:line="296" w:lineRule="auto"/>
        <w:tabs>
          <w:tab w:leader="none" w:pos="1262" w:val="left"/>
        </w:tabs>
        <w:numPr>
          <w:ilvl w:val="0"/>
          <w:numId w:val="273"/>
        </w:numPr>
        <w:rPr>
          <w:rFonts w:ascii="Arial" w:cs="Arial" w:eastAsia="Arial" w:hAnsi="Arial"/>
          <w:sz w:val="19"/>
          <w:szCs w:val="19"/>
          <w:color w:val="auto"/>
        </w:rPr>
      </w:pPr>
      <w:r>
        <w:rPr>
          <w:rFonts w:ascii="Arial" w:cs="Arial" w:eastAsia="Arial" w:hAnsi="Arial"/>
          <w:sz w:val="17"/>
          <w:szCs w:val="17"/>
          <w:color w:val="auto"/>
        </w:rPr>
        <w:t>the Lender may, and shall if requested to do so by the Company, consult with the Company with a view to agreeing with the Company such changes to the operation or administration of the Facility as the Lender may deem necessary in the circumstances;</w:t>
      </w:r>
    </w:p>
    <w:p>
      <w:pPr>
        <w:spacing w:after="0" w:line="137" w:lineRule="exact"/>
        <w:rPr>
          <w:rFonts w:ascii="Arial" w:cs="Arial" w:eastAsia="Arial" w:hAnsi="Arial"/>
          <w:sz w:val="19"/>
          <w:szCs w:val="19"/>
          <w:color w:val="auto"/>
        </w:rPr>
      </w:pPr>
    </w:p>
    <w:p>
      <w:pPr>
        <w:ind w:left="1280" w:right="20" w:hanging="624"/>
        <w:spacing w:after="0" w:line="296" w:lineRule="auto"/>
        <w:tabs>
          <w:tab w:leader="none" w:pos="1262" w:val="left"/>
        </w:tabs>
        <w:numPr>
          <w:ilvl w:val="0"/>
          <w:numId w:val="273"/>
        </w:numPr>
        <w:rPr>
          <w:rFonts w:ascii="Arial" w:cs="Arial" w:eastAsia="Arial" w:hAnsi="Arial"/>
          <w:sz w:val="19"/>
          <w:szCs w:val="19"/>
          <w:color w:val="auto"/>
        </w:rPr>
      </w:pPr>
      <w:r>
        <w:rPr>
          <w:rFonts w:ascii="Arial" w:cs="Arial" w:eastAsia="Arial" w:hAnsi="Arial"/>
          <w:sz w:val="17"/>
          <w:szCs w:val="17"/>
          <w:color w:val="auto"/>
        </w:rPr>
        <w:t>the Lender shall not be obliged to consult with the Company in relation to any changes mentioned in paragraph (a) above if, in its opinion, it is not practicable to do so in the circumstances and, in any event, shall have no obligation to agree to such changes;</w:t>
      </w:r>
    </w:p>
    <w:p>
      <w:pPr>
        <w:spacing w:after="0" w:line="137" w:lineRule="exact"/>
        <w:rPr>
          <w:rFonts w:ascii="Arial" w:cs="Arial" w:eastAsia="Arial" w:hAnsi="Arial"/>
          <w:sz w:val="19"/>
          <w:szCs w:val="19"/>
          <w:color w:val="auto"/>
        </w:rPr>
      </w:pPr>
    </w:p>
    <w:p>
      <w:pPr>
        <w:jc w:val="both"/>
        <w:ind w:left="1280" w:hanging="624"/>
        <w:spacing w:after="0" w:line="264" w:lineRule="auto"/>
        <w:tabs>
          <w:tab w:leader="none" w:pos="1262" w:val="left"/>
        </w:tabs>
        <w:numPr>
          <w:ilvl w:val="0"/>
          <w:numId w:val="273"/>
        </w:numPr>
        <w:rPr>
          <w:rFonts w:ascii="Arial" w:cs="Arial" w:eastAsia="Arial" w:hAnsi="Arial"/>
          <w:sz w:val="20"/>
          <w:szCs w:val="20"/>
          <w:color w:val="auto"/>
        </w:rPr>
      </w:pPr>
      <w:r>
        <w:rPr>
          <w:rFonts w:ascii="Arial" w:cs="Arial" w:eastAsia="Arial" w:hAnsi="Arial"/>
          <w:sz w:val="18"/>
          <w:szCs w:val="18"/>
          <w:color w:val="auto"/>
        </w:rPr>
        <w:t>any such changes agreed upon by the Lender and the Company shall (whether or not it is finally determined that a Disruption Event has occurred) be binding upon the Parties as an amendment to (or, as the case may be, waiver of) the terms of the Finance Documents notwithstanding the provisions of Clause 31 (</w:t>
      </w:r>
      <w:r>
        <w:rPr>
          <w:rFonts w:ascii="Arial" w:cs="Arial" w:eastAsia="Arial" w:hAnsi="Arial"/>
          <w:sz w:val="18"/>
          <w:szCs w:val="18"/>
          <w:i w:val="1"/>
          <w:iCs w:val="1"/>
          <w:color w:val="auto"/>
        </w:rPr>
        <w:t>Amendments and Waivers</w:t>
      </w:r>
      <w:r>
        <w:rPr>
          <w:rFonts w:ascii="Arial" w:cs="Arial" w:eastAsia="Arial" w:hAnsi="Arial"/>
          <w:sz w:val="18"/>
          <w:szCs w:val="18"/>
          <w:color w:val="auto"/>
        </w:rPr>
        <w:t>); and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39" w:right="339" w:bottom="1440" w:gutter="0" w:footer="0" w:header="0"/>
        </w:sectPr>
      </w:pPr>
    </w:p>
    <w:bookmarkStart w:id="93" w:name="page94"/>
    <w:bookmarkEnd w:id="93"/>
    <w:p>
      <w:pPr>
        <w:jc w:val="both"/>
        <w:ind w:left="1280" w:hanging="624"/>
        <w:spacing w:after="0" w:line="265" w:lineRule="auto"/>
        <w:tabs>
          <w:tab w:leader="none" w:pos="1262" w:val="left"/>
        </w:tabs>
        <w:numPr>
          <w:ilvl w:val="1"/>
          <w:numId w:val="274"/>
        </w:numPr>
        <w:rPr>
          <w:rFonts w:ascii="Arial" w:cs="Arial" w:eastAsia="Arial" w:hAnsi="Arial"/>
          <w:sz w:val="20"/>
          <w:szCs w:val="20"/>
          <w:color w:val="auto"/>
        </w:rPr>
      </w:pPr>
      <w:r>
        <w:rPr>
          <w:rFonts w:ascii="Arial" w:cs="Arial" w:eastAsia="Arial" w:hAnsi="Arial"/>
          <w:sz w:val="18"/>
          <w:szCs w:val="18"/>
          <w:color w:val="auto"/>
        </w:rPr>
        <w:t>the Lender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Lender) arising as a result of its taking, or failing to take, any actions pursuant to or in connection with this Clause 25.7.</w:t>
      </w:r>
    </w:p>
    <w:p>
      <w:pPr>
        <w:spacing w:after="0" w:line="163" w:lineRule="exact"/>
        <w:rPr>
          <w:rFonts w:ascii="Arial" w:cs="Arial" w:eastAsia="Arial" w:hAnsi="Arial"/>
          <w:sz w:val="20"/>
          <w:szCs w:val="20"/>
          <w:color w:val="auto"/>
        </w:rPr>
      </w:pPr>
    </w:p>
    <w:p>
      <w:pPr>
        <w:ind w:left="620" w:hanging="612"/>
        <w:spacing w:after="0"/>
        <w:tabs>
          <w:tab w:leader="none" w:pos="620" w:val="left"/>
        </w:tabs>
        <w:numPr>
          <w:ilvl w:val="0"/>
          <w:numId w:val="275"/>
        </w:numPr>
        <w:rPr>
          <w:rFonts w:ascii="Arial" w:cs="Arial" w:eastAsia="Arial" w:hAnsi="Arial"/>
          <w:sz w:val="20"/>
          <w:szCs w:val="20"/>
          <w:b w:val="1"/>
          <w:bCs w:val="1"/>
          <w:color w:val="auto"/>
        </w:rPr>
      </w:pPr>
      <w:r>
        <w:rPr>
          <w:rFonts w:ascii="Arial" w:cs="Arial" w:eastAsia="Arial" w:hAnsi="Arial"/>
          <w:sz w:val="18"/>
          <w:szCs w:val="18"/>
          <w:b w:val="1"/>
          <w:bCs w:val="1"/>
          <w:color w:val="auto"/>
        </w:rPr>
        <w:t>SET-OFF</w:t>
      </w:r>
    </w:p>
    <w:p>
      <w:pPr>
        <w:spacing w:after="0" w:line="179" w:lineRule="exact"/>
        <w:rPr>
          <w:rFonts w:ascii="Arial" w:cs="Arial" w:eastAsia="Arial" w:hAnsi="Arial"/>
          <w:sz w:val="20"/>
          <w:szCs w:val="20"/>
          <w:b w:val="1"/>
          <w:bCs w:val="1"/>
          <w:color w:val="auto"/>
        </w:rPr>
      </w:pPr>
    </w:p>
    <w:p>
      <w:pPr>
        <w:jc w:val="both"/>
        <w:ind w:left="620"/>
        <w:spacing w:after="0" w:line="259" w:lineRule="auto"/>
        <w:rPr>
          <w:rFonts w:ascii="Arial" w:cs="Arial" w:eastAsia="Arial" w:hAnsi="Arial"/>
          <w:sz w:val="20"/>
          <w:szCs w:val="20"/>
          <w:b w:val="1"/>
          <w:bCs w:val="1"/>
          <w:color w:val="auto"/>
        </w:rPr>
      </w:pPr>
      <w:r>
        <w:rPr>
          <w:rFonts w:ascii="Arial" w:cs="Arial" w:eastAsia="Arial" w:hAnsi="Arial"/>
          <w:sz w:val="18"/>
          <w:szCs w:val="18"/>
          <w:color w:val="auto"/>
        </w:rPr>
        <w:t>The Lender may set off any matured obligation due from the Company under the Finance Documents (to the extent beneficially owned by the Lender) against any matured obligation owed by the Lender to the Company, regardless of the place of payment, booking branch or currency of either obligation. If the obligations are in different currencies, the Lender may convert either obligation at a market rate of exchange in its usual course of business for the purpose of the set-off.</w:t>
      </w:r>
    </w:p>
    <w:p>
      <w:pPr>
        <w:spacing w:after="0" w:line="169" w:lineRule="exact"/>
        <w:rPr>
          <w:rFonts w:ascii="Arial" w:cs="Arial" w:eastAsia="Arial" w:hAnsi="Arial"/>
          <w:sz w:val="20"/>
          <w:szCs w:val="20"/>
          <w:b w:val="1"/>
          <w:bCs w:val="1"/>
          <w:color w:val="auto"/>
        </w:rPr>
      </w:pPr>
    </w:p>
    <w:p>
      <w:pPr>
        <w:ind w:left="620" w:hanging="612"/>
        <w:spacing w:after="0"/>
        <w:tabs>
          <w:tab w:leader="none" w:pos="620" w:val="left"/>
        </w:tabs>
        <w:numPr>
          <w:ilvl w:val="0"/>
          <w:numId w:val="275"/>
        </w:numPr>
        <w:rPr>
          <w:rFonts w:ascii="Arial" w:cs="Arial" w:eastAsia="Arial" w:hAnsi="Arial"/>
          <w:sz w:val="20"/>
          <w:szCs w:val="20"/>
          <w:b w:val="1"/>
          <w:bCs w:val="1"/>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27.1</w:t>
      </w:r>
      <w:r>
        <w:rPr>
          <w:sz w:val="20"/>
          <w:szCs w:val="20"/>
          <w:color w:val="auto"/>
        </w:rPr>
        <w:tab/>
      </w:r>
      <w:r>
        <w:rPr>
          <w:rFonts w:ascii="Arial" w:cs="Arial" w:eastAsia="Arial" w:hAnsi="Arial"/>
          <w:sz w:val="16"/>
          <w:szCs w:val="16"/>
          <w:b w:val="1"/>
          <w:bCs w:val="1"/>
          <w:color w:val="auto"/>
        </w:rPr>
        <w:t>Communications in writing</w:t>
      </w:r>
    </w:p>
    <w:p>
      <w:pPr>
        <w:spacing w:after="0" w:line="191" w:lineRule="exact"/>
        <w:rPr>
          <w:sz w:val="20"/>
          <w:szCs w:val="20"/>
          <w:color w:val="auto"/>
        </w:rPr>
      </w:pPr>
    </w:p>
    <w:p>
      <w:pPr>
        <w:jc w:val="both"/>
        <w:ind w:left="620"/>
        <w:spacing w:after="0" w:line="27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email or letter.</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27.2</w:t>
      </w:r>
      <w:r>
        <w:rPr>
          <w:sz w:val="20"/>
          <w:szCs w:val="20"/>
          <w:color w:val="auto"/>
        </w:rPr>
        <w:tab/>
      </w:r>
      <w:r>
        <w:rPr>
          <w:rFonts w:ascii="Arial" w:cs="Arial" w:eastAsia="Arial" w:hAnsi="Arial"/>
          <w:sz w:val="15"/>
          <w:szCs w:val="15"/>
          <w:b w:val="1"/>
          <w:bCs w:val="1"/>
          <w:color w:val="auto"/>
        </w:rPr>
        <w:t>Addresses</w:t>
      </w:r>
    </w:p>
    <w:p>
      <w:pPr>
        <w:spacing w:after="0" w:line="191" w:lineRule="exact"/>
        <w:rPr>
          <w:sz w:val="20"/>
          <w:szCs w:val="20"/>
          <w:color w:val="auto"/>
        </w:rPr>
      </w:pPr>
    </w:p>
    <w:p>
      <w:pPr>
        <w:jc w:val="both"/>
        <w:ind w:left="620"/>
        <w:spacing w:after="0" w:line="259" w:lineRule="auto"/>
        <w:rPr>
          <w:sz w:val="20"/>
          <w:szCs w:val="20"/>
          <w:color w:val="auto"/>
        </w:rPr>
      </w:pPr>
      <w:r>
        <w:rPr>
          <w:rFonts w:ascii="Arial" w:cs="Arial" w:eastAsia="Arial" w:hAnsi="Arial"/>
          <w:sz w:val="18"/>
          <w:szCs w:val="18"/>
          <w:color w:val="auto"/>
        </w:rPr>
        <w:t>The address and email address (and the department or officer, if any, for whose attention the communication is to be made) of each Party for any communication or document to be made or delivered under or in connection with the Finance Documents is that identified with its name below or any substitute address or email address or department or officer as the Party may notify to the other Parties by not less than five Business Days' notice.</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27.3</w:t>
      </w:r>
      <w:r>
        <w:rPr>
          <w:sz w:val="20"/>
          <w:szCs w:val="20"/>
          <w:color w:val="auto"/>
        </w:rPr>
        <w:tab/>
      </w:r>
      <w:r>
        <w:rPr>
          <w:rFonts w:ascii="Arial" w:cs="Arial" w:eastAsia="Arial" w:hAnsi="Arial"/>
          <w:sz w:val="16"/>
          <w:szCs w:val="16"/>
          <w:b w:val="1"/>
          <w:bCs w:val="1"/>
          <w:color w:val="auto"/>
        </w:rPr>
        <w:t>Delivery</w:t>
      </w:r>
    </w:p>
    <w:p>
      <w:pPr>
        <w:spacing w:after="0" w:line="205" w:lineRule="exact"/>
        <w:rPr>
          <w:sz w:val="20"/>
          <w:szCs w:val="20"/>
          <w:color w:val="auto"/>
        </w:rPr>
      </w:pPr>
    </w:p>
    <w:p>
      <w:pPr>
        <w:ind w:left="1280" w:right="20" w:hanging="624"/>
        <w:spacing w:after="0" w:line="266" w:lineRule="auto"/>
        <w:tabs>
          <w:tab w:leader="none" w:pos="1262" w:val="left"/>
        </w:tabs>
        <w:numPr>
          <w:ilvl w:val="0"/>
          <w:numId w:val="276"/>
        </w:numPr>
        <w:rPr>
          <w:rFonts w:ascii="Arial" w:cs="Arial" w:eastAsia="Arial" w:hAnsi="Arial"/>
          <w:sz w:val="20"/>
          <w:szCs w:val="20"/>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276"/>
        </w:numPr>
        <w:rPr>
          <w:rFonts w:ascii="Arial" w:cs="Arial" w:eastAsia="Arial" w:hAnsi="Arial"/>
          <w:sz w:val="20"/>
          <w:szCs w:val="20"/>
          <w:color w:val="auto"/>
        </w:rPr>
      </w:pPr>
      <w:r>
        <w:rPr>
          <w:rFonts w:ascii="Arial" w:cs="Arial" w:eastAsia="Arial" w:hAnsi="Arial"/>
          <w:sz w:val="18"/>
          <w:szCs w:val="18"/>
          <w:color w:val="auto"/>
        </w:rPr>
        <w:t>if by way of email, when received in legible form; or</w:t>
      </w:r>
    </w:p>
    <w:p>
      <w:pPr>
        <w:spacing w:after="0" w:line="188"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276"/>
        </w:numPr>
        <w:rPr>
          <w:rFonts w:ascii="Arial" w:cs="Arial" w:eastAsia="Arial" w:hAnsi="Arial"/>
          <w:sz w:val="20"/>
          <w:szCs w:val="20"/>
          <w:color w:val="auto"/>
        </w:rPr>
      </w:pPr>
      <w:r>
        <w:rPr>
          <w:rFonts w:ascii="Arial" w:cs="Arial" w:eastAsia="Arial" w:hAnsi="Arial"/>
          <w:sz w:val="18"/>
          <w:szCs w:val="18"/>
          <w:color w:val="auto"/>
        </w:rPr>
        <w:t>if by way of letter, when it has been left at the relevant address or five Business Days after being deposited in the post postage prepaid in an envelope addressed to it at that address;</w:t>
      </w:r>
    </w:p>
    <w:p>
      <w:pPr>
        <w:spacing w:after="0" w:line="150" w:lineRule="exact"/>
        <w:rPr>
          <w:sz w:val="20"/>
          <w:szCs w:val="20"/>
          <w:color w:val="auto"/>
        </w:rPr>
      </w:pPr>
    </w:p>
    <w:p>
      <w:pPr>
        <w:ind w:left="1280"/>
        <w:spacing w:after="0" w:line="27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27.2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157" w:lineRule="exact"/>
        <w:rPr>
          <w:sz w:val="20"/>
          <w:szCs w:val="20"/>
          <w:color w:val="auto"/>
        </w:rPr>
      </w:pPr>
    </w:p>
    <w:p>
      <w:pPr>
        <w:ind w:left="1280" w:right="20" w:hanging="624"/>
        <w:spacing w:after="0" w:line="266" w:lineRule="auto"/>
        <w:tabs>
          <w:tab w:leader="none" w:pos="1262" w:val="left"/>
        </w:tabs>
        <w:numPr>
          <w:ilvl w:val="0"/>
          <w:numId w:val="277"/>
        </w:numPr>
        <w:rPr>
          <w:rFonts w:ascii="Arial" w:cs="Arial" w:eastAsia="Arial" w:hAnsi="Arial"/>
          <w:sz w:val="20"/>
          <w:szCs w:val="20"/>
          <w:color w:val="auto"/>
        </w:rPr>
      </w:pPr>
      <w:r>
        <w:rPr>
          <w:rFonts w:ascii="Arial" w:cs="Arial" w:eastAsia="Arial" w:hAnsi="Arial"/>
          <w:sz w:val="18"/>
          <w:szCs w:val="18"/>
          <w:color w:val="auto"/>
        </w:rPr>
        <w:t>Any communication or document which becomes effective, in accordance with paragraph (a) above, after 5:00 p.m. in the place of receipt shall be deemed only to become effective on the following day.</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27.4</w:t>
      </w:r>
      <w:r>
        <w:rPr>
          <w:sz w:val="20"/>
          <w:szCs w:val="20"/>
          <w:color w:val="auto"/>
        </w:rPr>
        <w:tab/>
      </w:r>
      <w:r>
        <w:rPr>
          <w:rFonts w:ascii="Arial" w:cs="Arial" w:eastAsia="Arial" w:hAnsi="Arial"/>
          <w:sz w:val="16"/>
          <w:szCs w:val="16"/>
          <w:b w:val="1"/>
          <w:bCs w:val="1"/>
          <w:color w:val="auto"/>
        </w:rPr>
        <w:t>Electronic communication</w:t>
      </w:r>
    </w:p>
    <w:p>
      <w:pPr>
        <w:spacing w:after="0" w:line="205" w:lineRule="exact"/>
        <w:rPr>
          <w:sz w:val="20"/>
          <w:szCs w:val="20"/>
          <w:color w:val="auto"/>
        </w:rPr>
      </w:pPr>
    </w:p>
    <w:p>
      <w:pPr>
        <w:jc w:val="both"/>
        <w:ind w:left="1280" w:hanging="624"/>
        <w:spacing w:after="0" w:line="264" w:lineRule="auto"/>
        <w:tabs>
          <w:tab w:leader="none" w:pos="1262" w:val="left"/>
        </w:tabs>
        <w:numPr>
          <w:ilvl w:val="0"/>
          <w:numId w:val="278"/>
        </w:numPr>
        <w:rPr>
          <w:rFonts w:ascii="Arial" w:cs="Arial" w:eastAsia="Arial" w:hAnsi="Arial"/>
          <w:sz w:val="20"/>
          <w:szCs w:val="20"/>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in addition to email which is permitted pursuant to Clause 27.1 (</w:t>
      </w:r>
      <w:r>
        <w:rPr>
          <w:rFonts w:ascii="Arial" w:cs="Arial" w:eastAsia="Arial" w:hAnsi="Arial"/>
          <w:sz w:val="18"/>
          <w:szCs w:val="18"/>
          <w:i w:val="1"/>
          <w:iCs w:val="1"/>
          <w:color w:val="auto"/>
        </w:rPr>
        <w:t>Communications in writing</w:t>
      </w:r>
      <w:r>
        <w:rPr>
          <w:rFonts w:ascii="Arial" w:cs="Arial" w:eastAsia="Arial" w:hAnsi="Arial"/>
          <w:sz w:val="18"/>
          <w:szCs w:val="18"/>
          <w:color w:val="auto"/>
        </w:rPr>
        <w:t>) above (including, without limitation, by way of posting to a secure website) if those two Parties: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55" w:right="339" w:bottom="1440" w:gutter="0" w:footer="0" w:header="0"/>
        </w:sectPr>
      </w:pPr>
    </w:p>
    <w:bookmarkStart w:id="94" w:name="page95"/>
    <w:bookmarkEnd w:id="94"/>
    <w:p>
      <w:pPr>
        <w:ind w:left="1920" w:hanging="643"/>
        <w:spacing w:after="0" w:line="266" w:lineRule="auto"/>
        <w:tabs>
          <w:tab w:leader="none" w:pos="1920" w:val="left"/>
        </w:tabs>
        <w:numPr>
          <w:ilvl w:val="1"/>
          <w:numId w:val="279"/>
        </w:numPr>
        <w:rPr>
          <w:rFonts w:ascii="Arial" w:cs="Arial" w:eastAsia="Arial" w:hAnsi="Arial"/>
          <w:sz w:val="20"/>
          <w:szCs w:val="20"/>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163"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279"/>
        </w:numPr>
        <w:rPr>
          <w:rFonts w:ascii="Arial" w:cs="Arial" w:eastAsia="Arial" w:hAnsi="Arial"/>
          <w:sz w:val="20"/>
          <w:szCs w:val="20"/>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63"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280"/>
        </w:numPr>
        <w:rPr>
          <w:rFonts w:ascii="Arial" w:cs="Arial" w:eastAsia="Arial" w:hAnsi="Arial"/>
          <w:sz w:val="20"/>
          <w:szCs w:val="20"/>
          <w:color w:val="auto"/>
        </w:rPr>
      </w:pPr>
      <w:r>
        <w:rPr>
          <w:rFonts w:ascii="Arial" w:cs="Arial" w:eastAsia="Arial" w:hAnsi="Arial"/>
          <w:sz w:val="18"/>
          <w:szCs w:val="18"/>
          <w:color w:val="auto"/>
        </w:rPr>
        <w:t>Any such electronic communication as permitted in paragraph (a) above to be made between the Company and the Lender may only be made in that way to the extent that those two Parties agree that, unless and until notified to the contrary, this is to be an accepted form of communication.</w:t>
      </w:r>
    </w:p>
    <w:p>
      <w:pPr>
        <w:spacing w:after="0" w:line="169"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280"/>
        </w:numPr>
        <w:rPr>
          <w:rFonts w:ascii="Arial" w:cs="Arial" w:eastAsia="Arial" w:hAnsi="Arial"/>
          <w:sz w:val="20"/>
          <w:szCs w:val="20"/>
          <w:color w:val="auto"/>
        </w:rPr>
      </w:pPr>
      <w:r>
        <w:rPr>
          <w:rFonts w:ascii="Arial" w:cs="Arial" w:eastAsia="Arial" w:hAnsi="Arial"/>
          <w:sz w:val="18"/>
          <w:szCs w:val="18"/>
          <w:color w:val="auto"/>
        </w:rPr>
        <w:t>Any such electronic communication as permitted in paragraph (a) above made between any two Parties will be effective only when actually received (or made available) in readable form and in the case of any electronic communication made by a Party to the Lender only if it is addressed in such a manner as the Lender shall specify for this purpose.</w:t>
      </w:r>
    </w:p>
    <w:p>
      <w:pPr>
        <w:spacing w:after="0" w:line="169"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280"/>
        </w:numPr>
        <w:rPr>
          <w:rFonts w:ascii="Arial" w:cs="Arial" w:eastAsia="Arial" w:hAnsi="Arial"/>
          <w:sz w:val="20"/>
          <w:szCs w:val="20"/>
          <w:color w:val="auto"/>
        </w:rPr>
      </w:pPr>
      <w:r>
        <w:rPr>
          <w:rFonts w:ascii="Arial" w:cs="Arial" w:eastAsia="Arial" w:hAnsi="Arial"/>
          <w:sz w:val="18"/>
          <w:szCs w:val="18"/>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169"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280"/>
        </w:numPr>
        <w:rPr>
          <w:rFonts w:ascii="Arial" w:cs="Arial" w:eastAsia="Arial" w:hAnsi="Arial"/>
          <w:sz w:val="20"/>
          <w:szCs w:val="20"/>
          <w:color w:val="auto"/>
        </w:rPr>
      </w:pPr>
      <w:r>
        <w:rPr>
          <w:rFonts w:ascii="Arial" w:cs="Arial" w:eastAsia="Arial" w:hAnsi="Arial"/>
          <w:sz w:val="18"/>
          <w:szCs w:val="18"/>
          <w:color w:val="auto"/>
        </w:rPr>
        <w:t>Any reference in a Finance Document to a communication being sent or received shall be construed to include that communication being made available in accordance with this Clause 27.4.</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27.5</w:t>
      </w:r>
      <w:r>
        <w:rPr>
          <w:sz w:val="20"/>
          <w:szCs w:val="20"/>
          <w:color w:val="auto"/>
        </w:rPr>
        <w:tab/>
      </w:r>
      <w:r>
        <w:rPr>
          <w:rFonts w:ascii="Arial" w:cs="Arial" w:eastAsia="Arial" w:hAnsi="Arial"/>
          <w:sz w:val="15"/>
          <w:szCs w:val="15"/>
          <w:b w:val="1"/>
          <w:bCs w:val="1"/>
          <w:color w:val="auto"/>
        </w:rPr>
        <w:t>English language</w:t>
      </w:r>
    </w:p>
    <w:p>
      <w:pPr>
        <w:spacing w:after="0" w:line="205" w:lineRule="exact"/>
        <w:rPr>
          <w:sz w:val="20"/>
          <w:szCs w:val="20"/>
          <w:color w:val="auto"/>
        </w:rPr>
      </w:pPr>
    </w:p>
    <w:p>
      <w:pPr>
        <w:ind w:left="1260" w:hanging="604"/>
        <w:spacing w:after="0"/>
        <w:tabs>
          <w:tab w:leader="none" w:pos="1260" w:val="left"/>
        </w:tabs>
        <w:numPr>
          <w:ilvl w:val="0"/>
          <w:numId w:val="281"/>
        </w:numPr>
        <w:rPr>
          <w:rFonts w:ascii="Arial" w:cs="Arial" w:eastAsia="Arial" w:hAnsi="Arial"/>
          <w:sz w:val="20"/>
          <w:szCs w:val="20"/>
          <w:color w:val="auto"/>
        </w:rPr>
      </w:pPr>
      <w:r>
        <w:rPr>
          <w:rFonts w:ascii="Arial" w:cs="Arial" w:eastAsia="Arial" w:hAnsi="Arial"/>
          <w:sz w:val="18"/>
          <w:szCs w:val="18"/>
          <w:color w:val="auto"/>
        </w:rPr>
        <w:t>Any notice given under or in connection with any Finance Document must be in English.</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81"/>
        </w:numPr>
        <w:rPr>
          <w:rFonts w:ascii="Arial" w:cs="Arial" w:eastAsia="Arial" w:hAnsi="Arial"/>
          <w:sz w:val="20"/>
          <w:szCs w:val="20"/>
          <w:color w:val="auto"/>
        </w:rPr>
      </w:pPr>
      <w:r>
        <w:rPr>
          <w:rFonts w:ascii="Arial" w:cs="Arial" w:eastAsia="Arial" w:hAnsi="Arial"/>
          <w:sz w:val="18"/>
          <w:szCs w:val="18"/>
          <w:color w:val="auto"/>
        </w:rPr>
        <w:t>All other documents provided under or in connection with any Finance Document must be:</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81"/>
        </w:numPr>
        <w:rPr>
          <w:rFonts w:ascii="Arial" w:cs="Arial" w:eastAsia="Arial" w:hAnsi="Arial"/>
          <w:sz w:val="20"/>
          <w:szCs w:val="20"/>
          <w:color w:val="auto"/>
        </w:rPr>
      </w:pPr>
      <w:r>
        <w:rPr>
          <w:rFonts w:ascii="Arial" w:cs="Arial" w:eastAsia="Arial" w:hAnsi="Arial"/>
          <w:sz w:val="18"/>
          <w:szCs w:val="18"/>
          <w:color w:val="auto"/>
        </w:rPr>
        <w:t>in English; or</w:t>
      </w:r>
    </w:p>
    <w:p>
      <w:pPr>
        <w:spacing w:after="0" w:line="188" w:lineRule="exact"/>
        <w:rPr>
          <w:rFonts w:ascii="Arial" w:cs="Arial" w:eastAsia="Arial" w:hAnsi="Arial"/>
          <w:sz w:val="20"/>
          <w:szCs w:val="20"/>
          <w:color w:val="auto"/>
        </w:rPr>
      </w:pPr>
    </w:p>
    <w:p>
      <w:pPr>
        <w:ind w:left="1920" w:right="20" w:hanging="643"/>
        <w:spacing w:after="0" w:line="266" w:lineRule="auto"/>
        <w:tabs>
          <w:tab w:leader="none" w:pos="1920" w:val="left"/>
        </w:tabs>
        <w:numPr>
          <w:ilvl w:val="1"/>
          <w:numId w:val="281"/>
        </w:numPr>
        <w:rPr>
          <w:rFonts w:ascii="Arial" w:cs="Arial" w:eastAsia="Arial" w:hAnsi="Arial"/>
          <w:sz w:val="20"/>
          <w:szCs w:val="20"/>
          <w:color w:val="auto"/>
        </w:rPr>
      </w:pPr>
      <w:r>
        <w:rPr>
          <w:rFonts w:ascii="Arial" w:cs="Arial" w:eastAsia="Arial" w:hAnsi="Arial"/>
          <w:sz w:val="18"/>
          <w:szCs w:val="18"/>
          <w:color w:val="auto"/>
        </w:rPr>
        <w:t>if not in English, and if so required by the Lender, accompanied by a certified English translation and, in this case, the English translation will prevail unless the document is a constitutional, statutory or other official document.</w:t>
      </w:r>
    </w:p>
    <w:p>
      <w:pPr>
        <w:spacing w:after="0" w:line="160" w:lineRule="exact"/>
        <w:rPr>
          <w:sz w:val="20"/>
          <w:szCs w:val="20"/>
          <w:color w:val="auto"/>
        </w:rPr>
      </w:pPr>
    </w:p>
    <w:p>
      <w:pPr>
        <w:ind w:left="620" w:hanging="612"/>
        <w:spacing w:after="0"/>
        <w:tabs>
          <w:tab w:leader="none" w:pos="620" w:val="left"/>
        </w:tabs>
        <w:numPr>
          <w:ilvl w:val="0"/>
          <w:numId w:val="282"/>
        </w:numPr>
        <w:rPr>
          <w:rFonts w:ascii="Arial" w:cs="Arial" w:eastAsia="Arial" w:hAnsi="Arial"/>
          <w:sz w:val="20"/>
          <w:szCs w:val="20"/>
          <w:b w:val="1"/>
          <w:bCs w:val="1"/>
          <w:color w:val="auto"/>
        </w:rPr>
      </w:pPr>
      <w:r>
        <w:rPr>
          <w:rFonts w:ascii="Arial" w:cs="Arial" w:eastAsia="Arial" w:hAnsi="Arial"/>
          <w:sz w:val="18"/>
          <w:szCs w:val="18"/>
          <w:b w:val="1"/>
          <w:bCs w:val="1"/>
          <w:color w:val="auto"/>
        </w:rPr>
        <w:t>CALCULATIONS AND CERTIFICATES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28.1</w:t>
      </w:r>
      <w:r>
        <w:rPr>
          <w:sz w:val="20"/>
          <w:szCs w:val="20"/>
          <w:color w:val="auto"/>
        </w:rPr>
        <w:tab/>
      </w:r>
      <w:r>
        <w:rPr>
          <w:rFonts w:ascii="Arial" w:cs="Arial" w:eastAsia="Arial" w:hAnsi="Arial"/>
          <w:sz w:val="15"/>
          <w:szCs w:val="15"/>
          <w:b w:val="1"/>
          <w:bCs w:val="1"/>
          <w:color w:val="auto"/>
        </w:rPr>
        <w:t>Accounts</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the Lender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355" w:right="339" w:bottom="1440" w:gutter="0" w:footer="0" w:header="0"/>
        </w:sectPr>
      </w:pPr>
    </w:p>
    <w:bookmarkStart w:id="95" w:name="page96"/>
    <w:bookmarkEnd w:id="95"/>
    <w:p>
      <w:pPr>
        <w:spacing w:after="0"/>
        <w:tabs>
          <w:tab w:leader="none" w:pos="600" w:val="left"/>
        </w:tabs>
        <w:rPr>
          <w:sz w:val="20"/>
          <w:szCs w:val="20"/>
          <w:color w:val="auto"/>
        </w:rPr>
      </w:pPr>
      <w:r>
        <w:rPr>
          <w:rFonts w:ascii="Arial" w:cs="Arial" w:eastAsia="Arial" w:hAnsi="Arial"/>
          <w:sz w:val="20"/>
          <w:szCs w:val="20"/>
          <w:color w:val="auto"/>
        </w:rPr>
        <w:t>28.2</w:t>
      </w:r>
      <w:r>
        <w:rPr>
          <w:sz w:val="20"/>
          <w:szCs w:val="20"/>
          <w:color w:val="auto"/>
        </w:rPr>
        <w:tab/>
      </w:r>
      <w:r>
        <w:rPr>
          <w:rFonts w:ascii="Arial" w:cs="Arial" w:eastAsia="Arial" w:hAnsi="Arial"/>
          <w:sz w:val="16"/>
          <w:szCs w:val="16"/>
          <w:b w:val="1"/>
          <w:bCs w:val="1"/>
          <w:color w:val="auto"/>
        </w:rPr>
        <w:t>Certificates and Determinations</w:t>
      </w:r>
    </w:p>
    <w:p>
      <w:pPr>
        <w:spacing w:after="0" w:line="191" w:lineRule="exact"/>
        <w:rPr>
          <w:sz w:val="20"/>
          <w:szCs w:val="20"/>
          <w:color w:val="auto"/>
        </w:rPr>
      </w:pPr>
    </w:p>
    <w:p>
      <w:pPr>
        <w:jc w:val="both"/>
        <w:ind w:left="620"/>
        <w:spacing w:after="0" w:line="277" w:lineRule="auto"/>
        <w:rPr>
          <w:sz w:val="20"/>
          <w:szCs w:val="20"/>
          <w:color w:val="auto"/>
        </w:rPr>
      </w:pPr>
      <w:r>
        <w:rPr>
          <w:rFonts w:ascii="Arial" w:cs="Arial" w:eastAsia="Arial" w:hAnsi="Arial"/>
          <w:sz w:val="18"/>
          <w:szCs w:val="18"/>
          <w:color w:val="auto"/>
        </w:rPr>
        <w:t>Any certification or determination by the Lender of a rate or amount under any Finance Document is, in the absence of manifest error, conclusive evidence of the matters to which it relates.</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28.3</w:t>
      </w:r>
      <w:r>
        <w:rPr>
          <w:sz w:val="20"/>
          <w:szCs w:val="20"/>
          <w:color w:val="auto"/>
        </w:rPr>
        <w:tab/>
      </w:r>
      <w:r>
        <w:rPr>
          <w:rFonts w:ascii="Arial" w:cs="Arial" w:eastAsia="Arial" w:hAnsi="Arial"/>
          <w:sz w:val="16"/>
          <w:szCs w:val="16"/>
          <w:b w:val="1"/>
          <w:bCs w:val="1"/>
          <w:color w:val="auto"/>
        </w:rPr>
        <w:t>Day count convention</w:t>
      </w:r>
    </w:p>
    <w:p>
      <w:pPr>
        <w:spacing w:after="0" w:line="19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166" w:lineRule="exact"/>
        <w:rPr>
          <w:sz w:val="20"/>
          <w:szCs w:val="20"/>
          <w:color w:val="auto"/>
        </w:rPr>
      </w:pPr>
    </w:p>
    <w:p>
      <w:pPr>
        <w:ind w:left="620" w:hanging="612"/>
        <w:spacing w:after="0"/>
        <w:tabs>
          <w:tab w:leader="none" w:pos="620" w:val="left"/>
        </w:tabs>
        <w:numPr>
          <w:ilvl w:val="0"/>
          <w:numId w:val="283"/>
        </w:numPr>
        <w:rPr>
          <w:rFonts w:ascii="Arial" w:cs="Arial" w:eastAsia="Arial" w:hAnsi="Arial"/>
          <w:sz w:val="20"/>
          <w:szCs w:val="20"/>
          <w:b w:val="1"/>
          <w:bCs w:val="1"/>
          <w:color w:val="auto"/>
        </w:rPr>
      </w:pPr>
      <w:r>
        <w:rPr>
          <w:rFonts w:ascii="Arial" w:cs="Arial" w:eastAsia="Arial" w:hAnsi="Arial"/>
          <w:sz w:val="18"/>
          <w:szCs w:val="18"/>
          <w:b w:val="1"/>
          <w:bCs w:val="1"/>
          <w:color w:val="auto"/>
        </w:rPr>
        <w:t>PARTIAL INVALIDITY</w:t>
      </w:r>
    </w:p>
    <w:p>
      <w:pPr>
        <w:spacing w:after="0" w:line="179" w:lineRule="exact"/>
        <w:rPr>
          <w:rFonts w:ascii="Arial" w:cs="Arial" w:eastAsia="Arial" w:hAnsi="Arial"/>
          <w:sz w:val="20"/>
          <w:szCs w:val="20"/>
          <w:b w:val="1"/>
          <w:bCs w:val="1"/>
          <w:color w:val="auto"/>
        </w:rPr>
      </w:pPr>
    </w:p>
    <w:p>
      <w:pPr>
        <w:jc w:val="both"/>
        <w:ind w:left="620"/>
        <w:spacing w:after="0" w:line="263" w:lineRule="auto"/>
        <w:rPr>
          <w:rFonts w:ascii="Arial" w:cs="Arial" w:eastAsia="Arial" w:hAnsi="Arial"/>
          <w:sz w:val="20"/>
          <w:szCs w:val="20"/>
          <w:b w:val="1"/>
          <w:bCs w:val="1"/>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66" w:lineRule="exact"/>
        <w:rPr>
          <w:rFonts w:ascii="Arial" w:cs="Arial" w:eastAsia="Arial" w:hAnsi="Arial"/>
          <w:sz w:val="20"/>
          <w:szCs w:val="20"/>
          <w:b w:val="1"/>
          <w:bCs w:val="1"/>
          <w:color w:val="auto"/>
        </w:rPr>
      </w:pPr>
    </w:p>
    <w:p>
      <w:pPr>
        <w:ind w:left="620" w:hanging="612"/>
        <w:spacing w:after="0"/>
        <w:tabs>
          <w:tab w:leader="none" w:pos="620" w:val="left"/>
        </w:tabs>
        <w:numPr>
          <w:ilvl w:val="0"/>
          <w:numId w:val="283"/>
        </w:numPr>
        <w:rPr>
          <w:rFonts w:ascii="Arial" w:cs="Arial" w:eastAsia="Arial" w:hAnsi="Arial"/>
          <w:sz w:val="20"/>
          <w:szCs w:val="20"/>
          <w:b w:val="1"/>
          <w:bCs w:val="1"/>
          <w:color w:val="auto"/>
        </w:rPr>
      </w:pPr>
      <w:r>
        <w:rPr>
          <w:rFonts w:ascii="Arial" w:cs="Arial" w:eastAsia="Arial" w:hAnsi="Arial"/>
          <w:sz w:val="18"/>
          <w:szCs w:val="18"/>
          <w:b w:val="1"/>
          <w:bCs w:val="1"/>
          <w:color w:val="auto"/>
        </w:rPr>
        <w:t>REMEDIES AND WAIVERS</w:t>
      </w:r>
    </w:p>
    <w:p>
      <w:pPr>
        <w:spacing w:after="0" w:line="179" w:lineRule="exact"/>
        <w:rPr>
          <w:rFonts w:ascii="Arial" w:cs="Arial" w:eastAsia="Arial" w:hAnsi="Arial"/>
          <w:sz w:val="20"/>
          <w:szCs w:val="20"/>
          <w:b w:val="1"/>
          <w:bCs w:val="1"/>
          <w:color w:val="auto"/>
        </w:rPr>
      </w:pPr>
    </w:p>
    <w:p>
      <w:pPr>
        <w:jc w:val="both"/>
        <w:ind w:left="620"/>
        <w:spacing w:after="0" w:line="257" w:lineRule="auto"/>
        <w:rPr>
          <w:rFonts w:ascii="Arial" w:cs="Arial" w:eastAsia="Arial" w:hAnsi="Arial"/>
          <w:sz w:val="20"/>
          <w:szCs w:val="20"/>
          <w:b w:val="1"/>
          <w:bCs w:val="1"/>
          <w:color w:val="auto"/>
        </w:rPr>
      </w:pPr>
      <w:r>
        <w:rPr>
          <w:rFonts w:ascii="Arial" w:cs="Arial" w:eastAsia="Arial" w:hAnsi="Arial"/>
          <w:sz w:val="18"/>
          <w:szCs w:val="18"/>
          <w:color w:val="auto"/>
        </w:rPr>
        <w:t>No failure to exercise, nor any delay in exercising, on the part of the Lender, any right or remedy under a Finance Document shall operate as a waiver of any such right or remedy or constitute an election to affirm any of the Finance Documents. No election by the Lender to affirm any Finance Document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70" w:lineRule="exact"/>
        <w:rPr>
          <w:rFonts w:ascii="Arial" w:cs="Arial" w:eastAsia="Arial" w:hAnsi="Arial"/>
          <w:sz w:val="20"/>
          <w:szCs w:val="20"/>
          <w:b w:val="1"/>
          <w:bCs w:val="1"/>
          <w:color w:val="auto"/>
        </w:rPr>
      </w:pPr>
    </w:p>
    <w:p>
      <w:pPr>
        <w:ind w:left="620" w:hanging="612"/>
        <w:spacing w:after="0"/>
        <w:tabs>
          <w:tab w:leader="none" w:pos="620" w:val="left"/>
        </w:tabs>
        <w:numPr>
          <w:ilvl w:val="0"/>
          <w:numId w:val="283"/>
        </w:numPr>
        <w:rPr>
          <w:rFonts w:ascii="Arial" w:cs="Arial" w:eastAsia="Arial" w:hAnsi="Arial"/>
          <w:sz w:val="20"/>
          <w:szCs w:val="20"/>
          <w:b w:val="1"/>
          <w:bCs w:val="1"/>
          <w:color w:val="auto"/>
        </w:rPr>
      </w:pPr>
      <w:r>
        <w:rPr>
          <w:rFonts w:ascii="Arial" w:cs="Arial" w:eastAsia="Arial" w:hAnsi="Arial"/>
          <w:sz w:val="18"/>
          <w:szCs w:val="18"/>
          <w:b w:val="1"/>
          <w:bCs w:val="1"/>
          <w:color w:val="auto"/>
        </w:rPr>
        <w:t>AMENDMENTS AND WAIVERS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5"/>
          <w:szCs w:val="15"/>
          <w:b w:val="1"/>
          <w:bCs w:val="1"/>
          <w:color w:val="auto"/>
        </w:rPr>
        <w:t>Required consents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Any term of the Finance Documents may be amended or waived only with the consent of all Parties.</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5"/>
          <w:szCs w:val="15"/>
          <w:b w:val="1"/>
          <w:bCs w:val="1"/>
          <w:color w:val="auto"/>
        </w:rPr>
        <w:t>Replacement of Screen Rate</w:t>
      </w:r>
    </w:p>
    <w:p>
      <w:pPr>
        <w:spacing w:after="0" w:line="205" w:lineRule="exact"/>
        <w:rPr>
          <w:sz w:val="20"/>
          <w:szCs w:val="20"/>
          <w:color w:val="auto"/>
        </w:rPr>
      </w:pPr>
    </w:p>
    <w:p>
      <w:pPr>
        <w:ind w:left="1260" w:hanging="604"/>
        <w:spacing w:after="0"/>
        <w:tabs>
          <w:tab w:leader="none" w:pos="1260" w:val="left"/>
        </w:tabs>
        <w:numPr>
          <w:ilvl w:val="0"/>
          <w:numId w:val="284"/>
        </w:numPr>
        <w:rPr>
          <w:rFonts w:ascii="Arial" w:cs="Arial" w:eastAsia="Arial" w:hAnsi="Arial"/>
          <w:sz w:val="20"/>
          <w:szCs w:val="20"/>
          <w:color w:val="auto"/>
        </w:rPr>
      </w:pPr>
      <w:r>
        <w:rPr>
          <w:rFonts w:ascii="Arial" w:cs="Arial" w:eastAsia="Arial" w:hAnsi="Arial"/>
          <w:sz w:val="18"/>
          <w:szCs w:val="18"/>
          <w:color w:val="auto"/>
        </w:rPr>
        <w:t>Any amendment or waiver which relates to:</w:t>
      </w:r>
    </w:p>
    <w:p>
      <w:pPr>
        <w:spacing w:after="0" w:line="175" w:lineRule="exact"/>
        <w:rPr>
          <w:rFonts w:ascii="Arial" w:cs="Arial" w:eastAsia="Arial" w:hAnsi="Arial"/>
          <w:sz w:val="20"/>
          <w:szCs w:val="20"/>
          <w:color w:val="auto"/>
        </w:rPr>
      </w:pPr>
    </w:p>
    <w:p>
      <w:pPr>
        <w:ind w:left="1920" w:hanging="643"/>
        <w:spacing w:after="0"/>
        <w:tabs>
          <w:tab w:leader="none" w:pos="19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providing for the use of a Replacement Benchmark; and</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(ii)</w:t>
      </w:r>
    </w:p>
    <w:p>
      <w:pPr>
        <w:spacing w:after="0" w:line="198" w:lineRule="exact"/>
        <w:rPr>
          <w:sz w:val="20"/>
          <w:szCs w:val="20"/>
          <w:color w:val="auto"/>
        </w:rPr>
      </w:pPr>
    </w:p>
    <w:p>
      <w:pPr>
        <w:ind w:left="2540" w:hanging="615"/>
        <w:spacing w:after="0"/>
        <w:tabs>
          <w:tab w:leader="none" w:pos="2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198" w:lineRule="exact"/>
        <w:rPr>
          <w:rFonts w:ascii="Arial" w:cs="Arial" w:eastAsia="Arial" w:hAnsi="Arial"/>
          <w:sz w:val="18"/>
          <w:szCs w:val="18"/>
          <w:color w:val="auto"/>
        </w:rPr>
      </w:pPr>
    </w:p>
    <w:p>
      <w:pPr>
        <w:jc w:val="both"/>
        <w:ind w:left="2560" w:hanging="635"/>
        <w:spacing w:after="0" w:line="263" w:lineRule="auto"/>
        <w:tabs>
          <w:tab w:leader="none" w:pos="254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39" w:right="339" w:bottom="1440" w:gutter="0" w:footer="0" w:header="0"/>
        </w:sectPr>
      </w:pPr>
    </w:p>
    <w:bookmarkStart w:id="96" w:name="page97"/>
    <w:bookmarkEnd w:id="96"/>
    <w:p>
      <w:pPr>
        <w:ind w:left="2540" w:hanging="615"/>
        <w:spacing w:after="0"/>
        <w:tabs>
          <w:tab w:leader="none" w:pos="2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198" w:lineRule="exact"/>
        <w:rPr>
          <w:rFonts w:ascii="Arial" w:cs="Arial" w:eastAsia="Arial" w:hAnsi="Arial"/>
          <w:sz w:val="18"/>
          <w:szCs w:val="18"/>
          <w:color w:val="auto"/>
        </w:rPr>
      </w:pPr>
    </w:p>
    <w:p>
      <w:pPr>
        <w:ind w:left="2540" w:hanging="615"/>
        <w:spacing w:after="0"/>
        <w:tabs>
          <w:tab w:leader="none" w:pos="2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198" w:lineRule="exact"/>
        <w:rPr>
          <w:rFonts w:ascii="Arial" w:cs="Arial" w:eastAsia="Arial" w:hAnsi="Arial"/>
          <w:sz w:val="18"/>
          <w:szCs w:val="18"/>
          <w:color w:val="auto"/>
        </w:rPr>
      </w:pPr>
    </w:p>
    <w:p>
      <w:pPr>
        <w:jc w:val="both"/>
        <w:ind w:left="2560" w:hanging="635"/>
        <w:spacing w:after="0" w:line="301" w:lineRule="auto"/>
        <w:tabs>
          <w:tab w:leader="none" w:pos="254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3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may be made with the consent of the Lender and of the Company.</w:t>
      </w:r>
    </w:p>
    <w:p>
      <w:pPr>
        <w:spacing w:after="0" w:line="208" w:lineRule="exact"/>
        <w:rPr>
          <w:sz w:val="20"/>
          <w:szCs w:val="20"/>
          <w:color w:val="auto"/>
        </w:rPr>
      </w:pPr>
    </w:p>
    <w:p>
      <w:pPr>
        <w:ind w:left="620" w:hanging="612"/>
        <w:spacing w:after="0"/>
        <w:tabs>
          <w:tab w:leader="none" w:pos="620" w:val="left"/>
        </w:tabs>
        <w:numPr>
          <w:ilvl w:val="0"/>
          <w:numId w:val="287"/>
        </w:numPr>
        <w:rPr>
          <w:rFonts w:ascii="Arial" w:cs="Arial" w:eastAsia="Arial" w:hAnsi="Arial"/>
          <w:sz w:val="20"/>
          <w:szCs w:val="20"/>
          <w:b w:val="1"/>
          <w:bCs w:val="1"/>
          <w:color w:val="auto"/>
        </w:rPr>
      </w:pPr>
      <w:r>
        <w:rPr>
          <w:rFonts w:ascii="Arial" w:cs="Arial" w:eastAsia="Arial" w:hAnsi="Arial"/>
          <w:sz w:val="18"/>
          <w:szCs w:val="18"/>
          <w:b w:val="1"/>
          <w:bCs w:val="1"/>
          <w:color w:val="auto"/>
        </w:rPr>
        <w:t>CONFIDENTIAL INFORMATION</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6"/>
          <w:szCs w:val="16"/>
          <w:b w:val="1"/>
          <w:bCs w:val="1"/>
          <w:color w:val="auto"/>
        </w:rPr>
        <w:t>Confidentiality</w:t>
      </w:r>
    </w:p>
    <w:p>
      <w:pPr>
        <w:spacing w:after="0" w:line="191" w:lineRule="exact"/>
        <w:rPr>
          <w:sz w:val="20"/>
          <w:szCs w:val="20"/>
          <w:color w:val="auto"/>
        </w:rPr>
      </w:pPr>
    </w:p>
    <w:p>
      <w:pPr>
        <w:jc w:val="both"/>
        <w:ind w:left="620"/>
        <w:spacing w:after="0" w:line="259" w:lineRule="auto"/>
        <w:rPr>
          <w:sz w:val="20"/>
          <w:szCs w:val="20"/>
          <w:color w:val="auto"/>
        </w:rPr>
      </w:pPr>
      <w:r>
        <w:rPr>
          <w:rFonts w:ascii="Arial" w:cs="Arial" w:eastAsia="Arial" w:hAnsi="Arial"/>
          <w:sz w:val="18"/>
          <w:szCs w:val="18"/>
          <w:color w:val="auto"/>
        </w:rPr>
        <w:t>The Lender agrees to keep all Confidential Information confidential and not to disclose it to anyone, save to the extent permitted by Clause 32.2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Clause 32.3 (</w:t>
      </w:r>
      <w:r>
        <w:rPr>
          <w:rFonts w:ascii="Arial" w:cs="Arial" w:eastAsia="Arial" w:hAnsi="Arial"/>
          <w:sz w:val="18"/>
          <w:szCs w:val="18"/>
          <w:i w:val="1"/>
          <w:iCs w:val="1"/>
          <w:color w:val="auto"/>
        </w:rPr>
        <w:t>Disclosure to financial information agencies</w:t>
      </w:r>
      <w:r>
        <w:rPr>
          <w:rFonts w:ascii="Arial" w:cs="Arial" w:eastAsia="Arial" w:hAnsi="Arial"/>
          <w:sz w:val="18"/>
          <w:szCs w:val="18"/>
          <w:color w:val="auto"/>
        </w:rPr>
        <w:t>) and Clause 32.4 (</w:t>
      </w:r>
      <w:r>
        <w:rPr>
          <w:rFonts w:ascii="Arial" w:cs="Arial" w:eastAsia="Arial" w:hAnsi="Arial"/>
          <w:sz w:val="18"/>
          <w:szCs w:val="18"/>
          <w:i w:val="1"/>
          <w:iCs w:val="1"/>
          <w:color w:val="auto"/>
        </w:rPr>
        <w:t>Disclosure to numbering</w:t>
      </w:r>
      <w:r>
        <w:rPr>
          <w:rFonts w:ascii="Arial" w:cs="Arial" w:eastAsia="Arial" w:hAnsi="Arial"/>
          <w:sz w:val="18"/>
          <w:szCs w:val="18"/>
          <w:color w:val="auto"/>
        </w:rPr>
        <w:t xml:space="preserve"> </w:t>
      </w:r>
      <w:r>
        <w:rPr>
          <w:rFonts w:ascii="Arial" w:cs="Arial" w:eastAsia="Arial" w:hAnsi="Arial"/>
          <w:sz w:val="18"/>
          <w:szCs w:val="18"/>
          <w:i w:val="1"/>
          <w:iCs w:val="1"/>
          <w:color w:val="auto"/>
        </w:rPr>
        <w:t>service providers</w:t>
      </w:r>
      <w:r>
        <w:rPr>
          <w:rFonts w:ascii="Arial" w:cs="Arial" w:eastAsia="Arial" w:hAnsi="Arial"/>
          <w:sz w:val="18"/>
          <w:szCs w:val="18"/>
          <w:color w:val="auto"/>
        </w:rPr>
        <w:t>) and to ensure that all Confidential Information is protected with security measures and a degree of care that would apply to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confidential information.</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16"/>
          <w:szCs w:val="16"/>
          <w:b w:val="1"/>
          <w:bCs w:val="1"/>
          <w:color w:val="auto"/>
        </w:rPr>
        <w:t>Disclosure of Confidential Information</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Lender may disclose:</w:t>
      </w:r>
    </w:p>
    <w:p>
      <w:pPr>
        <w:spacing w:after="0" w:line="212" w:lineRule="exact"/>
        <w:rPr>
          <w:sz w:val="20"/>
          <w:szCs w:val="20"/>
          <w:color w:val="auto"/>
        </w:rPr>
      </w:pPr>
    </w:p>
    <w:p>
      <w:pPr>
        <w:jc w:val="both"/>
        <w:ind w:left="1280" w:hanging="624"/>
        <w:spacing w:after="0" w:line="265" w:lineRule="auto"/>
        <w:tabs>
          <w:tab w:leader="none" w:pos="1262" w:val="left"/>
        </w:tabs>
        <w:numPr>
          <w:ilvl w:val="0"/>
          <w:numId w:val="288"/>
        </w:numPr>
        <w:rPr>
          <w:rFonts w:ascii="Arial" w:cs="Arial" w:eastAsia="Arial" w:hAnsi="Arial"/>
          <w:sz w:val="20"/>
          <w:szCs w:val="20"/>
          <w:color w:val="auto"/>
        </w:rPr>
      </w:pPr>
      <w:r>
        <w:rPr>
          <w:rFonts w:ascii="Arial" w:cs="Arial" w:eastAsia="Arial" w:hAnsi="Arial"/>
          <w:sz w:val="18"/>
          <w:szCs w:val="18"/>
          <w:color w:val="auto"/>
        </w:rPr>
        <w:t>to any of its Affiliates and Related Funds and any of its or their officers, directors, employees, professional advisers, insurers, auditors, partners and Representatives such Confidential Information as it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69" w:lineRule="exact"/>
        <w:rPr>
          <w:rFonts w:ascii="Arial" w:cs="Arial" w:eastAsia="Arial" w:hAnsi="Arial"/>
          <w:sz w:val="20"/>
          <w:szCs w:val="20"/>
          <w:color w:val="auto"/>
        </w:rPr>
      </w:pPr>
    </w:p>
    <w:p>
      <w:pPr>
        <w:ind w:left="1260" w:hanging="604"/>
        <w:spacing w:after="0"/>
        <w:tabs>
          <w:tab w:leader="none" w:pos="1260" w:val="left"/>
        </w:tabs>
        <w:numPr>
          <w:ilvl w:val="0"/>
          <w:numId w:val="288"/>
        </w:numPr>
        <w:rPr>
          <w:rFonts w:ascii="Arial" w:cs="Arial" w:eastAsia="Arial" w:hAnsi="Arial"/>
          <w:sz w:val="20"/>
          <w:szCs w:val="20"/>
          <w:color w:val="auto"/>
        </w:rPr>
      </w:pPr>
      <w:r>
        <w:rPr>
          <w:rFonts w:ascii="Arial" w:cs="Arial" w:eastAsia="Arial" w:hAnsi="Arial"/>
          <w:sz w:val="18"/>
          <w:szCs w:val="18"/>
          <w:color w:val="auto"/>
        </w:rPr>
        <w:t>to any person:</w:t>
      </w:r>
    </w:p>
    <w:p>
      <w:pPr>
        <w:spacing w:after="0" w:line="188" w:lineRule="exact"/>
        <w:rPr>
          <w:rFonts w:ascii="Arial" w:cs="Arial" w:eastAsia="Arial" w:hAnsi="Arial"/>
          <w:sz w:val="20"/>
          <w:szCs w:val="20"/>
          <w:color w:val="auto"/>
        </w:rPr>
      </w:pPr>
    </w:p>
    <w:p>
      <w:pPr>
        <w:ind w:left="1920" w:hanging="643"/>
        <w:spacing w:after="0" w:line="329" w:lineRule="auto"/>
        <w:tabs>
          <w:tab w:leader="none" w:pos="1920" w:val="left"/>
        </w:tabs>
        <w:numPr>
          <w:ilvl w:val="1"/>
          <w:numId w:val="288"/>
        </w:numPr>
        <w:rPr>
          <w:rFonts w:ascii="Arial" w:cs="Arial" w:eastAsia="Arial" w:hAnsi="Arial"/>
          <w:sz w:val="18"/>
          <w:szCs w:val="18"/>
          <w:color w:val="auto"/>
        </w:rPr>
      </w:pPr>
      <w:r>
        <w:rPr>
          <w:rFonts w:ascii="Arial" w:cs="Arial" w:eastAsia="Arial" w:hAnsi="Arial"/>
          <w:sz w:val="16"/>
          <w:szCs w:val="16"/>
          <w:color w:val="auto"/>
        </w:rPr>
        <w:t>to (or through) whom it assigns or transfers (or may potentially assign or transfer) all or any of its rights and/or obligations under one or more Finance Documents and to any of that person's Affiliates, Related Funds, Representatives and professional advisers;</w:t>
      </w:r>
    </w:p>
    <w:p>
      <w:pPr>
        <w:spacing w:after="0" w:line="112" w:lineRule="exact"/>
        <w:rPr>
          <w:rFonts w:ascii="Arial" w:cs="Arial" w:eastAsia="Arial" w:hAnsi="Arial"/>
          <w:sz w:val="18"/>
          <w:szCs w:val="18"/>
          <w:color w:val="auto"/>
        </w:rPr>
      </w:pPr>
    </w:p>
    <w:p>
      <w:pPr>
        <w:jc w:val="both"/>
        <w:ind w:left="1920" w:hanging="643"/>
        <w:spacing w:after="0" w:line="310" w:lineRule="auto"/>
        <w:tabs>
          <w:tab w:leader="none" w:pos="1920" w:val="left"/>
        </w:tabs>
        <w:numPr>
          <w:ilvl w:val="1"/>
          <w:numId w:val="288"/>
        </w:numPr>
        <w:rPr>
          <w:rFonts w:ascii="Arial" w:cs="Arial" w:eastAsia="Arial" w:hAnsi="Arial"/>
          <w:sz w:val="18"/>
          <w:szCs w:val="18"/>
          <w:color w:val="auto"/>
        </w:rPr>
      </w:pPr>
      <w:r>
        <w:rPr>
          <w:rFonts w:ascii="Arial" w:cs="Arial" w:eastAsia="Arial" w:hAnsi="Arial"/>
          <w:sz w:val="16"/>
          <w:szCs w:val="16"/>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Company and to any of that person's Affiliates, Related Funds, Representatives and professional advisers;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41" w:right="339" w:bottom="1440" w:gutter="0" w:footer="0" w:header="0"/>
        </w:sectPr>
      </w:pPr>
    </w:p>
    <w:bookmarkStart w:id="97" w:name="page98"/>
    <w:bookmarkEnd w:id="97"/>
    <w:p>
      <w:pPr>
        <w:ind w:left="800" w:hanging="643"/>
        <w:spacing w:after="0" w:line="266" w:lineRule="auto"/>
        <w:tabs>
          <w:tab w:leader="none" w:pos="800" w:val="left"/>
        </w:tabs>
        <w:numPr>
          <w:ilvl w:val="0"/>
          <w:numId w:val="289"/>
        </w:numPr>
        <w:rPr>
          <w:rFonts w:ascii="Arial" w:cs="Arial" w:eastAsia="Arial" w:hAnsi="Arial"/>
          <w:sz w:val="20"/>
          <w:szCs w:val="20"/>
          <w:color w:val="auto"/>
        </w:rPr>
      </w:pPr>
      <w:r>
        <w:rPr>
          <w:rFonts w:ascii="Arial" w:cs="Arial" w:eastAsia="Arial" w:hAnsi="Arial"/>
          <w:sz w:val="18"/>
          <w:szCs w:val="18"/>
          <w:color w:val="auto"/>
        </w:rPr>
        <w:t>appointed by the Lender or by a person to whom paragraph (b)(i) or (ii) above applies to receive communications, notices, information or documents delivered pursuant to the Finance Documents on its behalf;</w:t>
      </w:r>
    </w:p>
    <w:p>
      <w:pPr>
        <w:spacing w:after="0" w:line="163" w:lineRule="exact"/>
        <w:rPr>
          <w:rFonts w:ascii="Arial" w:cs="Arial" w:eastAsia="Arial" w:hAnsi="Arial"/>
          <w:sz w:val="20"/>
          <w:szCs w:val="20"/>
          <w:color w:val="auto"/>
        </w:rPr>
      </w:pPr>
    </w:p>
    <w:p>
      <w:pPr>
        <w:ind w:left="800" w:hanging="643"/>
        <w:spacing w:after="0" w:line="266" w:lineRule="auto"/>
        <w:tabs>
          <w:tab w:leader="none" w:pos="800" w:val="left"/>
        </w:tabs>
        <w:numPr>
          <w:ilvl w:val="0"/>
          <w:numId w:val="289"/>
        </w:numPr>
        <w:rPr>
          <w:rFonts w:ascii="Arial" w:cs="Arial" w:eastAsia="Arial" w:hAnsi="Arial"/>
          <w:sz w:val="20"/>
          <w:szCs w:val="20"/>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163" w:lineRule="exact"/>
        <w:rPr>
          <w:rFonts w:ascii="Arial" w:cs="Arial" w:eastAsia="Arial" w:hAnsi="Arial"/>
          <w:sz w:val="20"/>
          <w:szCs w:val="20"/>
          <w:color w:val="auto"/>
        </w:rPr>
      </w:pPr>
    </w:p>
    <w:p>
      <w:pPr>
        <w:jc w:val="both"/>
        <w:ind w:left="800" w:hanging="643"/>
        <w:spacing w:after="0" w:line="264" w:lineRule="auto"/>
        <w:tabs>
          <w:tab w:leader="none" w:pos="800" w:val="left"/>
        </w:tabs>
        <w:numPr>
          <w:ilvl w:val="0"/>
          <w:numId w:val="289"/>
        </w:numPr>
        <w:rPr>
          <w:rFonts w:ascii="Arial" w:cs="Arial" w:eastAsia="Arial" w:hAnsi="Arial"/>
          <w:sz w:val="20"/>
          <w:szCs w:val="20"/>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69" w:lineRule="exact"/>
        <w:rPr>
          <w:rFonts w:ascii="Arial" w:cs="Arial" w:eastAsia="Arial" w:hAnsi="Arial"/>
          <w:sz w:val="20"/>
          <w:szCs w:val="20"/>
          <w:color w:val="auto"/>
        </w:rPr>
      </w:pPr>
    </w:p>
    <w:p>
      <w:pPr>
        <w:ind w:left="800" w:hanging="643"/>
        <w:spacing w:after="0" w:line="266" w:lineRule="auto"/>
        <w:tabs>
          <w:tab w:leader="none" w:pos="800" w:val="left"/>
        </w:tabs>
        <w:numPr>
          <w:ilvl w:val="0"/>
          <w:numId w:val="289"/>
        </w:numPr>
        <w:rPr>
          <w:rFonts w:ascii="Arial" w:cs="Arial" w:eastAsia="Arial" w:hAnsi="Arial"/>
          <w:sz w:val="20"/>
          <w:szCs w:val="20"/>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163" w:lineRule="exact"/>
        <w:rPr>
          <w:rFonts w:ascii="Arial" w:cs="Arial" w:eastAsia="Arial" w:hAnsi="Arial"/>
          <w:sz w:val="20"/>
          <w:szCs w:val="20"/>
          <w:color w:val="auto"/>
        </w:rPr>
      </w:pPr>
    </w:p>
    <w:p>
      <w:pPr>
        <w:ind w:left="800" w:hanging="643"/>
        <w:spacing w:after="0" w:line="266" w:lineRule="auto"/>
        <w:tabs>
          <w:tab w:leader="none" w:pos="800" w:val="left"/>
        </w:tabs>
        <w:numPr>
          <w:ilvl w:val="0"/>
          <w:numId w:val="289"/>
        </w:numPr>
        <w:rPr>
          <w:rFonts w:ascii="Arial" w:cs="Arial" w:eastAsia="Arial" w:hAnsi="Arial"/>
          <w:sz w:val="20"/>
          <w:szCs w:val="20"/>
          <w:color w:val="auto"/>
        </w:rPr>
      </w:pPr>
      <w:r>
        <w:rPr>
          <w:rFonts w:ascii="Arial" w:cs="Arial" w:eastAsia="Arial" w:hAnsi="Arial"/>
          <w:sz w:val="18"/>
          <w:szCs w:val="18"/>
          <w:color w:val="auto"/>
        </w:rPr>
        <w:t>to whom or for whose benefit the Lender charges, assigns or otherwise creates Security (or may do so) pursuant to Clause 22.7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163" w:lineRule="exact"/>
        <w:rPr>
          <w:rFonts w:ascii="Arial" w:cs="Arial" w:eastAsia="Arial" w:hAnsi="Arial"/>
          <w:sz w:val="20"/>
          <w:szCs w:val="20"/>
          <w:color w:val="auto"/>
        </w:rPr>
      </w:pPr>
    </w:p>
    <w:p>
      <w:pPr>
        <w:ind w:left="800" w:hanging="643"/>
        <w:spacing w:after="0"/>
        <w:tabs>
          <w:tab w:leader="none" w:pos="800" w:val="left"/>
        </w:tabs>
        <w:numPr>
          <w:ilvl w:val="0"/>
          <w:numId w:val="289"/>
        </w:numPr>
        <w:rPr>
          <w:rFonts w:ascii="Arial" w:cs="Arial" w:eastAsia="Arial" w:hAnsi="Arial"/>
          <w:sz w:val="20"/>
          <w:szCs w:val="20"/>
          <w:color w:val="auto"/>
        </w:rPr>
      </w:pPr>
      <w:r>
        <w:rPr>
          <w:rFonts w:ascii="Arial" w:cs="Arial" w:eastAsia="Arial" w:hAnsi="Arial"/>
          <w:sz w:val="18"/>
          <w:szCs w:val="18"/>
          <w:color w:val="auto"/>
        </w:rPr>
        <w:t>who is a Party; or</w:t>
      </w:r>
    </w:p>
    <w:p>
      <w:pPr>
        <w:spacing w:after="0" w:line="188" w:lineRule="exact"/>
        <w:rPr>
          <w:rFonts w:ascii="Arial" w:cs="Arial" w:eastAsia="Arial" w:hAnsi="Arial"/>
          <w:sz w:val="20"/>
          <w:szCs w:val="20"/>
          <w:color w:val="auto"/>
        </w:rPr>
      </w:pPr>
    </w:p>
    <w:p>
      <w:pPr>
        <w:ind w:left="800" w:hanging="643"/>
        <w:spacing w:after="0"/>
        <w:tabs>
          <w:tab w:leader="none" w:pos="800" w:val="left"/>
        </w:tabs>
        <w:numPr>
          <w:ilvl w:val="0"/>
          <w:numId w:val="289"/>
        </w:numPr>
        <w:rPr>
          <w:rFonts w:ascii="Arial" w:cs="Arial" w:eastAsia="Arial" w:hAnsi="Arial"/>
          <w:sz w:val="20"/>
          <w:szCs w:val="20"/>
          <w:color w:val="auto"/>
        </w:rPr>
      </w:pPr>
      <w:r>
        <w:rPr>
          <w:rFonts w:ascii="Arial" w:cs="Arial" w:eastAsia="Arial" w:hAnsi="Arial"/>
          <w:sz w:val="18"/>
          <w:szCs w:val="18"/>
          <w:color w:val="auto"/>
        </w:rPr>
        <w:t>with the consent of the Company;</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each case, such Confidential Information as the Lender shall consider appropriate if:</w:t>
      </w:r>
    </w:p>
    <w:p>
      <w:pPr>
        <w:spacing w:after="0" w:line="212" w:lineRule="exact"/>
        <w:rPr>
          <w:sz w:val="20"/>
          <w:szCs w:val="20"/>
          <w:color w:val="auto"/>
        </w:rPr>
      </w:pPr>
    </w:p>
    <w:p>
      <w:pPr>
        <w:jc w:val="both"/>
        <w:ind w:left="1440" w:hanging="635"/>
        <w:spacing w:after="0" w:line="265" w:lineRule="auto"/>
        <w:tabs>
          <w:tab w:leader="none" w:pos="1422" w:val="left"/>
        </w:tabs>
        <w:numPr>
          <w:ilvl w:val="0"/>
          <w:numId w:val="290"/>
        </w:numPr>
        <w:rPr>
          <w:rFonts w:ascii="Arial" w:cs="Arial" w:eastAsia="Arial" w:hAnsi="Arial"/>
          <w:sz w:val="20"/>
          <w:szCs w:val="20"/>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67" w:lineRule="exact"/>
        <w:rPr>
          <w:rFonts w:ascii="Arial" w:cs="Arial" w:eastAsia="Arial" w:hAnsi="Arial"/>
          <w:sz w:val="20"/>
          <w:szCs w:val="20"/>
          <w:color w:val="auto"/>
        </w:rPr>
      </w:pPr>
    </w:p>
    <w:p>
      <w:pPr>
        <w:jc w:val="both"/>
        <w:ind w:left="1440" w:hanging="635"/>
        <w:spacing w:after="0" w:line="265" w:lineRule="auto"/>
        <w:tabs>
          <w:tab w:leader="none" w:pos="1422" w:val="left"/>
        </w:tabs>
        <w:numPr>
          <w:ilvl w:val="0"/>
          <w:numId w:val="290"/>
        </w:numPr>
        <w:rPr>
          <w:rFonts w:ascii="Arial" w:cs="Arial" w:eastAsia="Arial" w:hAnsi="Arial"/>
          <w:sz w:val="20"/>
          <w:szCs w:val="20"/>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67" w:lineRule="exact"/>
        <w:rPr>
          <w:rFonts w:ascii="Arial" w:cs="Arial" w:eastAsia="Arial" w:hAnsi="Arial"/>
          <w:sz w:val="20"/>
          <w:szCs w:val="20"/>
          <w:color w:val="auto"/>
        </w:rPr>
      </w:pPr>
    </w:p>
    <w:p>
      <w:pPr>
        <w:jc w:val="both"/>
        <w:ind w:left="1440" w:hanging="635"/>
        <w:spacing w:after="0" w:line="265" w:lineRule="auto"/>
        <w:tabs>
          <w:tab w:leader="none" w:pos="1422" w:val="left"/>
        </w:tabs>
        <w:numPr>
          <w:ilvl w:val="0"/>
          <w:numId w:val="290"/>
        </w:numPr>
        <w:rPr>
          <w:rFonts w:ascii="Arial" w:cs="Arial" w:eastAsia="Arial" w:hAnsi="Arial"/>
          <w:sz w:val="20"/>
          <w:szCs w:val="20"/>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the Lender, it is not practicable so to do in the circumstances;</w:t>
      </w:r>
    </w:p>
    <w:p>
      <w:pPr>
        <w:spacing w:after="0" w:line="3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120"/>
          </w:cols>
          <w:pgMar w:left="1440" w:top="355" w:right="339" w:bottom="1440" w:gutter="0" w:footer="0" w:header="0"/>
        </w:sectPr>
      </w:pPr>
    </w:p>
    <w:bookmarkStart w:id="98" w:name="page99"/>
    <w:bookmarkEnd w:id="98"/>
    <w:p>
      <w:pPr>
        <w:jc w:val="both"/>
        <w:ind w:left="1280" w:hanging="624"/>
        <w:spacing w:after="0" w:line="265" w:lineRule="auto"/>
        <w:tabs>
          <w:tab w:leader="none" w:pos="1262" w:val="left"/>
        </w:tabs>
        <w:numPr>
          <w:ilvl w:val="0"/>
          <w:numId w:val="291"/>
        </w:numPr>
        <w:rPr>
          <w:rFonts w:ascii="Arial" w:cs="Arial" w:eastAsia="Arial" w:hAnsi="Arial"/>
          <w:sz w:val="20"/>
          <w:szCs w:val="20"/>
          <w:color w:val="auto"/>
        </w:rPr>
      </w:pPr>
      <w:r>
        <w:rPr>
          <w:rFonts w:ascii="Arial" w:cs="Arial" w:eastAsia="Arial" w:hAnsi="Arial"/>
          <w:sz w:val="18"/>
          <w:szCs w:val="18"/>
          <w:color w:val="auto"/>
        </w:rPr>
        <w:t>to any person appointed by the Lender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Lender; and</w:t>
      </w:r>
    </w:p>
    <w:p>
      <w:pPr>
        <w:spacing w:after="0" w:line="170" w:lineRule="exact"/>
        <w:rPr>
          <w:rFonts w:ascii="Arial" w:cs="Arial" w:eastAsia="Arial" w:hAnsi="Arial"/>
          <w:sz w:val="20"/>
          <w:szCs w:val="20"/>
          <w:color w:val="auto"/>
        </w:rPr>
      </w:pPr>
    </w:p>
    <w:p>
      <w:pPr>
        <w:jc w:val="both"/>
        <w:ind w:left="1280" w:hanging="624"/>
        <w:spacing w:after="0" w:line="265" w:lineRule="auto"/>
        <w:tabs>
          <w:tab w:leader="none" w:pos="1262" w:val="left"/>
        </w:tabs>
        <w:numPr>
          <w:ilvl w:val="0"/>
          <w:numId w:val="291"/>
        </w:numPr>
        <w:rPr>
          <w:rFonts w:ascii="Arial" w:cs="Arial" w:eastAsia="Arial" w:hAnsi="Arial"/>
          <w:sz w:val="20"/>
          <w:szCs w:val="20"/>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Company if the person to whom the Confidential Information is to be given is informed of its confidential nature and that some or all of such Confidential Information may be price-sensitive information.</w:t>
      </w:r>
    </w:p>
    <w:p>
      <w:pPr>
        <w:spacing w:after="0" w:line="15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32.3</w:t>
      </w:r>
      <w:r>
        <w:rPr>
          <w:sz w:val="20"/>
          <w:szCs w:val="20"/>
          <w:color w:val="auto"/>
        </w:rPr>
        <w:tab/>
      </w:r>
      <w:r>
        <w:rPr>
          <w:rFonts w:ascii="Arial" w:cs="Arial" w:eastAsia="Arial" w:hAnsi="Arial"/>
          <w:sz w:val="15"/>
          <w:szCs w:val="15"/>
          <w:b w:val="1"/>
          <w:bCs w:val="1"/>
          <w:color w:val="auto"/>
        </w:rPr>
        <w:t>Disclosure to financial information agencies</w:t>
      </w:r>
    </w:p>
    <w:p>
      <w:pPr>
        <w:spacing w:after="0" w:line="205" w:lineRule="exact"/>
        <w:rPr>
          <w:sz w:val="20"/>
          <w:szCs w:val="20"/>
          <w:color w:val="auto"/>
        </w:rPr>
      </w:pPr>
    </w:p>
    <w:p>
      <w:pPr>
        <w:jc w:val="both"/>
        <w:ind w:left="1280" w:hanging="624"/>
        <w:spacing w:after="0" w:line="284" w:lineRule="auto"/>
        <w:tabs>
          <w:tab w:leader="none" w:pos="1262" w:val="left"/>
        </w:tabs>
        <w:numPr>
          <w:ilvl w:val="0"/>
          <w:numId w:val="292"/>
        </w:numPr>
        <w:rPr>
          <w:rFonts w:ascii="Arial" w:cs="Arial" w:eastAsia="Arial" w:hAnsi="Arial"/>
          <w:sz w:val="19"/>
          <w:szCs w:val="19"/>
          <w:color w:val="auto"/>
        </w:rPr>
      </w:pPr>
      <w:r>
        <w:rPr>
          <w:rFonts w:ascii="Arial" w:cs="Arial" w:eastAsia="Arial" w:hAnsi="Arial"/>
          <w:sz w:val="17"/>
          <w:szCs w:val="17"/>
          <w:color w:val="auto"/>
        </w:rPr>
        <w:t>The Lender may disclose to any financial information agency such information as may be necessary or desirable (limited to name of the Company, country of domicile of the Company, place of incorporation of the Company, sector and business type of the Company, date of this Agreement, Clause 37 (</w:t>
      </w:r>
      <w:r>
        <w:rPr>
          <w:rFonts w:ascii="Arial" w:cs="Arial" w:eastAsia="Arial" w:hAnsi="Arial"/>
          <w:sz w:val="17"/>
          <w:szCs w:val="17"/>
          <w:i w:val="1"/>
          <w:iCs w:val="1"/>
          <w:color w:val="auto"/>
        </w:rPr>
        <w:t>Governing law</w:t>
      </w:r>
      <w:r>
        <w:rPr>
          <w:rFonts w:ascii="Arial" w:cs="Arial" w:eastAsia="Arial" w:hAnsi="Arial"/>
          <w:sz w:val="17"/>
          <w:szCs w:val="17"/>
          <w:color w:val="auto"/>
        </w:rPr>
        <w:t>), amounts of the Commitment with respect to, and names of, the Facility, purpose as set forth in Clause 3.1 (</w:t>
      </w:r>
      <w:r>
        <w:rPr>
          <w:rFonts w:ascii="Arial" w:cs="Arial" w:eastAsia="Arial" w:hAnsi="Arial"/>
          <w:sz w:val="17"/>
          <w:szCs w:val="17"/>
          <w:i w:val="1"/>
          <w:iCs w:val="1"/>
          <w:color w:val="auto"/>
        </w:rPr>
        <w:t>Purpose</w:t>
      </w:r>
      <w:r>
        <w:rPr>
          <w:rFonts w:ascii="Arial" w:cs="Arial" w:eastAsia="Arial" w:hAnsi="Arial"/>
          <w:sz w:val="17"/>
          <w:szCs w:val="17"/>
          <w:color w:val="auto"/>
        </w:rPr>
        <w:t>), currency of the Facility, type of Facility, and Termination Date for Facility) for the purpose of such financial information agency compiling league table data in relation to transactions and participants.</w:t>
      </w:r>
    </w:p>
    <w:p>
      <w:pPr>
        <w:spacing w:after="0" w:line="152" w:lineRule="exact"/>
        <w:rPr>
          <w:rFonts w:ascii="Arial" w:cs="Arial" w:eastAsia="Arial" w:hAnsi="Arial"/>
          <w:sz w:val="19"/>
          <w:szCs w:val="19"/>
          <w:color w:val="auto"/>
        </w:rPr>
      </w:pPr>
    </w:p>
    <w:p>
      <w:pPr>
        <w:ind w:left="1280" w:hanging="624"/>
        <w:spacing w:after="0" w:line="266" w:lineRule="auto"/>
        <w:tabs>
          <w:tab w:leader="none" w:pos="1262" w:val="left"/>
        </w:tabs>
        <w:numPr>
          <w:ilvl w:val="0"/>
          <w:numId w:val="292"/>
        </w:numPr>
        <w:rPr>
          <w:rFonts w:ascii="Arial" w:cs="Arial" w:eastAsia="Arial" w:hAnsi="Arial"/>
          <w:sz w:val="20"/>
          <w:szCs w:val="20"/>
          <w:color w:val="auto"/>
        </w:rPr>
      </w:pPr>
      <w:r>
        <w:rPr>
          <w:rFonts w:ascii="Arial" w:cs="Arial" w:eastAsia="Arial" w:hAnsi="Arial"/>
          <w:sz w:val="18"/>
          <w:szCs w:val="18"/>
          <w:color w:val="auto"/>
        </w:rPr>
        <w:t>The Parties acknowledge and agree that league table data compiled by a financial information agency may be disclosed to users of its service in accordance with the standard terms and conditions of that financial information agency.</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32.4</w:t>
      </w:r>
      <w:r>
        <w:rPr>
          <w:sz w:val="20"/>
          <w:szCs w:val="20"/>
          <w:color w:val="auto"/>
        </w:rPr>
        <w:tab/>
      </w:r>
      <w:r>
        <w:rPr>
          <w:rFonts w:ascii="Arial" w:cs="Arial" w:eastAsia="Arial" w:hAnsi="Arial"/>
          <w:sz w:val="16"/>
          <w:szCs w:val="16"/>
          <w:b w:val="1"/>
          <w:bCs w:val="1"/>
          <w:color w:val="auto"/>
        </w:rPr>
        <w:t>Disclosure to numbering service providers</w:t>
      </w:r>
    </w:p>
    <w:p>
      <w:pPr>
        <w:spacing w:after="0" w:line="205" w:lineRule="exact"/>
        <w:rPr>
          <w:sz w:val="20"/>
          <w:szCs w:val="20"/>
          <w:color w:val="auto"/>
        </w:rPr>
      </w:pPr>
    </w:p>
    <w:p>
      <w:pPr>
        <w:ind w:left="1280" w:right="20" w:hanging="624"/>
        <w:spacing w:after="0" w:line="266" w:lineRule="auto"/>
        <w:tabs>
          <w:tab w:leader="none" w:pos="1262" w:val="left"/>
        </w:tabs>
        <w:numPr>
          <w:ilvl w:val="0"/>
          <w:numId w:val="293"/>
        </w:numPr>
        <w:rPr>
          <w:rFonts w:ascii="Arial" w:cs="Arial" w:eastAsia="Arial" w:hAnsi="Arial"/>
          <w:sz w:val="20"/>
          <w:szCs w:val="20"/>
          <w:color w:val="auto"/>
        </w:rPr>
      </w:pPr>
      <w:r>
        <w:rPr>
          <w:rFonts w:ascii="Arial" w:cs="Arial" w:eastAsia="Arial" w:hAnsi="Arial"/>
          <w:sz w:val="18"/>
          <w:szCs w:val="18"/>
          <w:color w:val="auto"/>
        </w:rPr>
        <w:t>The Lender may disclose to any national or international numbering service provider appointed by it to provide identification numbering services in respect of this Agreement, the Facility and/or the Company the following information:</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293"/>
        </w:numPr>
        <w:rPr>
          <w:rFonts w:ascii="Arial" w:cs="Arial" w:eastAsia="Arial" w:hAnsi="Arial"/>
          <w:sz w:val="20"/>
          <w:szCs w:val="20"/>
          <w:color w:val="auto"/>
        </w:rPr>
      </w:pPr>
      <w:r>
        <w:rPr>
          <w:rFonts w:ascii="Arial" w:cs="Arial" w:eastAsia="Arial" w:hAnsi="Arial"/>
          <w:sz w:val="18"/>
          <w:szCs w:val="18"/>
          <w:color w:val="auto"/>
        </w:rPr>
        <w:t>the name of the Company;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93"/>
        </w:numPr>
        <w:rPr>
          <w:rFonts w:ascii="Arial" w:cs="Arial" w:eastAsia="Arial" w:hAnsi="Arial"/>
          <w:sz w:val="20"/>
          <w:szCs w:val="20"/>
          <w:color w:val="auto"/>
        </w:rPr>
      </w:pPr>
      <w:r>
        <w:rPr>
          <w:rFonts w:ascii="Arial" w:cs="Arial" w:eastAsia="Arial" w:hAnsi="Arial"/>
          <w:sz w:val="18"/>
          <w:szCs w:val="18"/>
          <w:color w:val="auto"/>
        </w:rPr>
        <w:t>the country of domicile of the Company;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93"/>
        </w:numPr>
        <w:rPr>
          <w:rFonts w:ascii="Arial" w:cs="Arial" w:eastAsia="Arial" w:hAnsi="Arial"/>
          <w:sz w:val="20"/>
          <w:szCs w:val="20"/>
          <w:color w:val="auto"/>
        </w:rPr>
      </w:pPr>
      <w:r>
        <w:rPr>
          <w:rFonts w:ascii="Arial" w:cs="Arial" w:eastAsia="Arial" w:hAnsi="Arial"/>
          <w:sz w:val="18"/>
          <w:szCs w:val="18"/>
          <w:color w:val="auto"/>
        </w:rPr>
        <w:t>the place of incorporation of the Company;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93"/>
        </w:numPr>
        <w:rPr>
          <w:rFonts w:ascii="Arial" w:cs="Arial" w:eastAsia="Arial" w:hAnsi="Arial"/>
          <w:sz w:val="20"/>
          <w:szCs w:val="20"/>
          <w:color w:val="auto"/>
        </w:rPr>
      </w:pPr>
      <w:r>
        <w:rPr>
          <w:rFonts w:ascii="Arial" w:cs="Arial" w:eastAsia="Arial" w:hAnsi="Arial"/>
          <w:sz w:val="18"/>
          <w:szCs w:val="18"/>
          <w:color w:val="auto"/>
        </w:rPr>
        <w:t>the date of this Agreement;</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93"/>
        </w:numPr>
        <w:rPr>
          <w:rFonts w:ascii="Arial" w:cs="Arial" w:eastAsia="Arial" w:hAnsi="Arial"/>
          <w:sz w:val="20"/>
          <w:szCs w:val="20"/>
          <w:color w:val="auto"/>
        </w:rPr>
      </w:pPr>
      <w:r>
        <w:rPr>
          <w:rFonts w:ascii="Arial" w:cs="Arial" w:eastAsia="Arial" w:hAnsi="Arial"/>
          <w:sz w:val="18"/>
          <w:szCs w:val="18"/>
          <w:color w:val="auto"/>
        </w:rPr>
        <w:t>Clause 37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93"/>
        </w:numPr>
        <w:rPr>
          <w:rFonts w:ascii="Arial" w:cs="Arial" w:eastAsia="Arial" w:hAnsi="Arial"/>
          <w:sz w:val="20"/>
          <w:szCs w:val="20"/>
          <w:color w:val="auto"/>
        </w:rPr>
      </w:pPr>
      <w:r>
        <w:rPr>
          <w:rFonts w:ascii="Arial" w:cs="Arial" w:eastAsia="Arial" w:hAnsi="Arial"/>
          <w:sz w:val="18"/>
          <w:szCs w:val="18"/>
          <w:color w:val="auto"/>
        </w:rPr>
        <w:t>the date of each amendment and restatement of this Agreement;</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93"/>
        </w:numPr>
        <w:rPr>
          <w:rFonts w:ascii="Arial" w:cs="Arial" w:eastAsia="Arial" w:hAnsi="Arial"/>
          <w:sz w:val="20"/>
          <w:szCs w:val="20"/>
          <w:color w:val="auto"/>
        </w:rPr>
      </w:pPr>
      <w:r>
        <w:rPr>
          <w:rFonts w:ascii="Arial" w:cs="Arial" w:eastAsia="Arial" w:hAnsi="Arial"/>
          <w:sz w:val="18"/>
          <w:szCs w:val="18"/>
          <w:color w:val="auto"/>
        </w:rPr>
        <w:t>the amounts of the Commitment with respect to, and names of, the Facility;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55" w:right="339" w:bottom="1440" w:gutter="0" w:footer="0" w:header="0"/>
        </w:sectPr>
      </w:pPr>
    </w:p>
    <w:bookmarkStart w:id="99" w:name="page100"/>
    <w:bookmarkEnd w:id="99"/>
    <w:p>
      <w:pPr>
        <w:ind w:left="1920" w:hanging="643"/>
        <w:spacing w:after="0"/>
        <w:tabs>
          <w:tab w:leader="none" w:pos="1920" w:val="left"/>
        </w:tabs>
        <w:numPr>
          <w:ilvl w:val="0"/>
          <w:numId w:val="294"/>
        </w:numPr>
        <w:rPr>
          <w:rFonts w:ascii="Arial" w:cs="Arial" w:eastAsia="Arial" w:hAnsi="Arial"/>
          <w:sz w:val="20"/>
          <w:szCs w:val="20"/>
          <w:color w:val="auto"/>
        </w:rPr>
      </w:pPr>
      <w:r>
        <w:rPr>
          <w:rFonts w:ascii="Arial" w:cs="Arial" w:eastAsia="Arial" w:hAnsi="Arial"/>
          <w:sz w:val="18"/>
          <w:szCs w:val="18"/>
          <w:color w:val="auto"/>
        </w:rPr>
        <w:t>the amount of the Commitment;</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0"/>
          <w:numId w:val="294"/>
        </w:numPr>
        <w:rPr>
          <w:rFonts w:ascii="Arial" w:cs="Arial" w:eastAsia="Arial" w:hAnsi="Arial"/>
          <w:sz w:val="20"/>
          <w:szCs w:val="20"/>
          <w:color w:val="auto"/>
        </w:rPr>
      </w:pPr>
      <w:r>
        <w:rPr>
          <w:rFonts w:ascii="Arial" w:cs="Arial" w:eastAsia="Arial" w:hAnsi="Arial"/>
          <w:sz w:val="18"/>
          <w:szCs w:val="18"/>
          <w:color w:val="auto"/>
        </w:rPr>
        <w:t>the currency of the Facility;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0"/>
          <w:numId w:val="294"/>
        </w:numPr>
        <w:rPr>
          <w:rFonts w:ascii="Arial" w:cs="Arial" w:eastAsia="Arial" w:hAnsi="Arial"/>
          <w:sz w:val="20"/>
          <w:szCs w:val="20"/>
          <w:color w:val="auto"/>
        </w:rPr>
      </w:pPr>
      <w:r>
        <w:rPr>
          <w:rFonts w:ascii="Arial" w:cs="Arial" w:eastAsia="Arial" w:hAnsi="Arial"/>
          <w:sz w:val="18"/>
          <w:szCs w:val="18"/>
          <w:color w:val="auto"/>
        </w:rPr>
        <w:t>the type of Facility;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0"/>
          <w:numId w:val="294"/>
        </w:numPr>
        <w:rPr>
          <w:rFonts w:ascii="Arial" w:cs="Arial" w:eastAsia="Arial" w:hAnsi="Arial"/>
          <w:sz w:val="20"/>
          <w:szCs w:val="20"/>
          <w:color w:val="auto"/>
        </w:rPr>
      </w:pPr>
      <w:r>
        <w:rPr>
          <w:rFonts w:ascii="Arial" w:cs="Arial" w:eastAsia="Arial" w:hAnsi="Arial"/>
          <w:sz w:val="18"/>
          <w:szCs w:val="18"/>
          <w:color w:val="auto"/>
        </w:rPr>
        <w:t>the ranking of Facility;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0"/>
          <w:numId w:val="294"/>
        </w:numPr>
        <w:rPr>
          <w:rFonts w:ascii="Arial" w:cs="Arial" w:eastAsia="Arial" w:hAnsi="Arial"/>
          <w:sz w:val="20"/>
          <w:szCs w:val="20"/>
          <w:color w:val="auto"/>
        </w:rPr>
      </w:pPr>
      <w:r>
        <w:rPr>
          <w:rFonts w:ascii="Arial" w:cs="Arial" w:eastAsia="Arial" w:hAnsi="Arial"/>
          <w:sz w:val="18"/>
          <w:szCs w:val="18"/>
          <w:color w:val="auto"/>
        </w:rPr>
        <w:t>the Termination Date for the Facility;</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0"/>
          <w:numId w:val="294"/>
        </w:numPr>
        <w:rPr>
          <w:rFonts w:ascii="Arial" w:cs="Arial" w:eastAsia="Arial" w:hAnsi="Arial"/>
          <w:sz w:val="20"/>
          <w:szCs w:val="20"/>
          <w:color w:val="auto"/>
        </w:rPr>
      </w:pPr>
      <w:r>
        <w:rPr>
          <w:rFonts w:ascii="Arial" w:cs="Arial" w:eastAsia="Arial" w:hAnsi="Arial"/>
          <w:sz w:val="18"/>
          <w:szCs w:val="18"/>
          <w:color w:val="auto"/>
        </w:rPr>
        <w:t>changes to any of the information previously supplied pursuant to paragraphs (i) to (xii) above; and</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0"/>
          <w:numId w:val="294"/>
        </w:numPr>
        <w:rPr>
          <w:rFonts w:ascii="Arial" w:cs="Arial" w:eastAsia="Arial" w:hAnsi="Arial"/>
          <w:sz w:val="20"/>
          <w:szCs w:val="20"/>
          <w:color w:val="auto"/>
        </w:rPr>
      </w:pPr>
      <w:r>
        <w:rPr>
          <w:rFonts w:ascii="Arial" w:cs="Arial" w:eastAsia="Arial" w:hAnsi="Arial"/>
          <w:sz w:val="18"/>
          <w:szCs w:val="18"/>
          <w:color w:val="auto"/>
        </w:rPr>
        <w:t>such other information agreed between the Lender and the Company,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12" w:lineRule="exact"/>
        <w:rPr>
          <w:sz w:val="20"/>
          <w:szCs w:val="20"/>
          <w:color w:val="auto"/>
        </w:rPr>
      </w:pPr>
    </w:p>
    <w:p>
      <w:pPr>
        <w:jc w:val="both"/>
        <w:ind w:left="1280" w:hanging="624"/>
        <w:spacing w:after="0" w:line="264" w:lineRule="auto"/>
        <w:tabs>
          <w:tab w:leader="none" w:pos="1262" w:val="left"/>
        </w:tabs>
        <w:numPr>
          <w:ilvl w:val="0"/>
          <w:numId w:val="295"/>
        </w:numPr>
        <w:rPr>
          <w:rFonts w:ascii="Arial" w:cs="Arial" w:eastAsia="Arial" w:hAnsi="Arial"/>
          <w:sz w:val="20"/>
          <w:szCs w:val="20"/>
          <w:color w:val="auto"/>
        </w:rPr>
      </w:pPr>
      <w:r>
        <w:rPr>
          <w:rFonts w:ascii="Arial" w:cs="Arial" w:eastAsia="Arial" w:hAnsi="Arial"/>
          <w:sz w:val="18"/>
          <w:szCs w:val="18"/>
          <w:color w:val="auto"/>
        </w:rPr>
        <w:t>The Parties acknowledge and agree that each identification number assigned to this Agreement, the Facility and/or the Company by a numbering service provider and the information associated with each such number may be disclosed to users of its services in accordance with the standard terms and conditions of that numbering service provider.</w:t>
      </w:r>
    </w:p>
    <w:p>
      <w:pPr>
        <w:spacing w:after="0" w:line="169" w:lineRule="exact"/>
        <w:rPr>
          <w:rFonts w:ascii="Arial" w:cs="Arial" w:eastAsia="Arial" w:hAnsi="Arial"/>
          <w:sz w:val="20"/>
          <w:szCs w:val="20"/>
          <w:color w:val="auto"/>
        </w:rPr>
      </w:pPr>
    </w:p>
    <w:p>
      <w:pPr>
        <w:jc w:val="both"/>
        <w:ind w:left="1280" w:hanging="624"/>
        <w:spacing w:after="0" w:line="264" w:lineRule="auto"/>
        <w:tabs>
          <w:tab w:leader="none" w:pos="1262" w:val="left"/>
        </w:tabs>
        <w:numPr>
          <w:ilvl w:val="0"/>
          <w:numId w:val="295"/>
        </w:numPr>
        <w:rPr>
          <w:rFonts w:ascii="Arial" w:cs="Arial" w:eastAsia="Arial" w:hAnsi="Arial"/>
          <w:sz w:val="20"/>
          <w:szCs w:val="20"/>
          <w:color w:val="auto"/>
        </w:rPr>
      </w:pPr>
      <w:r>
        <w:rPr>
          <w:rFonts w:ascii="Arial" w:cs="Arial" w:eastAsia="Arial" w:hAnsi="Arial"/>
          <w:sz w:val="18"/>
          <w:szCs w:val="18"/>
          <w:color w:val="auto"/>
        </w:rPr>
        <w:t>The Company represents that, after applicable disclosure of this Agreement is made in its filings to the U.S. Securities and Exchange Commission, none of the information set out in paragraphs (i) to (xiv) of paragraph (a) above is, nor will at any time be, unpublished price-sensitive information.</w:t>
      </w:r>
    </w:p>
    <w:p>
      <w:pPr>
        <w:spacing w:after="0" w:line="169" w:lineRule="exact"/>
        <w:rPr>
          <w:rFonts w:ascii="Arial" w:cs="Arial" w:eastAsia="Arial" w:hAnsi="Arial"/>
          <w:sz w:val="20"/>
          <w:szCs w:val="20"/>
          <w:color w:val="auto"/>
        </w:rPr>
      </w:pPr>
    </w:p>
    <w:p>
      <w:pPr>
        <w:ind w:left="1260" w:hanging="604"/>
        <w:spacing w:after="0"/>
        <w:tabs>
          <w:tab w:leader="none" w:pos="1260" w:val="left"/>
        </w:tabs>
        <w:numPr>
          <w:ilvl w:val="0"/>
          <w:numId w:val="295"/>
        </w:numPr>
        <w:rPr>
          <w:rFonts w:ascii="Arial" w:cs="Arial" w:eastAsia="Arial" w:hAnsi="Arial"/>
          <w:sz w:val="20"/>
          <w:szCs w:val="20"/>
          <w:color w:val="auto"/>
        </w:rPr>
      </w:pPr>
      <w:r>
        <w:rPr>
          <w:rFonts w:ascii="Arial" w:cs="Arial" w:eastAsia="Arial" w:hAnsi="Arial"/>
          <w:sz w:val="18"/>
          <w:szCs w:val="18"/>
          <w:color w:val="auto"/>
        </w:rPr>
        <w:t>The Lender shall notify the Company of:</w:t>
      </w:r>
    </w:p>
    <w:p>
      <w:pPr>
        <w:spacing w:after="0" w:line="188"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295"/>
        </w:numPr>
        <w:rPr>
          <w:rFonts w:ascii="Arial" w:cs="Arial" w:eastAsia="Arial" w:hAnsi="Arial"/>
          <w:sz w:val="20"/>
          <w:szCs w:val="20"/>
          <w:color w:val="auto"/>
        </w:rPr>
      </w:pPr>
      <w:r>
        <w:rPr>
          <w:rFonts w:ascii="Arial" w:cs="Arial" w:eastAsia="Arial" w:hAnsi="Arial"/>
          <w:sz w:val="18"/>
          <w:szCs w:val="18"/>
          <w:color w:val="auto"/>
        </w:rPr>
        <w:t>the name of any numbering service provider appointed by the Lender in respect of this Agreement, the Facility and/or the Company; and</w:t>
      </w:r>
    </w:p>
    <w:p>
      <w:pPr>
        <w:spacing w:after="0" w:line="163"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295"/>
        </w:numPr>
        <w:rPr>
          <w:rFonts w:ascii="Arial" w:cs="Arial" w:eastAsia="Arial" w:hAnsi="Arial"/>
          <w:sz w:val="20"/>
          <w:szCs w:val="20"/>
          <w:color w:val="auto"/>
        </w:rPr>
      </w:pPr>
      <w:r>
        <w:rPr>
          <w:rFonts w:ascii="Arial" w:cs="Arial" w:eastAsia="Arial" w:hAnsi="Arial"/>
          <w:sz w:val="18"/>
          <w:szCs w:val="18"/>
          <w:color w:val="auto"/>
        </w:rPr>
        <w:t>the number or, as the case may be, numbers assigned to this Agreement, the Facility and/or the Company by such numbering service provider.</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32.5</w:t>
      </w:r>
      <w:r>
        <w:rPr>
          <w:sz w:val="20"/>
          <w:szCs w:val="20"/>
          <w:color w:val="auto"/>
        </w:rPr>
        <w:tab/>
      </w:r>
      <w:r>
        <w:rPr>
          <w:rFonts w:ascii="Arial" w:cs="Arial" w:eastAsia="Arial" w:hAnsi="Arial"/>
          <w:sz w:val="16"/>
          <w:szCs w:val="16"/>
          <w:b w:val="1"/>
          <w:bCs w:val="1"/>
          <w:color w:val="auto"/>
        </w:rPr>
        <w:t>Entire agreement</w:t>
      </w:r>
    </w:p>
    <w:p>
      <w:pPr>
        <w:spacing w:after="0" w:line="191" w:lineRule="exact"/>
        <w:rPr>
          <w:sz w:val="20"/>
          <w:szCs w:val="20"/>
          <w:color w:val="auto"/>
        </w:rPr>
      </w:pPr>
    </w:p>
    <w:p>
      <w:pPr>
        <w:jc w:val="both"/>
        <w:ind w:left="620"/>
        <w:spacing w:after="0" w:line="342" w:lineRule="auto"/>
        <w:rPr>
          <w:sz w:val="20"/>
          <w:szCs w:val="20"/>
          <w:color w:val="auto"/>
        </w:rPr>
      </w:pPr>
      <w:r>
        <w:rPr>
          <w:rFonts w:ascii="Arial" w:cs="Arial" w:eastAsia="Arial" w:hAnsi="Arial"/>
          <w:sz w:val="16"/>
          <w:szCs w:val="16"/>
          <w:color w:val="auto"/>
        </w:rPr>
        <w:t>This Clause 32 constitutes the entire agreement between the Parties in relation to the obligations of the Lender under the Finance Documents regarding Confidential Information and supersedes any previous agreement, whether express or implied, regarding Confidential Information.</w:t>
      </w:r>
    </w:p>
    <w:p>
      <w:pPr>
        <w:spacing w:after="0" w:line="9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32.6</w:t>
      </w:r>
      <w:r>
        <w:rPr>
          <w:sz w:val="20"/>
          <w:szCs w:val="20"/>
          <w:color w:val="auto"/>
        </w:rPr>
        <w:tab/>
      </w:r>
      <w:r>
        <w:rPr>
          <w:rFonts w:ascii="Arial" w:cs="Arial" w:eastAsia="Arial" w:hAnsi="Arial"/>
          <w:sz w:val="16"/>
          <w:szCs w:val="16"/>
          <w:b w:val="1"/>
          <w:bCs w:val="1"/>
          <w:color w:val="auto"/>
        </w:rPr>
        <w:t>Inside information</w:t>
      </w:r>
    </w:p>
    <w:p>
      <w:pPr>
        <w:spacing w:after="0" w:line="19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The Lender acknowledges that some or all of the Confidential Information is or may be price-sensitive information and that the use of such information may be regulated or prohibited by applicable legislation including securities law relating to insider dealing and market abuse and the Lender undertakes not to use any Confidential Information for any unlawful purpose.</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32.7</w:t>
      </w:r>
      <w:r>
        <w:rPr>
          <w:sz w:val="20"/>
          <w:szCs w:val="20"/>
          <w:color w:val="auto"/>
        </w:rPr>
        <w:tab/>
      </w:r>
      <w:r>
        <w:rPr>
          <w:rFonts w:ascii="Arial" w:cs="Arial" w:eastAsia="Arial" w:hAnsi="Arial"/>
          <w:sz w:val="15"/>
          <w:szCs w:val="15"/>
          <w:b w:val="1"/>
          <w:bCs w:val="1"/>
          <w:color w:val="auto"/>
        </w:rPr>
        <w:t>Notification of disclosure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Lender agrees (to the extent permitted by law and regulation) to inform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55" w:right="339" w:bottom="1440" w:gutter="0" w:footer="0" w:header="0"/>
        </w:sectPr>
      </w:pPr>
    </w:p>
    <w:bookmarkStart w:id="100" w:name="page101"/>
    <w:bookmarkEnd w:id="100"/>
    <w:p>
      <w:pPr>
        <w:jc w:val="both"/>
        <w:ind w:left="1280" w:hanging="624"/>
        <w:spacing w:after="0" w:line="264" w:lineRule="auto"/>
        <w:tabs>
          <w:tab w:leader="none" w:pos="1262" w:val="left"/>
        </w:tabs>
        <w:numPr>
          <w:ilvl w:val="0"/>
          <w:numId w:val="296"/>
        </w:numPr>
        <w:rPr>
          <w:rFonts w:ascii="Arial" w:cs="Arial" w:eastAsia="Arial" w:hAnsi="Arial"/>
          <w:sz w:val="20"/>
          <w:szCs w:val="20"/>
          <w:color w:val="auto"/>
        </w:rPr>
      </w:pPr>
      <w:r>
        <w:rPr>
          <w:rFonts w:ascii="Arial" w:cs="Arial" w:eastAsia="Arial" w:hAnsi="Arial"/>
          <w:sz w:val="18"/>
          <w:szCs w:val="18"/>
          <w:color w:val="auto"/>
        </w:rPr>
        <w:t>of the circumstances of any disclosure of Confidential Information made pursuant to paragraph (b)(v) of Clause 32.2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its supervisory or regulatory function; and</w:t>
      </w:r>
    </w:p>
    <w:p>
      <w:pPr>
        <w:spacing w:after="0" w:line="169" w:lineRule="exact"/>
        <w:rPr>
          <w:rFonts w:ascii="Arial" w:cs="Arial" w:eastAsia="Arial" w:hAnsi="Arial"/>
          <w:sz w:val="20"/>
          <w:szCs w:val="20"/>
          <w:color w:val="auto"/>
        </w:rPr>
      </w:pPr>
    </w:p>
    <w:p>
      <w:pPr>
        <w:ind w:left="1260" w:hanging="604"/>
        <w:spacing w:after="0"/>
        <w:tabs>
          <w:tab w:leader="none" w:pos="1260" w:val="left"/>
        </w:tabs>
        <w:numPr>
          <w:ilvl w:val="0"/>
          <w:numId w:val="296"/>
        </w:numPr>
        <w:rPr>
          <w:rFonts w:ascii="Arial" w:cs="Arial" w:eastAsia="Arial" w:hAnsi="Arial"/>
          <w:sz w:val="20"/>
          <w:szCs w:val="20"/>
          <w:color w:val="auto"/>
        </w:rPr>
      </w:pPr>
      <w:r>
        <w:rPr>
          <w:rFonts w:ascii="Arial" w:cs="Arial" w:eastAsia="Arial" w:hAnsi="Arial"/>
          <w:sz w:val="18"/>
          <w:szCs w:val="18"/>
          <w:color w:val="auto"/>
        </w:rPr>
        <w:t>upon becoming aware that Confidential Information has been disclosed in breach of this Clause 32.</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32.8</w:t>
      </w:r>
      <w:r>
        <w:rPr>
          <w:sz w:val="20"/>
          <w:szCs w:val="20"/>
          <w:color w:val="auto"/>
        </w:rPr>
        <w:tab/>
      </w:r>
      <w:r>
        <w:rPr>
          <w:rFonts w:ascii="Arial" w:cs="Arial" w:eastAsia="Arial" w:hAnsi="Arial"/>
          <w:sz w:val="16"/>
          <w:szCs w:val="16"/>
          <w:b w:val="1"/>
          <w:bCs w:val="1"/>
          <w:color w:val="auto"/>
        </w:rPr>
        <w:t>Continuing obligations</w:t>
      </w:r>
    </w:p>
    <w:p>
      <w:pPr>
        <w:spacing w:after="0" w:line="191"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obligations in this Clause 32 are continuing and, in particular, shall survive and remain binding on the Lender for a period of twelve months from the earlier of:</w:t>
      </w:r>
    </w:p>
    <w:p>
      <w:pPr>
        <w:spacing w:after="0" w:line="157" w:lineRule="exact"/>
        <w:rPr>
          <w:sz w:val="20"/>
          <w:szCs w:val="20"/>
          <w:color w:val="auto"/>
        </w:rPr>
      </w:pPr>
    </w:p>
    <w:p>
      <w:pPr>
        <w:ind w:left="1280" w:hanging="624"/>
        <w:spacing w:after="0" w:line="266" w:lineRule="auto"/>
        <w:tabs>
          <w:tab w:leader="none" w:pos="1262" w:val="left"/>
        </w:tabs>
        <w:numPr>
          <w:ilvl w:val="1"/>
          <w:numId w:val="297"/>
        </w:numPr>
        <w:rPr>
          <w:rFonts w:ascii="Arial" w:cs="Arial" w:eastAsia="Arial" w:hAnsi="Arial"/>
          <w:sz w:val="20"/>
          <w:szCs w:val="20"/>
          <w:color w:val="auto"/>
        </w:rPr>
      </w:pPr>
      <w:r>
        <w:rPr>
          <w:rFonts w:ascii="Arial" w:cs="Arial" w:eastAsia="Arial" w:hAnsi="Arial"/>
          <w:sz w:val="18"/>
          <w:szCs w:val="18"/>
          <w:color w:val="auto"/>
        </w:rPr>
        <w:t>the date on which all amounts payable by the Company under or in connection with this Agreement have been paid in full and the Commitment has been cancelled or otherwise ceases to be available; and</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1"/>
          <w:numId w:val="297"/>
        </w:numPr>
        <w:rPr>
          <w:rFonts w:ascii="Arial" w:cs="Arial" w:eastAsia="Arial" w:hAnsi="Arial"/>
          <w:sz w:val="20"/>
          <w:szCs w:val="20"/>
          <w:color w:val="auto"/>
        </w:rPr>
      </w:pPr>
      <w:r>
        <w:rPr>
          <w:rFonts w:ascii="Arial" w:cs="Arial" w:eastAsia="Arial" w:hAnsi="Arial"/>
          <w:sz w:val="18"/>
          <w:szCs w:val="18"/>
          <w:color w:val="auto"/>
        </w:rPr>
        <w:t>the date on which the Lender otherwise ceases to be a Lender.</w:t>
      </w:r>
    </w:p>
    <w:p>
      <w:pPr>
        <w:spacing w:after="0" w:line="184" w:lineRule="exact"/>
        <w:rPr>
          <w:rFonts w:ascii="Arial" w:cs="Arial" w:eastAsia="Arial" w:hAnsi="Arial"/>
          <w:sz w:val="20"/>
          <w:szCs w:val="20"/>
          <w:color w:val="auto"/>
        </w:rPr>
      </w:pPr>
    </w:p>
    <w:p>
      <w:pPr>
        <w:ind w:left="620" w:hanging="612"/>
        <w:spacing w:after="0"/>
        <w:tabs>
          <w:tab w:leader="none" w:pos="620" w:val="left"/>
        </w:tabs>
        <w:numPr>
          <w:ilvl w:val="0"/>
          <w:numId w:val="298"/>
        </w:numPr>
        <w:rPr>
          <w:rFonts w:ascii="Arial" w:cs="Arial" w:eastAsia="Arial" w:hAnsi="Arial"/>
          <w:sz w:val="20"/>
          <w:szCs w:val="20"/>
          <w:b w:val="1"/>
          <w:bCs w:val="1"/>
          <w:color w:val="auto"/>
        </w:rPr>
      </w:pPr>
      <w:r>
        <w:rPr>
          <w:rFonts w:ascii="Arial" w:cs="Arial" w:eastAsia="Arial" w:hAnsi="Arial"/>
          <w:sz w:val="18"/>
          <w:szCs w:val="18"/>
          <w:b w:val="1"/>
          <w:bCs w:val="1"/>
          <w:color w:val="auto"/>
        </w:rPr>
        <w:t>CONFIDENTIALITY OF FUNDING RATES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16"/>
          <w:szCs w:val="16"/>
          <w:b w:val="1"/>
          <w:bCs w:val="1"/>
          <w:color w:val="auto"/>
        </w:rPr>
        <w:t>Confidentiality and disclosure</w:t>
      </w:r>
    </w:p>
    <w:p>
      <w:pPr>
        <w:spacing w:after="0" w:line="205" w:lineRule="exact"/>
        <w:rPr>
          <w:sz w:val="20"/>
          <w:szCs w:val="20"/>
          <w:color w:val="auto"/>
        </w:rPr>
      </w:pPr>
    </w:p>
    <w:p>
      <w:pPr>
        <w:ind w:left="1280" w:hanging="624"/>
        <w:spacing w:after="0" w:line="266" w:lineRule="auto"/>
        <w:tabs>
          <w:tab w:leader="none" w:pos="1262" w:val="left"/>
        </w:tabs>
        <w:numPr>
          <w:ilvl w:val="0"/>
          <w:numId w:val="299"/>
        </w:numPr>
        <w:rPr>
          <w:rFonts w:ascii="Arial" w:cs="Arial" w:eastAsia="Arial" w:hAnsi="Arial"/>
          <w:sz w:val="20"/>
          <w:szCs w:val="20"/>
          <w:color w:val="auto"/>
        </w:rPr>
      </w:pPr>
      <w:r>
        <w:rPr>
          <w:rFonts w:ascii="Arial" w:cs="Arial" w:eastAsia="Arial" w:hAnsi="Arial"/>
          <w:sz w:val="18"/>
          <w:szCs w:val="18"/>
          <w:color w:val="auto"/>
        </w:rPr>
        <w:t>The Lender and the Company agree to keep each Funding Rate confidential and not to disclose it to anyone, save to the extent permitted by paragraphs (b) and (c) below.</w:t>
      </w:r>
    </w:p>
    <w:p>
      <w:pPr>
        <w:spacing w:after="0" w:line="163" w:lineRule="exact"/>
        <w:rPr>
          <w:rFonts w:ascii="Arial" w:cs="Arial" w:eastAsia="Arial" w:hAnsi="Arial"/>
          <w:sz w:val="20"/>
          <w:szCs w:val="20"/>
          <w:color w:val="auto"/>
        </w:rPr>
      </w:pPr>
    </w:p>
    <w:p>
      <w:pPr>
        <w:ind w:left="1260" w:hanging="604"/>
        <w:spacing w:after="0"/>
        <w:tabs>
          <w:tab w:leader="none" w:pos="1260" w:val="left"/>
        </w:tabs>
        <w:numPr>
          <w:ilvl w:val="0"/>
          <w:numId w:val="299"/>
        </w:numPr>
        <w:rPr>
          <w:rFonts w:ascii="Arial" w:cs="Arial" w:eastAsia="Arial" w:hAnsi="Arial"/>
          <w:sz w:val="20"/>
          <w:szCs w:val="20"/>
          <w:color w:val="auto"/>
        </w:rPr>
      </w:pPr>
      <w:r>
        <w:rPr>
          <w:rFonts w:ascii="Arial" w:cs="Arial" w:eastAsia="Arial" w:hAnsi="Arial"/>
          <w:sz w:val="18"/>
          <w:szCs w:val="18"/>
          <w:color w:val="auto"/>
        </w:rPr>
        <w:t>The Lender may disclose:</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1"/>
          <w:numId w:val="299"/>
        </w:numPr>
        <w:rPr>
          <w:rFonts w:ascii="Arial" w:cs="Arial" w:eastAsia="Arial" w:hAnsi="Arial"/>
          <w:sz w:val="20"/>
          <w:szCs w:val="20"/>
          <w:color w:val="auto"/>
        </w:rPr>
      </w:pPr>
      <w:r>
        <w:rPr>
          <w:rFonts w:ascii="Arial" w:cs="Arial" w:eastAsia="Arial" w:hAnsi="Arial"/>
          <w:sz w:val="18"/>
          <w:szCs w:val="18"/>
          <w:color w:val="auto"/>
        </w:rPr>
        <w:t>any Funding Rate to the Company pursuant to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and</w:t>
      </w:r>
    </w:p>
    <w:p>
      <w:pPr>
        <w:spacing w:after="0" w:line="188" w:lineRule="exact"/>
        <w:rPr>
          <w:rFonts w:ascii="Arial" w:cs="Arial" w:eastAsia="Arial" w:hAnsi="Arial"/>
          <w:sz w:val="20"/>
          <w:szCs w:val="20"/>
          <w:color w:val="auto"/>
        </w:rPr>
      </w:pPr>
    </w:p>
    <w:p>
      <w:pPr>
        <w:jc w:val="both"/>
        <w:ind w:left="1920" w:hanging="643"/>
        <w:spacing w:after="0" w:line="284" w:lineRule="auto"/>
        <w:tabs>
          <w:tab w:leader="none" w:pos="1920" w:val="left"/>
        </w:tabs>
        <w:numPr>
          <w:ilvl w:val="1"/>
          <w:numId w:val="299"/>
        </w:numPr>
        <w:rPr>
          <w:rFonts w:ascii="Arial" w:cs="Arial" w:eastAsia="Arial" w:hAnsi="Arial"/>
          <w:sz w:val="19"/>
          <w:szCs w:val="19"/>
          <w:color w:val="auto"/>
        </w:rPr>
      </w:pPr>
      <w:r>
        <w:rPr>
          <w:rFonts w:ascii="Arial" w:cs="Arial" w:eastAsia="Arial" w:hAnsi="Arial"/>
          <w:sz w:val="17"/>
          <w:szCs w:val="17"/>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as the Lender specifies.</w:t>
      </w:r>
    </w:p>
    <w:p>
      <w:pPr>
        <w:spacing w:after="0" w:line="154" w:lineRule="exact"/>
        <w:rPr>
          <w:rFonts w:ascii="Arial" w:cs="Arial" w:eastAsia="Arial" w:hAnsi="Arial"/>
          <w:sz w:val="19"/>
          <w:szCs w:val="19"/>
          <w:color w:val="auto"/>
        </w:rPr>
      </w:pPr>
    </w:p>
    <w:p>
      <w:pPr>
        <w:ind w:left="1260" w:hanging="604"/>
        <w:spacing w:after="0"/>
        <w:tabs>
          <w:tab w:leader="none" w:pos="1260" w:val="left"/>
        </w:tabs>
        <w:numPr>
          <w:ilvl w:val="0"/>
          <w:numId w:val="299"/>
        </w:numPr>
        <w:rPr>
          <w:rFonts w:ascii="Arial" w:cs="Arial" w:eastAsia="Arial" w:hAnsi="Arial"/>
          <w:sz w:val="20"/>
          <w:szCs w:val="20"/>
          <w:color w:val="auto"/>
        </w:rPr>
      </w:pPr>
      <w:r>
        <w:rPr>
          <w:rFonts w:ascii="Arial" w:cs="Arial" w:eastAsia="Arial" w:hAnsi="Arial"/>
          <w:sz w:val="18"/>
          <w:szCs w:val="18"/>
          <w:color w:val="auto"/>
        </w:rPr>
        <w:t>The Lender may disclose any Funding Rate, and the Company may disclose any Funding Rate, to:</w:t>
      </w:r>
    </w:p>
    <w:p>
      <w:pPr>
        <w:spacing w:after="0" w:line="188" w:lineRule="exact"/>
        <w:rPr>
          <w:rFonts w:ascii="Arial" w:cs="Arial" w:eastAsia="Arial" w:hAnsi="Arial"/>
          <w:sz w:val="20"/>
          <w:szCs w:val="20"/>
          <w:color w:val="auto"/>
        </w:rPr>
      </w:pPr>
    </w:p>
    <w:p>
      <w:pPr>
        <w:jc w:val="both"/>
        <w:ind w:left="1920" w:hanging="643"/>
        <w:spacing w:after="0" w:line="265" w:lineRule="auto"/>
        <w:tabs>
          <w:tab w:leader="none" w:pos="1920" w:val="left"/>
        </w:tabs>
        <w:numPr>
          <w:ilvl w:val="1"/>
          <w:numId w:val="299"/>
        </w:numPr>
        <w:rPr>
          <w:rFonts w:ascii="Arial" w:cs="Arial" w:eastAsia="Arial" w:hAnsi="Arial"/>
          <w:sz w:val="20"/>
          <w:szCs w:val="20"/>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68" w:lineRule="exact"/>
        <w:rPr>
          <w:rFonts w:ascii="Arial" w:cs="Arial" w:eastAsia="Arial" w:hAnsi="Arial"/>
          <w:sz w:val="20"/>
          <w:szCs w:val="20"/>
          <w:color w:val="auto"/>
        </w:rPr>
      </w:pPr>
    </w:p>
    <w:p>
      <w:pPr>
        <w:jc w:val="both"/>
        <w:ind w:left="1920" w:hanging="643"/>
        <w:spacing w:after="0" w:line="284" w:lineRule="auto"/>
        <w:tabs>
          <w:tab w:leader="none" w:pos="1920" w:val="left"/>
        </w:tabs>
        <w:numPr>
          <w:ilvl w:val="1"/>
          <w:numId w:val="299"/>
        </w:numPr>
        <w:rPr>
          <w:rFonts w:ascii="Arial" w:cs="Arial" w:eastAsia="Arial" w:hAnsi="Arial"/>
          <w:sz w:val="19"/>
          <w:szCs w:val="19"/>
          <w:color w:val="auto"/>
        </w:rPr>
      </w:pPr>
      <w:r>
        <w:rPr>
          <w:rFonts w:ascii="Arial" w:cs="Arial" w:eastAsia="Arial" w:hAnsi="Arial"/>
          <w:sz w:val="17"/>
          <w:szCs w:val="17"/>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Lender or the Company, as the case may be, it is not practicable to do so in the circumstances;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355" w:right="339" w:bottom="1440" w:gutter="0" w:footer="0" w:header="0"/>
        </w:sectPr>
      </w:pPr>
    </w:p>
    <w:bookmarkStart w:id="101" w:name="page102"/>
    <w:bookmarkEnd w:id="101"/>
    <w:p>
      <w:pPr>
        <w:jc w:val="both"/>
        <w:ind w:left="1920" w:hanging="643"/>
        <w:spacing w:after="0" w:line="265" w:lineRule="auto"/>
        <w:tabs>
          <w:tab w:leader="none" w:pos="1920" w:val="left"/>
        </w:tabs>
        <w:numPr>
          <w:ilvl w:val="0"/>
          <w:numId w:val="300"/>
        </w:numPr>
        <w:rPr>
          <w:rFonts w:ascii="Arial" w:cs="Arial" w:eastAsia="Arial" w:hAnsi="Arial"/>
          <w:sz w:val="20"/>
          <w:szCs w:val="20"/>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Lender or the Company, as the case may be, it is not practicable to do so in the circumstances; and</w:t>
      </w:r>
    </w:p>
    <w:p>
      <w:pPr>
        <w:spacing w:after="0" w:line="168" w:lineRule="exact"/>
        <w:rPr>
          <w:rFonts w:ascii="Arial" w:cs="Arial" w:eastAsia="Arial" w:hAnsi="Arial"/>
          <w:sz w:val="20"/>
          <w:szCs w:val="20"/>
          <w:color w:val="auto"/>
        </w:rPr>
      </w:pPr>
    </w:p>
    <w:p>
      <w:pPr>
        <w:ind w:left="1920" w:hanging="643"/>
        <w:spacing w:after="0"/>
        <w:tabs>
          <w:tab w:leader="none" w:pos="1920" w:val="left"/>
        </w:tabs>
        <w:numPr>
          <w:ilvl w:val="0"/>
          <w:numId w:val="300"/>
        </w:numPr>
        <w:rPr>
          <w:rFonts w:ascii="Arial" w:cs="Arial" w:eastAsia="Arial" w:hAnsi="Arial"/>
          <w:sz w:val="20"/>
          <w:szCs w:val="20"/>
          <w:color w:val="auto"/>
        </w:rPr>
      </w:pPr>
      <w:r>
        <w:rPr>
          <w:rFonts w:ascii="Arial" w:cs="Arial" w:eastAsia="Arial" w:hAnsi="Arial"/>
          <w:sz w:val="18"/>
          <w:szCs w:val="18"/>
          <w:color w:val="auto"/>
        </w:rPr>
        <w:t>any person with the consent of the Lender.</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6"/>
          <w:szCs w:val="16"/>
          <w:b w:val="1"/>
          <w:bCs w:val="1"/>
          <w:color w:val="auto"/>
        </w:rPr>
        <w:t>Related obligations</w:t>
      </w:r>
    </w:p>
    <w:p>
      <w:pPr>
        <w:spacing w:after="0" w:line="205" w:lineRule="exact"/>
        <w:rPr>
          <w:sz w:val="20"/>
          <w:szCs w:val="20"/>
          <w:color w:val="auto"/>
        </w:rPr>
      </w:pPr>
    </w:p>
    <w:p>
      <w:pPr>
        <w:jc w:val="both"/>
        <w:ind w:left="1280" w:hanging="624"/>
        <w:spacing w:after="0" w:line="264" w:lineRule="auto"/>
        <w:tabs>
          <w:tab w:leader="none" w:pos="1262" w:val="left"/>
        </w:tabs>
        <w:numPr>
          <w:ilvl w:val="0"/>
          <w:numId w:val="301"/>
        </w:numPr>
        <w:rPr>
          <w:rFonts w:ascii="Arial" w:cs="Arial" w:eastAsia="Arial" w:hAnsi="Arial"/>
          <w:sz w:val="20"/>
          <w:szCs w:val="20"/>
          <w:color w:val="auto"/>
        </w:rPr>
      </w:pPr>
      <w:r>
        <w:rPr>
          <w:rFonts w:ascii="Arial" w:cs="Arial" w:eastAsia="Arial" w:hAnsi="Arial"/>
          <w:sz w:val="18"/>
          <w:szCs w:val="18"/>
          <w:color w:val="auto"/>
        </w:rPr>
        <w:t>The Lender and the Company acknowledge that each Funding Rate is or may be price-sensitive information and that its use may be regulated or prohibited by applicable legislation including securities law relating to insider dealing and market abuse and the Lender and the Company undertake not to use any Funding Rate for any unlawful purpose.</w:t>
      </w:r>
    </w:p>
    <w:p>
      <w:pPr>
        <w:spacing w:after="0" w:line="169" w:lineRule="exact"/>
        <w:rPr>
          <w:rFonts w:ascii="Arial" w:cs="Arial" w:eastAsia="Arial" w:hAnsi="Arial"/>
          <w:sz w:val="20"/>
          <w:szCs w:val="20"/>
          <w:color w:val="auto"/>
        </w:rPr>
      </w:pPr>
    </w:p>
    <w:p>
      <w:pPr>
        <w:ind w:left="1260" w:hanging="604"/>
        <w:spacing w:after="0"/>
        <w:tabs>
          <w:tab w:leader="none" w:pos="1260" w:val="left"/>
        </w:tabs>
        <w:numPr>
          <w:ilvl w:val="0"/>
          <w:numId w:val="301"/>
        </w:numPr>
        <w:rPr>
          <w:rFonts w:ascii="Arial" w:cs="Arial" w:eastAsia="Arial" w:hAnsi="Arial"/>
          <w:sz w:val="20"/>
          <w:szCs w:val="20"/>
          <w:color w:val="auto"/>
        </w:rPr>
      </w:pPr>
      <w:r>
        <w:rPr>
          <w:rFonts w:ascii="Arial" w:cs="Arial" w:eastAsia="Arial" w:hAnsi="Arial"/>
          <w:sz w:val="18"/>
          <w:szCs w:val="18"/>
          <w:color w:val="auto"/>
        </w:rPr>
        <w:t>The Lender and the Company agree (to the extent permitted by law and regulation) to inform the relevant Lender:</w:t>
      </w:r>
    </w:p>
    <w:p>
      <w:pPr>
        <w:spacing w:after="0" w:line="188" w:lineRule="exact"/>
        <w:rPr>
          <w:rFonts w:ascii="Arial" w:cs="Arial" w:eastAsia="Arial" w:hAnsi="Arial"/>
          <w:sz w:val="20"/>
          <w:szCs w:val="20"/>
          <w:color w:val="auto"/>
        </w:rPr>
      </w:pPr>
    </w:p>
    <w:p>
      <w:pPr>
        <w:jc w:val="both"/>
        <w:ind w:left="1920" w:hanging="643"/>
        <w:spacing w:after="0" w:line="264" w:lineRule="auto"/>
        <w:tabs>
          <w:tab w:leader="none" w:pos="1920" w:val="left"/>
        </w:tabs>
        <w:numPr>
          <w:ilvl w:val="1"/>
          <w:numId w:val="301"/>
        </w:numPr>
        <w:rPr>
          <w:rFonts w:ascii="Arial" w:cs="Arial" w:eastAsia="Arial" w:hAnsi="Arial"/>
          <w:sz w:val="20"/>
          <w:szCs w:val="20"/>
          <w:color w:val="auto"/>
        </w:rPr>
      </w:pPr>
      <w:r>
        <w:rPr>
          <w:rFonts w:ascii="Arial" w:cs="Arial" w:eastAsia="Arial" w:hAnsi="Arial"/>
          <w:sz w:val="18"/>
          <w:szCs w:val="18"/>
          <w:color w:val="auto"/>
        </w:rPr>
        <w:t>of the circumstances of any disclosure made pursuant to paragraph (c)(ii) of Clause 33.1 (</w:t>
      </w:r>
      <w:r>
        <w:rPr>
          <w:rFonts w:ascii="Arial" w:cs="Arial" w:eastAsia="Arial" w:hAnsi="Arial"/>
          <w:sz w:val="18"/>
          <w:szCs w:val="18"/>
          <w:i w:val="1"/>
          <w:iCs w:val="1"/>
          <w:color w:val="auto"/>
        </w:rPr>
        <w:t>Confidentiality and disclosure</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169" w:lineRule="exact"/>
        <w:rPr>
          <w:rFonts w:ascii="Arial" w:cs="Arial" w:eastAsia="Arial" w:hAnsi="Arial"/>
          <w:sz w:val="20"/>
          <w:szCs w:val="20"/>
          <w:color w:val="auto"/>
        </w:rPr>
      </w:pPr>
    </w:p>
    <w:p>
      <w:pPr>
        <w:ind w:left="1920" w:hanging="643"/>
        <w:spacing w:after="0"/>
        <w:tabs>
          <w:tab w:leader="none" w:pos="1920" w:val="left"/>
        </w:tabs>
        <w:numPr>
          <w:ilvl w:val="1"/>
          <w:numId w:val="301"/>
        </w:numPr>
        <w:rPr>
          <w:rFonts w:ascii="Arial" w:cs="Arial" w:eastAsia="Arial" w:hAnsi="Arial"/>
          <w:sz w:val="20"/>
          <w:szCs w:val="20"/>
          <w:color w:val="auto"/>
        </w:rPr>
      </w:pPr>
      <w:r>
        <w:rPr>
          <w:rFonts w:ascii="Arial" w:cs="Arial" w:eastAsia="Arial" w:hAnsi="Arial"/>
          <w:sz w:val="18"/>
          <w:szCs w:val="18"/>
          <w:color w:val="auto"/>
        </w:rPr>
        <w:t>upon becoming aware that any information has been disclosed in breach of this Clause 33.</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33.3</w:t>
      </w:r>
      <w:r>
        <w:rPr>
          <w:sz w:val="20"/>
          <w:szCs w:val="20"/>
          <w:color w:val="auto"/>
        </w:rPr>
        <w:tab/>
      </w:r>
      <w:r>
        <w:rPr>
          <w:rFonts w:ascii="Arial" w:cs="Arial" w:eastAsia="Arial" w:hAnsi="Arial"/>
          <w:sz w:val="16"/>
          <w:szCs w:val="16"/>
          <w:b w:val="1"/>
          <w:bCs w:val="1"/>
          <w:color w:val="auto"/>
        </w:rPr>
        <w:t>No Event of Default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Event of Default will occur under Clause 21.3 (</w:t>
      </w:r>
      <w:r>
        <w:rPr>
          <w:rFonts w:ascii="Arial" w:cs="Arial" w:eastAsia="Arial" w:hAnsi="Arial"/>
          <w:sz w:val="17"/>
          <w:szCs w:val="17"/>
          <w:i w:val="1"/>
          <w:iCs w:val="1"/>
          <w:color w:val="auto"/>
        </w:rPr>
        <w:t>Other obligations</w:t>
      </w:r>
      <w:r>
        <w:rPr>
          <w:rFonts w:ascii="Arial" w:cs="Arial" w:eastAsia="Arial" w:hAnsi="Arial"/>
          <w:sz w:val="17"/>
          <w:szCs w:val="17"/>
          <w:color w:val="auto"/>
        </w:rPr>
        <w:t>) by reason only of the Company's failure to comply with this Clause 33.</w:t>
      </w:r>
    </w:p>
    <w:p>
      <w:pPr>
        <w:spacing w:after="0" w:line="219" w:lineRule="exact"/>
        <w:rPr>
          <w:sz w:val="20"/>
          <w:szCs w:val="20"/>
          <w:color w:val="auto"/>
        </w:rPr>
      </w:pPr>
    </w:p>
    <w:p>
      <w:pPr>
        <w:ind w:left="620" w:hanging="612"/>
        <w:spacing w:after="0"/>
        <w:tabs>
          <w:tab w:leader="none" w:pos="620" w:val="left"/>
        </w:tabs>
        <w:numPr>
          <w:ilvl w:val="0"/>
          <w:numId w:val="302"/>
        </w:numPr>
        <w:rPr>
          <w:rFonts w:ascii="Arial" w:cs="Arial" w:eastAsia="Arial" w:hAnsi="Arial"/>
          <w:sz w:val="20"/>
          <w:szCs w:val="20"/>
          <w:b w:val="1"/>
          <w:bCs w:val="1"/>
          <w:color w:val="auto"/>
        </w:rPr>
      </w:pPr>
      <w:r>
        <w:rPr>
          <w:rFonts w:ascii="Arial" w:cs="Arial" w:eastAsia="Arial" w:hAnsi="Arial"/>
          <w:sz w:val="18"/>
          <w:szCs w:val="18"/>
          <w:b w:val="1"/>
          <w:bCs w:val="1"/>
          <w:color w:val="auto"/>
        </w:rPr>
        <w:t>COUNTERPARTS</w:t>
      </w:r>
    </w:p>
    <w:p>
      <w:pPr>
        <w:spacing w:after="0" w:line="179" w:lineRule="exact"/>
        <w:rPr>
          <w:rFonts w:ascii="Arial" w:cs="Arial" w:eastAsia="Arial" w:hAnsi="Arial"/>
          <w:sz w:val="20"/>
          <w:szCs w:val="20"/>
          <w:b w:val="1"/>
          <w:bCs w:val="1"/>
          <w:color w:val="auto"/>
        </w:rPr>
      </w:pPr>
    </w:p>
    <w:p>
      <w:pPr>
        <w:ind w:left="620"/>
        <w:spacing w:after="0" w:line="277" w:lineRule="auto"/>
        <w:rPr>
          <w:rFonts w:ascii="Arial" w:cs="Arial" w:eastAsia="Arial" w:hAnsi="Arial"/>
          <w:sz w:val="20"/>
          <w:szCs w:val="20"/>
          <w:b w:val="1"/>
          <w:bCs w:val="1"/>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52" w:lineRule="exact"/>
        <w:rPr>
          <w:rFonts w:ascii="Arial" w:cs="Arial" w:eastAsia="Arial" w:hAnsi="Arial"/>
          <w:sz w:val="20"/>
          <w:szCs w:val="20"/>
          <w:b w:val="1"/>
          <w:bCs w:val="1"/>
          <w:color w:val="auto"/>
        </w:rPr>
      </w:pPr>
    </w:p>
    <w:p>
      <w:pPr>
        <w:ind w:left="620" w:hanging="612"/>
        <w:spacing w:after="0"/>
        <w:tabs>
          <w:tab w:leader="none" w:pos="620" w:val="left"/>
        </w:tabs>
        <w:numPr>
          <w:ilvl w:val="0"/>
          <w:numId w:val="302"/>
        </w:numPr>
        <w:rPr>
          <w:rFonts w:ascii="Arial" w:cs="Arial" w:eastAsia="Arial" w:hAnsi="Arial"/>
          <w:sz w:val="20"/>
          <w:szCs w:val="20"/>
          <w:b w:val="1"/>
          <w:bCs w:val="1"/>
          <w:color w:val="auto"/>
        </w:rPr>
      </w:pPr>
      <w:r>
        <w:rPr>
          <w:rFonts w:ascii="Arial" w:cs="Arial" w:eastAsia="Arial" w:hAnsi="Arial"/>
          <w:sz w:val="18"/>
          <w:szCs w:val="18"/>
          <w:b w:val="1"/>
          <w:bCs w:val="1"/>
          <w:color w:val="auto"/>
        </w:rPr>
        <w:t>CONTRACTUAL RECOGNITION OF BAIL-IN</w:t>
      </w:r>
    </w:p>
    <w:p>
      <w:pPr>
        <w:spacing w:after="0" w:line="179" w:lineRule="exact"/>
        <w:rPr>
          <w:rFonts w:ascii="Arial" w:cs="Arial" w:eastAsia="Arial" w:hAnsi="Arial"/>
          <w:sz w:val="20"/>
          <w:szCs w:val="20"/>
          <w:b w:val="1"/>
          <w:bCs w:val="1"/>
          <w:color w:val="auto"/>
        </w:rPr>
      </w:pPr>
    </w:p>
    <w:p>
      <w:pPr>
        <w:jc w:val="both"/>
        <w:ind w:left="620"/>
        <w:spacing w:after="0" w:line="286" w:lineRule="auto"/>
        <w:rPr>
          <w:rFonts w:ascii="Arial" w:cs="Arial" w:eastAsia="Arial" w:hAnsi="Arial"/>
          <w:sz w:val="20"/>
          <w:szCs w:val="20"/>
          <w:b w:val="1"/>
          <w:bCs w:val="1"/>
          <w:color w:val="auto"/>
        </w:rPr>
      </w:pPr>
      <w:r>
        <w:rPr>
          <w:rFonts w:ascii="Arial" w:cs="Arial" w:eastAsia="Arial" w:hAnsi="Arial"/>
          <w:sz w:val="17"/>
          <w:szCs w:val="17"/>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55" w:right="339" w:bottom="1440" w:gutter="0" w:footer="0" w:header="0"/>
        </w:sectPr>
      </w:pPr>
    </w:p>
    <w:bookmarkStart w:id="102" w:name="page103"/>
    <w:bookmarkEnd w:id="102"/>
    <w:p>
      <w:pPr>
        <w:ind w:left="1260" w:hanging="604"/>
        <w:spacing w:after="0"/>
        <w:tabs>
          <w:tab w:leader="none" w:pos="1260" w:val="left"/>
        </w:tabs>
        <w:numPr>
          <w:ilvl w:val="0"/>
          <w:numId w:val="303"/>
        </w:numPr>
        <w:rPr>
          <w:rFonts w:ascii="Arial" w:cs="Arial" w:eastAsia="Arial" w:hAnsi="Arial"/>
          <w:sz w:val="20"/>
          <w:szCs w:val="20"/>
          <w:color w:val="auto"/>
        </w:rPr>
      </w:pPr>
      <w:r>
        <w:rPr>
          <w:rFonts w:ascii="Arial" w:cs="Arial" w:eastAsia="Arial" w:hAnsi="Arial"/>
          <w:sz w:val="18"/>
          <w:szCs w:val="18"/>
          <w:color w:val="auto"/>
        </w:rPr>
        <w:t>any Bail-In Action in relation to any such liability, including (without limitation):</w:t>
      </w:r>
    </w:p>
    <w:p>
      <w:pPr>
        <w:spacing w:after="0" w:line="188" w:lineRule="exact"/>
        <w:rPr>
          <w:rFonts w:ascii="Arial" w:cs="Arial" w:eastAsia="Arial" w:hAnsi="Arial"/>
          <w:sz w:val="20"/>
          <w:szCs w:val="20"/>
          <w:color w:val="auto"/>
        </w:rPr>
      </w:pPr>
    </w:p>
    <w:p>
      <w:pPr>
        <w:ind w:left="1920" w:hanging="643"/>
        <w:spacing w:after="0" w:line="266" w:lineRule="auto"/>
        <w:tabs>
          <w:tab w:leader="none" w:pos="1920" w:val="left"/>
        </w:tabs>
        <w:numPr>
          <w:ilvl w:val="1"/>
          <w:numId w:val="303"/>
        </w:numPr>
        <w:rPr>
          <w:rFonts w:ascii="Arial" w:cs="Arial" w:eastAsia="Arial" w:hAnsi="Arial"/>
          <w:sz w:val="20"/>
          <w:szCs w:val="20"/>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63" w:lineRule="exact"/>
        <w:rPr>
          <w:rFonts w:ascii="Arial" w:cs="Arial" w:eastAsia="Arial" w:hAnsi="Arial"/>
          <w:sz w:val="20"/>
          <w:szCs w:val="20"/>
          <w:color w:val="auto"/>
        </w:rPr>
      </w:pPr>
    </w:p>
    <w:p>
      <w:pPr>
        <w:ind w:left="1920" w:right="20" w:hanging="643"/>
        <w:spacing w:after="0" w:line="266" w:lineRule="auto"/>
        <w:tabs>
          <w:tab w:leader="none" w:pos="1920" w:val="left"/>
        </w:tabs>
        <w:numPr>
          <w:ilvl w:val="1"/>
          <w:numId w:val="303"/>
        </w:numPr>
        <w:rPr>
          <w:rFonts w:ascii="Arial" w:cs="Arial" w:eastAsia="Arial" w:hAnsi="Arial"/>
          <w:sz w:val="20"/>
          <w:szCs w:val="20"/>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63" w:lineRule="exact"/>
        <w:rPr>
          <w:rFonts w:ascii="Arial" w:cs="Arial" w:eastAsia="Arial" w:hAnsi="Arial"/>
          <w:sz w:val="20"/>
          <w:szCs w:val="20"/>
          <w:color w:val="auto"/>
        </w:rPr>
      </w:pPr>
    </w:p>
    <w:p>
      <w:pPr>
        <w:ind w:left="1920" w:hanging="643"/>
        <w:spacing w:after="0"/>
        <w:tabs>
          <w:tab w:leader="none" w:pos="1920" w:val="left"/>
        </w:tabs>
        <w:numPr>
          <w:ilvl w:val="1"/>
          <w:numId w:val="303"/>
        </w:numPr>
        <w:rPr>
          <w:rFonts w:ascii="Arial" w:cs="Arial" w:eastAsia="Arial" w:hAnsi="Arial"/>
          <w:sz w:val="20"/>
          <w:szCs w:val="20"/>
          <w:color w:val="auto"/>
        </w:rPr>
      </w:pPr>
      <w:r>
        <w:rPr>
          <w:rFonts w:ascii="Arial" w:cs="Arial" w:eastAsia="Arial" w:hAnsi="Arial"/>
          <w:sz w:val="18"/>
          <w:szCs w:val="18"/>
          <w:color w:val="auto"/>
        </w:rPr>
        <w:t>a cancellation of any such liability; and</w:t>
      </w:r>
    </w:p>
    <w:p>
      <w:pPr>
        <w:spacing w:after="0" w:line="188" w:lineRule="exact"/>
        <w:rPr>
          <w:rFonts w:ascii="Arial" w:cs="Arial" w:eastAsia="Arial" w:hAnsi="Arial"/>
          <w:sz w:val="20"/>
          <w:szCs w:val="20"/>
          <w:color w:val="auto"/>
        </w:rPr>
      </w:pPr>
    </w:p>
    <w:p>
      <w:pPr>
        <w:ind w:left="1280" w:hanging="624"/>
        <w:spacing w:after="0" w:line="266" w:lineRule="auto"/>
        <w:tabs>
          <w:tab w:leader="none" w:pos="1262" w:val="left"/>
        </w:tabs>
        <w:numPr>
          <w:ilvl w:val="0"/>
          <w:numId w:val="303"/>
        </w:numPr>
        <w:rPr>
          <w:rFonts w:ascii="Arial" w:cs="Arial" w:eastAsia="Arial" w:hAnsi="Arial"/>
          <w:sz w:val="20"/>
          <w:szCs w:val="20"/>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60" w:lineRule="exact"/>
        <w:rPr>
          <w:sz w:val="20"/>
          <w:szCs w:val="20"/>
          <w:color w:val="auto"/>
        </w:rPr>
      </w:pPr>
    </w:p>
    <w:p>
      <w:pPr>
        <w:ind w:left="620" w:hanging="612"/>
        <w:spacing w:after="0"/>
        <w:tabs>
          <w:tab w:leader="none" w:pos="620" w:val="left"/>
        </w:tabs>
        <w:numPr>
          <w:ilvl w:val="0"/>
          <w:numId w:val="304"/>
        </w:numPr>
        <w:rPr>
          <w:rFonts w:ascii="Arial" w:cs="Arial" w:eastAsia="Arial" w:hAnsi="Arial"/>
          <w:sz w:val="20"/>
          <w:szCs w:val="20"/>
          <w:b w:val="1"/>
          <w:bCs w:val="1"/>
          <w:color w:val="auto"/>
        </w:rPr>
      </w:pPr>
      <w:r>
        <w:rPr>
          <w:rFonts w:ascii="Arial" w:cs="Arial" w:eastAsia="Arial" w:hAnsi="Arial"/>
          <w:sz w:val="18"/>
          <w:szCs w:val="18"/>
          <w:b w:val="1"/>
          <w:bCs w:val="1"/>
          <w:color w:val="auto"/>
        </w:rPr>
        <w:t>ITALIAN TRANSPARENCY PROVISIONS</w:t>
      </w:r>
    </w:p>
    <w:p>
      <w:pPr>
        <w:spacing w:after="0" w:line="179" w:lineRule="exact"/>
        <w:rPr>
          <w:sz w:val="20"/>
          <w:szCs w:val="20"/>
          <w:color w:val="auto"/>
        </w:rPr>
      </w:pPr>
    </w:p>
    <w:p>
      <w:pPr>
        <w:jc w:val="both"/>
        <w:ind w:left="780"/>
        <w:spacing w:after="0" w:line="263" w:lineRule="auto"/>
        <w:rPr>
          <w:sz w:val="20"/>
          <w:szCs w:val="20"/>
          <w:color w:val="auto"/>
        </w:rPr>
      </w:pPr>
      <w:r>
        <w:rPr>
          <w:rFonts w:ascii="Arial" w:cs="Arial" w:eastAsia="Arial" w:hAnsi="Arial"/>
          <w:sz w:val="18"/>
          <w:szCs w:val="18"/>
          <w:color w:val="auto"/>
        </w:rPr>
        <w:t>For the purposes of the transparency provisions set out in the Italian CICR Resolution of 4 March 2003 and in the "</w:t>
      </w:r>
      <w:r>
        <w:rPr>
          <w:rFonts w:ascii="Arial" w:cs="Arial" w:eastAsia="Arial" w:hAnsi="Arial"/>
          <w:sz w:val="18"/>
          <w:szCs w:val="18"/>
          <w:i w:val="1"/>
          <w:iCs w:val="1"/>
          <w:color w:val="auto"/>
        </w:rPr>
        <w:t>Disposizioni sulla</w:t>
      </w:r>
      <w:r>
        <w:rPr>
          <w:rFonts w:ascii="Arial" w:cs="Arial" w:eastAsia="Arial" w:hAnsi="Arial"/>
          <w:sz w:val="18"/>
          <w:szCs w:val="18"/>
          <w:color w:val="auto"/>
        </w:rPr>
        <w:t xml:space="preserve"> </w:t>
      </w:r>
      <w:r>
        <w:rPr>
          <w:rFonts w:ascii="Arial" w:cs="Arial" w:eastAsia="Arial" w:hAnsi="Arial"/>
          <w:sz w:val="18"/>
          <w:szCs w:val="18"/>
          <w:i w:val="1"/>
          <w:iCs w:val="1"/>
          <w:color w:val="auto"/>
        </w:rPr>
        <w:t>trasparenza delle operazioni e dei servizi bancari e finanziari</w:t>
      </w:r>
      <w:r>
        <w:rPr>
          <w:rFonts w:ascii="Arial" w:cs="Arial" w:eastAsia="Arial" w:hAnsi="Arial"/>
          <w:sz w:val="18"/>
          <w:szCs w:val="18"/>
          <w:color w:val="auto"/>
        </w:rPr>
        <w:t>" published by the Bank of Italy on 20 June 2012, as amended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hereby acknowledges and confirms that:</w:t>
      </w:r>
    </w:p>
    <w:p>
      <w:pPr>
        <w:spacing w:after="0" w:line="197" w:lineRule="exact"/>
        <w:rPr>
          <w:sz w:val="20"/>
          <w:szCs w:val="20"/>
          <w:color w:val="auto"/>
        </w:rPr>
      </w:pPr>
    </w:p>
    <w:p>
      <w:pPr>
        <w:ind w:left="1540" w:right="20" w:hanging="776"/>
        <w:spacing w:after="0" w:line="266" w:lineRule="auto"/>
        <w:tabs>
          <w:tab w:leader="none" w:pos="1540" w:val="left"/>
        </w:tabs>
        <w:numPr>
          <w:ilvl w:val="0"/>
          <w:numId w:val="305"/>
        </w:numPr>
        <w:rPr>
          <w:rFonts w:ascii="Arial" w:cs="Arial" w:eastAsia="Arial" w:hAnsi="Arial"/>
          <w:sz w:val="20"/>
          <w:szCs w:val="20"/>
          <w:color w:val="auto"/>
        </w:rPr>
      </w:pPr>
      <w:r>
        <w:rPr>
          <w:rFonts w:ascii="Arial" w:cs="Arial" w:eastAsia="Arial" w:hAnsi="Arial"/>
          <w:sz w:val="18"/>
          <w:szCs w:val="18"/>
          <w:color w:val="auto"/>
        </w:rPr>
        <w:t>it has appointed and has been advised by legal counsel in all relevant jurisdictions connection with the negotiation, preparation and execution of this Agreement; and</w:t>
      </w:r>
    </w:p>
    <w:p>
      <w:pPr>
        <w:spacing w:after="0" w:line="190" w:lineRule="exact"/>
        <w:rPr>
          <w:rFonts w:ascii="Arial" w:cs="Arial" w:eastAsia="Arial" w:hAnsi="Arial"/>
          <w:sz w:val="20"/>
          <w:szCs w:val="20"/>
          <w:color w:val="auto"/>
        </w:rPr>
      </w:pPr>
    </w:p>
    <w:p>
      <w:pPr>
        <w:ind w:left="1540" w:hanging="776"/>
        <w:spacing w:after="0" w:line="266" w:lineRule="auto"/>
        <w:tabs>
          <w:tab w:leader="none" w:pos="1540" w:val="left"/>
        </w:tabs>
        <w:numPr>
          <w:ilvl w:val="0"/>
          <w:numId w:val="305"/>
        </w:numPr>
        <w:rPr>
          <w:rFonts w:ascii="Arial" w:cs="Arial" w:eastAsia="Arial" w:hAnsi="Arial"/>
          <w:sz w:val="20"/>
          <w:szCs w:val="20"/>
          <w:color w:val="auto"/>
        </w:rPr>
      </w:pPr>
      <w:r>
        <w:rPr>
          <w:rFonts w:ascii="Arial" w:cs="Arial" w:eastAsia="Arial" w:hAnsi="Arial"/>
          <w:sz w:val="18"/>
          <w:szCs w:val="18"/>
          <w:color w:val="auto"/>
        </w:rPr>
        <w:t>this Agreement (and all of its terms and conditions) including the recitals and the schedules thereto, have been specifically negotiated (</w:t>
      </w:r>
      <w:r>
        <w:rPr>
          <w:rFonts w:ascii="Arial" w:cs="Arial" w:eastAsia="Arial" w:hAnsi="Arial"/>
          <w:sz w:val="18"/>
          <w:szCs w:val="18"/>
          <w:i w:val="1"/>
          <w:iCs w:val="1"/>
          <w:color w:val="auto"/>
        </w:rPr>
        <w:t>oggetto di trattativa individuale</w:t>
      </w:r>
      <w:r>
        <w:rPr>
          <w:rFonts w:ascii="Arial" w:cs="Arial" w:eastAsia="Arial" w:hAnsi="Arial"/>
          <w:sz w:val="18"/>
          <w:szCs w:val="18"/>
          <w:color w:val="auto"/>
        </w:rPr>
        <w: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GOVERNING LAW AND ENFORCEMENT</w:t>
      </w:r>
    </w:p>
    <w:p>
      <w:pPr>
        <w:spacing w:after="0" w:line="193" w:lineRule="exact"/>
        <w:rPr>
          <w:sz w:val="20"/>
          <w:szCs w:val="20"/>
          <w:color w:val="auto"/>
        </w:rPr>
      </w:pPr>
    </w:p>
    <w:p>
      <w:pPr>
        <w:ind w:left="620" w:hanging="612"/>
        <w:spacing w:after="0"/>
        <w:tabs>
          <w:tab w:leader="none" w:pos="620" w:val="left"/>
        </w:tabs>
        <w:numPr>
          <w:ilvl w:val="0"/>
          <w:numId w:val="306"/>
        </w:numPr>
        <w:rPr>
          <w:rFonts w:ascii="Arial" w:cs="Arial" w:eastAsia="Arial" w:hAnsi="Arial"/>
          <w:sz w:val="20"/>
          <w:szCs w:val="20"/>
          <w:b w:val="1"/>
          <w:bCs w:val="1"/>
          <w:color w:val="auto"/>
        </w:rPr>
      </w:pPr>
      <w:r>
        <w:rPr>
          <w:rFonts w:ascii="Arial" w:cs="Arial" w:eastAsia="Arial" w:hAnsi="Arial"/>
          <w:sz w:val="18"/>
          <w:szCs w:val="18"/>
          <w:b w:val="1"/>
          <w:bCs w:val="1"/>
          <w:color w:val="auto"/>
        </w:rPr>
        <w:t>GOVERNING LAW</w:t>
      </w:r>
    </w:p>
    <w:p>
      <w:pPr>
        <w:spacing w:after="0" w:line="179"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207" w:lineRule="exact"/>
        <w:rPr>
          <w:rFonts w:ascii="Arial" w:cs="Arial" w:eastAsia="Arial" w:hAnsi="Arial"/>
          <w:sz w:val="20"/>
          <w:szCs w:val="20"/>
          <w:b w:val="1"/>
          <w:bCs w:val="1"/>
          <w:color w:val="auto"/>
        </w:rPr>
      </w:pPr>
    </w:p>
    <w:p>
      <w:pPr>
        <w:ind w:left="620" w:hanging="612"/>
        <w:spacing w:after="0"/>
        <w:tabs>
          <w:tab w:leader="none" w:pos="620" w:val="left"/>
        </w:tabs>
        <w:numPr>
          <w:ilvl w:val="0"/>
          <w:numId w:val="306"/>
        </w:numPr>
        <w:rPr>
          <w:rFonts w:ascii="Arial" w:cs="Arial" w:eastAsia="Arial" w:hAnsi="Arial"/>
          <w:sz w:val="20"/>
          <w:szCs w:val="20"/>
          <w:b w:val="1"/>
          <w:bCs w:val="1"/>
          <w:color w:val="auto"/>
        </w:rPr>
      </w:pPr>
      <w:r>
        <w:rPr>
          <w:rFonts w:ascii="Arial" w:cs="Arial" w:eastAsia="Arial" w:hAnsi="Arial"/>
          <w:sz w:val="18"/>
          <w:szCs w:val="18"/>
          <w:b w:val="1"/>
          <w:bCs w:val="1"/>
          <w:color w:val="auto"/>
        </w:rPr>
        <w:t>ENFORCEMENT</w:t>
      </w:r>
    </w:p>
    <w:p>
      <w:pPr>
        <w:spacing w:after="0" w:line="192" w:lineRule="exact"/>
        <w:rPr>
          <w:rFonts w:ascii="Arial" w:cs="Arial" w:eastAsia="Arial" w:hAnsi="Arial"/>
          <w:sz w:val="20"/>
          <w:szCs w:val="20"/>
          <w:b w:val="1"/>
          <w:bCs w:val="1"/>
          <w:color w:val="auto"/>
        </w:rPr>
      </w:pPr>
    </w:p>
    <w:p>
      <w:pPr>
        <w:jc w:val="both"/>
        <w:ind w:left="1280" w:hanging="624"/>
        <w:spacing w:after="0" w:line="264" w:lineRule="auto"/>
        <w:tabs>
          <w:tab w:leader="none" w:pos="1262" w:val="left"/>
        </w:tabs>
        <w:numPr>
          <w:ilvl w:val="1"/>
          <w:numId w:val="306"/>
        </w:numPr>
        <w:rPr>
          <w:rFonts w:ascii="Arial" w:cs="Arial" w:eastAsia="Arial" w:hAnsi="Arial"/>
          <w:sz w:val="20"/>
          <w:szCs w:val="20"/>
          <w:color w:val="auto"/>
        </w:rPr>
      </w:pP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69" w:lineRule="exact"/>
        <w:rPr>
          <w:rFonts w:ascii="Arial" w:cs="Arial" w:eastAsia="Arial" w:hAnsi="Arial"/>
          <w:sz w:val="20"/>
          <w:szCs w:val="20"/>
          <w:color w:val="auto"/>
        </w:rPr>
      </w:pPr>
    </w:p>
    <w:p>
      <w:pPr>
        <w:ind w:left="1280" w:hanging="624"/>
        <w:spacing w:after="0" w:line="266" w:lineRule="auto"/>
        <w:tabs>
          <w:tab w:leader="none" w:pos="1262" w:val="left"/>
        </w:tabs>
        <w:numPr>
          <w:ilvl w:val="1"/>
          <w:numId w:val="306"/>
        </w:numPr>
        <w:rPr>
          <w:rFonts w:ascii="Arial" w:cs="Arial" w:eastAsia="Arial" w:hAnsi="Arial"/>
          <w:sz w:val="20"/>
          <w:szCs w:val="20"/>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355" w:right="339" w:bottom="1440" w:gutter="0" w:footer="0" w:header="0"/>
        </w:sectPr>
      </w:pPr>
    </w:p>
    <w:bookmarkStart w:id="103" w:name="page104"/>
    <w:bookmarkEnd w:id="103"/>
    <w:p>
      <w:pPr>
        <w:jc w:val="center"/>
        <w:ind w:right="-11"/>
        <w:spacing w:after="0"/>
        <w:rPr>
          <w:sz w:val="20"/>
          <w:szCs w:val="20"/>
          <w:color w:val="auto"/>
        </w:rPr>
      </w:pPr>
      <w:r>
        <w:rPr>
          <w:rFonts w:ascii="Arial" w:cs="Arial" w:eastAsia="Arial" w:hAnsi="Arial"/>
          <w:sz w:val="18"/>
          <w:szCs w:val="18"/>
          <w:b w:val="1"/>
          <w:bCs w:val="1"/>
          <w:color w:val="auto"/>
        </w:rPr>
        <w:t>SCHEDULE 1</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w:t>
      </w:r>
    </w:p>
    <w:p>
      <w:pPr>
        <w:spacing w:after="0" w:line="198" w:lineRule="exact"/>
        <w:rPr>
          <w:sz w:val="20"/>
          <w:szCs w:val="20"/>
          <w:color w:val="auto"/>
        </w:rPr>
      </w:pPr>
    </w:p>
    <w:p>
      <w:pPr>
        <w:ind w:left="612" w:hanging="612"/>
        <w:spacing w:after="0"/>
        <w:tabs>
          <w:tab w:leader="none" w:pos="612"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The Company</w:t>
      </w:r>
    </w:p>
    <w:p>
      <w:pPr>
        <w:spacing w:after="0" w:line="215" w:lineRule="exact"/>
        <w:rPr>
          <w:rFonts w:ascii="Arial" w:cs="Arial" w:eastAsia="Arial" w:hAnsi="Arial"/>
          <w:sz w:val="18"/>
          <w:szCs w:val="18"/>
          <w:color w:val="auto"/>
        </w:rPr>
      </w:pPr>
    </w:p>
    <w:p>
      <w:pPr>
        <w:ind w:left="1252" w:hanging="604"/>
        <w:spacing w:after="0"/>
        <w:tabs>
          <w:tab w:leader="none" w:pos="1252" w:val="left"/>
        </w:tabs>
        <w:numPr>
          <w:ilvl w:val="1"/>
          <w:numId w:val="307"/>
        </w:numPr>
        <w:rPr>
          <w:rFonts w:ascii="Arial" w:cs="Arial" w:eastAsia="Arial" w:hAnsi="Arial"/>
          <w:sz w:val="20"/>
          <w:szCs w:val="20"/>
          <w:color w:val="auto"/>
        </w:rPr>
      </w:pPr>
      <w:r>
        <w:rPr>
          <w:rFonts w:ascii="Arial" w:cs="Arial" w:eastAsia="Arial" w:hAnsi="Arial"/>
          <w:sz w:val="18"/>
          <w:szCs w:val="18"/>
          <w:color w:val="auto"/>
        </w:rPr>
        <w:t>A copy of the constitutional documents of the Company.</w:t>
      </w:r>
    </w:p>
    <w:p>
      <w:pPr>
        <w:spacing w:after="0" w:line="188" w:lineRule="exact"/>
        <w:rPr>
          <w:rFonts w:ascii="Arial" w:cs="Arial" w:eastAsia="Arial" w:hAnsi="Arial"/>
          <w:sz w:val="20"/>
          <w:szCs w:val="20"/>
          <w:color w:val="auto"/>
        </w:rPr>
      </w:pPr>
    </w:p>
    <w:p>
      <w:pPr>
        <w:ind w:left="1252" w:hanging="604"/>
        <w:spacing w:after="0"/>
        <w:tabs>
          <w:tab w:leader="none" w:pos="1252" w:val="left"/>
        </w:tabs>
        <w:numPr>
          <w:ilvl w:val="1"/>
          <w:numId w:val="307"/>
        </w:numPr>
        <w:rPr>
          <w:rFonts w:ascii="Arial" w:cs="Arial" w:eastAsia="Arial" w:hAnsi="Arial"/>
          <w:sz w:val="20"/>
          <w:szCs w:val="20"/>
          <w:color w:val="auto"/>
        </w:rPr>
      </w:pPr>
      <w:r>
        <w:rPr>
          <w:rFonts w:ascii="Arial" w:cs="Arial" w:eastAsia="Arial" w:hAnsi="Arial"/>
          <w:sz w:val="18"/>
          <w:szCs w:val="18"/>
          <w:color w:val="auto"/>
        </w:rPr>
        <w:t>A copy, or a certified extract, of a resolution of the board of directors of the Company:</w:t>
      </w:r>
    </w:p>
    <w:p>
      <w:pPr>
        <w:spacing w:after="0" w:line="188" w:lineRule="exact"/>
        <w:rPr>
          <w:rFonts w:ascii="Arial" w:cs="Arial" w:eastAsia="Arial" w:hAnsi="Arial"/>
          <w:sz w:val="20"/>
          <w:szCs w:val="20"/>
          <w:color w:val="auto"/>
        </w:rPr>
      </w:pPr>
    </w:p>
    <w:p>
      <w:pPr>
        <w:ind w:left="1912" w:hanging="643"/>
        <w:spacing w:after="0" w:line="266" w:lineRule="auto"/>
        <w:tabs>
          <w:tab w:leader="none" w:pos="1912" w:val="left"/>
        </w:tabs>
        <w:numPr>
          <w:ilvl w:val="2"/>
          <w:numId w:val="307"/>
        </w:numPr>
        <w:rPr>
          <w:rFonts w:ascii="Arial" w:cs="Arial" w:eastAsia="Arial" w:hAnsi="Arial"/>
          <w:sz w:val="20"/>
          <w:szCs w:val="20"/>
          <w:color w:val="auto"/>
        </w:rPr>
      </w:pPr>
      <w:r>
        <w:rPr>
          <w:rFonts w:ascii="Arial" w:cs="Arial" w:eastAsia="Arial" w:hAnsi="Arial"/>
          <w:sz w:val="18"/>
          <w:szCs w:val="18"/>
          <w:color w:val="auto"/>
        </w:rPr>
        <w:t>approving the terms of, and the transactions contemplated by, the Finance Documents and resolving that it execute the Finance Documents;</w:t>
      </w:r>
    </w:p>
    <w:p>
      <w:pPr>
        <w:spacing w:after="0" w:line="163" w:lineRule="exact"/>
        <w:rPr>
          <w:rFonts w:ascii="Arial" w:cs="Arial" w:eastAsia="Arial" w:hAnsi="Arial"/>
          <w:sz w:val="20"/>
          <w:szCs w:val="20"/>
          <w:color w:val="auto"/>
        </w:rPr>
      </w:pPr>
    </w:p>
    <w:p>
      <w:pPr>
        <w:ind w:left="1912" w:hanging="643"/>
        <w:spacing w:after="0"/>
        <w:tabs>
          <w:tab w:leader="none" w:pos="1912" w:val="left"/>
        </w:tabs>
        <w:numPr>
          <w:ilvl w:val="2"/>
          <w:numId w:val="307"/>
        </w:numPr>
        <w:rPr>
          <w:rFonts w:ascii="Arial" w:cs="Arial" w:eastAsia="Arial" w:hAnsi="Arial"/>
          <w:sz w:val="20"/>
          <w:szCs w:val="20"/>
          <w:color w:val="auto"/>
        </w:rPr>
      </w:pPr>
      <w:r>
        <w:rPr>
          <w:rFonts w:ascii="Arial" w:cs="Arial" w:eastAsia="Arial" w:hAnsi="Arial"/>
          <w:sz w:val="18"/>
          <w:szCs w:val="18"/>
          <w:color w:val="auto"/>
        </w:rPr>
        <w:t>authorising a specified person or persons to execute the Finance Documents on its behalf; and</w:t>
      </w:r>
    </w:p>
    <w:p>
      <w:pPr>
        <w:spacing w:after="0" w:line="188" w:lineRule="exact"/>
        <w:rPr>
          <w:rFonts w:ascii="Arial" w:cs="Arial" w:eastAsia="Arial" w:hAnsi="Arial"/>
          <w:sz w:val="20"/>
          <w:szCs w:val="20"/>
          <w:color w:val="auto"/>
        </w:rPr>
      </w:pPr>
    </w:p>
    <w:p>
      <w:pPr>
        <w:ind w:left="1912" w:hanging="643"/>
        <w:spacing w:after="0" w:line="296" w:lineRule="auto"/>
        <w:tabs>
          <w:tab w:leader="none" w:pos="1912" w:val="left"/>
        </w:tabs>
        <w:numPr>
          <w:ilvl w:val="2"/>
          <w:numId w:val="307"/>
        </w:numPr>
        <w:rPr>
          <w:rFonts w:ascii="Arial" w:cs="Arial" w:eastAsia="Arial" w:hAnsi="Arial"/>
          <w:sz w:val="19"/>
          <w:szCs w:val="19"/>
          <w:color w:val="auto"/>
        </w:rPr>
      </w:pPr>
      <w:r>
        <w:rPr>
          <w:rFonts w:ascii="Arial" w:cs="Arial" w:eastAsia="Arial" w:hAnsi="Arial"/>
          <w:sz w:val="17"/>
          <w:szCs w:val="17"/>
          <w:color w:val="auto"/>
        </w:rPr>
        <w:t>authorising a specified person or persons, on its behalf, to sign and/or despatch all documents and notices (including, if relevant, any Utilisation Request) to be signed and/or despatched by it under or in connection with the Finance Documents.</w:t>
      </w:r>
    </w:p>
    <w:p>
      <w:pPr>
        <w:spacing w:after="0" w:line="137" w:lineRule="exact"/>
        <w:rPr>
          <w:rFonts w:ascii="Arial" w:cs="Arial" w:eastAsia="Arial" w:hAnsi="Arial"/>
          <w:sz w:val="19"/>
          <w:szCs w:val="19"/>
          <w:color w:val="auto"/>
        </w:rPr>
      </w:pPr>
    </w:p>
    <w:p>
      <w:pPr>
        <w:ind w:left="1252" w:hanging="604"/>
        <w:spacing w:after="0"/>
        <w:tabs>
          <w:tab w:leader="none" w:pos="1252" w:val="left"/>
        </w:tabs>
        <w:numPr>
          <w:ilvl w:val="1"/>
          <w:numId w:val="307"/>
        </w:numPr>
        <w:rPr>
          <w:rFonts w:ascii="Arial" w:cs="Arial" w:eastAsia="Arial" w:hAnsi="Arial"/>
          <w:sz w:val="20"/>
          <w:szCs w:val="20"/>
          <w:color w:val="auto"/>
        </w:rPr>
      </w:pPr>
      <w:r>
        <w:rPr>
          <w:rFonts w:ascii="Arial" w:cs="Arial" w:eastAsia="Arial" w:hAnsi="Arial"/>
          <w:sz w:val="18"/>
          <w:szCs w:val="18"/>
          <w:color w:val="auto"/>
        </w:rPr>
        <w:t>A specimen of the signature of each person authorised by the resolution referred to in paragraph 1(b).</w:t>
      </w:r>
    </w:p>
    <w:p>
      <w:pPr>
        <w:spacing w:after="0" w:line="188" w:lineRule="exact"/>
        <w:rPr>
          <w:rFonts w:ascii="Arial" w:cs="Arial" w:eastAsia="Arial" w:hAnsi="Arial"/>
          <w:sz w:val="20"/>
          <w:szCs w:val="20"/>
          <w:color w:val="auto"/>
        </w:rPr>
      </w:pPr>
    </w:p>
    <w:p>
      <w:pPr>
        <w:ind w:left="1272" w:hanging="624"/>
        <w:spacing w:after="0" w:line="266" w:lineRule="auto"/>
        <w:tabs>
          <w:tab w:leader="none" w:pos="1254" w:val="left"/>
        </w:tabs>
        <w:numPr>
          <w:ilvl w:val="1"/>
          <w:numId w:val="307"/>
        </w:numPr>
        <w:rPr>
          <w:rFonts w:ascii="Arial" w:cs="Arial" w:eastAsia="Arial" w:hAnsi="Arial"/>
          <w:sz w:val="20"/>
          <w:szCs w:val="20"/>
          <w:color w:val="auto"/>
        </w:rPr>
      </w:pPr>
      <w:r>
        <w:rPr>
          <w:rFonts w:ascii="Arial" w:cs="Arial" w:eastAsia="Arial" w:hAnsi="Arial"/>
          <w:sz w:val="18"/>
          <w:szCs w:val="18"/>
          <w:color w:val="auto"/>
        </w:rPr>
        <w:t>A certificate of the Company (signed by an authorised signatory) confirming that borrowing the Commitment would not cause any borrowing or similar limit binding on it to be exceeded.</w:t>
      </w:r>
    </w:p>
    <w:p>
      <w:pPr>
        <w:spacing w:after="0" w:line="163" w:lineRule="exact"/>
        <w:rPr>
          <w:rFonts w:ascii="Arial" w:cs="Arial" w:eastAsia="Arial" w:hAnsi="Arial"/>
          <w:sz w:val="20"/>
          <w:szCs w:val="20"/>
          <w:color w:val="auto"/>
        </w:rPr>
      </w:pPr>
    </w:p>
    <w:p>
      <w:pPr>
        <w:ind w:left="1272" w:hanging="624"/>
        <w:spacing w:after="0" w:line="266" w:lineRule="auto"/>
        <w:tabs>
          <w:tab w:leader="none" w:pos="1254" w:val="left"/>
        </w:tabs>
        <w:numPr>
          <w:ilvl w:val="1"/>
          <w:numId w:val="307"/>
        </w:numPr>
        <w:rPr>
          <w:rFonts w:ascii="Arial" w:cs="Arial" w:eastAsia="Arial" w:hAnsi="Arial"/>
          <w:sz w:val="20"/>
          <w:szCs w:val="20"/>
          <w:color w:val="auto"/>
        </w:rPr>
      </w:pPr>
      <w:r>
        <w:rPr>
          <w:rFonts w:ascii="Arial" w:cs="Arial" w:eastAsia="Arial" w:hAnsi="Arial"/>
          <w:sz w:val="18"/>
          <w:szCs w:val="18"/>
          <w:color w:val="auto"/>
        </w:rPr>
        <w:t>A certificate of an authorised signatory of the Company certifying that each copy document relating to it specified in this Schedule 1 is correct, complete and in full force and effect as at a date no earlier than the date of this Agreement.</w:t>
      </w:r>
    </w:p>
    <w:p>
      <w:pPr>
        <w:spacing w:after="0" w:line="159" w:lineRule="exact"/>
        <w:rPr>
          <w:rFonts w:ascii="Arial" w:cs="Arial" w:eastAsia="Arial" w:hAnsi="Arial"/>
          <w:sz w:val="20"/>
          <w:szCs w:val="20"/>
          <w:color w:val="auto"/>
        </w:rPr>
      </w:pPr>
    </w:p>
    <w:p>
      <w:pPr>
        <w:ind w:left="612" w:hanging="612"/>
        <w:spacing w:after="0"/>
        <w:tabs>
          <w:tab w:leader="none" w:pos="612" w:val="left"/>
        </w:tabs>
        <w:numPr>
          <w:ilvl w:val="0"/>
          <w:numId w:val="307"/>
        </w:numPr>
        <w:rPr>
          <w:rFonts w:ascii="Arial" w:cs="Arial" w:eastAsia="Arial" w:hAnsi="Arial"/>
          <w:sz w:val="20"/>
          <w:szCs w:val="20"/>
          <w:color w:val="auto"/>
        </w:rPr>
      </w:pPr>
      <w:r>
        <w:rPr>
          <w:rFonts w:ascii="Arial" w:cs="Arial" w:eastAsia="Arial" w:hAnsi="Arial"/>
          <w:sz w:val="18"/>
          <w:szCs w:val="18"/>
          <w:b w:val="1"/>
          <w:bCs w:val="1"/>
          <w:color w:val="auto"/>
        </w:rPr>
        <w:t>Legal opinion</w:t>
      </w:r>
    </w:p>
    <w:p>
      <w:pPr>
        <w:spacing w:after="0" w:line="179"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A legal opinion of Chiomenti LLP, legal advisers to the Lender in England, substantially in the form distributed to the Lender prior to signing this Agreement.</w:t>
      </w:r>
    </w:p>
    <w:p>
      <w:pPr>
        <w:spacing w:after="0" w:line="153" w:lineRule="exact"/>
        <w:rPr>
          <w:sz w:val="20"/>
          <w:szCs w:val="20"/>
          <w:color w:val="auto"/>
        </w:rPr>
      </w:pPr>
    </w:p>
    <w:p>
      <w:pPr>
        <w:ind w:left="612" w:hanging="612"/>
        <w:spacing w:after="0"/>
        <w:tabs>
          <w:tab w:leader="none" w:pos="612" w:val="left"/>
        </w:tabs>
        <w:numPr>
          <w:ilvl w:val="0"/>
          <w:numId w:val="308"/>
        </w:numPr>
        <w:rPr>
          <w:rFonts w:ascii="Arial" w:cs="Arial" w:eastAsia="Arial" w:hAnsi="Arial"/>
          <w:sz w:val="20"/>
          <w:szCs w:val="20"/>
          <w:color w:val="auto"/>
        </w:rPr>
      </w:pPr>
      <w:r>
        <w:rPr>
          <w:rFonts w:ascii="Arial" w:cs="Arial" w:eastAsia="Arial" w:hAnsi="Arial"/>
          <w:sz w:val="18"/>
          <w:szCs w:val="18"/>
          <w:b w:val="1"/>
          <w:bCs w:val="1"/>
          <w:color w:val="auto"/>
        </w:rPr>
        <w:t>Other documents and evidence</w:t>
      </w:r>
    </w:p>
    <w:p>
      <w:pPr>
        <w:spacing w:after="0" w:line="192" w:lineRule="exact"/>
        <w:rPr>
          <w:rFonts w:ascii="Arial" w:cs="Arial" w:eastAsia="Arial" w:hAnsi="Arial"/>
          <w:sz w:val="20"/>
          <w:szCs w:val="20"/>
          <w:color w:val="auto"/>
        </w:rPr>
      </w:pPr>
    </w:p>
    <w:p>
      <w:pPr>
        <w:ind w:left="1252" w:hanging="604"/>
        <w:spacing w:after="0"/>
        <w:tabs>
          <w:tab w:leader="none" w:pos="1252" w:val="left"/>
        </w:tabs>
        <w:numPr>
          <w:ilvl w:val="1"/>
          <w:numId w:val="308"/>
        </w:numPr>
        <w:rPr>
          <w:rFonts w:ascii="Arial" w:cs="Arial" w:eastAsia="Arial" w:hAnsi="Arial"/>
          <w:sz w:val="20"/>
          <w:szCs w:val="20"/>
          <w:color w:val="auto"/>
        </w:rPr>
      </w:pPr>
      <w:r>
        <w:rPr>
          <w:rFonts w:ascii="Arial" w:cs="Arial" w:eastAsia="Arial" w:hAnsi="Arial"/>
          <w:sz w:val="18"/>
          <w:szCs w:val="18"/>
          <w:color w:val="auto"/>
        </w:rPr>
        <w:t>The Original Financial Statements of the Group.</w:t>
      </w:r>
    </w:p>
    <w:p>
      <w:pPr>
        <w:spacing w:after="0" w:line="188" w:lineRule="exact"/>
        <w:rPr>
          <w:rFonts w:ascii="Arial" w:cs="Arial" w:eastAsia="Arial" w:hAnsi="Arial"/>
          <w:sz w:val="20"/>
          <w:szCs w:val="20"/>
          <w:color w:val="auto"/>
        </w:rPr>
      </w:pPr>
    </w:p>
    <w:p>
      <w:pPr>
        <w:ind w:left="1272" w:hanging="624"/>
        <w:spacing w:after="0" w:line="266" w:lineRule="auto"/>
        <w:tabs>
          <w:tab w:leader="none" w:pos="1254" w:val="left"/>
        </w:tabs>
        <w:numPr>
          <w:ilvl w:val="1"/>
          <w:numId w:val="308"/>
        </w:numPr>
        <w:rPr>
          <w:rFonts w:ascii="Arial" w:cs="Arial" w:eastAsia="Arial" w:hAnsi="Arial"/>
          <w:sz w:val="20"/>
          <w:szCs w:val="20"/>
          <w:color w:val="auto"/>
        </w:rPr>
      </w:pPr>
      <w:r>
        <w:rPr>
          <w:rFonts w:ascii="Arial" w:cs="Arial" w:eastAsia="Arial" w:hAnsi="Arial"/>
          <w:sz w:val="18"/>
          <w:szCs w:val="18"/>
          <w:color w:val="auto"/>
        </w:rPr>
        <w:t>Evidence that the fees, costs and expenses then due from the Company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the first Utilisation Date.</w:t>
      </w:r>
    </w:p>
    <w:p>
      <w:pPr>
        <w:spacing w:after="0" w:line="3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32"/>
          </w:cols>
          <w:pgMar w:left="328" w:top="742"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20"/>
          <w:szCs w:val="20"/>
          <w:b w:val="1"/>
          <w:bCs w:val="1"/>
          <w:color w:val="auto"/>
        </w:rPr>
        <w:t>SCHEDULE 2</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UTILISATION REQUEST</w:t>
      </w:r>
    </w:p>
    <w:p>
      <w:pPr>
        <w:spacing w:after="0" w:line="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From:</w:t>
        <w:tab/>
        <w:t>LivaNova PLC, Italian Branch</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w:t>
      </w:r>
      <w:r>
        <w:rPr>
          <w:rFonts w:ascii="Arial" w:cs="Arial" w:eastAsia="Arial" w:hAnsi="Arial"/>
          <w:sz w:val="18"/>
          <w:szCs w:val="18"/>
          <w:i w:val="1"/>
          <w:iCs w:val="1"/>
          <w:color w:val="auto"/>
        </w:rPr>
        <w:t>Lender</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LivaNova PLC, Italian Branch–Facility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 ] (the “Agreement”)</w:t>
      </w:r>
    </w:p>
    <w:p>
      <w:pPr>
        <w:spacing w:after="0" w:line="184" w:lineRule="exact"/>
        <w:rPr>
          <w:sz w:val="20"/>
          <w:szCs w:val="20"/>
          <w:color w:val="auto"/>
        </w:rPr>
      </w:pPr>
    </w:p>
    <w:p>
      <w:pPr>
        <w:ind w:left="620" w:hanging="612"/>
        <w:spacing w:after="0" w:line="277" w:lineRule="auto"/>
        <w:tabs>
          <w:tab w:leader="none" w:pos="6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43" w:lineRule="exact"/>
        <w:rPr>
          <w:rFonts w:ascii="Arial" w:cs="Arial" w:eastAsia="Arial" w:hAnsi="Arial"/>
          <w:sz w:val="18"/>
          <w:szCs w:val="18"/>
          <w:color w:val="auto"/>
        </w:rPr>
      </w:pPr>
    </w:p>
    <w:p>
      <w:pPr>
        <w:ind w:left="620" w:hanging="612"/>
        <w:spacing w:after="0"/>
        <w:tabs>
          <w:tab w:leader="none" w:pos="6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pacing w:after="0" w:line="346"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(a)</w:t>
            </w:r>
          </w:p>
        </w:tc>
        <w:tc>
          <w:tcPr>
            <w:tcW w:w="3760" w:type="dxa"/>
            <w:vAlign w:val="bottom"/>
          </w:tcPr>
          <w:p>
            <w:pPr>
              <w:ind w:left="80"/>
              <w:spacing w:after="0"/>
              <w:rPr>
                <w:sz w:val="20"/>
                <w:szCs w:val="20"/>
                <w:color w:val="auto"/>
              </w:rPr>
            </w:pPr>
            <w:r>
              <w:rPr>
                <w:rFonts w:ascii="Arial" w:cs="Arial" w:eastAsia="Arial" w:hAnsi="Arial"/>
                <w:sz w:val="18"/>
                <w:szCs w:val="18"/>
                <w:color w:val="auto"/>
              </w:rPr>
              <w:t>Proposed Utilisation Date:</w:t>
            </w:r>
          </w:p>
        </w:tc>
        <w:tc>
          <w:tcPr>
            <w:tcW w:w="2240" w:type="dxa"/>
            <w:vAlign w:val="bottom"/>
          </w:tcPr>
          <w:p>
            <w:pPr>
              <w:ind w:left="1760"/>
              <w:spacing w:after="0"/>
              <w:rPr>
                <w:sz w:val="20"/>
                <w:szCs w:val="20"/>
                <w:color w:val="auto"/>
              </w:rPr>
            </w:pPr>
            <w:r>
              <w:rPr>
                <w:rFonts w:ascii="Arial" w:cs="Arial" w:eastAsia="Arial" w:hAnsi="Arial"/>
                <w:sz w:val="18"/>
                <w:szCs w:val="18"/>
                <w:color w:val="auto"/>
              </w:rPr>
              <w:t>[</w:t>
            </w:r>
          </w:p>
        </w:tc>
        <w:tc>
          <w:tcPr>
            <w:tcW w:w="3300" w:type="dxa"/>
            <w:vAlign w:val="bottom"/>
          </w:tcPr>
          <w:p>
            <w:pPr>
              <w:ind w:left="100"/>
              <w:spacing w:after="0"/>
              <w:rPr>
                <w:sz w:val="20"/>
                <w:szCs w:val="20"/>
                <w:color w:val="auto"/>
              </w:rPr>
            </w:pPr>
            <w:r>
              <w:rPr>
                <w:rFonts w:ascii="Arial" w:cs="Arial" w:eastAsia="Arial" w:hAnsi="Arial"/>
                <w:sz w:val="18"/>
                <w:szCs w:val="18"/>
                <w:color w:val="auto"/>
                <w:w w:val="94"/>
              </w:rPr>
              <w:t>] (or, if that is not a Business Day, the next</w:t>
            </w:r>
          </w:p>
        </w:tc>
      </w:tr>
      <w:tr>
        <w:trPr>
          <w:trHeight w:val="230"/>
        </w:trPr>
        <w:tc>
          <w:tcPr>
            <w:tcW w:w="3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540" w:type="dxa"/>
            <w:vAlign w:val="bottom"/>
            <w:gridSpan w:val="2"/>
          </w:tcPr>
          <w:p>
            <w:pPr>
              <w:ind w:left="1760"/>
              <w:spacing w:after="0"/>
              <w:rPr>
                <w:sz w:val="20"/>
                <w:szCs w:val="20"/>
                <w:color w:val="auto"/>
              </w:rPr>
            </w:pPr>
            <w:r>
              <w:rPr>
                <w:rFonts w:ascii="Arial" w:cs="Arial" w:eastAsia="Arial" w:hAnsi="Arial"/>
                <w:sz w:val="18"/>
                <w:szCs w:val="18"/>
                <w:color w:val="auto"/>
              </w:rPr>
              <w:t>Business Day)</w:t>
            </w:r>
          </w:p>
        </w:tc>
      </w:tr>
      <w:tr>
        <w:trPr>
          <w:trHeight w:val="638"/>
        </w:trPr>
        <w:tc>
          <w:tcPr>
            <w:tcW w:w="320" w:type="dxa"/>
            <w:vAlign w:val="bottom"/>
          </w:tcPr>
          <w:p>
            <w:pPr>
              <w:spacing w:after="0"/>
              <w:rPr>
                <w:sz w:val="20"/>
                <w:szCs w:val="20"/>
                <w:color w:val="auto"/>
              </w:rPr>
            </w:pPr>
            <w:r>
              <w:rPr>
                <w:rFonts w:ascii="Arial" w:cs="Arial" w:eastAsia="Arial" w:hAnsi="Arial"/>
                <w:sz w:val="20"/>
                <w:szCs w:val="20"/>
                <w:color w:val="auto"/>
              </w:rPr>
              <w:t>(b)</w:t>
            </w:r>
          </w:p>
        </w:tc>
        <w:tc>
          <w:tcPr>
            <w:tcW w:w="3760" w:type="dxa"/>
            <w:vAlign w:val="bottom"/>
          </w:tcPr>
          <w:p>
            <w:pPr>
              <w:ind w:left="100"/>
              <w:spacing w:after="0"/>
              <w:rPr>
                <w:sz w:val="20"/>
                <w:szCs w:val="20"/>
                <w:color w:val="auto"/>
              </w:rPr>
            </w:pPr>
            <w:r>
              <w:rPr>
                <w:rFonts w:ascii="Arial" w:cs="Arial" w:eastAsia="Arial" w:hAnsi="Arial"/>
                <w:sz w:val="18"/>
                <w:szCs w:val="18"/>
                <w:color w:val="auto"/>
              </w:rPr>
              <w:t>Currency of Loan:</w:t>
            </w:r>
          </w:p>
        </w:tc>
        <w:tc>
          <w:tcPr>
            <w:tcW w:w="2240" w:type="dxa"/>
            <w:vAlign w:val="bottom"/>
          </w:tcPr>
          <w:p>
            <w:pPr>
              <w:ind w:left="1760"/>
              <w:spacing w:after="0"/>
              <w:rPr>
                <w:sz w:val="20"/>
                <w:szCs w:val="20"/>
                <w:color w:val="auto"/>
              </w:rPr>
            </w:pPr>
            <w:r>
              <w:rPr>
                <w:rFonts w:ascii="Arial" w:cs="Arial" w:eastAsia="Arial" w:hAnsi="Arial"/>
                <w:sz w:val="18"/>
                <w:szCs w:val="18"/>
                <w:color w:val="auto"/>
              </w:rPr>
              <w:t>Euro</w:t>
            </w:r>
          </w:p>
        </w:tc>
        <w:tc>
          <w:tcPr>
            <w:tcW w:w="3300" w:type="dxa"/>
            <w:vAlign w:val="bottom"/>
          </w:tcPr>
          <w:p>
            <w:pPr>
              <w:spacing w:after="0"/>
              <w:rPr>
                <w:sz w:val="24"/>
                <w:szCs w:val="24"/>
                <w:color w:val="auto"/>
              </w:rPr>
            </w:pPr>
          </w:p>
        </w:tc>
      </w:tr>
      <w:tr>
        <w:trPr>
          <w:trHeight w:val="621"/>
        </w:trPr>
        <w:tc>
          <w:tcPr>
            <w:tcW w:w="320" w:type="dxa"/>
            <w:vAlign w:val="bottom"/>
          </w:tcPr>
          <w:p>
            <w:pPr>
              <w:spacing w:after="0"/>
              <w:rPr>
                <w:sz w:val="20"/>
                <w:szCs w:val="20"/>
                <w:color w:val="auto"/>
              </w:rPr>
            </w:pPr>
            <w:r>
              <w:rPr>
                <w:rFonts w:ascii="Arial" w:cs="Arial" w:eastAsia="Arial" w:hAnsi="Arial"/>
                <w:sz w:val="20"/>
                <w:szCs w:val="20"/>
                <w:color w:val="auto"/>
              </w:rPr>
              <w:t>(c)</w:t>
            </w:r>
          </w:p>
        </w:tc>
        <w:tc>
          <w:tcPr>
            <w:tcW w:w="3760" w:type="dxa"/>
            <w:vAlign w:val="bottom"/>
          </w:tcPr>
          <w:p>
            <w:pPr>
              <w:ind w:left="80"/>
              <w:spacing w:after="0"/>
              <w:rPr>
                <w:sz w:val="20"/>
                <w:szCs w:val="20"/>
                <w:color w:val="auto"/>
              </w:rPr>
            </w:pPr>
            <w:r>
              <w:rPr>
                <w:rFonts w:ascii="Arial" w:cs="Arial" w:eastAsia="Arial" w:hAnsi="Arial"/>
                <w:sz w:val="18"/>
                <w:szCs w:val="18"/>
                <w:color w:val="auto"/>
              </w:rPr>
              <w:t>Amount:</w:t>
            </w:r>
          </w:p>
        </w:tc>
        <w:tc>
          <w:tcPr>
            <w:tcW w:w="5540" w:type="dxa"/>
            <w:vAlign w:val="bottom"/>
            <w:gridSpan w:val="2"/>
          </w:tcPr>
          <w:p>
            <w:pPr>
              <w:ind w:left="1760"/>
              <w:spacing w:after="0"/>
              <w:rPr>
                <w:sz w:val="20"/>
                <w:szCs w:val="20"/>
                <w:color w:val="auto"/>
              </w:rPr>
            </w:pPr>
            <w:r>
              <w:rPr>
                <w:rFonts w:ascii="Arial" w:cs="Arial" w:eastAsia="Arial" w:hAnsi="Arial"/>
                <w:sz w:val="18"/>
                <w:szCs w:val="18"/>
                <w:color w:val="auto"/>
              </w:rPr>
              <w:t>[ ], or if less the Available Facility</w:t>
            </w:r>
          </w:p>
        </w:tc>
      </w:tr>
      <w:tr>
        <w:trPr>
          <w:trHeight w:val="621"/>
        </w:trPr>
        <w:tc>
          <w:tcPr>
            <w:tcW w:w="320" w:type="dxa"/>
            <w:vAlign w:val="bottom"/>
          </w:tcPr>
          <w:p>
            <w:pPr>
              <w:spacing w:after="0"/>
              <w:rPr>
                <w:sz w:val="20"/>
                <w:szCs w:val="20"/>
                <w:color w:val="auto"/>
              </w:rPr>
            </w:pPr>
            <w:r>
              <w:rPr>
                <w:rFonts w:ascii="Arial" w:cs="Arial" w:eastAsia="Arial" w:hAnsi="Arial"/>
                <w:sz w:val="20"/>
                <w:szCs w:val="20"/>
                <w:color w:val="auto"/>
              </w:rPr>
              <w:t>(d)</w:t>
            </w:r>
          </w:p>
        </w:tc>
        <w:tc>
          <w:tcPr>
            <w:tcW w:w="3760" w:type="dxa"/>
            <w:vAlign w:val="bottom"/>
          </w:tcPr>
          <w:p>
            <w:pPr>
              <w:ind w:left="100"/>
              <w:spacing w:after="0"/>
              <w:rPr>
                <w:sz w:val="20"/>
                <w:szCs w:val="20"/>
                <w:color w:val="auto"/>
              </w:rPr>
            </w:pPr>
            <w:r>
              <w:rPr>
                <w:rFonts w:ascii="Arial" w:cs="Arial" w:eastAsia="Arial" w:hAnsi="Arial"/>
                <w:sz w:val="18"/>
                <w:szCs w:val="18"/>
                <w:color w:val="auto"/>
              </w:rPr>
              <w:t>Interest Period:</w:t>
            </w:r>
          </w:p>
        </w:tc>
        <w:tc>
          <w:tcPr>
            <w:tcW w:w="5540" w:type="dxa"/>
            <w:vAlign w:val="bottom"/>
            <w:gridSpan w:val="2"/>
          </w:tcPr>
          <w:p>
            <w:pPr>
              <w:ind w:left="1760"/>
              <w:spacing w:after="0"/>
              <w:rPr>
                <w:sz w:val="20"/>
                <w:szCs w:val="20"/>
                <w:color w:val="auto"/>
              </w:rPr>
            </w:pPr>
            <w:r>
              <w:rPr>
                <w:rFonts w:ascii="Arial" w:cs="Arial" w:eastAsia="Arial" w:hAnsi="Arial"/>
                <w:sz w:val="18"/>
                <w:szCs w:val="18"/>
                <w:color w:val="auto"/>
              </w:rPr>
              <w:t>[●] Months</w:t>
            </w:r>
          </w:p>
        </w:tc>
      </w:tr>
    </w:tbl>
    <w:p>
      <w:pPr>
        <w:spacing w:after="0" w:line="346" w:lineRule="exact"/>
        <w:rPr>
          <w:sz w:val="20"/>
          <w:szCs w:val="20"/>
          <w:color w:val="auto"/>
        </w:rPr>
      </w:pPr>
    </w:p>
    <w:p>
      <w:pPr>
        <w:ind w:left="620" w:hanging="612"/>
        <w:spacing w:after="0" w:line="277" w:lineRule="auto"/>
        <w:tabs>
          <w:tab w:leader="none" w:pos="6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of the Agreement is satisfied on the date of this Utilisation Request.</w:t>
      </w:r>
    </w:p>
    <w:p>
      <w:pPr>
        <w:spacing w:after="0" w:line="143" w:lineRule="exact"/>
        <w:rPr>
          <w:rFonts w:ascii="Arial" w:cs="Arial" w:eastAsia="Arial" w:hAnsi="Arial"/>
          <w:sz w:val="18"/>
          <w:szCs w:val="18"/>
          <w:color w:val="auto"/>
        </w:rPr>
      </w:pPr>
    </w:p>
    <w:p>
      <w:pPr>
        <w:ind w:left="620" w:hanging="612"/>
        <w:spacing w:after="0"/>
        <w:tabs>
          <w:tab w:leader="none" w:pos="6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proceeds of this Loan should be credited to[account]</w:t>
      </w:r>
    </w:p>
    <w:p>
      <w:pPr>
        <w:spacing w:after="0" w:line="198" w:lineRule="exact"/>
        <w:rPr>
          <w:rFonts w:ascii="Arial" w:cs="Arial" w:eastAsia="Arial" w:hAnsi="Arial"/>
          <w:sz w:val="18"/>
          <w:szCs w:val="18"/>
          <w:color w:val="auto"/>
        </w:rPr>
      </w:pPr>
    </w:p>
    <w:p>
      <w:pPr>
        <w:ind w:left="620" w:hanging="612"/>
        <w:spacing w:after="0"/>
        <w:tabs>
          <w:tab w:leader="none" w:pos="6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authorised signatory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Italian Branch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73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0"/>
          <w:szCs w:val="20"/>
          <w:b w:val="1"/>
          <w:bCs w:val="1"/>
          <w:color w:val="auto"/>
        </w:rPr>
        <w:t>SCHEDULE 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TRANSFER CERTIFICATE</w:t>
      </w:r>
    </w:p>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 xml:space="preserve">LivaNova PLC, Italian Branch as </w:t>
      </w:r>
      <w:r>
        <w:rPr>
          <w:rFonts w:ascii="Arial" w:cs="Arial" w:eastAsia="Arial" w:hAnsi="Arial"/>
          <w:sz w:val="18"/>
          <w:szCs w:val="18"/>
          <w:b w:val="1"/>
          <w:bCs w:val="1"/>
          <w:color w:val="auto"/>
        </w:rPr>
        <w:t>Company</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The Existing Lender</w:t>
      </w:r>
      <w:r>
        <w:rPr>
          <w:rFonts w:ascii="Arial" w:cs="Arial" w:eastAsia="Arial" w:hAnsi="Arial"/>
          <w:sz w:val="18"/>
          <w:szCs w:val="18"/>
          <w:color w:val="auto"/>
        </w:rPr>
        <w:t>]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i w:val="1"/>
          <w:iCs w:val="1"/>
          <w:color w:val="auto"/>
        </w:rPr>
        <w:t>The New Lender</w:t>
      </w:r>
      <w:r>
        <w:rPr>
          <w:rFonts w:ascii="Arial" w:cs="Arial" w:eastAsia="Arial" w:hAnsi="Arial"/>
          <w:sz w:val="18"/>
          <w:szCs w:val="18"/>
          <w:color w:val="auto"/>
        </w:rPr>
        <w:t>]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LivaNova PLC, Italian Branch – Facility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 ] (the “Agreement”)</w:t>
      </w:r>
    </w:p>
    <w:p>
      <w:pPr>
        <w:spacing w:after="0" w:line="184" w:lineRule="exact"/>
        <w:rPr>
          <w:sz w:val="20"/>
          <w:szCs w:val="20"/>
          <w:color w:val="auto"/>
        </w:rPr>
      </w:pPr>
    </w:p>
    <w:p>
      <w:pPr>
        <w:ind w:left="620" w:hanging="612"/>
        <w:spacing w:after="0" w:line="277" w:lineRule="auto"/>
        <w:tabs>
          <w:tab w:leader="none" w:pos="6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43" w:lineRule="exact"/>
        <w:rPr>
          <w:rFonts w:ascii="Arial" w:cs="Arial" w:eastAsia="Arial" w:hAnsi="Arial"/>
          <w:sz w:val="18"/>
          <w:szCs w:val="18"/>
          <w:color w:val="auto"/>
        </w:rPr>
      </w:pPr>
    </w:p>
    <w:p>
      <w:pPr>
        <w:ind w:left="620" w:hanging="612"/>
        <w:spacing w:after="0"/>
        <w:tabs>
          <w:tab w:leader="none" w:pos="6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We refer to Clause 22.5 (</w:t>
      </w:r>
      <w:r>
        <w:rPr>
          <w:rFonts w:ascii="Arial" w:cs="Arial" w:eastAsia="Arial" w:hAnsi="Arial"/>
          <w:sz w:val="18"/>
          <w:szCs w:val="18"/>
          <w:i w:val="1"/>
          <w:iCs w:val="1"/>
          <w:color w:val="auto"/>
        </w:rPr>
        <w:t>Procedure for transfer</w:t>
      </w:r>
      <w:r>
        <w:rPr>
          <w:rFonts w:ascii="Arial" w:cs="Arial" w:eastAsia="Arial" w:hAnsi="Arial"/>
          <w:sz w:val="18"/>
          <w:szCs w:val="18"/>
          <w:color w:val="auto"/>
        </w:rPr>
        <w:t>) of the Agreement:</w:t>
      </w:r>
    </w:p>
    <w:p>
      <w:pPr>
        <w:spacing w:after="0" w:line="211" w:lineRule="exact"/>
        <w:rPr>
          <w:rFonts w:ascii="Arial" w:cs="Arial" w:eastAsia="Arial" w:hAnsi="Arial"/>
          <w:sz w:val="18"/>
          <w:szCs w:val="18"/>
          <w:color w:val="auto"/>
        </w:rPr>
      </w:pPr>
    </w:p>
    <w:p>
      <w:pPr>
        <w:jc w:val="both"/>
        <w:ind w:left="1280" w:hanging="624"/>
        <w:spacing w:after="0" w:line="265" w:lineRule="auto"/>
        <w:tabs>
          <w:tab w:leader="none" w:pos="1262" w:val="left"/>
        </w:tabs>
        <w:numPr>
          <w:ilvl w:val="1"/>
          <w:numId w:val="311"/>
        </w:numPr>
        <w:rPr>
          <w:rFonts w:ascii="Arial" w:cs="Arial" w:eastAsia="Arial" w:hAnsi="Arial"/>
          <w:sz w:val="20"/>
          <w:szCs w:val="20"/>
          <w:color w:val="auto"/>
        </w:rPr>
      </w:pPr>
      <w:r>
        <w:rPr>
          <w:rFonts w:ascii="Arial" w:cs="Arial" w:eastAsia="Arial" w:hAnsi="Arial"/>
          <w:sz w:val="18"/>
          <w:szCs w:val="18"/>
          <w:color w:val="auto"/>
        </w:rPr>
        <w:t>The Existing Lender and the New Lender agree to the Existing Lender transferring to the New Lender by novation, and in accordance with Clause 22.5 (</w:t>
      </w:r>
      <w:r>
        <w:rPr>
          <w:rFonts w:ascii="Arial" w:cs="Arial" w:eastAsia="Arial" w:hAnsi="Arial"/>
          <w:sz w:val="18"/>
          <w:szCs w:val="18"/>
          <w:i w:val="1"/>
          <w:iCs w:val="1"/>
          <w:color w:val="auto"/>
        </w:rPr>
        <w:t>Procedure for transfer</w:t>
      </w:r>
      <w:r>
        <w:rPr>
          <w:rFonts w:ascii="Arial" w:cs="Arial" w:eastAsia="Arial" w:hAnsi="Arial"/>
          <w:sz w:val="18"/>
          <w:szCs w:val="18"/>
          <w:color w:val="auto"/>
        </w:rPr>
        <w:t>) of the Agreement, all of the Existing Lender's rights and obligations under the Agreement and the other Finance Documents which relate to that portion of the Existing Lender's Commitment and participations in Loans under the Agreement as specified in the Schedule.</w:t>
      </w:r>
    </w:p>
    <w:p>
      <w:pPr>
        <w:spacing w:after="0" w:line="151" w:lineRule="exact"/>
        <w:rPr>
          <w:sz w:val="20"/>
          <w:szCs w:val="20"/>
          <w:color w:val="auto"/>
        </w:rPr>
      </w:pPr>
    </w:p>
    <w:p>
      <w:pPr>
        <w:ind w:left="660"/>
        <w:spacing w:after="0"/>
        <w:tabs>
          <w:tab w:leader="none" w:pos="1240" w:val="left"/>
          <w:tab w:leader="none" w:pos="42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The proposed Transfer Date is [</w:t>
      </w:r>
      <w:r>
        <w:rPr>
          <w:sz w:val="20"/>
          <w:szCs w:val="20"/>
          <w:color w:val="auto"/>
        </w:rPr>
        <w:tab/>
      </w:r>
      <w:r>
        <w:rPr>
          <w:rFonts w:ascii="Arial" w:cs="Arial" w:eastAsia="Arial" w:hAnsi="Arial"/>
          <w:sz w:val="18"/>
          <w:szCs w:val="18"/>
          <w:color w:val="auto"/>
        </w:rPr>
        <w:t>].</w:t>
      </w:r>
    </w:p>
    <w:p>
      <w:pPr>
        <w:spacing w:after="0" w:line="205" w:lineRule="exact"/>
        <w:rPr>
          <w:sz w:val="20"/>
          <w:szCs w:val="20"/>
          <w:color w:val="auto"/>
        </w:rPr>
      </w:pPr>
    </w:p>
    <w:p>
      <w:pPr>
        <w:ind w:left="1280" w:hanging="624"/>
        <w:spacing w:after="0" w:line="266" w:lineRule="auto"/>
        <w:tabs>
          <w:tab w:leader="none" w:pos="1262" w:val="left"/>
        </w:tabs>
        <w:numPr>
          <w:ilvl w:val="1"/>
          <w:numId w:val="312"/>
        </w:numPr>
        <w:rPr>
          <w:rFonts w:ascii="Arial" w:cs="Arial" w:eastAsia="Arial" w:hAnsi="Arial"/>
          <w:sz w:val="20"/>
          <w:szCs w:val="20"/>
          <w:color w:val="auto"/>
        </w:rPr>
      </w:pPr>
      <w:r>
        <w:rPr>
          <w:rFonts w:ascii="Arial" w:cs="Arial" w:eastAsia="Arial" w:hAnsi="Arial"/>
          <w:sz w:val="18"/>
          <w:szCs w:val="18"/>
          <w:color w:val="auto"/>
        </w:rPr>
        <w:t>The Facility Office and address, email address and attention details for notices of the New Lender for the purposes of Clause 27.2 (</w:t>
      </w:r>
      <w:r>
        <w:rPr>
          <w:rFonts w:ascii="Arial" w:cs="Arial" w:eastAsia="Arial" w:hAnsi="Arial"/>
          <w:sz w:val="18"/>
          <w:szCs w:val="18"/>
          <w:i w:val="1"/>
          <w:iCs w:val="1"/>
          <w:color w:val="auto"/>
        </w:rPr>
        <w:t>Addresses</w:t>
      </w:r>
      <w:r>
        <w:rPr>
          <w:rFonts w:ascii="Arial" w:cs="Arial" w:eastAsia="Arial" w:hAnsi="Arial"/>
          <w:sz w:val="18"/>
          <w:szCs w:val="18"/>
          <w:color w:val="auto"/>
        </w:rPr>
        <w:t>) of the Agreement are set out in the Schedule.</w:t>
      </w:r>
    </w:p>
    <w:p>
      <w:pPr>
        <w:spacing w:after="0" w:line="150" w:lineRule="exact"/>
        <w:rPr>
          <w:rFonts w:ascii="Arial" w:cs="Arial" w:eastAsia="Arial" w:hAnsi="Arial"/>
          <w:sz w:val="20"/>
          <w:szCs w:val="20"/>
          <w:color w:val="auto"/>
        </w:rPr>
      </w:pPr>
    </w:p>
    <w:p>
      <w:pPr>
        <w:ind w:left="620" w:hanging="612"/>
        <w:spacing w:after="0"/>
        <w:tabs>
          <w:tab w:leader="none" w:pos="6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New Lender confirms, for the benefit of the Company, that it is:</w:t>
      </w:r>
    </w:p>
    <w:p>
      <w:pPr>
        <w:spacing w:after="0" w:line="211" w:lineRule="exact"/>
        <w:rPr>
          <w:rFonts w:ascii="Arial" w:cs="Arial" w:eastAsia="Arial" w:hAnsi="Arial"/>
          <w:sz w:val="18"/>
          <w:szCs w:val="18"/>
          <w:color w:val="auto"/>
        </w:rPr>
      </w:pPr>
    </w:p>
    <w:p>
      <w:pPr>
        <w:ind w:left="1260" w:hanging="604"/>
        <w:spacing w:after="0"/>
        <w:tabs>
          <w:tab w:leader="none" w:pos="1260" w:val="left"/>
        </w:tabs>
        <w:numPr>
          <w:ilvl w:val="1"/>
          <w:numId w:val="313"/>
        </w:numPr>
        <w:rPr>
          <w:rFonts w:ascii="Arial" w:cs="Arial" w:eastAsia="Arial" w:hAnsi="Arial"/>
          <w:sz w:val="20"/>
          <w:szCs w:val="20"/>
          <w:color w:val="auto"/>
        </w:rPr>
      </w:pPr>
      <w:r>
        <w:rPr>
          <w:rFonts w:ascii="Arial" w:cs="Arial" w:eastAsia="Arial" w:hAnsi="Arial"/>
          <w:sz w:val="18"/>
          <w:szCs w:val="18"/>
          <w:color w:val="auto"/>
        </w:rPr>
        <w:t>[an Italian Qualifying Lender or an Italian Qualifying Lender (other than an Italian Treaty Lender);]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313"/>
        </w:numPr>
        <w:rPr>
          <w:rFonts w:ascii="Arial" w:cs="Arial" w:eastAsia="Arial" w:hAnsi="Arial"/>
          <w:sz w:val="20"/>
          <w:szCs w:val="20"/>
          <w:color w:val="auto"/>
        </w:rPr>
      </w:pPr>
      <w:r>
        <w:rPr>
          <w:rFonts w:ascii="Arial" w:cs="Arial" w:eastAsia="Arial" w:hAnsi="Arial"/>
          <w:sz w:val="18"/>
          <w:szCs w:val="18"/>
          <w:color w:val="auto"/>
        </w:rPr>
        <w:t>[an Italian Treaty Lender;]</w:t>
      </w:r>
    </w:p>
    <w:p>
      <w:pPr>
        <w:spacing w:after="0" w:line="175" w:lineRule="exact"/>
        <w:rPr>
          <w:rFonts w:ascii="Arial" w:cs="Arial" w:eastAsia="Arial" w:hAnsi="Arial"/>
          <w:sz w:val="20"/>
          <w:szCs w:val="20"/>
          <w:color w:val="auto"/>
        </w:rPr>
      </w:pPr>
    </w:p>
    <w:p>
      <w:pPr>
        <w:ind w:left="1260" w:hanging="604"/>
        <w:spacing w:after="0"/>
        <w:tabs>
          <w:tab w:leader="none" w:pos="1260" w:val="left"/>
        </w:tabs>
        <w:numPr>
          <w:ilvl w:val="1"/>
          <w:numId w:val="313"/>
        </w:numPr>
        <w:rPr>
          <w:rFonts w:ascii="Arial" w:cs="Arial" w:eastAsia="Arial" w:hAnsi="Arial"/>
          <w:sz w:val="20"/>
          <w:szCs w:val="20"/>
          <w:color w:val="auto"/>
        </w:rPr>
      </w:pPr>
      <w:r>
        <w:rPr>
          <w:rFonts w:ascii="Arial" w:cs="Arial" w:eastAsia="Arial" w:hAnsi="Arial"/>
          <w:sz w:val="18"/>
          <w:szCs w:val="18"/>
          <w:color w:val="auto"/>
        </w:rPr>
        <w:t>[not an Italian Qualifying Lender].</w:t>
      </w:r>
      <w:r>
        <w:rPr>
          <w:rFonts w:ascii="Arial" w:cs="Arial" w:eastAsia="Arial" w:hAnsi="Arial"/>
          <w:sz w:val="25"/>
          <w:szCs w:val="25"/>
          <w:color w:val="auto"/>
          <w:vertAlign w:val="superscript"/>
        </w:rPr>
        <w:t>1</w:t>
      </w:r>
    </w:p>
    <w:p>
      <w:pPr>
        <w:spacing w:after="0" w:line="130" w:lineRule="exact"/>
        <w:rPr>
          <w:rFonts w:ascii="Arial" w:cs="Arial" w:eastAsia="Arial" w:hAnsi="Arial"/>
          <w:sz w:val="20"/>
          <w:szCs w:val="20"/>
          <w:color w:val="auto"/>
        </w:rPr>
      </w:pPr>
    </w:p>
    <w:p>
      <w:pPr>
        <w:ind w:left="620" w:hanging="612"/>
        <w:spacing w:after="0"/>
        <w:tabs>
          <w:tab w:leader="none" w:pos="6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New Lender confirms, for the benefit of the Company, that it is:</w:t>
      </w:r>
    </w:p>
    <w:p>
      <w:pPr>
        <w:spacing w:after="0" w:line="211" w:lineRule="exact"/>
        <w:rPr>
          <w:rFonts w:ascii="Arial" w:cs="Arial" w:eastAsia="Arial" w:hAnsi="Arial"/>
          <w:sz w:val="18"/>
          <w:szCs w:val="18"/>
          <w:color w:val="auto"/>
        </w:rPr>
      </w:pPr>
    </w:p>
    <w:p>
      <w:pPr>
        <w:ind w:left="1260" w:hanging="604"/>
        <w:spacing w:after="0"/>
        <w:tabs>
          <w:tab w:leader="none" w:pos="1260" w:val="left"/>
        </w:tabs>
        <w:numPr>
          <w:ilvl w:val="1"/>
          <w:numId w:val="313"/>
        </w:numPr>
        <w:rPr>
          <w:rFonts w:ascii="Arial" w:cs="Arial" w:eastAsia="Arial" w:hAnsi="Arial"/>
          <w:sz w:val="20"/>
          <w:szCs w:val="20"/>
          <w:color w:val="auto"/>
        </w:rPr>
      </w:pPr>
      <w:r>
        <w:rPr>
          <w:rFonts w:ascii="Arial" w:cs="Arial" w:eastAsia="Arial" w:hAnsi="Arial"/>
          <w:sz w:val="18"/>
          <w:szCs w:val="18"/>
          <w:color w:val="auto"/>
        </w:rPr>
        <w:t>[a UK Qualifying Lender or a UK Qualifying Lender (other than a UK Treaty Lender);]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313"/>
        </w:numPr>
        <w:rPr>
          <w:rFonts w:ascii="Arial" w:cs="Arial" w:eastAsia="Arial" w:hAnsi="Arial"/>
          <w:sz w:val="20"/>
          <w:szCs w:val="20"/>
          <w:color w:val="auto"/>
        </w:rPr>
      </w:pPr>
      <w:r>
        <w:rPr>
          <w:rFonts w:ascii="Arial" w:cs="Arial" w:eastAsia="Arial" w:hAnsi="Arial"/>
          <w:sz w:val="18"/>
          <w:szCs w:val="18"/>
          <w:color w:val="auto"/>
        </w:rPr>
        <w:t>[a UK Treaty Lender;]</w:t>
      </w:r>
    </w:p>
    <w:p>
      <w:pPr>
        <w:spacing w:after="0" w:line="175" w:lineRule="exact"/>
        <w:rPr>
          <w:rFonts w:ascii="Arial" w:cs="Arial" w:eastAsia="Arial" w:hAnsi="Arial"/>
          <w:sz w:val="20"/>
          <w:szCs w:val="20"/>
          <w:color w:val="auto"/>
        </w:rPr>
      </w:pPr>
    </w:p>
    <w:p>
      <w:pPr>
        <w:ind w:left="1280" w:hanging="624"/>
        <w:spacing w:after="0"/>
        <w:tabs>
          <w:tab w:leader="none" w:pos="1280" w:val="left"/>
        </w:tabs>
        <w:numPr>
          <w:ilvl w:val="1"/>
          <w:numId w:val="313"/>
        </w:numPr>
        <w:rPr>
          <w:rFonts w:ascii="Arial" w:cs="Arial" w:eastAsia="Arial" w:hAnsi="Arial"/>
          <w:sz w:val="20"/>
          <w:szCs w:val="20"/>
          <w:color w:val="auto"/>
        </w:rPr>
      </w:pPr>
      <w:r>
        <w:rPr>
          <w:rFonts w:ascii="Arial" w:cs="Arial" w:eastAsia="Arial" w:hAnsi="Arial"/>
          <w:sz w:val="18"/>
          <w:szCs w:val="18"/>
          <w:color w:val="auto"/>
        </w:rPr>
        <w:t>[not a UK Qualifying Lender].</w:t>
      </w:r>
      <w:r>
        <w:rPr>
          <w:rFonts w:ascii="Arial" w:cs="Arial" w:eastAsia="Arial" w:hAnsi="Arial"/>
          <w:sz w:val="25"/>
          <w:szCs w:val="25"/>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w:t>
      </w:r>
    </w:p>
    <w:p>
      <w:pPr>
        <w:spacing w:after="0" w:line="198"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25"/>
          <w:szCs w:val="25"/>
          <w:color w:val="auto"/>
          <w:vertAlign w:val="superscript"/>
        </w:rPr>
      </w:pPr>
      <w:r>
        <w:rPr>
          <w:rFonts w:ascii="Arial" w:cs="Arial" w:eastAsia="Arial" w:hAnsi="Arial"/>
          <w:sz w:val="18"/>
          <w:szCs w:val="18"/>
          <w:color w:val="auto"/>
        </w:rPr>
        <w:t>Delete as applicable - each New Lender is required to confirm which of these three categories it falls within.</w:t>
      </w:r>
    </w:p>
    <w:p>
      <w:pPr>
        <w:spacing w:after="0" w:line="175" w:lineRule="exact"/>
        <w:rPr>
          <w:sz w:val="20"/>
          <w:szCs w:val="20"/>
          <w:color w:val="auto"/>
        </w:rPr>
      </w:pPr>
    </w:p>
    <w:p>
      <w:pPr>
        <w:ind w:left="5540" w:right="2780" w:hanging="5532"/>
        <w:spacing w:after="0" w:line="653" w:lineRule="auto"/>
        <w:tabs>
          <w:tab w:leader="none" w:pos="662" w:val="left"/>
        </w:tabs>
        <w:numPr>
          <w:ilvl w:val="0"/>
          <w:numId w:val="315"/>
        </w:numPr>
        <w:rPr>
          <w:rFonts w:ascii="Arial" w:cs="Arial" w:eastAsia="Arial" w:hAnsi="Arial"/>
          <w:sz w:val="25"/>
          <w:szCs w:val="25"/>
          <w:color w:val="auto"/>
          <w:vertAlign w:val="superscript"/>
        </w:rPr>
      </w:pPr>
      <w:r>
        <w:rPr>
          <w:rFonts w:ascii="Arial" w:cs="Arial" w:eastAsia="Arial" w:hAnsi="Arial"/>
          <w:sz w:val="18"/>
          <w:szCs w:val="18"/>
          <w:color w:val="auto"/>
        </w:rPr>
        <w:t>Delete as applicable - each New Lender is required to confirm which of these three categories it falls within. 78</w:t>
      </w:r>
    </w:p>
    <w:p>
      <w:pPr>
        <w:sectPr>
          <w:pgSz w:w="11900" w:h="16838" w:orient="portrait"/>
          <w:cols w:equalWidth="0" w:num="1">
            <w:col w:w="11240"/>
          </w:cols>
          <w:pgMar w:left="320" w:top="738" w:right="339" w:bottom="1440" w:gutter="0" w:footer="0" w:header="0"/>
        </w:sectPr>
      </w:pPr>
    </w:p>
    <w:bookmarkStart w:id="106" w:name="page107"/>
    <w:bookmarkEnd w:id="106"/>
    <w:p>
      <w:pPr>
        <w:ind w:left="620" w:hanging="612"/>
        <w:spacing w:after="0" w:line="277" w:lineRule="auto"/>
        <w:tabs>
          <w:tab w:leader="none" w:pos="6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New Lender confirms that the person beneficially entitled to interest payable to that Lender in respect of an advance under a Finance Document is either:</w:t>
      </w:r>
    </w:p>
    <w:p>
      <w:pPr>
        <w:spacing w:after="0" w:line="156" w:lineRule="exact"/>
        <w:rPr>
          <w:rFonts w:ascii="Arial" w:cs="Arial" w:eastAsia="Arial" w:hAnsi="Arial"/>
          <w:sz w:val="18"/>
          <w:szCs w:val="18"/>
          <w:color w:val="auto"/>
        </w:rPr>
      </w:pPr>
    </w:p>
    <w:p>
      <w:pPr>
        <w:ind w:left="1260" w:hanging="604"/>
        <w:spacing w:after="0"/>
        <w:tabs>
          <w:tab w:leader="none" w:pos="1260" w:val="left"/>
        </w:tabs>
        <w:numPr>
          <w:ilvl w:val="1"/>
          <w:numId w:val="316"/>
        </w:numPr>
        <w:rPr>
          <w:rFonts w:ascii="Arial" w:cs="Arial" w:eastAsia="Arial" w:hAnsi="Arial"/>
          <w:sz w:val="20"/>
          <w:szCs w:val="20"/>
          <w:color w:val="auto"/>
        </w:rPr>
      </w:pPr>
      <w:r>
        <w:rPr>
          <w:rFonts w:ascii="Arial" w:cs="Arial" w:eastAsia="Arial" w:hAnsi="Arial"/>
          <w:sz w:val="18"/>
          <w:szCs w:val="18"/>
          <w:color w:val="auto"/>
        </w:rPr>
        <w:t>a company resident in the United Kingdom for United Kingdom tax purposes;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316"/>
        </w:numPr>
        <w:rPr>
          <w:rFonts w:ascii="Arial" w:cs="Arial" w:eastAsia="Arial" w:hAnsi="Arial"/>
          <w:sz w:val="20"/>
          <w:szCs w:val="20"/>
          <w:color w:val="auto"/>
        </w:rPr>
      </w:pPr>
      <w:r>
        <w:rPr>
          <w:rFonts w:ascii="Arial" w:cs="Arial" w:eastAsia="Arial" w:hAnsi="Arial"/>
          <w:sz w:val="18"/>
          <w:szCs w:val="18"/>
          <w:color w:val="auto"/>
        </w:rPr>
        <w:t>a partnership each member of which is:</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2"/>
          <w:numId w:val="316"/>
        </w:numPr>
        <w:rPr>
          <w:rFonts w:ascii="Arial" w:cs="Arial" w:eastAsia="Arial" w:hAnsi="Arial"/>
          <w:sz w:val="20"/>
          <w:szCs w:val="20"/>
          <w:color w:val="auto"/>
        </w:rPr>
      </w:pPr>
      <w:r>
        <w:rPr>
          <w:rFonts w:ascii="Arial" w:cs="Arial" w:eastAsia="Arial" w:hAnsi="Arial"/>
          <w:sz w:val="18"/>
          <w:szCs w:val="18"/>
          <w:color w:val="auto"/>
        </w:rPr>
        <w:t>a company so resident in the United Kingdom; or</w:t>
      </w:r>
    </w:p>
    <w:p>
      <w:pPr>
        <w:spacing w:after="0" w:line="188" w:lineRule="exact"/>
        <w:rPr>
          <w:rFonts w:ascii="Arial" w:cs="Arial" w:eastAsia="Arial" w:hAnsi="Arial"/>
          <w:sz w:val="20"/>
          <w:szCs w:val="20"/>
          <w:color w:val="auto"/>
        </w:rPr>
      </w:pPr>
    </w:p>
    <w:p>
      <w:pPr>
        <w:jc w:val="both"/>
        <w:ind w:left="1920" w:hanging="643"/>
        <w:spacing w:after="0" w:line="286" w:lineRule="auto"/>
        <w:tabs>
          <w:tab w:leader="none" w:pos="1920" w:val="left"/>
        </w:tabs>
        <w:numPr>
          <w:ilvl w:val="2"/>
          <w:numId w:val="316"/>
        </w:numPr>
        <w:rPr>
          <w:rFonts w:ascii="Arial" w:cs="Arial" w:eastAsia="Arial" w:hAnsi="Arial"/>
          <w:sz w:val="19"/>
          <w:szCs w:val="19"/>
          <w:color w:val="auto"/>
        </w:rPr>
      </w:pPr>
      <w:r>
        <w:rPr>
          <w:rFonts w:ascii="Arial" w:cs="Arial" w:eastAsia="Arial" w:hAnsi="Arial"/>
          <w:sz w:val="17"/>
          <w:szCs w:val="17"/>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51" w:lineRule="exact"/>
        <w:rPr>
          <w:rFonts w:ascii="Arial" w:cs="Arial" w:eastAsia="Arial" w:hAnsi="Arial"/>
          <w:sz w:val="19"/>
          <w:szCs w:val="19"/>
          <w:color w:val="auto"/>
        </w:rPr>
      </w:pPr>
    </w:p>
    <w:p>
      <w:pPr>
        <w:jc w:val="both"/>
        <w:ind w:left="1280" w:hanging="624"/>
        <w:spacing w:after="0" w:line="264" w:lineRule="auto"/>
        <w:tabs>
          <w:tab w:leader="none" w:pos="1262" w:val="left"/>
        </w:tabs>
        <w:numPr>
          <w:ilvl w:val="1"/>
          <w:numId w:val="316"/>
        </w:numPr>
        <w:rPr>
          <w:rFonts w:ascii="Arial" w:cs="Arial" w:eastAsia="Arial" w:hAnsi="Arial"/>
          <w:sz w:val="20"/>
          <w:szCs w:val="20"/>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56" w:lineRule="exact"/>
        <w:rPr>
          <w:sz w:val="20"/>
          <w:szCs w:val="20"/>
          <w:color w:val="auto"/>
        </w:rPr>
      </w:pPr>
    </w:p>
    <w:p>
      <w:pPr>
        <w:jc w:val="both"/>
        <w:ind w:left="660" w:hanging="652"/>
        <w:spacing w:after="0" w:line="233"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New Lender confirms that it holds a passport under the HMRC DT Treaty Passport scheme (reference number [ ]) and is tax resident in [ ]</w:t>
      </w:r>
      <w:r>
        <w:rPr>
          <w:rFonts w:ascii="Arial" w:cs="Arial" w:eastAsia="Arial" w:hAnsi="Arial"/>
          <w:sz w:val="25"/>
          <w:szCs w:val="25"/>
          <w:color w:val="auto"/>
          <w:vertAlign w:val="superscript"/>
        </w:rPr>
        <w:t>3</w:t>
      </w:r>
      <w:r>
        <w:rPr>
          <w:rFonts w:ascii="Arial" w:cs="Arial" w:eastAsia="Arial" w:hAnsi="Arial"/>
          <w:sz w:val="18"/>
          <w:szCs w:val="18"/>
          <w:color w:val="auto"/>
        </w:rPr>
        <w:t>, so that interest payable to it by borrowers is generally subject to full exemption from UK withholding tax, and notifies the Company that it wishes that scheme to apply to the Agreement.]</w:t>
      </w:r>
      <w:r>
        <w:rPr>
          <w:rFonts w:ascii="Arial" w:cs="Arial" w:eastAsia="Arial" w:hAnsi="Arial"/>
          <w:sz w:val="25"/>
          <w:szCs w:val="25"/>
          <w:color w:val="auto"/>
          <w:vertAlign w:val="superscript"/>
        </w:rPr>
        <w:t>4</w:t>
      </w:r>
    </w:p>
    <w:p>
      <w:pPr>
        <w:spacing w:after="0" w:line="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[5/6]. This Transfer Certificate may be executed in any number of counterparts and this has the same effect as if the signatures on the counterparts were on a single copy of this Transfer Certificate.</w:t>
      </w:r>
    </w:p>
    <w:p>
      <w:pPr>
        <w:spacing w:after="0" w:line="14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[6/7].</w:t>
        <w:tab/>
        <w:t>This Transfer Certificate and any non-contractual obligations arising out of or in connection with it are governed by English law.</w:t>
      </w:r>
    </w:p>
    <w:p>
      <w:pPr>
        <w:spacing w:after="0" w:line="19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[7/8].</w:t>
        <w:tab/>
        <w:t>This Transfer Certificate has been entered into on the date stated at the beginning of this Transfer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41" w:lineRule="exact"/>
        <w:rPr>
          <w:sz w:val="20"/>
          <w:szCs w:val="20"/>
          <w:color w:val="auto"/>
        </w:rPr>
      </w:pPr>
    </w:p>
    <w:p>
      <w:pPr>
        <w:ind w:left="260" w:hanging="252"/>
        <w:spacing w:after="0"/>
        <w:tabs>
          <w:tab w:leader="none" w:pos="260" w:val="left"/>
        </w:tabs>
        <w:numPr>
          <w:ilvl w:val="0"/>
          <w:numId w:val="318"/>
        </w:numPr>
        <w:rPr>
          <w:rFonts w:ascii="Arial" w:cs="Arial" w:eastAsia="Arial" w:hAnsi="Arial"/>
          <w:sz w:val="25"/>
          <w:szCs w:val="25"/>
          <w:color w:val="auto"/>
          <w:vertAlign w:val="superscript"/>
        </w:rPr>
      </w:pPr>
      <w:r>
        <w:rPr>
          <w:rFonts w:ascii="Arial" w:cs="Arial" w:eastAsia="Arial" w:hAnsi="Arial"/>
          <w:sz w:val="18"/>
          <w:szCs w:val="18"/>
          <w:color w:val="auto"/>
        </w:rPr>
        <w:t>Insert jurisdiction of tax residence.</w:t>
      </w:r>
    </w:p>
    <w:p>
      <w:pPr>
        <w:spacing w:after="0" w:line="129" w:lineRule="exact"/>
        <w:rPr>
          <w:sz w:val="20"/>
          <w:szCs w:val="20"/>
          <w:color w:val="auto"/>
        </w:rPr>
      </w:pPr>
    </w:p>
    <w:p>
      <w:pPr>
        <w:ind w:left="660" w:hanging="652"/>
        <w:spacing w:after="0"/>
        <w:tabs>
          <w:tab w:leader="none" w:pos="660" w:val="left"/>
        </w:tabs>
        <w:numPr>
          <w:ilvl w:val="0"/>
          <w:numId w:val="319"/>
        </w:numPr>
        <w:rPr>
          <w:rFonts w:ascii="Arial" w:cs="Arial" w:eastAsia="Arial" w:hAnsi="Arial"/>
          <w:sz w:val="24"/>
          <w:szCs w:val="24"/>
          <w:color w:val="auto"/>
          <w:vertAlign w:val="superscript"/>
        </w:rPr>
      </w:pPr>
      <w:r>
        <w:rPr>
          <w:rFonts w:ascii="Arial" w:cs="Arial" w:eastAsia="Arial" w:hAnsi="Arial"/>
          <w:sz w:val="17"/>
          <w:szCs w:val="17"/>
          <w:color w:val="auto"/>
        </w:rPr>
        <w:t>Include if New Lender holds a passport under the HMRC DT Treaty Passport scheme and wishes that scheme to apply to the Agreement.</w:t>
      </w:r>
    </w:p>
    <w:p>
      <w:pPr>
        <w:spacing w:after="0" w:line="390" w:lineRule="exact"/>
        <w:rPr>
          <w:rFonts w:ascii="Arial" w:cs="Arial" w:eastAsia="Arial" w:hAnsi="Arial"/>
          <w:sz w:val="24"/>
          <w:szCs w:val="24"/>
          <w:color w:val="auto"/>
          <w:vertAlign w:val="superscript"/>
        </w:rPr>
      </w:pPr>
    </w:p>
    <w:p>
      <w:pPr>
        <w:ind w:left="5540"/>
        <w:spacing w:after="0"/>
        <w:rPr>
          <w:rFonts w:ascii="Arial" w:cs="Arial" w:eastAsia="Arial" w:hAnsi="Arial"/>
          <w:sz w:val="24"/>
          <w:szCs w:val="24"/>
          <w:color w:val="auto"/>
          <w:vertAlign w:val="superscript"/>
        </w:rPr>
      </w:pPr>
      <w:r>
        <w:rPr>
          <w:rFonts w:ascii="Arial" w:cs="Arial" w:eastAsia="Arial" w:hAnsi="Arial"/>
          <w:sz w:val="18"/>
          <w:szCs w:val="18"/>
          <w:color w:val="auto"/>
        </w:rPr>
        <w:t>79</w:t>
      </w:r>
    </w:p>
    <w:p>
      <w:pPr>
        <w:sectPr>
          <w:pgSz w:w="11900" w:h="16838" w:orient="portrait"/>
          <w:cols w:equalWidth="0" w:num="1">
            <w:col w:w="11240"/>
          </w:cols>
          <w:pgMar w:left="320" w:top="341" w:right="339" w:bottom="1440" w:gutter="0" w:footer="0" w:header="0"/>
        </w:sectPr>
      </w:pPr>
    </w:p>
    <w:bookmarkStart w:id="107" w:name="page108"/>
    <w:bookmarkEnd w:id="107"/>
    <w:p>
      <w:pPr>
        <w:jc w:val="center"/>
        <w:ind w:right="-1060"/>
        <w:spacing w:after="0"/>
        <w:rPr>
          <w:sz w:val="20"/>
          <w:szCs w:val="20"/>
          <w:color w:val="auto"/>
        </w:rPr>
      </w:pPr>
      <w:r>
        <w:rPr>
          <w:rFonts w:ascii="Arial" w:cs="Arial" w:eastAsia="Arial" w:hAnsi="Arial"/>
          <w:sz w:val="18"/>
          <w:szCs w:val="18"/>
          <w:b w:val="1"/>
          <w:bCs w:val="1"/>
          <w:color w:val="auto"/>
        </w:rPr>
        <w:t>THE SCHEDULE</w:t>
      </w:r>
    </w:p>
    <w:p>
      <w:pPr>
        <w:spacing w:after="0" w:line="198"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Commitment/rights and obligations to be transferred</w:t>
      </w:r>
    </w:p>
    <w:p>
      <w:pPr>
        <w:spacing w:after="0" w:line="202" w:lineRule="exact"/>
        <w:rPr>
          <w:sz w:val="20"/>
          <w:szCs w:val="20"/>
          <w:color w:val="auto"/>
        </w:rPr>
      </w:pPr>
    </w:p>
    <w:p>
      <w:pPr>
        <w:jc w:val="center"/>
        <w:ind w:right="-1020"/>
        <w:spacing w:after="0"/>
        <w:rPr>
          <w:sz w:val="20"/>
          <w:szCs w:val="20"/>
          <w:color w:val="auto"/>
        </w:rPr>
      </w:pPr>
      <w:r>
        <w:rPr>
          <w:rFonts w:ascii="Arial" w:cs="Arial" w:eastAsia="Arial" w:hAnsi="Arial"/>
          <w:sz w:val="18"/>
          <w:szCs w:val="18"/>
          <w:i w:val="1"/>
          <w:iCs w:val="1"/>
          <w:color w:val="auto"/>
        </w:rPr>
        <w:t>[insert relevant details]</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i w:val="1"/>
          <w:iCs w:val="1"/>
          <w:color w:val="auto"/>
        </w:rPr>
        <w:t>[Facility Office address, email address and attention details for notices and account details for payments,]</w:t>
      </w:r>
    </w:p>
    <w:p>
      <w:pPr>
        <w:sectPr>
          <w:pgSz w:w="11900" w:h="16838" w:orient="portrait"/>
          <w:cols w:equalWidth="0" w:num="1">
            <w:col w:w="10099"/>
          </w:cols>
          <w:pgMar w:left="360" w:top="3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[Existing 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839"/>
        <w:spacing w:after="0"/>
        <w:rPr>
          <w:sz w:val="20"/>
          <w:szCs w:val="20"/>
          <w:color w:val="auto"/>
        </w:rPr>
      </w:pPr>
      <w:r>
        <w:rPr>
          <w:rFonts w:ascii="Arial" w:cs="Arial" w:eastAsia="Arial" w:hAnsi="Arial"/>
          <w:sz w:val="17"/>
          <w:szCs w:val="17"/>
          <w:color w:val="auto"/>
        </w:rPr>
        <w:t>[New Lender]</w:t>
      </w:r>
    </w:p>
    <w:p>
      <w:pPr>
        <w:spacing w:after="0" w:line="200" w:lineRule="exact"/>
        <w:rPr>
          <w:sz w:val="20"/>
          <w:szCs w:val="20"/>
          <w:color w:val="auto"/>
        </w:rPr>
      </w:pPr>
    </w:p>
    <w:p>
      <w:pPr>
        <w:sectPr>
          <w:pgSz w:w="11900" w:h="16838" w:orient="portrait"/>
          <w:cols w:equalWidth="0" w:num="2">
            <w:col w:w="4520" w:space="720"/>
            <w:col w:w="4859"/>
          </w:cols>
          <w:pgMar w:left="360" w:top="337"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4599"/>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4520" w:space="720"/>
            <w:col w:w="4859"/>
          </w:cols>
          <w:pgMar w:left="360" w:top="337" w:right="1440"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099"/>
          </w:cols>
          <w:pgMar w:left="360" w:top="337" w:right="1440"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20"/>
          <w:szCs w:val="20"/>
          <w:b w:val="1"/>
          <w:bCs w:val="1"/>
          <w:color w:val="auto"/>
        </w:rPr>
        <w:t>SCHEDULE 4</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AGREEMENT</w:t>
      </w:r>
    </w:p>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 xml:space="preserve">LivaNova PLC, Italian Branch as </w:t>
      </w:r>
      <w:r>
        <w:rPr>
          <w:rFonts w:ascii="Arial" w:cs="Arial" w:eastAsia="Arial" w:hAnsi="Arial"/>
          <w:sz w:val="18"/>
          <w:szCs w:val="18"/>
          <w:b w:val="1"/>
          <w:bCs w:val="1"/>
          <w:color w:val="auto"/>
        </w:rPr>
        <w:t>Company</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From:</w:t>
        <w:tab/>
        <w:t xml:space="preserve">[the </w:t>
      </w:r>
      <w:r>
        <w:rPr>
          <w:rFonts w:ascii="Arial" w:cs="Arial" w:eastAsia="Arial" w:hAnsi="Arial"/>
          <w:sz w:val="18"/>
          <w:szCs w:val="18"/>
          <w:i w:val="1"/>
          <w:iCs w:val="1"/>
          <w:color w:val="auto"/>
        </w:rPr>
        <w:t>Existing Lender</w:t>
      </w:r>
      <w:r>
        <w:rPr>
          <w:rFonts w:ascii="Arial" w:cs="Arial" w:eastAsia="Arial" w:hAnsi="Arial"/>
          <w:sz w:val="18"/>
          <w:szCs w:val="18"/>
          <w:color w:val="auto"/>
        </w:rPr>
        <w:t>] (the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New Lender</w:t>
      </w:r>
      <w:r>
        <w:rPr>
          <w:rFonts w:ascii="Arial" w:cs="Arial" w:eastAsia="Arial" w:hAnsi="Arial"/>
          <w:sz w:val="18"/>
          <w:szCs w:val="18"/>
          <w:color w:val="auto"/>
        </w:rPr>
        <w:t>]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LivaNova PLC, Italian Branch - Facility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 ] (the “Agreement”)</w:t>
      </w:r>
    </w:p>
    <w:p>
      <w:pPr>
        <w:spacing w:after="0" w:line="184" w:lineRule="exact"/>
        <w:rPr>
          <w:sz w:val="20"/>
          <w:szCs w:val="20"/>
          <w:color w:val="auto"/>
        </w:rPr>
      </w:pPr>
    </w:p>
    <w:p>
      <w:pPr>
        <w:ind w:left="620" w:right="20" w:hanging="612"/>
        <w:spacing w:after="0" w:line="277" w:lineRule="auto"/>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We refer to the Agreement. This is an Assignment Agreement. Terms defined in the Agreement have the same meaning in this Assignment Agreement unless given a different meaning in this Assignment Agreement.</w:t>
      </w:r>
    </w:p>
    <w:p>
      <w:pPr>
        <w:spacing w:after="0" w:line="143" w:lineRule="exact"/>
        <w:rPr>
          <w:rFonts w:ascii="Arial" w:cs="Arial" w:eastAsia="Arial" w:hAnsi="Arial"/>
          <w:sz w:val="18"/>
          <w:szCs w:val="18"/>
          <w:color w:val="auto"/>
        </w:rPr>
      </w:pPr>
    </w:p>
    <w:p>
      <w:pPr>
        <w:ind w:left="620" w:hanging="612"/>
        <w:spacing w:after="0"/>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We refer to Clause 22.6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of the Agreement:</w:t>
      </w:r>
    </w:p>
    <w:p>
      <w:pPr>
        <w:spacing w:after="0" w:line="211" w:lineRule="exact"/>
        <w:rPr>
          <w:rFonts w:ascii="Arial" w:cs="Arial" w:eastAsia="Arial" w:hAnsi="Arial"/>
          <w:sz w:val="18"/>
          <w:szCs w:val="18"/>
          <w:color w:val="auto"/>
        </w:rPr>
      </w:pPr>
    </w:p>
    <w:p>
      <w:pPr>
        <w:jc w:val="both"/>
        <w:ind w:left="1280" w:hanging="624"/>
        <w:spacing w:after="0" w:line="264" w:lineRule="auto"/>
        <w:tabs>
          <w:tab w:leader="none" w:pos="1262" w:val="left"/>
        </w:tabs>
        <w:numPr>
          <w:ilvl w:val="1"/>
          <w:numId w:val="320"/>
        </w:numPr>
        <w:rPr>
          <w:rFonts w:ascii="Arial" w:cs="Arial" w:eastAsia="Arial" w:hAnsi="Arial"/>
          <w:sz w:val="20"/>
          <w:szCs w:val="20"/>
          <w:color w:val="auto"/>
        </w:rPr>
      </w:pPr>
      <w:r>
        <w:rPr>
          <w:rFonts w:ascii="Arial" w:cs="Arial" w:eastAsia="Arial" w:hAnsi="Arial"/>
          <w:sz w:val="18"/>
          <w:szCs w:val="18"/>
          <w:color w:val="auto"/>
        </w:rPr>
        <w:t>The Existing Lender assigns absolutely to the New Lender all the rights of the Existing Lender under the Agreement and the other Finance Documents which relate to that portion of the Existing Lender's Commitment and participations in Loans under the Agreement as specified in the Schedule.</w:t>
      </w:r>
    </w:p>
    <w:p>
      <w:pPr>
        <w:spacing w:after="0" w:line="169" w:lineRule="exact"/>
        <w:rPr>
          <w:rFonts w:ascii="Arial" w:cs="Arial" w:eastAsia="Arial" w:hAnsi="Arial"/>
          <w:sz w:val="20"/>
          <w:szCs w:val="20"/>
          <w:color w:val="auto"/>
        </w:rPr>
      </w:pPr>
    </w:p>
    <w:p>
      <w:pPr>
        <w:ind w:left="1280" w:hanging="624"/>
        <w:spacing w:after="0" w:line="266" w:lineRule="auto"/>
        <w:tabs>
          <w:tab w:leader="none" w:pos="1262" w:val="left"/>
        </w:tabs>
        <w:numPr>
          <w:ilvl w:val="1"/>
          <w:numId w:val="320"/>
        </w:numPr>
        <w:rPr>
          <w:rFonts w:ascii="Arial" w:cs="Arial" w:eastAsia="Arial" w:hAnsi="Arial"/>
          <w:sz w:val="20"/>
          <w:szCs w:val="20"/>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 and participations in Loans under the Agreement specified in the Schedule.</w:t>
      </w:r>
    </w:p>
    <w:p>
      <w:pPr>
        <w:spacing w:after="0" w:line="163" w:lineRule="exact"/>
        <w:rPr>
          <w:rFonts w:ascii="Arial" w:cs="Arial" w:eastAsia="Arial" w:hAnsi="Arial"/>
          <w:sz w:val="20"/>
          <w:szCs w:val="20"/>
          <w:color w:val="auto"/>
        </w:rPr>
      </w:pPr>
    </w:p>
    <w:p>
      <w:pPr>
        <w:ind w:left="1280" w:right="20" w:hanging="624"/>
        <w:spacing w:after="0" w:line="266" w:lineRule="auto"/>
        <w:tabs>
          <w:tab w:leader="none" w:pos="1262" w:val="left"/>
        </w:tabs>
        <w:numPr>
          <w:ilvl w:val="1"/>
          <w:numId w:val="320"/>
        </w:numPr>
        <w:rPr>
          <w:rFonts w:ascii="Arial" w:cs="Arial" w:eastAsia="Arial" w:hAnsi="Arial"/>
          <w:sz w:val="20"/>
          <w:szCs w:val="20"/>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50" w:lineRule="exact"/>
        <w:rPr>
          <w:rFonts w:ascii="Arial" w:cs="Arial" w:eastAsia="Arial" w:hAnsi="Arial"/>
          <w:sz w:val="20"/>
          <w:szCs w:val="20"/>
          <w:color w:val="auto"/>
        </w:rPr>
      </w:pPr>
    </w:p>
    <w:p>
      <w:pPr>
        <w:ind w:left="620" w:hanging="612"/>
        <w:spacing w:after="0"/>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proposed Transfer Date is [ ].</w:t>
      </w:r>
    </w:p>
    <w:p>
      <w:pPr>
        <w:spacing w:after="0" w:line="198" w:lineRule="exact"/>
        <w:rPr>
          <w:rFonts w:ascii="Arial" w:cs="Arial" w:eastAsia="Arial" w:hAnsi="Arial"/>
          <w:sz w:val="18"/>
          <w:szCs w:val="18"/>
          <w:color w:val="auto"/>
        </w:rPr>
      </w:pPr>
    </w:p>
    <w:p>
      <w:pPr>
        <w:ind w:left="620" w:hanging="612"/>
        <w:spacing w:after="0"/>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On the Transfer Date the New Lender becomes Party to the Finance Documents as a Lender.</w:t>
      </w:r>
    </w:p>
    <w:p>
      <w:pPr>
        <w:spacing w:after="0" w:line="198" w:lineRule="exact"/>
        <w:rPr>
          <w:rFonts w:ascii="Arial" w:cs="Arial" w:eastAsia="Arial" w:hAnsi="Arial"/>
          <w:sz w:val="18"/>
          <w:szCs w:val="18"/>
          <w:color w:val="auto"/>
        </w:rPr>
      </w:pPr>
    </w:p>
    <w:p>
      <w:pPr>
        <w:ind w:left="620" w:hanging="612"/>
        <w:spacing w:after="0" w:line="277" w:lineRule="auto"/>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Facility Office and address, email address and attention details for notices of the New Lender for the purposes of Clause 27.2 (</w:t>
      </w:r>
      <w:r>
        <w:rPr>
          <w:rFonts w:ascii="Arial" w:cs="Arial" w:eastAsia="Arial" w:hAnsi="Arial"/>
          <w:sz w:val="18"/>
          <w:szCs w:val="18"/>
          <w:i w:val="1"/>
          <w:iCs w:val="1"/>
          <w:color w:val="auto"/>
        </w:rPr>
        <w:t>Addresses</w:t>
      </w:r>
      <w:r>
        <w:rPr>
          <w:rFonts w:ascii="Arial" w:cs="Arial" w:eastAsia="Arial" w:hAnsi="Arial"/>
          <w:sz w:val="18"/>
          <w:szCs w:val="18"/>
          <w:color w:val="auto"/>
        </w:rPr>
        <w:t>) of the Agreement are set out in the Schedule.</w:t>
      </w:r>
    </w:p>
    <w:p>
      <w:pPr>
        <w:spacing w:after="0" w:line="143" w:lineRule="exact"/>
        <w:rPr>
          <w:rFonts w:ascii="Arial" w:cs="Arial" w:eastAsia="Arial" w:hAnsi="Arial"/>
          <w:sz w:val="18"/>
          <w:szCs w:val="18"/>
          <w:color w:val="auto"/>
        </w:rPr>
      </w:pPr>
    </w:p>
    <w:p>
      <w:pPr>
        <w:ind w:left="620" w:hanging="612"/>
        <w:spacing w:after="0"/>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New Lender confirms, for the benefit of the Company, that it is:</w:t>
      </w:r>
    </w:p>
    <w:p>
      <w:pPr>
        <w:spacing w:after="0" w:line="211" w:lineRule="exact"/>
        <w:rPr>
          <w:rFonts w:ascii="Arial" w:cs="Arial" w:eastAsia="Arial" w:hAnsi="Arial"/>
          <w:sz w:val="18"/>
          <w:szCs w:val="18"/>
          <w:color w:val="auto"/>
        </w:rPr>
      </w:pPr>
    </w:p>
    <w:p>
      <w:pPr>
        <w:ind w:left="1260" w:hanging="604"/>
        <w:spacing w:after="0"/>
        <w:tabs>
          <w:tab w:leader="none" w:pos="1260" w:val="left"/>
        </w:tabs>
        <w:numPr>
          <w:ilvl w:val="1"/>
          <w:numId w:val="320"/>
        </w:numPr>
        <w:rPr>
          <w:rFonts w:ascii="Arial" w:cs="Arial" w:eastAsia="Arial" w:hAnsi="Arial"/>
          <w:sz w:val="20"/>
          <w:szCs w:val="20"/>
          <w:color w:val="auto"/>
        </w:rPr>
      </w:pPr>
      <w:r>
        <w:rPr>
          <w:rFonts w:ascii="Arial" w:cs="Arial" w:eastAsia="Arial" w:hAnsi="Arial"/>
          <w:sz w:val="18"/>
          <w:szCs w:val="18"/>
          <w:color w:val="auto"/>
        </w:rPr>
        <w:t>[an Italian Qualifying Lender or an Italian Qualifying Lender (other than an Italian Treaty Lender);]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320"/>
        </w:numPr>
        <w:rPr>
          <w:rFonts w:ascii="Arial" w:cs="Arial" w:eastAsia="Arial" w:hAnsi="Arial"/>
          <w:sz w:val="20"/>
          <w:szCs w:val="20"/>
          <w:color w:val="auto"/>
        </w:rPr>
      </w:pPr>
      <w:r>
        <w:rPr>
          <w:rFonts w:ascii="Arial" w:cs="Arial" w:eastAsia="Arial" w:hAnsi="Arial"/>
          <w:sz w:val="18"/>
          <w:szCs w:val="18"/>
          <w:color w:val="auto"/>
        </w:rPr>
        <w:t>[an Italian Treaty Lender;]</w:t>
      </w:r>
    </w:p>
    <w:p>
      <w:pPr>
        <w:spacing w:after="0" w:line="175" w:lineRule="exact"/>
        <w:rPr>
          <w:rFonts w:ascii="Arial" w:cs="Arial" w:eastAsia="Arial" w:hAnsi="Arial"/>
          <w:sz w:val="20"/>
          <w:szCs w:val="20"/>
          <w:color w:val="auto"/>
        </w:rPr>
      </w:pPr>
    </w:p>
    <w:p>
      <w:pPr>
        <w:ind w:left="1260" w:hanging="604"/>
        <w:spacing w:after="0"/>
        <w:tabs>
          <w:tab w:leader="none" w:pos="1260" w:val="left"/>
        </w:tabs>
        <w:numPr>
          <w:ilvl w:val="1"/>
          <w:numId w:val="320"/>
        </w:numPr>
        <w:rPr>
          <w:rFonts w:ascii="Arial" w:cs="Arial" w:eastAsia="Arial" w:hAnsi="Arial"/>
          <w:sz w:val="20"/>
          <w:szCs w:val="20"/>
          <w:color w:val="auto"/>
        </w:rPr>
      </w:pPr>
      <w:r>
        <w:rPr>
          <w:rFonts w:ascii="Arial" w:cs="Arial" w:eastAsia="Arial" w:hAnsi="Arial"/>
          <w:sz w:val="18"/>
          <w:szCs w:val="18"/>
          <w:color w:val="auto"/>
        </w:rPr>
        <w:t>[not an Italian Qualifying Lender].</w:t>
      </w:r>
      <w:r>
        <w:rPr>
          <w:rFonts w:ascii="Arial" w:cs="Arial" w:eastAsia="Arial" w:hAnsi="Arial"/>
          <w:sz w:val="25"/>
          <w:szCs w:val="25"/>
          <w:color w:val="auto"/>
          <w:vertAlign w:val="superscript"/>
        </w:rPr>
        <w:t>5</w:t>
      </w:r>
    </w:p>
    <w:p>
      <w:pPr>
        <w:spacing w:after="0" w:line="130" w:lineRule="exact"/>
        <w:rPr>
          <w:rFonts w:ascii="Arial" w:cs="Arial" w:eastAsia="Arial" w:hAnsi="Arial"/>
          <w:sz w:val="20"/>
          <w:szCs w:val="20"/>
          <w:color w:val="auto"/>
        </w:rPr>
      </w:pPr>
    </w:p>
    <w:p>
      <w:pPr>
        <w:ind w:left="620" w:hanging="612"/>
        <w:spacing w:after="0"/>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New Lender confirms, for the benefit of the Company, that it is:</w:t>
      </w:r>
    </w:p>
    <w:p>
      <w:pPr>
        <w:spacing w:after="0" w:line="211" w:lineRule="exact"/>
        <w:rPr>
          <w:rFonts w:ascii="Arial" w:cs="Arial" w:eastAsia="Arial" w:hAnsi="Arial"/>
          <w:sz w:val="18"/>
          <w:szCs w:val="18"/>
          <w:color w:val="auto"/>
        </w:rPr>
      </w:pPr>
    </w:p>
    <w:p>
      <w:pPr>
        <w:ind w:left="1260" w:hanging="604"/>
        <w:spacing w:after="0"/>
        <w:tabs>
          <w:tab w:leader="none" w:pos="1260" w:val="left"/>
        </w:tabs>
        <w:numPr>
          <w:ilvl w:val="1"/>
          <w:numId w:val="320"/>
        </w:numPr>
        <w:rPr>
          <w:rFonts w:ascii="Arial" w:cs="Arial" w:eastAsia="Arial" w:hAnsi="Arial"/>
          <w:sz w:val="20"/>
          <w:szCs w:val="20"/>
          <w:color w:val="auto"/>
        </w:rPr>
      </w:pPr>
      <w:r>
        <w:rPr>
          <w:rFonts w:ascii="Arial" w:cs="Arial" w:eastAsia="Arial" w:hAnsi="Arial"/>
          <w:sz w:val="18"/>
          <w:szCs w:val="18"/>
          <w:color w:val="auto"/>
        </w:rPr>
        <w:t>[a UK Qualifying Lender or a UK Qualifying Lender (other than a UK Treaty Lender);]</w:t>
      </w:r>
    </w:p>
    <w:p>
      <w:pPr>
        <w:spacing w:after="0" w:line="200" w:lineRule="exact"/>
        <w:rPr>
          <w:sz w:val="20"/>
          <w:szCs w:val="20"/>
          <w:color w:val="auto"/>
        </w:rPr>
      </w:pPr>
    </w:p>
    <w:p>
      <w:pPr>
        <w:spacing w:after="0" w:line="3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___________________________</w:t>
      </w:r>
    </w:p>
    <w:p>
      <w:pPr>
        <w:spacing w:after="0" w:line="198" w:lineRule="exact"/>
        <w:rPr>
          <w:sz w:val="20"/>
          <w:szCs w:val="20"/>
          <w:color w:val="auto"/>
        </w:rPr>
      </w:pPr>
    </w:p>
    <w:p>
      <w:pPr>
        <w:ind w:left="5540" w:right="2180" w:hanging="4884"/>
        <w:spacing w:after="0" w:line="653" w:lineRule="auto"/>
        <w:tabs>
          <w:tab w:leader="none" w:pos="1269" w:val="left"/>
        </w:tabs>
        <w:numPr>
          <w:ilvl w:val="0"/>
          <w:numId w:val="321"/>
        </w:numPr>
        <w:rPr>
          <w:rFonts w:ascii="Arial" w:cs="Arial" w:eastAsia="Arial" w:hAnsi="Arial"/>
          <w:sz w:val="25"/>
          <w:szCs w:val="25"/>
          <w:color w:val="auto"/>
          <w:vertAlign w:val="superscript"/>
        </w:rPr>
      </w:pPr>
      <w:r>
        <w:rPr>
          <w:rFonts w:ascii="Arial" w:cs="Arial" w:eastAsia="Arial" w:hAnsi="Arial"/>
          <w:sz w:val="18"/>
          <w:szCs w:val="18"/>
          <w:color w:val="auto"/>
        </w:rPr>
        <w:t>Delete as applicable - each New Lender is required to confirm which of these three categories it falls within. 81</w:t>
      </w:r>
    </w:p>
    <w:p>
      <w:pPr>
        <w:sectPr>
          <w:pgSz w:w="11900" w:h="16838" w:orient="portrait"/>
          <w:cols w:equalWidth="0" w:num="1">
            <w:col w:w="11240"/>
          </w:cols>
          <w:pgMar w:left="320" w:top="738" w:right="339" w:bottom="1440" w:gutter="0" w:footer="0" w:header="0"/>
        </w:sectPr>
      </w:pPr>
    </w:p>
    <w:bookmarkStart w:id="109" w:name="page110"/>
    <w:bookmarkEnd w:id="109"/>
    <w:p>
      <w:pPr>
        <w:ind w:left="1260" w:hanging="604"/>
        <w:spacing w:after="0"/>
        <w:tabs>
          <w:tab w:leader="none" w:pos="1260" w:val="left"/>
        </w:tabs>
        <w:numPr>
          <w:ilvl w:val="1"/>
          <w:numId w:val="322"/>
        </w:numPr>
        <w:rPr>
          <w:rFonts w:ascii="Arial" w:cs="Arial" w:eastAsia="Arial" w:hAnsi="Arial"/>
          <w:sz w:val="20"/>
          <w:szCs w:val="20"/>
          <w:color w:val="auto"/>
        </w:rPr>
      </w:pPr>
      <w:r>
        <w:rPr>
          <w:rFonts w:ascii="Arial" w:cs="Arial" w:eastAsia="Arial" w:hAnsi="Arial"/>
          <w:sz w:val="18"/>
          <w:szCs w:val="18"/>
          <w:color w:val="auto"/>
        </w:rPr>
        <w:t>[an UK Treaty Lender;]</w:t>
      </w:r>
    </w:p>
    <w:p>
      <w:pPr>
        <w:spacing w:after="0" w:line="175" w:lineRule="exact"/>
        <w:rPr>
          <w:rFonts w:ascii="Arial" w:cs="Arial" w:eastAsia="Arial" w:hAnsi="Arial"/>
          <w:sz w:val="20"/>
          <w:szCs w:val="20"/>
          <w:color w:val="auto"/>
        </w:rPr>
      </w:pPr>
    </w:p>
    <w:p>
      <w:pPr>
        <w:ind w:left="1260" w:hanging="604"/>
        <w:spacing w:after="0"/>
        <w:tabs>
          <w:tab w:leader="none" w:pos="1260" w:val="left"/>
        </w:tabs>
        <w:numPr>
          <w:ilvl w:val="1"/>
          <w:numId w:val="322"/>
        </w:numPr>
        <w:rPr>
          <w:rFonts w:ascii="Arial" w:cs="Arial" w:eastAsia="Arial" w:hAnsi="Arial"/>
          <w:sz w:val="20"/>
          <w:szCs w:val="20"/>
          <w:color w:val="auto"/>
        </w:rPr>
      </w:pPr>
      <w:r>
        <w:rPr>
          <w:rFonts w:ascii="Arial" w:cs="Arial" w:eastAsia="Arial" w:hAnsi="Arial"/>
          <w:sz w:val="18"/>
          <w:szCs w:val="18"/>
          <w:color w:val="auto"/>
        </w:rPr>
        <w:t>[not a UK Qualifying Lender].</w:t>
      </w:r>
      <w:r>
        <w:rPr>
          <w:rFonts w:ascii="Arial" w:cs="Arial" w:eastAsia="Arial" w:hAnsi="Arial"/>
          <w:sz w:val="25"/>
          <w:szCs w:val="25"/>
          <w:color w:val="auto"/>
          <w:vertAlign w:val="superscript"/>
        </w:rPr>
        <w:t>6</w:t>
      </w:r>
    </w:p>
    <w:p>
      <w:pPr>
        <w:spacing w:after="0" w:line="130" w:lineRule="exact"/>
        <w:rPr>
          <w:rFonts w:ascii="Arial" w:cs="Arial" w:eastAsia="Arial" w:hAnsi="Arial"/>
          <w:sz w:val="20"/>
          <w:szCs w:val="20"/>
          <w:color w:val="auto"/>
        </w:rPr>
      </w:pPr>
    </w:p>
    <w:p>
      <w:pPr>
        <w:ind w:left="620" w:hanging="612"/>
        <w:spacing w:after="0" w:line="277" w:lineRule="auto"/>
        <w:tabs>
          <w:tab w:leader="none" w:pos="62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The New Lender confirms that the person beneficially entitled to interest payable to that Lender in respect of an advance under a Finance Document is either:</w:t>
      </w:r>
    </w:p>
    <w:p>
      <w:pPr>
        <w:spacing w:after="0" w:line="156" w:lineRule="exact"/>
        <w:rPr>
          <w:rFonts w:ascii="Arial" w:cs="Arial" w:eastAsia="Arial" w:hAnsi="Arial"/>
          <w:sz w:val="18"/>
          <w:szCs w:val="18"/>
          <w:color w:val="auto"/>
        </w:rPr>
      </w:pPr>
    </w:p>
    <w:p>
      <w:pPr>
        <w:ind w:left="1260" w:hanging="604"/>
        <w:spacing w:after="0"/>
        <w:tabs>
          <w:tab w:leader="none" w:pos="1260" w:val="left"/>
        </w:tabs>
        <w:numPr>
          <w:ilvl w:val="1"/>
          <w:numId w:val="323"/>
        </w:numPr>
        <w:rPr>
          <w:rFonts w:ascii="Arial" w:cs="Arial" w:eastAsia="Arial" w:hAnsi="Arial"/>
          <w:sz w:val="20"/>
          <w:szCs w:val="20"/>
          <w:color w:val="auto"/>
        </w:rPr>
      </w:pPr>
      <w:r>
        <w:rPr>
          <w:rFonts w:ascii="Arial" w:cs="Arial" w:eastAsia="Arial" w:hAnsi="Arial"/>
          <w:sz w:val="18"/>
          <w:szCs w:val="18"/>
          <w:color w:val="auto"/>
        </w:rPr>
        <w:t>a company resident in the United Kingdom for United Kingdom tax purposes;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323"/>
        </w:numPr>
        <w:rPr>
          <w:rFonts w:ascii="Arial" w:cs="Arial" w:eastAsia="Arial" w:hAnsi="Arial"/>
          <w:sz w:val="20"/>
          <w:szCs w:val="20"/>
          <w:color w:val="auto"/>
        </w:rPr>
      </w:pPr>
      <w:r>
        <w:rPr>
          <w:rFonts w:ascii="Arial" w:cs="Arial" w:eastAsia="Arial" w:hAnsi="Arial"/>
          <w:sz w:val="18"/>
          <w:szCs w:val="18"/>
          <w:color w:val="auto"/>
        </w:rPr>
        <w:t>a partnership each member of which is:</w:t>
      </w:r>
    </w:p>
    <w:p>
      <w:pPr>
        <w:spacing w:after="0" w:line="188" w:lineRule="exact"/>
        <w:rPr>
          <w:rFonts w:ascii="Arial" w:cs="Arial" w:eastAsia="Arial" w:hAnsi="Arial"/>
          <w:sz w:val="20"/>
          <w:szCs w:val="20"/>
          <w:color w:val="auto"/>
        </w:rPr>
      </w:pPr>
    </w:p>
    <w:p>
      <w:pPr>
        <w:ind w:left="1920" w:hanging="643"/>
        <w:spacing w:after="0"/>
        <w:tabs>
          <w:tab w:leader="none" w:pos="1920" w:val="left"/>
        </w:tabs>
        <w:numPr>
          <w:ilvl w:val="2"/>
          <w:numId w:val="323"/>
        </w:numPr>
        <w:rPr>
          <w:rFonts w:ascii="Arial" w:cs="Arial" w:eastAsia="Arial" w:hAnsi="Arial"/>
          <w:sz w:val="20"/>
          <w:szCs w:val="20"/>
          <w:color w:val="auto"/>
        </w:rPr>
      </w:pPr>
      <w:r>
        <w:rPr>
          <w:rFonts w:ascii="Arial" w:cs="Arial" w:eastAsia="Arial" w:hAnsi="Arial"/>
          <w:sz w:val="18"/>
          <w:szCs w:val="18"/>
          <w:color w:val="auto"/>
        </w:rPr>
        <w:t>a company so resident in the United Kingdom; or</w:t>
      </w:r>
    </w:p>
    <w:p>
      <w:pPr>
        <w:spacing w:after="0" w:line="188" w:lineRule="exact"/>
        <w:rPr>
          <w:rFonts w:ascii="Arial" w:cs="Arial" w:eastAsia="Arial" w:hAnsi="Arial"/>
          <w:sz w:val="20"/>
          <w:szCs w:val="20"/>
          <w:color w:val="auto"/>
        </w:rPr>
      </w:pPr>
    </w:p>
    <w:p>
      <w:pPr>
        <w:jc w:val="both"/>
        <w:ind w:left="1920" w:hanging="643"/>
        <w:spacing w:after="0" w:line="286" w:lineRule="auto"/>
        <w:tabs>
          <w:tab w:leader="none" w:pos="1920" w:val="left"/>
        </w:tabs>
        <w:numPr>
          <w:ilvl w:val="2"/>
          <w:numId w:val="323"/>
        </w:numPr>
        <w:rPr>
          <w:rFonts w:ascii="Arial" w:cs="Arial" w:eastAsia="Arial" w:hAnsi="Arial"/>
          <w:sz w:val="19"/>
          <w:szCs w:val="19"/>
          <w:color w:val="auto"/>
        </w:rPr>
      </w:pPr>
      <w:r>
        <w:rPr>
          <w:rFonts w:ascii="Arial" w:cs="Arial" w:eastAsia="Arial" w:hAnsi="Arial"/>
          <w:sz w:val="17"/>
          <w:szCs w:val="17"/>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51" w:lineRule="exact"/>
        <w:rPr>
          <w:rFonts w:ascii="Arial" w:cs="Arial" w:eastAsia="Arial" w:hAnsi="Arial"/>
          <w:sz w:val="19"/>
          <w:szCs w:val="19"/>
          <w:color w:val="auto"/>
        </w:rPr>
      </w:pPr>
    </w:p>
    <w:p>
      <w:pPr>
        <w:jc w:val="both"/>
        <w:ind w:left="1280" w:hanging="624"/>
        <w:spacing w:after="0" w:line="263" w:lineRule="auto"/>
        <w:tabs>
          <w:tab w:leader="none" w:pos="1262" w:val="left"/>
        </w:tabs>
        <w:numPr>
          <w:ilvl w:val="1"/>
          <w:numId w:val="323"/>
        </w:numPr>
        <w:rPr>
          <w:rFonts w:ascii="Arial" w:cs="Arial" w:eastAsia="Arial" w:hAnsi="Arial"/>
          <w:sz w:val="20"/>
          <w:szCs w:val="20"/>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r>
        <w:rPr>
          <w:rFonts w:ascii="Arial" w:cs="Arial" w:eastAsia="Arial" w:hAnsi="Arial"/>
          <w:sz w:val="25"/>
          <w:szCs w:val="25"/>
          <w:color w:val="auto"/>
          <w:vertAlign w:val="superscript"/>
        </w:rPr>
        <w:t>7</w:t>
      </w:r>
    </w:p>
    <w:p>
      <w:pPr>
        <w:spacing w:after="0" w:line="70" w:lineRule="exact"/>
        <w:rPr>
          <w:rFonts w:ascii="Arial" w:cs="Arial" w:eastAsia="Arial" w:hAnsi="Arial"/>
          <w:sz w:val="20"/>
          <w:szCs w:val="20"/>
          <w:color w:val="auto"/>
        </w:rPr>
      </w:pPr>
    </w:p>
    <w:p>
      <w:pPr>
        <w:jc w:val="both"/>
        <w:ind w:left="620" w:hanging="612"/>
        <w:spacing w:after="0" w:line="233" w:lineRule="auto"/>
        <w:tabs>
          <w:tab w:leader="none" w:pos="6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New Lender confirms that it holds a passport under the HMRC DT Treaty Passport scheme (reference number [ ]) and is tax resident in [ ]</w:t>
      </w:r>
      <w:r>
        <w:rPr>
          <w:rFonts w:ascii="Arial" w:cs="Arial" w:eastAsia="Arial" w:hAnsi="Arial"/>
          <w:sz w:val="25"/>
          <w:szCs w:val="25"/>
          <w:color w:val="auto"/>
          <w:vertAlign w:val="superscript"/>
        </w:rPr>
        <w:t>8</w:t>
      </w:r>
      <w:r>
        <w:rPr>
          <w:rFonts w:ascii="Arial" w:cs="Arial" w:eastAsia="Arial" w:hAnsi="Arial"/>
          <w:sz w:val="18"/>
          <w:szCs w:val="18"/>
          <w:color w:val="auto"/>
        </w:rPr>
        <w:t>, so that interest payable to it by borrowers is generally subject to full exemption from UK withholding tax, and notifies the Company that it wishes that scheme to apply to the Agreement.]</w:t>
      </w:r>
      <w:r>
        <w:rPr>
          <w:rFonts w:ascii="Arial" w:cs="Arial" w:eastAsia="Arial" w:hAnsi="Arial"/>
          <w:sz w:val="25"/>
          <w:szCs w:val="25"/>
          <w:color w:val="auto"/>
          <w:vertAlign w:val="superscript"/>
        </w:rPr>
        <w:t>9</w:t>
      </w:r>
    </w:p>
    <w:p>
      <w:pPr>
        <w:spacing w:after="0" w:line="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[8/9]. This Assignment Agreement acts as notice to the Company (on behalf of the Company) of the assignment referred to in this Assignment Agreement.</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[9/10]. This Assignment Agreement may be executed in any number of counterparts and this has the same effect as if the signatures on the counterparts were on a single copy of this Assignment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[10/11].This Assignment Agreement and any non-contractual obligations arising out of or in connection with it are governed by English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[11/12].This Assignment Agreement has been entered into on the date stated at the beginning of this Assignment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41" w:lineRule="exact"/>
        <w:rPr>
          <w:sz w:val="20"/>
          <w:szCs w:val="20"/>
          <w:color w:val="auto"/>
        </w:rPr>
      </w:pPr>
    </w:p>
    <w:p>
      <w:pPr>
        <w:ind w:left="260" w:hanging="252"/>
        <w:spacing w:after="0"/>
        <w:tabs>
          <w:tab w:leader="none" w:pos="260" w:val="left"/>
        </w:tabs>
        <w:numPr>
          <w:ilvl w:val="0"/>
          <w:numId w:val="324"/>
        </w:numPr>
        <w:rPr>
          <w:rFonts w:ascii="Arial" w:cs="Arial" w:eastAsia="Arial" w:hAnsi="Arial"/>
          <w:sz w:val="25"/>
          <w:szCs w:val="25"/>
          <w:color w:val="auto"/>
          <w:vertAlign w:val="superscript"/>
        </w:rPr>
      </w:pPr>
      <w:r>
        <w:rPr>
          <w:rFonts w:ascii="Arial" w:cs="Arial" w:eastAsia="Arial" w:hAnsi="Arial"/>
          <w:sz w:val="18"/>
          <w:szCs w:val="18"/>
          <w:color w:val="auto"/>
        </w:rPr>
        <w:t>Delete as applicable - each New Lender is required to confirm which of these categories it falls within.</w:t>
      </w:r>
    </w:p>
    <w:p>
      <w:pPr>
        <w:spacing w:after="0" w:line="175" w:lineRule="exact"/>
        <w:rPr>
          <w:sz w:val="20"/>
          <w:szCs w:val="20"/>
          <w:color w:val="auto"/>
        </w:rPr>
      </w:pPr>
    </w:p>
    <w:p>
      <w:pPr>
        <w:ind w:left="660" w:hanging="652"/>
        <w:spacing w:after="0" w:line="216" w:lineRule="auto"/>
        <w:tabs>
          <w:tab w:leader="none" w:pos="660" w:val="left"/>
        </w:tabs>
        <w:numPr>
          <w:ilvl w:val="0"/>
          <w:numId w:val="325"/>
        </w:numPr>
        <w:rPr>
          <w:rFonts w:ascii="Arial" w:cs="Arial" w:eastAsia="Arial" w:hAnsi="Arial"/>
          <w:sz w:val="25"/>
          <w:szCs w:val="25"/>
          <w:color w:val="auto"/>
          <w:vertAlign w:val="superscript"/>
        </w:rPr>
      </w:pPr>
      <w:r>
        <w:rPr>
          <w:rFonts w:ascii="Arial" w:cs="Arial" w:eastAsia="Arial" w:hAnsi="Arial"/>
          <w:sz w:val="18"/>
          <w:szCs w:val="18"/>
          <w:color w:val="auto"/>
        </w:rPr>
        <w:t>Include only if New Lender is a UK Non-Bank Lender - i.e. falls within paragraph (a)(ii) of the definition of Qualifying Lender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9" w:lineRule="exact"/>
        <w:rPr>
          <w:sz w:val="20"/>
          <w:szCs w:val="20"/>
          <w:color w:val="auto"/>
        </w:rPr>
      </w:pPr>
    </w:p>
    <w:p>
      <w:pPr>
        <w:ind w:left="660" w:hanging="652"/>
        <w:spacing w:after="0"/>
        <w:tabs>
          <w:tab w:leader="none" w:pos="660" w:val="left"/>
        </w:tabs>
        <w:numPr>
          <w:ilvl w:val="0"/>
          <w:numId w:val="326"/>
        </w:numPr>
        <w:rPr>
          <w:rFonts w:ascii="Arial" w:cs="Arial" w:eastAsia="Arial" w:hAnsi="Arial"/>
          <w:sz w:val="25"/>
          <w:szCs w:val="25"/>
          <w:color w:val="auto"/>
          <w:vertAlign w:val="superscript"/>
        </w:rPr>
      </w:pPr>
      <w:r>
        <w:rPr>
          <w:rFonts w:ascii="Arial" w:cs="Arial" w:eastAsia="Arial" w:hAnsi="Arial"/>
          <w:sz w:val="18"/>
          <w:szCs w:val="18"/>
          <w:color w:val="auto"/>
        </w:rPr>
        <w:t>Insert jurisdiction of tax residence.</w:t>
      </w:r>
    </w:p>
    <w:p>
      <w:pPr>
        <w:spacing w:after="0" w:line="129" w:lineRule="exact"/>
        <w:rPr>
          <w:sz w:val="20"/>
          <w:szCs w:val="20"/>
          <w:color w:val="auto"/>
        </w:rPr>
      </w:pPr>
    </w:p>
    <w:p>
      <w:pPr>
        <w:ind w:left="660" w:hanging="652"/>
        <w:spacing w:after="0"/>
        <w:tabs>
          <w:tab w:leader="none" w:pos="660" w:val="left"/>
        </w:tabs>
        <w:numPr>
          <w:ilvl w:val="0"/>
          <w:numId w:val="327"/>
        </w:numPr>
        <w:rPr>
          <w:rFonts w:ascii="Arial" w:cs="Arial" w:eastAsia="Arial" w:hAnsi="Arial"/>
          <w:sz w:val="24"/>
          <w:szCs w:val="24"/>
          <w:color w:val="auto"/>
          <w:vertAlign w:val="superscript"/>
        </w:rPr>
      </w:pPr>
      <w:r>
        <w:rPr>
          <w:rFonts w:ascii="Arial" w:cs="Arial" w:eastAsia="Arial" w:hAnsi="Arial"/>
          <w:sz w:val="17"/>
          <w:szCs w:val="17"/>
          <w:color w:val="auto"/>
        </w:rPr>
        <w:t>Include if New Lender holds a passport under the HMRC DT Treaty Passport scheme and wishes that scheme to apply to the Agreement.</w:t>
      </w:r>
    </w:p>
    <w:p>
      <w:pPr>
        <w:spacing w:after="0" w:line="390" w:lineRule="exact"/>
        <w:rPr>
          <w:rFonts w:ascii="Arial" w:cs="Arial" w:eastAsia="Arial" w:hAnsi="Arial"/>
          <w:sz w:val="24"/>
          <w:szCs w:val="24"/>
          <w:color w:val="auto"/>
          <w:vertAlign w:val="superscript"/>
        </w:rPr>
      </w:pPr>
    </w:p>
    <w:p>
      <w:pPr>
        <w:ind w:left="5540"/>
        <w:spacing w:after="0"/>
        <w:rPr>
          <w:rFonts w:ascii="Arial" w:cs="Arial" w:eastAsia="Arial" w:hAnsi="Arial"/>
          <w:sz w:val="24"/>
          <w:szCs w:val="24"/>
          <w:color w:val="auto"/>
          <w:vertAlign w:val="superscript"/>
        </w:rPr>
      </w:pPr>
      <w:r>
        <w:rPr>
          <w:rFonts w:ascii="Arial" w:cs="Arial" w:eastAsia="Arial" w:hAnsi="Arial"/>
          <w:sz w:val="18"/>
          <w:szCs w:val="18"/>
          <w:color w:val="auto"/>
        </w:rPr>
        <w:t>82</w:t>
      </w:r>
    </w:p>
    <w:p>
      <w:pPr>
        <w:sectPr>
          <w:pgSz w:w="11900" w:h="16838" w:orient="portrait"/>
          <w:cols w:equalWidth="0" w:num="1">
            <w:col w:w="11240"/>
          </w:cols>
          <w:pgMar w:left="320" w:top="355" w:right="339" w:bottom="1440" w:gutter="0" w:footer="0" w:header="0"/>
        </w:sectPr>
      </w:pPr>
    </w:p>
    <w:bookmarkStart w:id="110" w:name="page111"/>
    <w:bookmarkEnd w:id="110"/>
    <w:p>
      <w:pPr>
        <w:jc w:val="center"/>
        <w:ind w:right="-1060"/>
        <w:spacing w:after="0"/>
        <w:rPr>
          <w:sz w:val="20"/>
          <w:szCs w:val="20"/>
          <w:color w:val="auto"/>
        </w:rPr>
      </w:pPr>
      <w:r>
        <w:rPr>
          <w:rFonts w:ascii="Arial" w:cs="Arial" w:eastAsia="Arial" w:hAnsi="Arial"/>
          <w:sz w:val="18"/>
          <w:szCs w:val="18"/>
          <w:b w:val="1"/>
          <w:bCs w:val="1"/>
          <w:color w:val="auto"/>
        </w:rPr>
        <w:t>THE SCHEDULE</w:t>
      </w:r>
    </w:p>
    <w:p>
      <w:pPr>
        <w:spacing w:after="0" w:line="198"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Rights to be assigned and obligations to be released and undertaken</w:t>
      </w:r>
    </w:p>
    <w:p>
      <w:pPr>
        <w:spacing w:after="0" w:line="202" w:lineRule="exact"/>
        <w:rPr>
          <w:sz w:val="20"/>
          <w:szCs w:val="20"/>
          <w:color w:val="auto"/>
        </w:rPr>
      </w:pPr>
    </w:p>
    <w:p>
      <w:pPr>
        <w:jc w:val="center"/>
        <w:ind w:right="-1020"/>
        <w:spacing w:after="0"/>
        <w:rPr>
          <w:sz w:val="20"/>
          <w:szCs w:val="20"/>
          <w:color w:val="auto"/>
        </w:rPr>
      </w:pPr>
      <w:r>
        <w:rPr>
          <w:rFonts w:ascii="Arial" w:cs="Arial" w:eastAsia="Arial" w:hAnsi="Arial"/>
          <w:sz w:val="18"/>
          <w:szCs w:val="18"/>
          <w:i w:val="1"/>
          <w:iCs w:val="1"/>
          <w:color w:val="auto"/>
        </w:rPr>
        <w:t>[insert relevant details]</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i w:val="1"/>
          <w:iCs w:val="1"/>
          <w:color w:val="auto"/>
        </w:rPr>
        <w:t>[Facility Office address, email address and attention details for notices and account details for payments]</w:t>
      </w:r>
    </w:p>
    <w:p>
      <w:pPr>
        <w:sectPr>
          <w:pgSz w:w="11900" w:h="16838" w:orient="portrait"/>
          <w:cols w:equalWidth="0" w:num="1">
            <w:col w:w="10099"/>
          </w:cols>
          <w:pgMar w:left="360" w:top="337" w:right="1440"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[Existing Lender]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3839"/>
        <w:spacing w:after="0"/>
        <w:rPr>
          <w:sz w:val="20"/>
          <w:szCs w:val="20"/>
          <w:color w:val="auto"/>
        </w:rPr>
      </w:pPr>
      <w:r>
        <w:rPr>
          <w:rFonts w:ascii="Arial" w:cs="Arial" w:eastAsia="Arial" w:hAnsi="Arial"/>
          <w:sz w:val="17"/>
          <w:szCs w:val="17"/>
          <w:color w:val="auto"/>
        </w:rPr>
        <w:t>[New Lender]</w:t>
      </w:r>
    </w:p>
    <w:p>
      <w:pPr>
        <w:spacing w:after="0" w:line="200" w:lineRule="exact"/>
        <w:rPr>
          <w:sz w:val="20"/>
          <w:szCs w:val="20"/>
          <w:color w:val="auto"/>
        </w:rPr>
      </w:pPr>
    </w:p>
    <w:p>
      <w:pPr>
        <w:sectPr>
          <w:pgSz w:w="11900" w:h="16838" w:orient="portrait"/>
          <w:cols w:equalWidth="0" w:num="2">
            <w:col w:w="4520" w:space="720"/>
            <w:col w:w="4859"/>
          </w:cols>
          <w:pgMar w:left="360" w:top="337"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4599"/>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4520" w:space="720"/>
            <w:col w:w="4859"/>
          </w:cols>
          <w:pgMar w:left="360" w:top="33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099"/>
          </w:cols>
          <w:pgMar w:left="360" w:top="337" w:right="1440"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20"/>
          <w:szCs w:val="20"/>
          <w:b w:val="1"/>
          <w:bCs w:val="1"/>
          <w:color w:val="auto"/>
        </w:rPr>
        <w:t>SCHEDULE 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02" w:lineRule="exact"/>
        <w:rPr>
          <w:sz w:val="20"/>
          <w:szCs w:val="20"/>
          <w:color w:val="auto"/>
        </w:rPr>
      </w:pPr>
    </w:p>
    <w:p>
      <w:pPr>
        <w:spacing w:after="0"/>
        <w:tabs>
          <w:tab w:leader="none" w:pos="400" w:val="left"/>
          <w:tab w:leader="none" w:pos="960" w:val="left"/>
        </w:tabs>
        <w:rPr>
          <w:sz w:val="20"/>
          <w:szCs w:val="20"/>
          <w:color w:val="auto"/>
        </w:rPr>
      </w:pPr>
      <w:r>
        <w:rPr>
          <w:rFonts w:ascii="Arial" w:cs="Arial" w:eastAsia="Arial" w:hAnsi="Arial"/>
          <w:sz w:val="18"/>
          <w:szCs w:val="18"/>
          <w:color w:val="auto"/>
        </w:rPr>
        <w:t>To:</w:t>
        <w:tab/>
        <w:t>[</w:t>
      </w:r>
      <w:r>
        <w:rPr>
          <w:sz w:val="20"/>
          <w:szCs w:val="20"/>
          <w:color w:val="auto"/>
        </w:rPr>
        <w:tab/>
      </w:r>
      <w:r>
        <w:rPr>
          <w:rFonts w:ascii="Arial" w:cs="Arial" w:eastAsia="Arial" w:hAnsi="Arial"/>
          <w:sz w:val="15"/>
          <w:szCs w:val="15"/>
          <w:color w:val="auto"/>
        </w:rPr>
        <w:t>] as Lender</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From:</w:t>
        <w:tab/>
        <w:t>LivaNova PLC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LivaNova PLC, Italian Branch – Facility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 ] (the “Agreement”)</w:t>
      </w:r>
    </w:p>
    <w:p>
      <w:pPr>
        <w:spacing w:after="0" w:line="184" w:lineRule="exact"/>
        <w:rPr>
          <w:sz w:val="20"/>
          <w:szCs w:val="20"/>
          <w:color w:val="auto"/>
        </w:rPr>
      </w:pPr>
    </w:p>
    <w:p>
      <w:pPr>
        <w:ind w:left="620" w:right="20" w:hanging="612"/>
        <w:spacing w:after="0" w:line="277" w:lineRule="auto"/>
        <w:tabs>
          <w:tab w:leader="none" w:pos="6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43" w:lineRule="exact"/>
        <w:rPr>
          <w:rFonts w:ascii="Arial" w:cs="Arial" w:eastAsia="Arial" w:hAnsi="Arial"/>
          <w:sz w:val="18"/>
          <w:szCs w:val="18"/>
          <w:color w:val="auto"/>
        </w:rPr>
      </w:pPr>
    </w:p>
    <w:p>
      <w:pPr>
        <w:ind w:left="620" w:hanging="612"/>
        <w:spacing w:after="0"/>
        <w:tabs>
          <w:tab w:leader="none" w:pos="6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195" w:lineRule="exact"/>
        <w:rPr>
          <w:rFonts w:ascii="Arial" w:cs="Arial" w:eastAsia="Arial" w:hAnsi="Arial"/>
          <w:sz w:val="18"/>
          <w:szCs w:val="18"/>
          <w:color w:val="auto"/>
        </w:rPr>
      </w:pPr>
    </w:p>
    <w:p>
      <w:pPr>
        <w:jc w:val="both"/>
        <w:ind w:left="1280" w:hanging="624"/>
        <w:spacing w:after="0" w:line="281" w:lineRule="auto"/>
        <w:tabs>
          <w:tab w:leader="none" w:pos="126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The Consolidated Net Financial Indebtedness as at the most recent Accounting Date was [ </w:t>
      </w:r>
      <w:r>
        <w:rPr>
          <w:rFonts w:ascii="Arial" w:cs="Arial" w:eastAsia="Arial" w:hAnsi="Arial"/>
          <w:sz w:val="19"/>
          <w:szCs w:val="19"/>
          <w:color w:val="auto"/>
        </w:rPr>
        <w:t>˜</w:t>
      </w:r>
      <w:r>
        <w:rPr>
          <w:rFonts w:ascii="Arial" w:cs="Arial" w:eastAsia="Arial" w:hAnsi="Arial"/>
          <w:sz w:val="18"/>
          <w:szCs w:val="18"/>
          <w:color w:val="auto"/>
        </w:rPr>
        <w:t xml:space="preserve"> ], therefore the Consolidated Net Financial Indebtedness was not more than 2.50 times the Consolidated EBITDA for the applicable Test Period ending on that Accounting Date and the covenant contained in Clause 19.1(a) has been complied with.</w:t>
      </w:r>
    </w:p>
    <w:p>
      <w:pPr>
        <w:spacing w:after="0" w:line="137" w:lineRule="exact"/>
        <w:rPr>
          <w:rFonts w:ascii="Arial" w:cs="Arial" w:eastAsia="Arial" w:hAnsi="Arial"/>
          <w:sz w:val="18"/>
          <w:szCs w:val="18"/>
          <w:color w:val="auto"/>
        </w:rPr>
      </w:pPr>
    </w:p>
    <w:p>
      <w:pPr>
        <w:jc w:val="both"/>
        <w:ind w:left="1280" w:hanging="624"/>
        <w:spacing w:after="0" w:line="281" w:lineRule="auto"/>
        <w:tabs>
          <w:tab w:leader="none" w:pos="126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The Consolidated EBITDA for the applicable Test Period ending on the most recent Accounting Date was [ </w:t>
      </w:r>
      <w:r>
        <w:rPr>
          <w:rFonts w:ascii="Arial" w:cs="Arial" w:eastAsia="Arial" w:hAnsi="Arial"/>
          <w:sz w:val="19"/>
          <w:szCs w:val="19"/>
          <w:color w:val="auto"/>
        </w:rPr>
        <w:t>˜</w:t>
      </w:r>
      <w:r>
        <w:rPr>
          <w:rFonts w:ascii="Arial" w:cs="Arial" w:eastAsia="Arial" w:hAnsi="Arial"/>
          <w:sz w:val="18"/>
          <w:szCs w:val="18"/>
          <w:color w:val="auto"/>
        </w:rPr>
        <w:t xml:space="preserve"> ], therefore the Consolidated EBITDA was not lower than 6.30 times the Consolidated Total Net Interest Payable for that Test Period and the covenant contained in Clause 19.1(b) has been complied with.</w:t>
      </w:r>
    </w:p>
    <w:p>
      <w:pPr>
        <w:spacing w:after="0" w:line="136" w:lineRule="exact"/>
        <w:rPr>
          <w:rFonts w:ascii="Arial" w:cs="Arial" w:eastAsia="Arial" w:hAnsi="Arial"/>
          <w:sz w:val="18"/>
          <w:szCs w:val="18"/>
          <w:color w:val="auto"/>
        </w:rPr>
      </w:pPr>
    </w:p>
    <w:p>
      <w:pPr>
        <w:jc w:val="both"/>
        <w:ind w:left="1280" w:hanging="624"/>
        <w:spacing w:after="0" w:line="281" w:lineRule="auto"/>
        <w:tabs>
          <w:tab w:leader="none" w:pos="126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The Consolidated Net Financial Indebtedness as at the most recent Accounting Date was [ </w:t>
      </w:r>
      <w:r>
        <w:rPr>
          <w:rFonts w:ascii="Arial" w:cs="Arial" w:eastAsia="Arial" w:hAnsi="Arial"/>
          <w:sz w:val="19"/>
          <w:szCs w:val="19"/>
          <w:color w:val="auto"/>
        </w:rPr>
        <w:t>˜</w:t>
      </w:r>
      <w:r>
        <w:rPr>
          <w:rFonts w:ascii="Arial" w:cs="Arial" w:eastAsia="Arial" w:hAnsi="Arial"/>
          <w:sz w:val="18"/>
          <w:szCs w:val="18"/>
          <w:color w:val="auto"/>
        </w:rPr>
        <w:t xml:space="preserve"> ], therefore the Consolidated Net Financial Indebtedness was not more than 0.50 times the Consolidated Net Worth as at that Accounting Date and the covenant contained in Clause 19.1(c) has been complied with.</w:t>
      </w:r>
    </w:p>
    <w:p>
      <w:pPr>
        <w:spacing w:after="0" w:line="137" w:lineRule="exact"/>
        <w:rPr>
          <w:rFonts w:ascii="Arial" w:cs="Arial" w:eastAsia="Arial" w:hAnsi="Arial"/>
          <w:sz w:val="18"/>
          <w:szCs w:val="18"/>
          <w:color w:val="auto"/>
        </w:rPr>
      </w:pPr>
    </w:p>
    <w:p>
      <w:pPr>
        <w:ind w:left="1280" w:hanging="624"/>
        <w:spacing w:after="0" w:line="298" w:lineRule="auto"/>
        <w:tabs>
          <w:tab w:leader="none" w:pos="126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The Consolidated Net Worth as at the most recent Accounting Date was [ </w:t>
      </w:r>
      <w:r>
        <w:rPr>
          <w:rFonts w:ascii="Arial" w:cs="Arial" w:eastAsia="Arial" w:hAnsi="Arial"/>
          <w:sz w:val="19"/>
          <w:szCs w:val="19"/>
          <w:color w:val="auto"/>
        </w:rPr>
        <w:t>˜</w:t>
      </w:r>
      <w:r>
        <w:rPr>
          <w:rFonts w:ascii="Arial" w:cs="Arial" w:eastAsia="Arial" w:hAnsi="Arial"/>
          <w:sz w:val="18"/>
          <w:szCs w:val="18"/>
          <w:color w:val="auto"/>
        </w:rPr>
        <w:t xml:space="preserve"> ], therefore the Consolidated Net Worth was not lower than USD 725,000,000 and the covenant contained in Clause 19.1(d) has been complied with.</w:t>
      </w:r>
    </w:p>
    <w:p>
      <w:pPr>
        <w:spacing w:after="0" w:line="122" w:lineRule="exact"/>
        <w:rPr>
          <w:rFonts w:ascii="Arial" w:cs="Arial" w:eastAsia="Arial" w:hAnsi="Arial"/>
          <w:sz w:val="18"/>
          <w:szCs w:val="18"/>
          <w:color w:val="auto"/>
        </w:rPr>
      </w:pPr>
    </w:p>
    <w:p>
      <w:pPr>
        <w:ind w:left="620" w:hanging="612"/>
        <w:spacing w:after="0"/>
        <w:tabs>
          <w:tab w:leader="none" w:pos="6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[We confirm that no Default is continuing.]*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Signed:</w:t>
      </w:r>
    </w:p>
    <w:p>
      <w:pPr>
        <w:sectPr>
          <w:pgSz w:w="11900" w:h="16838" w:orient="portrait"/>
          <w:cols w:equalWidth="0" w:num="1">
            <w:col w:w="11240"/>
          </w:cols>
          <w:pgMar w:left="320" w:top="738" w:right="339" w:bottom="1440" w:gutter="0" w:footer="0" w:header="0"/>
        </w:sectPr>
      </w:pPr>
    </w:p>
    <w:p>
      <w:pPr>
        <w:spacing w:after="0" w:line="6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75" w:lineRule="exact"/>
        <w:rPr>
          <w:sz w:val="20"/>
          <w:szCs w:val="20"/>
          <w:color w:val="auto"/>
        </w:rPr>
      </w:pPr>
    </w:p>
    <w:p>
      <w:pPr>
        <w:sectPr>
          <w:pgSz w:w="11900" w:h="16838" w:orient="portrait"/>
          <w:cols w:equalWidth="0" w:num="2">
            <w:col w:w="5140" w:space="720"/>
            <w:col w:w="5380"/>
          </w:cols>
          <w:pgMar w:left="320" w:top="738"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of LivaNova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of LivaNova PLC]</w:t>
      </w:r>
    </w:p>
    <w:p>
      <w:pPr>
        <w:spacing w:after="0" w:line="75" w:lineRule="exact"/>
        <w:rPr>
          <w:sz w:val="20"/>
          <w:szCs w:val="20"/>
          <w:color w:val="auto"/>
        </w:rPr>
      </w:pPr>
    </w:p>
    <w:p>
      <w:pPr>
        <w:sectPr>
          <w:pgSz w:w="11900" w:h="16838" w:orient="portrait"/>
          <w:cols w:equalWidth="0" w:num="2">
            <w:col w:w="5140" w:space="720"/>
            <w:col w:w="5380"/>
          </w:cols>
          <w:pgMar w:left="320" w:top="738" w:right="339" w:bottom="1440" w:gutter="0" w:footer="0" w:header="0"/>
          <w:type w:val="continuous"/>
        </w:sectPr>
      </w:pPr>
    </w:p>
    <w:p>
      <w:pPr>
        <w:ind w:left="1500"/>
        <w:spacing w:after="0"/>
        <w:rPr>
          <w:sz w:val="20"/>
          <w:szCs w:val="20"/>
          <w:color w:val="auto"/>
        </w:rPr>
      </w:pPr>
      <w:r>
        <w:rPr>
          <w:rFonts w:ascii="Arial" w:cs="Arial" w:eastAsia="Arial" w:hAnsi="Arial"/>
          <w:sz w:val="18"/>
          <w:szCs w:val="18"/>
          <w:color w:val="auto"/>
        </w:rPr>
        <w:t>OR</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of LivaNova PLC]</w:t>
      </w:r>
    </w:p>
    <w:p>
      <w:pPr>
        <w:sectPr>
          <w:pgSz w:w="11900" w:h="16838" w:orient="portrait"/>
          <w:cols w:equalWidth="0" w:num="1">
            <w:col w:w="11240"/>
          </w:cols>
          <w:pgMar w:left="320" w:top="738" w:right="33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OR</w:t>
      </w:r>
      <w:r>
        <w:rPr>
          <w:rFonts w:ascii="Arial" w:cs="Arial" w:eastAsia="Arial" w:hAnsi="Arial"/>
          <w:sz w:val="25"/>
          <w:szCs w:val="25"/>
          <w:color w:val="auto"/>
          <w:vertAlign w:val="superscript"/>
        </w:rPr>
        <w:t>10</w:t>
      </w:r>
    </w:p>
    <w:p>
      <w:pPr>
        <w:spacing w:after="0"/>
        <w:rPr>
          <w:sz w:val="20"/>
          <w:szCs w:val="20"/>
          <w:color w:val="auto"/>
        </w:rPr>
      </w:pPr>
      <w:r>
        <w:rPr>
          <w:rFonts w:ascii="Arial" w:cs="Arial" w:eastAsia="Arial" w:hAnsi="Arial"/>
          <w:sz w:val="18"/>
          <w:szCs w:val="18"/>
          <w:color w:val="auto"/>
        </w:rPr>
        <w:t>______________________</w:t>
      </w:r>
    </w:p>
    <w:p>
      <w:pPr>
        <w:spacing w:after="0" w:line="7" w:lineRule="exact"/>
        <w:rPr>
          <w:sz w:val="20"/>
          <w:szCs w:val="20"/>
          <w:color w:val="auto"/>
        </w:rPr>
      </w:pPr>
    </w:p>
    <w:p>
      <w:pPr>
        <w:ind w:left="660" w:hanging="652"/>
        <w:spacing w:after="0"/>
        <w:tabs>
          <w:tab w:leader="none" w:pos="66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If this statement cannot be made, the certificate should identify any Default that is continuing and the steps, if any, being taken to remedy it.</w:t>
      </w:r>
    </w:p>
    <w:p>
      <w:pPr>
        <w:spacing w:after="0" w:line="177" w:lineRule="exact"/>
        <w:rPr>
          <w:sz w:val="20"/>
          <w:szCs w:val="20"/>
          <w:color w:val="auto"/>
        </w:rPr>
      </w:pPr>
    </w:p>
    <w:p>
      <w:pPr>
        <w:ind w:left="660" w:hanging="652"/>
        <w:spacing w:after="0"/>
        <w:tabs>
          <w:tab w:leader="none" w:pos="660" w:val="left"/>
        </w:tabs>
        <w:numPr>
          <w:ilvl w:val="0"/>
          <w:numId w:val="330"/>
        </w:numPr>
        <w:rPr>
          <w:rFonts w:ascii="Arial" w:cs="Arial" w:eastAsia="Arial" w:hAnsi="Arial"/>
          <w:sz w:val="25"/>
          <w:szCs w:val="25"/>
          <w:color w:val="auto"/>
          <w:vertAlign w:val="superscript"/>
        </w:rPr>
      </w:pPr>
      <w:r>
        <w:rPr>
          <w:rFonts w:ascii="Arial" w:cs="Arial" w:eastAsia="Arial" w:hAnsi="Arial"/>
          <w:sz w:val="18"/>
          <w:szCs w:val="18"/>
          <w:color w:val="auto"/>
        </w:rPr>
        <w:t>Delete as appropriate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738" w:right="339" w:bottom="1440" w:gutter="0" w:footer="0" w:header="0"/>
          <w:type w:val="continuous"/>
        </w:sectPr>
      </w:pPr>
    </w:p>
    <w:bookmarkStart w:id="112" w:name="page113"/>
    <w:bookmarkEnd w:id="112"/>
    <w:p>
      <w:pPr>
        <w:jc w:val="center"/>
        <w:ind w:right="-1120"/>
        <w:spacing w:after="0"/>
        <w:rPr>
          <w:sz w:val="20"/>
          <w:szCs w:val="20"/>
          <w:color w:val="auto"/>
        </w:rPr>
      </w:pPr>
      <w:r>
        <w:rPr>
          <w:rFonts w:ascii="Arial" w:cs="Arial" w:eastAsia="Arial" w:hAnsi="Arial"/>
          <w:sz w:val="20"/>
          <w:szCs w:val="20"/>
          <w:b w:val="1"/>
          <w:bCs w:val="1"/>
          <w:color w:val="auto"/>
        </w:rPr>
        <w:t>SCHEDULE 6</w:t>
      </w:r>
    </w:p>
    <w:p>
      <w:pPr>
        <w:spacing w:after="0" w:line="193" w:lineRule="exact"/>
        <w:rPr>
          <w:sz w:val="20"/>
          <w:szCs w:val="20"/>
          <w:color w:val="auto"/>
        </w:rPr>
      </w:pPr>
    </w:p>
    <w:p>
      <w:pPr>
        <w:jc w:val="right"/>
        <w:ind w:right="3459"/>
        <w:spacing w:after="0"/>
        <w:rPr>
          <w:sz w:val="20"/>
          <w:szCs w:val="20"/>
          <w:color w:val="auto"/>
        </w:rPr>
      </w:pPr>
      <w:r>
        <w:rPr>
          <w:rFonts w:ascii="Arial" w:cs="Arial" w:eastAsia="Arial" w:hAnsi="Arial"/>
          <w:sz w:val="18"/>
          <w:szCs w:val="18"/>
          <w:b w:val="1"/>
          <w:bCs w:val="1"/>
          <w:color w:val="auto"/>
        </w:rPr>
        <w:t>MATERIAL COMPANIES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LIVANOVA USA, INC., USA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SORIN GROUP ITALIA SRL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LIVANOVA JAPAN K.K.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LIVANOVA AUSTRALIA PTY LIMITED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LIVANOVA CANADA CORP.</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139"/>
          </w:cols>
          <w:pgMar w:left="320" w:top="549" w:right="1440" w:bottom="1440" w:gutter="0" w:footer="0" w:header="0"/>
        </w:sectPr>
      </w:pPr>
    </w:p>
    <w:bookmarkStart w:id="113" w:name="page114"/>
    <w:bookmarkEnd w:id="113"/>
    <w:p>
      <w:pPr>
        <w:jc w:val="center"/>
        <w:ind w:right="-59"/>
        <w:spacing w:after="0"/>
        <w:rPr>
          <w:sz w:val="20"/>
          <w:szCs w:val="20"/>
          <w:color w:val="auto"/>
        </w:rPr>
      </w:pPr>
      <w:r>
        <w:rPr>
          <w:rFonts w:ascii="Arial" w:cs="Arial" w:eastAsia="Arial" w:hAnsi="Arial"/>
          <w:sz w:val="20"/>
          <w:szCs w:val="20"/>
          <w:b w:val="1"/>
          <w:bCs w:val="1"/>
          <w:color w:val="auto"/>
        </w:rPr>
        <w:t>SCHEDULE 7</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EXISTING SECURITY</w:t>
      </w:r>
    </w:p>
    <w:p>
      <w:pPr>
        <w:sectPr>
          <w:pgSz w:w="11900" w:h="16838" w:orient="portrait"/>
          <w:cols w:equalWidth="0" w:num="1">
            <w:col w:w="11120"/>
          </w:cols>
          <w:pgMar w:left="360" w:top="738" w:right="41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Group Member</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tabs>
          <w:tab w:leader="none" w:pos="460" w:val="left"/>
          <w:tab w:leader="none" w:pos="1220" w:val="left"/>
        </w:tabs>
        <w:rPr>
          <w:sz w:val="20"/>
          <w:szCs w:val="20"/>
          <w:color w:val="auto"/>
        </w:rPr>
      </w:pPr>
      <w:r>
        <w:rPr>
          <w:rFonts w:ascii="Arial" w:cs="Arial" w:eastAsia="Arial" w:hAnsi="Arial"/>
          <w:sz w:val="18"/>
          <w:szCs w:val="18"/>
          <w:color w:val="auto"/>
        </w:rPr>
        <w:t>Total</w:t>
        <w:tab/>
        <w:t>Principal</w:t>
      </w:r>
      <w:r>
        <w:rPr>
          <w:sz w:val="20"/>
          <w:szCs w:val="20"/>
          <w:color w:val="auto"/>
        </w:rPr>
        <w:tab/>
      </w:r>
      <w:r>
        <w:rPr>
          <w:rFonts w:ascii="Arial" w:cs="Arial" w:eastAsia="Arial" w:hAnsi="Arial"/>
          <w:sz w:val="16"/>
          <w:szCs w:val="16"/>
          <w:color w:val="auto"/>
        </w:rPr>
        <w:t>Amount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Indebtedness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Secured</w:t>
      </w:r>
    </w:p>
    <w:p>
      <w:pPr>
        <w:spacing w:after="0" w:line="57" w:lineRule="exact"/>
        <w:rPr>
          <w:sz w:val="20"/>
          <w:szCs w:val="20"/>
          <w:color w:val="auto"/>
        </w:rPr>
      </w:pPr>
    </w:p>
    <w:p>
      <w:pPr>
        <w:sectPr>
          <w:pgSz w:w="11900" w:h="16838" w:orient="portrait"/>
          <w:cols w:equalWidth="0" w:num="6">
            <w:col w:w="2860" w:space="720"/>
            <w:col w:w="2980" w:space="720"/>
            <w:col w:w="1820" w:space="120"/>
            <w:col w:w="160" w:space="100"/>
            <w:col w:w="940" w:space="120"/>
            <w:col w:w="580"/>
          </w:cols>
          <w:pgMar w:left="360" w:top="738" w:right="419" w:bottom="1440" w:gutter="0" w:footer="0" w:header="0"/>
          <w:type w:val="continuous"/>
        </w:sectPr>
      </w:pPr>
    </w:p>
    <w:p>
      <w:pPr>
        <w:ind w:left="7280"/>
        <w:spacing w:after="0"/>
        <w:rPr>
          <w:sz w:val="20"/>
          <w:szCs w:val="20"/>
          <w:color w:val="auto"/>
        </w:rPr>
      </w:pPr>
      <w:r>
        <w:rPr>
          <w:rFonts w:ascii="Arial" w:cs="Arial" w:eastAsia="Arial" w:hAnsi="Arial"/>
          <w:sz w:val="15"/>
          <w:szCs w:val="15"/>
          <w:color w:val="auto"/>
        </w:rPr>
        <w:t>(rounded to the nearest €)</w:t>
      </w:r>
    </w:p>
    <w:p>
      <w:pPr>
        <w:sectPr>
          <w:pgSz w:w="11900" w:h="16838" w:orient="portrait"/>
          <w:cols w:equalWidth="0" w:num="1">
            <w:col w:w="11120"/>
          </w:cols>
          <w:pgMar w:left="360" w:top="738" w:right="419"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Sorin Group Italia Srl</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Mortgage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center"/>
        <w:ind w:right="3180"/>
        <w:spacing w:after="0"/>
        <w:rPr>
          <w:sz w:val="20"/>
          <w:szCs w:val="20"/>
          <w:color w:val="auto"/>
        </w:rPr>
      </w:pPr>
      <w:r>
        <w:rPr>
          <w:rFonts w:ascii="Arial" w:cs="Arial" w:eastAsia="Arial" w:hAnsi="Arial"/>
          <w:sz w:val="15"/>
          <w:szCs w:val="15"/>
          <w:color w:val="auto"/>
        </w:rPr>
        <w:t>€175,439</w:t>
      </w:r>
    </w:p>
    <w:p>
      <w:pPr>
        <w:spacing w:after="0" w:line="211" w:lineRule="exact"/>
        <w:rPr>
          <w:sz w:val="20"/>
          <w:szCs w:val="20"/>
          <w:color w:val="auto"/>
        </w:rPr>
      </w:pPr>
    </w:p>
    <w:p>
      <w:pPr>
        <w:sectPr>
          <w:pgSz w:w="11900" w:h="16838" w:orient="portrait"/>
          <w:cols w:equalWidth="0" w:num="3">
            <w:col w:w="2860" w:space="720"/>
            <w:col w:w="2980" w:space="720"/>
            <w:col w:w="3840"/>
          </w:cols>
          <w:pgMar w:left="360" w:top="738" w:right="41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Sorin Group Italia Srl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Mortgage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3180"/>
        <w:spacing w:after="0"/>
        <w:rPr>
          <w:sz w:val="20"/>
          <w:szCs w:val="20"/>
          <w:color w:val="auto"/>
        </w:rPr>
      </w:pPr>
      <w:r>
        <w:rPr>
          <w:rFonts w:ascii="Arial" w:cs="Arial" w:eastAsia="Arial" w:hAnsi="Arial"/>
          <w:sz w:val="15"/>
          <w:szCs w:val="15"/>
          <w:color w:val="auto"/>
        </w:rPr>
        <w:t>€210,526</w:t>
      </w:r>
    </w:p>
    <w:p>
      <w:pPr>
        <w:spacing w:after="0" w:line="211" w:lineRule="exact"/>
        <w:rPr>
          <w:sz w:val="20"/>
          <w:szCs w:val="20"/>
          <w:color w:val="auto"/>
        </w:rPr>
      </w:pPr>
    </w:p>
    <w:p>
      <w:pPr>
        <w:sectPr>
          <w:pgSz w:w="11900" w:h="16838" w:orient="portrait"/>
          <w:cols w:equalWidth="0" w:num="3">
            <w:col w:w="2860" w:space="720"/>
            <w:col w:w="2980" w:space="720"/>
            <w:col w:w="3840"/>
          </w:cols>
          <w:pgMar w:left="360" w:top="73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20"/>
          </w:cols>
          <w:pgMar w:left="360" w:top="738" w:right="41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Italian Branch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Maurizio Borelli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Address:</w:t>
        <w:tab/>
        <w:t>Via Benigno Crespi, 17 Italy, 20159 Milan</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6"/>
          <w:szCs w:val="16"/>
          <w:color w:val="auto"/>
        </w:rPr>
        <w:t>Keyna.Skeffington@livanova.com and Maurizio.Borelli@livanova.com</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139"/>
          </w:cols>
          <w:pgMar w:left="320" w:top="1147" w:right="1440"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The Original Lender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BANCA NAZIONALE DEL LAVORO S.P.A.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Paolo Montagna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Ugo Fantini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Diamond Tower, Piazza Lina Bo Bardi, 3, 20124 Milan, Italy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139"/>
          </w:cols>
          <w:pgMar w:left="320" w:top="702" w:right="1440" w:bottom="1440" w:gutter="0" w:footer="0" w:header="0"/>
        </w:sectPr>
      </w:pPr>
    </w:p>
    <w:bookmarkStart w:id="116" w:name="page117"/>
    <w:bookmarkEnd w:id="116"/>
    <w:p>
      <w:pPr>
        <w:ind w:left="5220"/>
        <w:spacing w:after="0"/>
        <w:rPr>
          <w:sz w:val="20"/>
          <w:szCs w:val="20"/>
          <w:color w:val="auto"/>
        </w:rPr>
      </w:pPr>
      <w:r>
        <w:rPr>
          <w:rFonts w:ascii="Arial" w:cs="Arial" w:eastAsia="Arial" w:hAnsi="Arial"/>
          <w:sz w:val="16"/>
          <w:szCs w:val="16"/>
          <w:color w:val="auto"/>
        </w:rPr>
        <w:t>*** *** ***</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If you wish to accept our proposal on the above terms and conditions, please send us a copy of its text, signed by way of acceptance.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BANCA NAZIONALE DEL LAVORO S.P.A.</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6"/>
          <w:szCs w:val="16"/>
          <w:u w:val="single" w:color="auto"/>
          <w:color w:val="auto"/>
        </w:rPr>
        <w:t>/s/ Paolo Montagna</w:t>
      </w: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Name: Paolo Montagna</w:t>
      </w: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Title:Senior Banker</w:t>
      </w: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6"/>
          <w:szCs w:val="16"/>
          <w:u w:val="single" w:color="auto"/>
          <w:color w:val="auto"/>
        </w:rPr>
        <w:t>/s/ Ugo Fantini</w:t>
      </w: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Name: Ugo Fantini</w:t>
      </w: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Title: Head of Large Corporate Branch</w:t>
      </w: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as Original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139"/>
          </w:cols>
          <w:pgMar w:left="320" w:top="562" w:right="1440" w:bottom="1440" w:gutter="0" w:footer="0" w:header="0"/>
        </w:sectPr>
      </w:pPr>
    </w:p>
    <w:bookmarkStart w:id="117" w:name="page118"/>
    <w:bookmarkEnd w:id="117"/>
    <w:p>
      <w:pPr>
        <w:ind w:left="5220"/>
        <w:spacing w:after="0"/>
        <w:rPr>
          <w:sz w:val="20"/>
          <w:szCs w:val="20"/>
          <w:color w:val="auto"/>
        </w:rPr>
      </w:pPr>
      <w:r>
        <w:rPr>
          <w:rFonts w:ascii="Arial" w:cs="Arial" w:eastAsia="Arial" w:hAnsi="Arial"/>
          <w:sz w:val="16"/>
          <w:szCs w:val="16"/>
          <w:color w:val="auto"/>
        </w:rPr>
        <w:t>*** *** ***</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hereby fully confirm our acceptance of your proposal pursuant to the terms and conditions set forth therein.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20"/>
        <w:spacing w:after="0"/>
        <w:rPr>
          <w:sz w:val="20"/>
          <w:szCs w:val="20"/>
          <w:color w:val="auto"/>
        </w:rPr>
      </w:pPr>
      <w:r>
        <w:rPr>
          <w:rFonts w:ascii="Arial" w:cs="Arial" w:eastAsia="Arial" w:hAnsi="Arial"/>
          <w:sz w:val="16"/>
          <w:szCs w:val="16"/>
          <w:u w:val="single" w:color="auto"/>
          <w:color w:val="auto"/>
        </w:rPr>
        <w:t>/s/ Maurizio Borelli</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LIVANOVA PLC, Italian branch</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Name: Maurizio Borelle</w:t>
      </w:r>
    </w:p>
    <w:p>
      <w:pPr>
        <w:spacing w:after="0" w:line="19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Title: Vice President, Treasury, Risk Management &amp; Credit</w:t>
      </w:r>
    </w:p>
    <w:p>
      <w:pPr>
        <w:spacing w:after="0" w:line="23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139"/>
          </w:cols>
          <w:pgMar w:left="320" w:top="967"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u w:val="single" w:color="auto"/>
          <w:color w:val="auto"/>
        </w:rPr>
        <w:t>EXHIBIT 10.6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Sent by DHL and anticipated by pdf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Via Benigno Crespi,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 20159 Milano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+39 0269969513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attention of Maurizio Borelli, Director Treasury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Sorin Group Italia S.r.l.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Via Benigno Crespi,17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 20159 Milano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+ 39 02 69969513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attention of the Finance Manager</w:t>
      </w:r>
    </w:p>
    <w:p>
      <w:pPr>
        <w:spacing w:after="0" w:line="24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JUOPS/SEE/RIG/mf no. 2020-0787</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EIB – Corporate 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Luxembourg, 21 aprile 2020</w:t>
      </w:r>
    </w:p>
    <w:p>
      <w:pPr>
        <w:spacing w:after="0" w:line="200" w:lineRule="exact"/>
        <w:rPr>
          <w:sz w:val="20"/>
          <w:szCs w:val="20"/>
          <w:color w:val="auto"/>
        </w:rPr>
      </w:pPr>
    </w:p>
    <w:p>
      <w:pPr>
        <w:spacing w:after="0" w:line="21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u w:val="single" w:color="auto"/>
          <w:color w:val="auto"/>
        </w:rPr>
        <w:t>Subject</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GRUPPO SORIN R&amp;D</w:t>
      </w:r>
    </w:p>
    <w:p>
      <w:pPr>
        <w:spacing w:after="0" w:line="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(FI 83.445 - SERAPIS 2013-0335)</w:t>
      </w:r>
    </w:p>
    <w:p>
      <w:pPr>
        <w:spacing w:after="0" w:line="77" w:lineRule="exact"/>
        <w:rPr>
          <w:sz w:val="20"/>
          <w:szCs w:val="20"/>
          <w:color w:val="auto"/>
        </w:rPr>
      </w:pPr>
    </w:p>
    <w:p>
      <w:pPr>
        <w:jc w:val="both"/>
        <w:ind w:left="1300"/>
        <w:spacing w:after="0" w:line="268" w:lineRule="auto"/>
        <w:rPr>
          <w:sz w:val="20"/>
          <w:szCs w:val="20"/>
          <w:color w:val="auto"/>
        </w:rPr>
      </w:pPr>
      <w:r>
        <w:rPr>
          <w:rFonts w:ascii="Arial" w:cs="Arial" w:eastAsia="Arial" w:hAnsi="Arial"/>
          <w:sz w:val="18"/>
          <w:szCs w:val="18"/>
          <w:b w:val="1"/>
          <w:bCs w:val="1"/>
          <w:color w:val="auto"/>
        </w:rPr>
        <w:t>Finance Contract entered into by and between (i) the European Investment Bank and (ii) Sorin S.p.A., Sorin Group Italia S.r.l. and Sorin CRM S.A.S on 6 May 2014 in Luxembourg, as subsequently amended on 2 October 2015, 26 April 2018 and 6 June 2019 (the "</w:t>
      </w:r>
      <w:r>
        <w:rPr>
          <w:rFonts w:ascii="Arial" w:cs="Arial" w:eastAsia="Arial" w:hAnsi="Arial"/>
          <w:sz w:val="18"/>
          <w:szCs w:val="18"/>
          <w:b w:val="1"/>
          <w:bCs w:val="1"/>
          <w:u w:val="single" w:color="auto"/>
          <w:color w:val="auto"/>
        </w:rPr>
        <w:t>Finance Contract 83.445</w:t>
      </w:r>
      <w:r>
        <w:rPr>
          <w:rFonts w:ascii="Arial" w:cs="Arial" w:eastAsia="Arial" w:hAnsi="Arial"/>
          <w:sz w:val="18"/>
          <w:szCs w:val="18"/>
          <w:b w:val="1"/>
          <w:bCs w:val="1"/>
          <w:color w:val="auto"/>
        </w:rPr>
        <w:t>")</w:t>
      </w:r>
    </w:p>
    <w:p>
      <w:pPr>
        <w:spacing w:after="0" w:line="23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LIVANOVA R&amp;D</w:t>
      </w:r>
    </w:p>
    <w:p>
      <w:pPr>
        <w:spacing w:after="0" w:line="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(FI 86.677 - SERAPIS 2016-0607)</w:t>
      </w:r>
    </w:p>
    <w:p>
      <w:pPr>
        <w:spacing w:after="0" w:line="77" w:lineRule="exact"/>
        <w:rPr>
          <w:sz w:val="20"/>
          <w:szCs w:val="20"/>
          <w:color w:val="auto"/>
        </w:rPr>
      </w:pPr>
    </w:p>
    <w:p>
      <w:pPr>
        <w:jc w:val="both"/>
        <w:ind w:left="1300"/>
        <w:spacing w:after="0" w:line="262" w:lineRule="auto"/>
        <w:rPr>
          <w:sz w:val="20"/>
          <w:szCs w:val="20"/>
          <w:color w:val="auto"/>
        </w:rPr>
      </w:pPr>
      <w:r>
        <w:rPr>
          <w:rFonts w:ascii="Arial" w:cs="Arial" w:eastAsia="Arial" w:hAnsi="Arial"/>
          <w:sz w:val="18"/>
          <w:szCs w:val="18"/>
          <w:b w:val="1"/>
          <w:bCs w:val="1"/>
          <w:color w:val="auto"/>
        </w:rPr>
        <w:t>Finance Contract entered into by and between (i) the European Investment Bank and (ii) Sorin Group Italia S.r.l., Sorin CRM S.A.S and LivaNova PLC on 21 June 2017 in Milan, on 23 June 2017 in Clamart, on 27 June 2017 in London and on 29 June 2017 in Luxembo</w:t>
      </w:r>
      <w:r>
        <w:rPr>
          <w:rFonts w:ascii="Arial" w:cs="Arial" w:eastAsia="Arial" w:hAnsi="Arial"/>
          <w:sz w:val="16"/>
          <w:szCs w:val="16"/>
          <w:b w:val="1"/>
          <w:bCs w:val="1"/>
          <w:color w:val="auto"/>
        </w:rPr>
        <w:t>urg</w:t>
      </w:r>
      <w:r>
        <w:rPr>
          <w:rFonts w:ascii="Arial" w:cs="Arial" w:eastAsia="Arial" w:hAnsi="Arial"/>
          <w:sz w:val="18"/>
          <w:szCs w:val="18"/>
          <w:b w:val="1"/>
          <w:bCs w:val="1"/>
          <w:color w:val="auto"/>
        </w:rPr>
        <w:t>, as subsequently amended on 26 April 2008 and on 6 June 2019 (the "</w:t>
      </w:r>
      <w:r>
        <w:rPr>
          <w:rFonts w:ascii="Arial" w:cs="Arial" w:eastAsia="Arial" w:hAnsi="Arial"/>
          <w:sz w:val="18"/>
          <w:szCs w:val="18"/>
          <w:b w:val="1"/>
          <w:bCs w:val="1"/>
          <w:u w:val="single" w:color="auto"/>
          <w:color w:val="auto"/>
        </w:rPr>
        <w:t>Finance Contract 86.677</w:t>
      </w:r>
      <w:r>
        <w:rPr>
          <w:rFonts w:ascii="Arial" w:cs="Arial" w:eastAsia="Arial" w:hAnsi="Arial"/>
          <w:sz w:val="18"/>
          <w:szCs w:val="18"/>
          <w:b w:val="1"/>
          <w:bCs w:val="1"/>
          <w:color w:val="auto"/>
        </w:rPr>
        <w: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(the Finance Contract 83.445 and the Finance Contract 86.677 jointly referred to as the “Finance Contracts”)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Amendment No. 4 to Finance Contract 83.445 and Amendment No. 3 to Finance Contract 86.677</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w:t>
      </w:r>
    </w:p>
    <w:p>
      <w:pPr>
        <w:ind w:left="980" w:hanging="648"/>
        <w:spacing w:after="0"/>
        <w:tabs>
          <w:tab w:leader="none" w:pos="980" w:val="left"/>
        </w:tabs>
        <w:numPr>
          <w:ilvl w:val="1"/>
          <w:numId w:val="331"/>
        </w:numPr>
        <w:rPr>
          <w:rFonts w:ascii="Arial" w:cs="Arial" w:eastAsia="Arial" w:hAnsi="Arial"/>
          <w:sz w:val="22"/>
          <w:szCs w:val="22"/>
          <w:color w:val="auto"/>
        </w:rPr>
      </w:pPr>
      <w:r>
        <w:rPr>
          <w:rFonts w:ascii="Arial" w:cs="Arial" w:eastAsia="Arial" w:hAnsi="Arial"/>
          <w:sz w:val="18"/>
          <w:szCs w:val="18"/>
          <w:color w:val="auto"/>
        </w:rPr>
        <w:t>the Finance Contracts as defined above;</w:t>
      </w:r>
    </w:p>
    <w:p>
      <w:pPr>
        <w:spacing w:after="0" w:line="23" w:lineRule="exact"/>
        <w:rPr>
          <w:rFonts w:ascii="Arial" w:cs="Arial" w:eastAsia="Arial" w:hAnsi="Arial"/>
          <w:sz w:val="22"/>
          <w:szCs w:val="22"/>
          <w:color w:val="auto"/>
        </w:rPr>
      </w:pPr>
    </w:p>
    <w:p>
      <w:pPr>
        <w:ind w:left="980" w:hanging="648"/>
        <w:spacing w:after="0" w:line="221" w:lineRule="auto"/>
        <w:tabs>
          <w:tab w:leader="none" w:pos="980" w:val="left"/>
        </w:tabs>
        <w:numPr>
          <w:ilvl w:val="1"/>
          <w:numId w:val="331"/>
        </w:numPr>
        <w:rPr>
          <w:rFonts w:ascii="Arial" w:cs="Arial" w:eastAsia="Arial" w:hAnsi="Arial"/>
          <w:sz w:val="22"/>
          <w:szCs w:val="22"/>
          <w:color w:val="auto"/>
        </w:rPr>
      </w:pPr>
      <w:r>
        <w:rPr>
          <w:rFonts w:ascii="Arial" w:cs="Arial" w:eastAsia="Arial" w:hAnsi="Arial"/>
          <w:sz w:val="18"/>
          <w:szCs w:val="18"/>
          <w:color w:val="auto"/>
        </w:rPr>
        <w:t>your email dated 30 March 2020.</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ectPr>
          <w:pgSz w:w="11900" w:h="16838" w:orient="portrait"/>
          <w:cols w:equalWidth="0" w:num="1">
            <w:col w:w="11240"/>
          </w:cols>
          <w:pgMar w:left="320" w:top="33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Unless otherwise defined, capitalised terms used in this letter have the same meaning attributed to them in the Finance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References to Articles in this letter are references to Articles in the Finance Contracts.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letter,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on which the Bank confirms to the Borrower in writing (including by electronic mail or other electronic means) that the Bank has received in a form and substance satisfactory to it: (i) two (2) originals of this letter duly countersigned on behalf of the Borrowers, together with a certified copy of the relevant authority of signatories, unless otherwise already provided, and a copy of any other authorisation or other document, opinion or assurance which the Bank considers to be necessary or desirable (if it has notified the Borrowers accordingly) in connection with the entry into and performance of the transaction contemplated by this letter or for the validity and enforceability of this letter.</w:t>
      </w:r>
    </w:p>
    <w:p>
      <w:pPr>
        <w:spacing w:after="0" w:line="195" w:lineRule="exact"/>
        <w:rPr>
          <w:sz w:val="20"/>
          <w:szCs w:val="20"/>
          <w:color w:val="auto"/>
        </w:rPr>
      </w:pPr>
    </w:p>
    <w:p>
      <w:pPr>
        <w:ind w:left="500" w:hanging="492"/>
        <w:spacing w:after="0"/>
        <w:tabs>
          <w:tab w:leader="none" w:pos="500" w:val="left"/>
        </w:tabs>
        <w:numPr>
          <w:ilvl w:val="0"/>
          <w:numId w:val="333"/>
        </w:numPr>
        <w:rPr>
          <w:rFonts w:ascii="Arial" w:cs="Arial" w:eastAsia="Arial" w:hAnsi="Arial"/>
          <w:sz w:val="22"/>
          <w:szCs w:val="22"/>
          <w:b w:val="1"/>
          <w:bCs w:val="1"/>
          <w:color w:val="auto"/>
        </w:rPr>
      </w:pPr>
      <w:r>
        <w:rPr>
          <w:rFonts w:ascii="Arial" w:cs="Arial" w:eastAsia="Arial" w:hAnsi="Arial"/>
          <w:sz w:val="18"/>
          <w:szCs w:val="18"/>
          <w:b w:val="1"/>
          <w:bCs w:val="1"/>
          <w:color w:val="auto"/>
        </w:rPr>
        <w:t>AMENDMENTS TO THE FINANCE CONTRACT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effect from the Effective Date, each of the Finance Contracts shall be amended as set out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Definitions</w:t>
      </w:r>
    </w:p>
    <w:p>
      <w:pPr>
        <w:spacing w:after="0" w:line="22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In paragraph (b) (</w:t>
      </w:r>
      <w:r>
        <w:rPr>
          <w:rFonts w:ascii="Arial" w:cs="Arial" w:eastAsia="Arial" w:hAnsi="Arial"/>
          <w:sz w:val="18"/>
          <w:szCs w:val="18"/>
          <w:b w:val="1"/>
          <w:bCs w:val="1"/>
          <w:color w:val="auto"/>
        </w:rPr>
        <w:t>Definitions</w:t>
      </w:r>
      <w:r>
        <w:rPr>
          <w:rFonts w:ascii="Arial" w:cs="Arial" w:eastAsia="Arial" w:hAnsi="Arial"/>
          <w:sz w:val="18"/>
          <w:szCs w:val="18"/>
          <w:color w:val="auto"/>
        </w:rPr>
        <w:t>) of the section titled “</w:t>
      </w:r>
      <w:r>
        <w:rPr>
          <w:rFonts w:ascii="Arial" w:cs="Arial" w:eastAsia="Arial" w:hAnsi="Arial"/>
          <w:sz w:val="18"/>
          <w:szCs w:val="18"/>
          <w:b w:val="1"/>
          <w:bCs w:val="1"/>
          <w:color w:val="auto"/>
        </w:rPr>
        <w:t>INTERPRETATIONS AND DEFINITIONS</w:t>
      </w:r>
      <w:r>
        <w:rPr>
          <w:rFonts w:ascii="Arial" w:cs="Arial" w:eastAsia="Arial" w:hAnsi="Arial"/>
          <w:sz w:val="18"/>
          <w:szCs w:val="18"/>
          <w:color w:val="auto"/>
        </w:rPr>
        <w:t>” the definition of “</w:t>
      </w:r>
      <w:r>
        <w:rPr>
          <w:rFonts w:ascii="Arial" w:cs="Arial" w:eastAsia="Arial" w:hAnsi="Arial"/>
          <w:sz w:val="18"/>
          <w:szCs w:val="18"/>
          <w:b w:val="1"/>
          <w:bCs w:val="1"/>
          <w:color w:val="auto"/>
        </w:rPr>
        <w:t>Non Recurring</w:t>
      </w:r>
      <w:r>
        <w:rPr>
          <w:rFonts w:ascii="Arial" w:cs="Arial" w:eastAsia="Arial" w:hAnsi="Arial"/>
          <w:sz w:val="18"/>
          <w:szCs w:val="18"/>
          <w:color w:val="auto"/>
        </w:rPr>
        <w:t xml:space="preserve"> </w:t>
      </w:r>
      <w:r>
        <w:rPr>
          <w:rFonts w:ascii="Arial" w:cs="Arial" w:eastAsia="Arial" w:hAnsi="Arial"/>
          <w:sz w:val="18"/>
          <w:szCs w:val="18"/>
          <w:b w:val="1"/>
          <w:bCs w:val="1"/>
          <w:color w:val="auto"/>
        </w:rPr>
        <w:t>Items</w:t>
      </w:r>
      <w:r>
        <w:rPr>
          <w:rFonts w:ascii="Arial" w:cs="Arial" w:eastAsia="Arial" w:hAnsi="Arial"/>
          <w:sz w:val="18"/>
          <w:szCs w:val="18"/>
          <w:color w:val="auto"/>
        </w:rPr>
        <w:t>” shall be amended by inserting the following text immediately after the words “</w:t>
      </w:r>
      <w:r>
        <w:rPr>
          <w:rFonts w:ascii="Arial" w:cs="Arial" w:eastAsia="Arial" w:hAnsi="Arial"/>
          <w:sz w:val="18"/>
          <w:szCs w:val="18"/>
          <w:i w:val="1"/>
          <w:iCs w:val="1"/>
          <w:color w:val="auto"/>
        </w:rPr>
        <w:t>until the end of loan life (2026)</w:t>
      </w:r>
      <w:r>
        <w:rPr>
          <w:rFonts w:ascii="Arial" w:cs="Arial" w:eastAsia="Arial" w:hAnsi="Arial"/>
          <w:sz w:val="18"/>
          <w:szCs w:val="18"/>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 the sole exception of the Test Period ending on 30 June 2020, in relation to which the 35% cap shall not apply”.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Schedule E – FINANCIAL RATIOS</w:t>
      </w:r>
    </w:p>
    <w:p>
      <w:pPr>
        <w:spacing w:after="0" w:line="225" w:lineRule="exact"/>
        <w:rPr>
          <w:sz w:val="20"/>
          <w:szCs w:val="20"/>
          <w:color w:val="auto"/>
        </w:rPr>
      </w:pPr>
    </w:p>
    <w:p>
      <w:pPr>
        <w:ind w:left="660" w:hanging="328"/>
        <w:spacing w:after="0" w:line="287" w:lineRule="auto"/>
        <w:tabs>
          <w:tab w:leader="none" w:pos="6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Paragraph (a) entitled “</w:t>
      </w:r>
      <w:r>
        <w:rPr>
          <w:rFonts w:ascii="Arial" w:cs="Arial" w:eastAsia="Arial" w:hAnsi="Arial"/>
          <w:sz w:val="18"/>
          <w:szCs w:val="18"/>
          <w:b w:val="1"/>
          <w:bCs w:val="1"/>
          <w:color w:val="auto"/>
        </w:rPr>
        <w:t>Consolidated Financial Indebtedness to Consolidated EBITDA</w:t>
      </w:r>
      <w:r>
        <w:rPr>
          <w:rFonts w:ascii="Arial" w:cs="Arial" w:eastAsia="Arial" w:hAnsi="Arial"/>
          <w:sz w:val="18"/>
          <w:szCs w:val="18"/>
          <w:color w:val="auto"/>
        </w:rPr>
        <w:t>” shall be amended by inserting the following text immediately after the last sentence of such paragraph:</w:t>
      </w:r>
    </w:p>
    <w:p>
      <w:pPr>
        <w:spacing w:after="0" w:line="156" w:lineRule="exact"/>
        <w:rPr>
          <w:rFonts w:ascii="Arial" w:cs="Arial" w:eastAsia="Arial" w:hAnsi="Arial"/>
          <w:sz w:val="18"/>
          <w:szCs w:val="18"/>
          <w:color w:val="auto"/>
        </w:rPr>
      </w:pPr>
    </w:p>
    <w:p>
      <w:pPr>
        <w:jc w:val="both"/>
        <w:ind w:left="66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By way of derogation from the above mentioned 2.50 maximum threshold, the Parties agree that at the Accounting Dates of 30 June</w:t>
      </w:r>
      <w:r>
        <w:rPr>
          <w:rFonts w:ascii="Arial" w:cs="Arial" w:eastAsia="Arial" w:hAnsi="Arial"/>
          <w:sz w:val="18"/>
          <w:szCs w:val="18"/>
          <w:color w:val="auto"/>
        </w:rPr>
        <w:t xml:space="preserve"> </w:t>
      </w:r>
      <w:r>
        <w:rPr>
          <w:rFonts w:ascii="Arial" w:cs="Arial" w:eastAsia="Arial" w:hAnsi="Arial"/>
          <w:sz w:val="18"/>
          <w:szCs w:val="18"/>
          <w:i w:val="1"/>
          <w:iCs w:val="1"/>
          <w:color w:val="auto"/>
        </w:rPr>
        <w:t>2020 and 31 December 2020 the Consolidated Net Financial Indebtedness shall have to be not more than 3.50x times the Consolidated EBITDA for the Test Periods ending on such Accounting Dates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line="287" w:lineRule="auto"/>
        <w:tabs>
          <w:tab w:leader="none" w:pos="6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Paragraph (c) entitled “</w:t>
      </w:r>
      <w:r>
        <w:rPr>
          <w:rFonts w:ascii="Arial" w:cs="Arial" w:eastAsia="Arial" w:hAnsi="Arial"/>
          <w:sz w:val="18"/>
          <w:szCs w:val="18"/>
          <w:b w:val="1"/>
          <w:bCs w:val="1"/>
          <w:color w:val="auto"/>
        </w:rPr>
        <w:t>Consolidated EBITDA to Consolidated Total Net Interest Payable</w:t>
      </w:r>
      <w:r>
        <w:rPr>
          <w:rFonts w:ascii="Arial" w:cs="Arial" w:eastAsia="Arial" w:hAnsi="Arial"/>
          <w:sz w:val="18"/>
          <w:szCs w:val="18"/>
          <w:color w:val="auto"/>
        </w:rPr>
        <w:t>” shall be amended by inserting the following text immediately after the last sentence of such paragraph:</w:t>
      </w:r>
    </w:p>
    <w:p>
      <w:pPr>
        <w:spacing w:after="0" w:line="156" w:lineRule="exact"/>
        <w:rPr>
          <w:rFonts w:ascii="Arial" w:cs="Arial" w:eastAsia="Arial" w:hAnsi="Arial"/>
          <w:sz w:val="18"/>
          <w:szCs w:val="18"/>
          <w:color w:val="auto"/>
        </w:rPr>
      </w:pPr>
    </w:p>
    <w:p>
      <w:pPr>
        <w:jc w:val="both"/>
        <w:ind w:left="66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By way of derogation from the above mentioned 6.30 minimum threshold, the Parties agree that for the Test Periods ending on 30</w:t>
      </w:r>
      <w:r>
        <w:rPr>
          <w:rFonts w:ascii="Arial" w:cs="Arial" w:eastAsia="Arial" w:hAnsi="Arial"/>
          <w:sz w:val="18"/>
          <w:szCs w:val="18"/>
          <w:color w:val="auto"/>
        </w:rPr>
        <w:t xml:space="preserve"> </w:t>
      </w:r>
      <w:r>
        <w:rPr>
          <w:rFonts w:ascii="Arial" w:cs="Arial" w:eastAsia="Arial" w:hAnsi="Arial"/>
          <w:sz w:val="18"/>
          <w:szCs w:val="18"/>
          <w:i w:val="1"/>
          <w:iCs w:val="1"/>
          <w:color w:val="auto"/>
        </w:rPr>
        <w:t>June 2020 and on 31 December 2020 the Consolidated EBITDA shall have to be not lower than 5.00x times the Consolidated Total Net Interest Payable for that Test Period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OBLIGATIONS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provisions of the Finance Contracts shall, save as amended by this letter, continue in full force and effect. The Borrowers acknowledge and agree that, other than as expressly set out and agreed hereby, this letter does not constitute a waiver granted by the Bank or amendment of any other term or condition of the Finance Contracts. The Bank reserves any and all contractual and legal rights it has under the Finance Contracts and the applicable law.</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Borrowers shall, at the request of the Bank and at its own expense, do all such acts and things necessary or desirable to give effect to the amendments effected or to be effected pursuant to this letter.</w:t>
      </w:r>
    </w:p>
    <w:p>
      <w:pPr>
        <w:spacing w:after="0" w:line="176" w:lineRule="exact"/>
        <w:rPr>
          <w:sz w:val="20"/>
          <w:szCs w:val="20"/>
          <w:color w:val="auto"/>
        </w:rPr>
      </w:pPr>
    </w:p>
    <w:p>
      <w:pPr>
        <w:ind w:left="500" w:hanging="492"/>
        <w:spacing w:after="0"/>
        <w:tabs>
          <w:tab w:leader="none" w:pos="50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5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This letter shall be governed by English laws and the parties hereto submit to the jurisdiction of the courts of England.</w:t>
      </w:r>
    </w:p>
    <w:p>
      <w:pPr>
        <w:spacing w:after="0" w:line="203" w:lineRule="exact"/>
        <w:rPr>
          <w:sz w:val="20"/>
          <w:szCs w:val="20"/>
          <w:color w:val="auto"/>
        </w:rPr>
      </w:pPr>
    </w:p>
    <w:p>
      <w:pPr>
        <w:ind w:left="500" w:hanging="492"/>
        <w:spacing w:after="0"/>
        <w:tabs>
          <w:tab w:leader="none" w:pos="50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 person who is not a party to this agreement has no right under the Contracts (Rights of Third Parties) Act 1999 to enforce or to enjoy the benefit of any term of this agreement.</w:t>
      </w:r>
    </w:p>
    <w:p>
      <w:pPr>
        <w:spacing w:after="0" w:line="176" w:lineRule="exact"/>
        <w:rPr>
          <w:sz w:val="20"/>
          <w:szCs w:val="20"/>
          <w:color w:val="auto"/>
        </w:rPr>
      </w:pPr>
    </w:p>
    <w:p>
      <w:pPr>
        <w:ind w:left="500" w:hanging="492"/>
        <w:spacing w:after="0"/>
        <w:tabs>
          <w:tab w:leader="none" w:pos="50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letter may be executed in any number of counterparts, all of which taken together shall constitute one and the same instrument. Each counterpart is an original, but all counterparts shall together constitute one and the same instrument.</w:t>
      </w:r>
    </w:p>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If you are in agreement with the above, please have two (2) originals of this letter returned to the Bank, to the attention of Mrs. Angela Iacomucci (e-mail: </w:t>
      </w:r>
      <w:r>
        <w:rPr>
          <w:rFonts w:ascii="Arial" w:cs="Arial" w:eastAsia="Arial" w:hAnsi="Arial"/>
          <w:sz w:val="18"/>
          <w:szCs w:val="18"/>
          <w:u w:val="single" w:color="auto"/>
          <w:color w:val="auto"/>
        </w:rPr>
        <w:t>a.iacomucci@eib.org</w:t>
      </w:r>
      <w:r>
        <w:rPr>
          <w:rFonts w:ascii="Arial" w:cs="Arial" w:eastAsia="Arial" w:hAnsi="Arial"/>
          <w:sz w:val="18"/>
          <w:szCs w:val="18"/>
          <w:color w:val="auto"/>
        </w:rPr>
        <w:t xml:space="preserve">) and Mrs. Roxana Gherca (e-mail: </w:t>
      </w:r>
      <w:r>
        <w:rPr>
          <w:rFonts w:ascii="Arial" w:cs="Arial" w:eastAsia="Arial" w:hAnsi="Arial"/>
          <w:sz w:val="18"/>
          <w:szCs w:val="18"/>
          <w:u w:val="single" w:color="auto"/>
          <w:color w:val="auto"/>
        </w:rPr>
        <w:t>r.gherca@eib.org</w:t>
      </w:r>
      <w:r>
        <w:rPr>
          <w:rFonts w:ascii="Arial" w:cs="Arial" w:eastAsia="Arial" w:hAnsi="Arial"/>
          <w:sz w:val="18"/>
          <w:szCs w:val="18"/>
          <w:color w:val="auto"/>
        </w:rPr>
        <w:t xml:space="preserve"> ), initialled in each page, dated and duly signed in the name and on behalf of Sorin Group Italia S.r.l. and LivaNova PLC together with a certified copy of the relevant authority of signatories, unless otherwise already provided, by and not later than thirty (30) days from the receipt of this letter. After such date, the Bank reserves the right, at its discretion, by notice to the Borrowers, to confirm whether acceptance of this letter by the Borrowers is considered as validly given by the Borrowers.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Yours faithfully,</w:t>
            </w: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3480" w:type="dxa"/>
            <w:vAlign w:val="bottom"/>
            <w:gridSpan w:val="3"/>
          </w:tcPr>
          <w:p>
            <w:pPr>
              <w:jc w:val="center"/>
              <w:ind w:left="630"/>
              <w:spacing w:after="0"/>
              <w:rPr>
                <w:sz w:val="20"/>
                <w:szCs w:val="20"/>
                <w:color w:val="auto"/>
              </w:rPr>
            </w:pPr>
            <w:r>
              <w:rPr>
                <w:rFonts w:ascii="Arial" w:cs="Arial" w:eastAsia="Arial" w:hAnsi="Arial"/>
                <w:sz w:val="18"/>
                <w:szCs w:val="18"/>
                <w:color w:val="auto"/>
                <w:w w:val="99"/>
              </w:rPr>
              <w:t>EUROPEAN INVESTMENT BANK</w:t>
            </w:r>
          </w:p>
        </w:tc>
      </w:tr>
      <w:tr>
        <w:trPr>
          <w:trHeight w:val="769"/>
        </w:trPr>
        <w:tc>
          <w:tcPr>
            <w:tcW w:w="40" w:type="dxa"/>
            <w:vAlign w:val="bottom"/>
          </w:tcPr>
          <w:p>
            <w:pPr>
              <w:spacing w:after="0"/>
              <w:rPr>
                <w:sz w:val="24"/>
                <w:szCs w:val="24"/>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/s/ Roy E. Stuart</w:t>
            </w:r>
          </w:p>
        </w:tc>
        <w:tc>
          <w:tcPr>
            <w:tcW w:w="3480" w:type="dxa"/>
            <w:vAlign w:val="bottom"/>
            <w:gridSpan w:val="3"/>
          </w:tcPr>
          <w:p>
            <w:pPr>
              <w:ind w:left="1080"/>
              <w:spacing w:after="0"/>
              <w:rPr>
                <w:sz w:val="20"/>
                <w:szCs w:val="20"/>
                <w:color w:val="auto"/>
              </w:rPr>
            </w:pPr>
            <w:r>
              <w:rPr>
                <w:rFonts w:ascii="Arial" w:cs="Arial" w:eastAsia="Arial" w:hAnsi="Arial"/>
                <w:sz w:val="18"/>
                <w:szCs w:val="18"/>
                <w:color w:val="auto"/>
              </w:rPr>
              <w:t>/s/ A. Gagnato</w:t>
            </w:r>
          </w:p>
        </w:tc>
      </w:tr>
      <w:tr>
        <w:trPr>
          <w:trHeight w:val="277"/>
        </w:trPr>
        <w:tc>
          <w:tcPr>
            <w:tcW w:w="40" w:type="dxa"/>
            <w:vAlign w:val="bottom"/>
          </w:tcPr>
          <w:p>
            <w:pPr>
              <w:spacing w:after="0"/>
              <w:rPr>
                <w:sz w:val="24"/>
                <w:szCs w:val="24"/>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Stuart</w:t>
            </w:r>
          </w:p>
        </w:tc>
        <w:tc>
          <w:tcPr>
            <w:tcW w:w="3160" w:type="dxa"/>
            <w:vAlign w:val="bottom"/>
            <w:gridSpan w:val="3"/>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Gagnato</w:t>
            </w:r>
          </w:p>
        </w:tc>
        <w:tc>
          <w:tcPr>
            <w:tcW w:w="124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Head of Division</w:t>
            </w:r>
          </w:p>
        </w:tc>
        <w:tc>
          <w:tcPr>
            <w:tcW w:w="3480" w:type="dxa"/>
            <w:vAlign w:val="bottom"/>
            <w:gridSpan w:val="3"/>
          </w:tcPr>
          <w:p>
            <w:pPr>
              <w:ind w:left="1080"/>
              <w:spacing w:after="0"/>
              <w:rPr>
                <w:sz w:val="20"/>
                <w:szCs w:val="20"/>
                <w:color w:val="auto"/>
              </w:rPr>
            </w:pPr>
            <w:r>
              <w:rPr>
                <w:rFonts w:ascii="Arial" w:cs="Arial" w:eastAsia="Arial" w:hAnsi="Arial"/>
                <w:sz w:val="18"/>
                <w:szCs w:val="18"/>
                <w:color w:val="auto"/>
              </w:rPr>
              <w:t>Legal Counsel</w:t>
            </w:r>
          </w:p>
        </w:tc>
      </w:tr>
      <w:tr>
        <w:trPr>
          <w:trHeight w:val="855"/>
        </w:trPr>
        <w:tc>
          <w:tcPr>
            <w:tcW w:w="4500" w:type="dxa"/>
            <w:vAlign w:val="bottom"/>
            <w:gridSpan w:val="5"/>
          </w:tcPr>
          <w:p>
            <w:pPr>
              <w:spacing w:after="0"/>
              <w:rPr>
                <w:sz w:val="20"/>
                <w:szCs w:val="20"/>
                <w:color w:val="auto"/>
              </w:rPr>
            </w:pPr>
            <w:r>
              <w:rPr>
                <w:rFonts w:ascii="Arial" w:cs="Arial" w:eastAsia="Arial" w:hAnsi="Arial"/>
                <w:sz w:val="18"/>
                <w:szCs w:val="18"/>
                <w:color w:val="auto"/>
              </w:rPr>
              <w:t>Acknowledged and agreed for and on behalf of,</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9"/>
        </w:trPr>
        <w:tc>
          <w:tcPr>
            <w:tcW w:w="4500" w:type="dxa"/>
            <w:vAlign w:val="bottom"/>
            <w:gridSpan w:val="5"/>
          </w:tcPr>
          <w:p>
            <w:pPr>
              <w:spacing w:after="0"/>
              <w:rPr>
                <w:sz w:val="20"/>
                <w:szCs w:val="20"/>
                <w:color w:val="auto"/>
              </w:rPr>
            </w:pPr>
            <w:r>
              <w:rPr>
                <w:rFonts w:ascii="Arial" w:cs="Arial" w:eastAsia="Arial" w:hAnsi="Arial"/>
                <w:sz w:val="18"/>
                <w:szCs w:val="18"/>
                <w:b w:val="1"/>
                <w:bCs w:val="1"/>
                <w:color w:val="auto"/>
              </w:rPr>
              <w:t>LivaNova PLC</w:t>
            </w: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823"/>
        </w:trPr>
        <w:tc>
          <w:tcPr>
            <w:tcW w:w="2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Thad Huston</w:t>
            </w:r>
          </w:p>
        </w:tc>
        <w:tc>
          <w:tcPr>
            <w:tcW w:w="2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4500" w:type="dxa"/>
            <w:vAlign w:val="bottom"/>
            <w:gridSpan w:val="5"/>
          </w:tcPr>
          <w:p>
            <w:pPr>
              <w:spacing w:after="0"/>
              <w:rPr>
                <w:sz w:val="20"/>
                <w:szCs w:val="20"/>
                <w:color w:val="auto"/>
              </w:rPr>
            </w:pPr>
            <w:r>
              <w:rPr>
                <w:rFonts w:ascii="Arial" w:cs="Arial" w:eastAsia="Arial" w:hAnsi="Arial"/>
                <w:sz w:val="18"/>
                <w:szCs w:val="18"/>
                <w:color w:val="auto"/>
              </w:rPr>
              <w:t>Thad Huston, Chief Financial Officer</w:t>
            </w: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4500" w:type="dxa"/>
            <w:vAlign w:val="bottom"/>
            <w:gridSpan w:val="5"/>
          </w:tcPr>
          <w:p>
            <w:pPr>
              <w:spacing w:after="0"/>
              <w:rPr>
                <w:sz w:val="20"/>
                <w:szCs w:val="20"/>
                <w:color w:val="auto"/>
              </w:rPr>
            </w:pPr>
            <w:r>
              <w:rPr>
                <w:rFonts w:ascii="Arial" w:cs="Arial" w:eastAsia="Arial" w:hAnsi="Arial"/>
                <w:sz w:val="18"/>
                <w:szCs w:val="18"/>
                <w:color w:val="auto"/>
              </w:rPr>
              <w:t>Date: 21/4/2020</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25"/>
        </w:trPr>
        <w:tc>
          <w:tcPr>
            <w:tcW w:w="4500" w:type="dxa"/>
            <w:vAlign w:val="bottom"/>
            <w:gridSpan w:val="5"/>
          </w:tcPr>
          <w:p>
            <w:pPr>
              <w:spacing w:after="0"/>
              <w:rPr>
                <w:sz w:val="20"/>
                <w:szCs w:val="20"/>
                <w:color w:val="auto"/>
              </w:rPr>
            </w:pPr>
            <w:r>
              <w:rPr>
                <w:rFonts w:ascii="Arial" w:cs="Arial" w:eastAsia="Arial" w:hAnsi="Arial"/>
                <w:sz w:val="18"/>
                <w:szCs w:val="18"/>
                <w:color w:val="auto"/>
              </w:rPr>
              <w:t>Acknowledged and agreed for and on behalf of,</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9"/>
        </w:trPr>
        <w:tc>
          <w:tcPr>
            <w:tcW w:w="4500" w:type="dxa"/>
            <w:vAlign w:val="bottom"/>
            <w:gridSpan w:val="5"/>
          </w:tcPr>
          <w:p>
            <w:pPr>
              <w:spacing w:after="0"/>
              <w:rPr>
                <w:sz w:val="20"/>
                <w:szCs w:val="20"/>
                <w:color w:val="auto"/>
              </w:rPr>
            </w:pPr>
            <w:r>
              <w:rPr>
                <w:rFonts w:ascii="Arial" w:cs="Arial" w:eastAsia="Arial" w:hAnsi="Arial"/>
                <w:sz w:val="18"/>
                <w:szCs w:val="18"/>
                <w:b w:val="1"/>
                <w:bCs w:val="1"/>
                <w:color w:val="auto"/>
              </w:rPr>
              <w:t>Sorin Group Italia S.r.l.</w:t>
            </w: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823"/>
        </w:trPr>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Piero Vecchi</w:t>
            </w:r>
          </w:p>
        </w:tc>
        <w:tc>
          <w:tcPr>
            <w:tcW w:w="24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4500" w:type="dxa"/>
            <w:vAlign w:val="bottom"/>
            <w:gridSpan w:val="5"/>
          </w:tcPr>
          <w:p>
            <w:pPr>
              <w:spacing w:after="0"/>
              <w:rPr>
                <w:sz w:val="20"/>
                <w:szCs w:val="20"/>
                <w:color w:val="auto"/>
              </w:rPr>
            </w:pPr>
            <w:r>
              <w:rPr>
                <w:rFonts w:ascii="Arial" w:cs="Arial" w:eastAsia="Arial" w:hAnsi="Arial"/>
                <w:sz w:val="18"/>
                <w:szCs w:val="18"/>
                <w:color w:val="auto"/>
              </w:rPr>
              <w:t>Piero Vecchi, Director</w:t>
            </w: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4500" w:type="dxa"/>
            <w:vAlign w:val="bottom"/>
            <w:gridSpan w:val="5"/>
          </w:tcPr>
          <w:p>
            <w:pPr>
              <w:spacing w:after="0"/>
              <w:rPr>
                <w:sz w:val="20"/>
                <w:szCs w:val="20"/>
                <w:color w:val="auto"/>
              </w:rPr>
            </w:pPr>
            <w:r>
              <w:rPr>
                <w:rFonts w:ascii="Arial" w:cs="Arial" w:eastAsia="Arial" w:hAnsi="Arial"/>
                <w:sz w:val="18"/>
                <w:szCs w:val="18"/>
                <w:color w:val="auto"/>
              </w:rPr>
              <w:t>Date: 21/4/2020</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EFDFA0"/>
    <w:multiLevelType w:val="hybridMultilevel"/>
    <w:lvl w:ilvl="0">
      <w:lvlJc w:val="left"/>
      <w:lvlText w:val="☐"/>
      <w:numFmt w:val="bullet"/>
      <w:start w:val="1"/>
    </w:lvl>
  </w:abstractNum>
  <w:abstractNum w:abstractNumId="1">
    <w:nsid w:val="2123D5F2"/>
    <w:multiLevelType w:val="hybridMultilevel"/>
    <w:lvl w:ilvl="0">
      <w:lvlJc w:val="left"/>
      <w:lvlText w:val="(%1)"/>
      <w:numFmt w:val="lowerLetter"/>
      <w:start w:val="4"/>
    </w:lvl>
  </w:abstractNum>
  <w:abstractNum w:abstractNumId="2">
    <w:nsid w:val="135B8110"/>
    <w:multiLevelType w:val="hybridMultilevel"/>
    <w:lvl w:ilvl="0">
      <w:lvlJc w:val="left"/>
      <w:lvlText w:val="%1."/>
      <w:numFmt w:val="decimal"/>
      <w:start w:val="1"/>
    </w:lvl>
    <w:lvl w:ilvl="1">
      <w:lvlJc w:val="left"/>
      <w:lvlText w:val="(%2)"/>
      <w:numFmt w:val="lowerLetter"/>
      <w:start w:val="1"/>
    </w:lvl>
  </w:abstractNum>
  <w:abstractNum w:abstractNumId="3">
    <w:nsid w:val="94927A8"/>
    <w:multiLevelType w:val="hybridMultilevel"/>
    <w:lvl w:ilvl="0">
      <w:lvlJc w:val="left"/>
      <w:lvlText w:val="(%1)"/>
      <w:numFmt w:val="lowerLetter"/>
      <w:start w:val="1"/>
    </w:lvl>
  </w:abstractNum>
  <w:abstractNum w:abstractNumId="4">
    <w:nsid w:val="DCDF8F6"/>
    <w:multiLevelType w:val="hybridMultilevel"/>
    <w:lvl w:ilvl="0">
      <w:lvlJc w:val="left"/>
      <w:lvlText w:val="(%1)"/>
      <w:numFmt w:val="lowerLetter"/>
      <w:start w:val="1"/>
    </w:lvl>
  </w:abstractNum>
  <w:abstractNum w:abstractNumId="5">
    <w:nsid w:val="52D7B105"/>
    <w:multiLevelType w:val="hybridMultilevel"/>
    <w:lvl w:ilvl="0">
      <w:lvlJc w:val="left"/>
      <w:lvlText w:val="%1."/>
      <w:numFmt w:val="decimal"/>
      <w:start w:val="3"/>
    </w:lvl>
  </w:abstractNum>
  <w:abstractNum w:abstractNumId="6">
    <w:nsid w:val="2E8A6394"/>
    <w:multiLevelType w:val="hybridMultilevel"/>
    <w:lvl w:ilvl="0">
      <w:lvlJc w:val="left"/>
      <w:lvlText w:val="%1"/>
      <w:numFmt w:val="decimal"/>
      <w:start w:val="1"/>
    </w:lvl>
    <w:lvl w:ilvl="1">
      <w:lvlJc w:val="left"/>
      <w:lvlText w:val="(%2)"/>
      <w:numFmt w:val="lowerLetter"/>
      <w:start w:val="1"/>
    </w:lvl>
  </w:abstractNum>
  <w:abstractNum w:abstractNumId="7">
    <w:nsid w:val="24E60401"/>
    <w:multiLevelType w:val="hybridMultilevel"/>
    <w:lvl w:ilvl="0">
      <w:lvlJc w:val="left"/>
      <w:lvlText w:val="%1."/>
      <w:numFmt w:val="decimal"/>
      <w:start w:val="4"/>
    </w:lvl>
    <w:lvl w:ilvl="1">
      <w:lvlJc w:val="left"/>
      <w:lvlText w:val="%2"/>
      <w:numFmt w:val="lowerLetter"/>
      <w:start w:val="1"/>
    </w:lvl>
  </w:abstractNum>
  <w:abstractNum w:abstractNumId="8">
    <w:nsid w:val="2A6AD9BE"/>
    <w:multiLevelType w:val="hybridMultilevel"/>
    <w:lvl w:ilvl="0">
      <w:lvlJc w:val="left"/>
      <w:lvlText w:val="%1."/>
      <w:numFmt w:val="decimal"/>
      <w:start w:val="5"/>
    </w:lvl>
  </w:abstractNum>
  <w:abstractNum w:abstractNumId="9">
    <w:nsid w:val="BAAC1B4"/>
    <w:multiLevelType w:val="hybridMultilevel"/>
    <w:lvl w:ilvl="0">
      <w:lvlJc w:val="left"/>
      <w:lvlText w:val="(%1)"/>
      <w:numFmt w:val="lowerLetter"/>
      <w:start w:val="1"/>
    </w:lvl>
  </w:abstractNum>
  <w:abstractNum w:abstractNumId="10">
    <w:nsid w:val="36B2ACBC"/>
    <w:multiLevelType w:val="hybridMultilevel"/>
    <w:lvl w:ilvl="0">
      <w:lvlJc w:val="left"/>
      <w:lvlText w:val="%1."/>
      <w:numFmt w:val="decimal"/>
      <w:start w:val="1"/>
    </w:lvl>
    <w:lvl w:ilvl="1">
      <w:lvlJc w:val="left"/>
      <w:lvlText w:val="%2."/>
      <w:numFmt w:val="upperLetter"/>
      <w:start w:val="1"/>
    </w:lvl>
  </w:abstractNum>
  <w:abstractNum w:abstractNumId="11">
    <w:nsid w:val="779D8544"/>
    <w:multiLevelType w:val="hybridMultilevel"/>
    <w:lvl w:ilvl="0">
      <w:lvlJc w:val="left"/>
      <w:lvlText w:val="(%1)"/>
      <w:numFmt w:val="lowerLetter"/>
      <w:start w:val="1"/>
    </w:lvl>
    <w:lvl w:ilvl="1">
      <w:lvlJc w:val="left"/>
      <w:lvlText w:val="(%2)"/>
      <w:numFmt w:val="lowerRoman"/>
      <w:start w:val="1"/>
    </w:lvl>
  </w:abstractNum>
  <w:abstractNum w:abstractNumId="12">
    <w:nsid w:val="4AB26E78"/>
    <w:multiLevelType w:val="hybridMultilevel"/>
    <w:lvl w:ilvl="0">
      <w:lvlJc w:val="left"/>
      <w:lvlText w:val="%1."/>
      <w:numFmt w:val="decimal"/>
      <w:start w:val="1"/>
    </w:lvl>
    <w:lvl w:ilvl="1">
      <w:lvlJc w:val="left"/>
      <w:lvlText w:val="(%2)"/>
      <w:numFmt w:val="lowerLetter"/>
      <w:start w:val="1"/>
    </w:lvl>
  </w:abstractNum>
  <w:abstractNum w:abstractNumId="13">
    <w:nsid w:val="21FAA2FA"/>
    <w:multiLevelType w:val="hybridMultilevel"/>
    <w:lvl w:ilvl="0">
      <w:lvlJc w:val="left"/>
      <w:lvlText w:val="(%1)"/>
      <w:numFmt w:val="lowerLetter"/>
      <w:start w:val="1"/>
    </w:lvl>
  </w:abstractNum>
  <w:abstractNum w:abstractNumId="14">
    <w:nsid w:val="5451CF49"/>
    <w:multiLevelType w:val="hybridMultilevel"/>
    <w:lvl w:ilvl="0">
      <w:lvlJc w:val="left"/>
      <w:lvlText w:val="%1"/>
      <w:numFmt w:val="decimal"/>
      <w:start w:val="1"/>
    </w:lvl>
    <w:lvl w:ilvl="1">
      <w:lvlJc w:val="left"/>
      <w:lvlText w:val="(%2)"/>
      <w:numFmt w:val="lowerLetter"/>
      <w:start w:val="1"/>
    </w:lvl>
  </w:abstractNum>
  <w:abstractNum w:abstractNumId="15">
    <w:nsid w:val="6181EF69"/>
    <w:multiLevelType w:val="hybridMultilevel"/>
    <w:lvl w:ilvl="0">
      <w:lvlJc w:val="left"/>
      <w:lvlText w:val="%1."/>
      <w:numFmt w:val="decimal"/>
      <w:start w:val="3"/>
    </w:lvl>
    <w:lvl w:ilvl="1">
      <w:lvlJc w:val="left"/>
      <w:lvlText w:val="%2"/>
      <w:numFmt w:val="lowerLetter"/>
      <w:start w:val="1"/>
    </w:lvl>
  </w:abstractNum>
  <w:abstractNum w:abstractNumId="16">
    <w:nsid w:val="3E6400E6"/>
    <w:multiLevelType w:val="hybridMultilevel"/>
    <w:lvl w:ilvl="0">
      <w:lvlJc w:val="left"/>
      <w:lvlText w:val="%1."/>
      <w:numFmt w:val="decimal"/>
      <w:start w:val="4"/>
    </w:lvl>
  </w:abstractNum>
  <w:abstractNum w:abstractNumId="17">
    <w:nsid w:val="14217E23"/>
    <w:multiLevelType w:val="hybridMultilevel"/>
    <w:lvl w:ilvl="0">
      <w:lvlJc w:val="left"/>
      <w:lvlText w:val="%1."/>
      <w:numFmt w:val="decimal"/>
      <w:start w:val="5"/>
    </w:lvl>
  </w:abstractNum>
  <w:abstractNum w:abstractNumId="18">
    <w:nsid w:val="710757D0"/>
    <w:multiLevelType w:val="hybridMultilevel"/>
    <w:lvl w:ilvl="0">
      <w:lvlJc w:val="left"/>
      <w:lvlText w:val="(%1)"/>
      <w:numFmt w:val="lowerLetter"/>
      <w:start w:val="1"/>
    </w:lvl>
  </w:abstractNum>
  <w:abstractNum w:abstractNumId="19">
    <w:nsid w:val="5015CD1A"/>
    <w:multiLevelType w:val="hybridMultilevel"/>
    <w:lvl w:ilvl="0">
      <w:lvlJc w:val="left"/>
      <w:lvlText w:val="%1."/>
      <w:numFmt w:val="decimal"/>
      <w:start w:val="1"/>
    </w:lvl>
    <w:lvl w:ilvl="1">
      <w:lvlJc w:val="left"/>
      <w:lvlText w:val="(%2)"/>
      <w:numFmt w:val="lowerLetter"/>
      <w:start w:val="1"/>
    </w:lvl>
  </w:abstractNum>
  <w:abstractNum w:abstractNumId="20">
    <w:nsid w:val="424479DA"/>
    <w:multiLevelType w:val="hybridMultilevel"/>
    <w:lvl w:ilvl="0">
      <w:lvlJc w:val="left"/>
      <w:lvlText w:val="(%1)"/>
      <w:numFmt w:val="lowerLetter"/>
      <w:start w:val="1"/>
    </w:lvl>
  </w:abstractNum>
  <w:abstractNum w:abstractNumId="21">
    <w:nsid w:val="1A9A9E69"/>
    <w:multiLevelType w:val="hybridMultilevel"/>
    <w:lvl w:ilvl="0">
      <w:lvlJc w:val="left"/>
      <w:lvlText w:val="(%1)"/>
      <w:numFmt w:val="lowerLetter"/>
      <w:start w:val="1"/>
    </w:lvl>
  </w:abstractNum>
  <w:abstractNum w:abstractNumId="22">
    <w:nsid w:val="475E256A"/>
    <w:multiLevelType w:val="hybridMultilevel"/>
    <w:lvl w:ilvl="0">
      <w:lvlJc w:val="left"/>
      <w:lvlText w:val="%1"/>
      <w:numFmt w:val="decimal"/>
      <w:start w:val="1"/>
    </w:lvl>
    <w:lvl w:ilvl="1">
      <w:lvlJc w:val="left"/>
      <w:lvlText w:val="(%2)"/>
      <w:numFmt w:val="lowerLetter"/>
      <w:start w:val="2"/>
    </w:lvl>
  </w:abstractNum>
  <w:abstractNum w:abstractNumId="23">
    <w:nsid w:val="368DB37E"/>
    <w:multiLevelType w:val="hybridMultilevel"/>
    <w:lvl w:ilvl="0">
      <w:lvlJc w:val="left"/>
      <w:lvlText w:val="%1."/>
      <w:numFmt w:val="decimal"/>
      <w:start w:val="3"/>
    </w:lvl>
    <w:lvl w:ilvl="1">
      <w:lvlJc w:val="left"/>
      <w:lvlText w:val="%2"/>
      <w:numFmt w:val="lowerLetter"/>
      <w:start w:val="1"/>
    </w:lvl>
  </w:abstractNum>
  <w:abstractNum w:abstractNumId="24">
    <w:nsid w:val="6A3B714C"/>
    <w:multiLevelType w:val="hybridMultilevel"/>
    <w:lvl w:ilvl="0">
      <w:lvlJc w:val="left"/>
      <w:lvlText w:val="%1"/>
      <w:numFmt w:val="decimal"/>
      <w:start w:val="1"/>
    </w:lvl>
    <w:lvl w:ilvl="1">
      <w:lvlJc w:val="left"/>
      <w:lvlText w:val="(%2)"/>
      <w:numFmt w:val="lowerLetter"/>
      <w:start w:val="1"/>
    </w:lvl>
  </w:abstractNum>
  <w:abstractNum w:abstractNumId="25">
    <w:nsid w:val="327B517E"/>
    <w:multiLevelType w:val="hybridMultilevel"/>
    <w:lvl w:ilvl="0">
      <w:lvlJc w:val="left"/>
      <w:lvlText w:val="%1."/>
      <w:numFmt w:val="decimal"/>
      <w:start w:val="4"/>
    </w:lvl>
    <w:lvl w:ilvl="1">
      <w:lvlJc w:val="left"/>
      <w:lvlText w:val="%2"/>
      <w:numFmt w:val="lowerLetter"/>
      <w:start w:val="1"/>
    </w:lvl>
  </w:abstractNum>
  <w:abstractNum w:abstractNumId="26">
    <w:nsid w:val="1F461B51"/>
    <w:multiLevelType w:val="hybridMultilevel"/>
    <w:lvl w:ilvl="0">
      <w:lvlJc w:val="left"/>
      <w:lvlText w:val="%1."/>
      <w:numFmt w:val="decimal"/>
      <w:start w:val="5"/>
    </w:lvl>
  </w:abstractNum>
  <w:abstractNum w:abstractNumId="27">
    <w:nsid w:val="29BACF25"/>
    <w:multiLevelType w:val="hybridMultilevel"/>
    <w:lvl w:ilvl="0">
      <w:lvlJc w:val="left"/>
      <w:lvlText w:val="(%1)"/>
      <w:numFmt w:val="lowerLetter"/>
      <w:start w:val="1"/>
    </w:lvl>
  </w:abstractNum>
  <w:abstractNum w:abstractNumId="28">
    <w:nsid w:val="5D5BABB3"/>
    <w:multiLevelType w:val="hybridMultilevel"/>
    <w:lvl w:ilvl="0">
      <w:lvlJc w:val="left"/>
      <w:lvlText w:val="%1."/>
      <w:numFmt w:val="decimal"/>
      <w:start w:val="1"/>
    </w:lvl>
    <w:lvl w:ilvl="1">
      <w:lvlJc w:val="left"/>
      <w:lvlText w:val="%2."/>
      <w:numFmt w:val="upperLetter"/>
      <w:start w:val="1"/>
    </w:lvl>
  </w:abstractNum>
  <w:abstractNum w:abstractNumId="29">
    <w:nsid w:val="51BF6B48"/>
    <w:multiLevelType w:val="hybridMultilevel"/>
    <w:lvl w:ilvl="0">
      <w:lvlJc w:val="left"/>
      <w:lvlText w:val="(%1)"/>
      <w:numFmt w:val="lowerLetter"/>
      <w:start w:val="1"/>
    </w:lvl>
    <w:lvl w:ilvl="1">
      <w:lvlJc w:val="left"/>
      <w:lvlText w:val="(%2)"/>
      <w:numFmt w:val="lowerRoman"/>
      <w:start w:val="1"/>
    </w:lvl>
  </w:abstractNum>
  <w:abstractNum w:abstractNumId="30">
    <w:nsid w:val="7E0F6384"/>
    <w:multiLevelType w:val="hybridMultilevel"/>
    <w:lvl w:ilvl="0">
      <w:lvlJc w:val="left"/>
      <w:lvlText w:val="%1."/>
      <w:numFmt w:val="decimal"/>
      <w:start w:val="1"/>
    </w:lvl>
    <w:lvl w:ilvl="1">
      <w:lvlJc w:val="left"/>
      <w:lvlText w:val="(%2)"/>
      <w:numFmt w:val="lowerLetter"/>
      <w:start w:val="1"/>
    </w:lvl>
  </w:abstractNum>
  <w:abstractNum w:abstractNumId="31">
    <w:nsid w:val="2B4B8B53"/>
    <w:multiLevelType w:val="hybridMultilevel"/>
    <w:lvl w:ilvl="0">
      <w:lvlJc w:val="left"/>
      <w:lvlText w:val="(%1)"/>
      <w:numFmt w:val="lowerLetter"/>
      <w:start w:val="1"/>
    </w:lvl>
  </w:abstractNum>
  <w:abstractNum w:abstractNumId="32">
    <w:nsid w:val="72E3413A"/>
    <w:multiLevelType w:val="hybridMultilevel"/>
    <w:lvl w:ilvl="0">
      <w:lvlJc w:val="left"/>
      <w:lvlText w:val="(%1)"/>
      <w:numFmt w:val="lowerLetter"/>
      <w:start w:val="1"/>
    </w:lvl>
  </w:abstractNum>
  <w:abstractNum w:abstractNumId="33">
    <w:nsid w:val="116AE494"/>
    <w:multiLevelType w:val="hybridMultilevel"/>
    <w:lvl w:ilvl="0">
      <w:lvlJc w:val="left"/>
      <w:lvlText w:val="(%1)"/>
      <w:numFmt w:val="lowerLetter"/>
      <w:start w:val="2"/>
    </w:lvl>
  </w:abstractNum>
  <w:abstractNum w:abstractNumId="34">
    <w:nsid w:val="3494B2FB"/>
    <w:multiLevelType w:val="hybridMultilevel"/>
    <w:lvl w:ilvl="0">
      <w:lvlJc w:val="left"/>
      <w:lvlText w:val="%1."/>
      <w:numFmt w:val="decimal"/>
      <w:start w:val="3"/>
    </w:lvl>
  </w:abstractNum>
  <w:abstractNum w:abstractNumId="35">
    <w:nsid w:val="B13A31"/>
    <w:multiLevelType w:val="hybridMultilevel"/>
    <w:lvl w:ilvl="0">
      <w:lvlJc w:val="left"/>
      <w:lvlText w:val="%1."/>
      <w:numFmt w:val="decimal"/>
      <w:start w:val="4"/>
    </w:lvl>
  </w:abstractNum>
  <w:abstractNum w:abstractNumId="36">
    <w:nsid w:val="64429599"/>
    <w:multiLevelType w:val="hybridMultilevel"/>
    <w:lvl w:ilvl="0">
      <w:lvlJc w:val="left"/>
      <w:lvlText w:val="%1."/>
      <w:numFmt w:val="decimal"/>
      <w:start w:val="5"/>
    </w:lvl>
  </w:abstractNum>
  <w:abstractNum w:abstractNumId="37">
    <w:nsid w:val="631F1690"/>
    <w:multiLevelType w:val="hybridMultilevel"/>
    <w:lvl w:ilvl="0">
      <w:lvlJc w:val="left"/>
      <w:lvlText w:val="(%1)"/>
      <w:numFmt w:val="lowerLetter"/>
      <w:start w:val="1"/>
    </w:lvl>
  </w:abstractNum>
  <w:abstractNum w:abstractNumId="38">
    <w:nsid w:val="25973E32"/>
    <w:multiLevelType w:val="hybridMultilevel"/>
    <w:lvl w:ilvl="0">
      <w:lvlJc w:val="left"/>
      <w:lvlText w:val="(%1)"/>
      <w:numFmt w:val="decimal"/>
      <w:start w:val="1"/>
    </w:lvl>
  </w:abstractNum>
  <w:abstractNum w:abstractNumId="39">
    <w:nsid w:val="EAD6F57"/>
    <w:multiLevelType w:val="hybridMultilevel"/>
    <w:lvl w:ilvl="0">
      <w:lvlJc w:val="left"/>
      <w:lvlText w:val="1"/>
      <w:numFmt w:val="bullet"/>
      <w:start w:val="1"/>
    </w:lvl>
  </w:abstractNum>
  <w:abstractNum w:abstractNumId="40">
    <w:nsid w:val="6EC9D844"/>
    <w:multiLevelType w:val="hybridMultilevel"/>
    <w:lvl w:ilvl="0">
      <w:lvlJc w:val="left"/>
      <w:lvlText w:val="(%1)"/>
      <w:numFmt w:val="lowerLetter"/>
      <w:start w:val="1"/>
    </w:lvl>
  </w:abstractNum>
  <w:abstractNum w:abstractNumId="41">
    <w:nsid w:val="5C49EAEE"/>
    <w:multiLevelType w:val="hybridMultilevel"/>
    <w:lvl w:ilvl="0">
      <w:lvlJc w:val="left"/>
      <w:lvlText w:val="(%1)"/>
      <w:numFmt w:val="lowerLetter"/>
      <w:start w:val="1"/>
    </w:lvl>
  </w:abstractNum>
  <w:abstractNum w:abstractNumId="42">
    <w:nsid w:val="64AF49B"/>
    <w:multiLevelType w:val="hybridMultilevel"/>
    <w:lvl w:ilvl="0">
      <w:lvlJc w:val="left"/>
      <w:lvlText w:val="(%1)"/>
      <w:numFmt w:val="lowerLetter"/>
      <w:start w:val="1"/>
    </w:lvl>
  </w:abstractNum>
  <w:abstractNum w:abstractNumId="43">
    <w:nsid w:val="397C46BC"/>
    <w:multiLevelType w:val="hybridMultilevel"/>
    <w:lvl w:ilvl="0">
      <w:lvlJc w:val="left"/>
      <w:lvlText w:val="(%1)"/>
      <w:numFmt w:val="lowerLetter"/>
      <w:start w:val="1"/>
    </w:lvl>
  </w:abstractNum>
  <w:abstractNum w:abstractNumId="44">
    <w:nsid w:val="7E448DE9"/>
    <w:multiLevelType w:val="hybridMultilevel"/>
    <w:lvl w:ilvl="0">
      <w:lvlJc w:val="left"/>
      <w:lvlText w:val="(%1)"/>
      <w:numFmt w:val="lowerLetter"/>
      <w:start w:val="1"/>
    </w:lvl>
  </w:abstractNum>
  <w:abstractNum w:abstractNumId="45">
    <w:nsid w:val="5A9CC3E5"/>
    <w:multiLevelType w:val="hybridMultilevel"/>
    <w:lvl w:ilvl="0">
      <w:lvlJc w:val="left"/>
      <w:lvlText w:val="(%1)"/>
      <w:numFmt w:val="lowerRoman"/>
      <w:start w:val="1"/>
    </w:lvl>
  </w:abstractNum>
  <w:abstractNum w:abstractNumId="46">
    <w:nsid w:val="1AFE3625"/>
    <w:multiLevelType w:val="hybridMultilevel"/>
    <w:lvl w:ilvl="0">
      <w:lvlJc w:val="left"/>
      <w:lvlText w:val="(%1)"/>
      <w:numFmt w:val="upperLetter"/>
      <w:start w:val="1"/>
    </w:lvl>
  </w:abstractNum>
  <w:abstractNum w:abstractNumId="47">
    <w:nsid w:val="3CA88ECF"/>
    <w:multiLevelType w:val="hybridMultilevel"/>
    <w:lvl w:ilvl="0">
      <w:lvlJc w:val="left"/>
      <w:lvlText w:val="(%1)"/>
      <w:numFmt w:val="lowerRoman"/>
      <w:start w:val="2"/>
    </w:lvl>
  </w:abstractNum>
  <w:abstractNum w:abstractNumId="48">
    <w:nsid w:val="6EBE4208"/>
    <w:multiLevelType w:val="hybridMultilevel"/>
    <w:lvl w:ilvl="0">
      <w:lvlJc w:val="left"/>
      <w:lvlText w:val="(%1)"/>
      <w:numFmt w:val="lowerLetter"/>
      <w:start w:val="1"/>
    </w:lvl>
    <w:lvl w:ilvl="1">
      <w:lvlJc w:val="left"/>
      <w:lvlText w:val="(%2)"/>
      <w:numFmt w:val="lowerRoman"/>
      <w:start w:val="1"/>
    </w:lvl>
  </w:abstractNum>
  <w:abstractNum w:abstractNumId="49">
    <w:nsid w:val="C058DF5"/>
    <w:multiLevelType w:val="hybridMultilevel"/>
    <w:lvl w:ilvl="0">
      <w:lvlJc w:val="left"/>
      <w:lvlText w:val="(%1)"/>
      <w:numFmt w:val="lowerLetter"/>
      <w:start w:val="1"/>
    </w:lvl>
  </w:abstractNum>
  <w:abstractNum w:abstractNumId="50">
    <w:nsid w:val="CBE5BE9"/>
    <w:multiLevelType w:val="hybridMultilevel"/>
    <w:lvl w:ilvl="0">
      <w:lvlJc w:val="left"/>
      <w:lvlText w:val="(%1)"/>
      <w:numFmt w:val="lowerLetter"/>
      <w:start w:val="1"/>
    </w:lvl>
  </w:abstractNum>
  <w:abstractNum w:abstractNumId="51">
    <w:nsid w:val="3102BBE2"/>
    <w:multiLevelType w:val="hybridMultilevel"/>
    <w:lvl w:ilvl="0">
      <w:lvlJc w:val="left"/>
      <w:lvlText w:val="(%1)"/>
      <w:numFmt w:val="lowerLetter"/>
      <w:start w:val="1"/>
    </w:lvl>
  </w:abstractNum>
  <w:abstractNum w:abstractNumId="52">
    <w:nsid w:val="26A02C5E"/>
    <w:multiLevelType w:val="hybridMultilevel"/>
    <w:lvl w:ilvl="0">
      <w:lvlJc w:val="left"/>
      <w:lvlText w:val="(%1)"/>
      <w:numFmt w:val="lowerLetter"/>
      <w:start w:val="1"/>
    </w:lvl>
  </w:abstractNum>
  <w:abstractNum w:abstractNumId="53">
    <w:nsid w:val="541C8153"/>
    <w:multiLevelType w:val="hybridMultilevel"/>
    <w:lvl w:ilvl="0">
      <w:lvlJc w:val="left"/>
      <w:lvlText w:val="(%1)"/>
      <w:numFmt w:val="lowerLetter"/>
      <w:start w:val="2"/>
    </w:lvl>
  </w:abstractNum>
  <w:abstractNum w:abstractNumId="54">
    <w:nsid w:val="67906F60"/>
    <w:multiLevelType w:val="hybridMultilevel"/>
    <w:lvl w:ilvl="0">
      <w:lvlJc w:val="left"/>
      <w:lvlText w:val="(%1)"/>
      <w:numFmt w:val="lowerLetter"/>
      <w:start w:val="1"/>
    </w:lvl>
  </w:abstractNum>
  <w:abstractNum w:abstractNumId="55">
    <w:nsid w:val="10DB9DAA"/>
    <w:multiLevelType w:val="hybridMultilevel"/>
    <w:lvl w:ilvl="0">
      <w:lvlJc w:val="left"/>
      <w:lvlText w:val="(%1)"/>
      <w:numFmt w:val="lowerLetter"/>
      <w:start w:val="1"/>
    </w:lvl>
  </w:abstractNum>
  <w:abstractNum w:abstractNumId="56">
    <w:nsid w:val="697D2D2"/>
    <w:multiLevelType w:val="hybridMultilevel"/>
    <w:lvl w:ilvl="0">
      <w:lvlJc w:val="left"/>
      <w:lvlText w:val="(%1)"/>
      <w:numFmt w:val="lowerLetter"/>
      <w:start w:val="4"/>
    </w:lvl>
  </w:abstractNum>
  <w:abstractNum w:abstractNumId="57">
    <w:nsid w:val="6D68AB2"/>
    <w:multiLevelType w:val="hybridMultilevel"/>
    <w:lvl w:ilvl="0">
      <w:lvlJc w:val="left"/>
      <w:lvlText w:val="(%1)"/>
      <w:numFmt w:val="lowerLetter"/>
      <w:start w:val="1"/>
    </w:lvl>
  </w:abstractNum>
  <w:abstractNum w:abstractNumId="58">
    <w:nsid w:val="3A966CD0"/>
    <w:multiLevelType w:val="hybridMultilevel"/>
    <w:lvl w:ilvl="0">
      <w:lvlJc w:val="left"/>
      <w:lvlText w:val="(%1)"/>
      <w:numFmt w:val="lowerLetter"/>
      <w:start w:val="1"/>
    </w:lvl>
  </w:abstractNum>
  <w:abstractNum w:abstractNumId="59">
    <w:nsid w:val="63F37E85"/>
    <w:multiLevelType w:val="hybridMultilevel"/>
    <w:lvl w:ilvl="0">
      <w:lvlJc w:val="left"/>
      <w:lvlText w:val="(%1)"/>
      <w:numFmt w:val="lowerLetter"/>
      <w:start w:val="1"/>
    </w:lvl>
  </w:abstractNum>
  <w:abstractNum w:abstractNumId="60">
    <w:nsid w:val="5895F5FA"/>
    <w:multiLevelType w:val="hybridMultilevel"/>
    <w:lvl w:ilvl="0">
      <w:lvlJc w:val="left"/>
      <w:lvlText w:val="(%1)"/>
      <w:numFmt w:val="lowerLetter"/>
      <w:start w:val="1"/>
    </w:lvl>
  </w:abstractNum>
  <w:abstractNum w:abstractNumId="61">
    <w:nsid w:val="38A5D054"/>
    <w:multiLevelType w:val="hybridMultilevel"/>
    <w:lvl w:ilvl="0">
      <w:lvlJc w:val="left"/>
      <w:lvlText w:val="(%1)"/>
      <w:numFmt w:val="lowerLetter"/>
      <w:start w:val="3"/>
    </w:lvl>
  </w:abstractNum>
  <w:abstractNum w:abstractNumId="62">
    <w:nsid w:val="F3F09D8"/>
    <w:multiLevelType w:val="hybridMultilevel"/>
    <w:lvl w:ilvl="0">
      <w:lvlJc w:val="left"/>
      <w:lvlText w:val="(%1)"/>
      <w:numFmt w:val="lowerLetter"/>
      <w:start w:val="1"/>
    </w:lvl>
  </w:abstractNum>
  <w:abstractNum w:abstractNumId="63">
    <w:nsid w:val="4B793735"/>
    <w:multiLevelType w:val="hybridMultilevel"/>
    <w:lvl w:ilvl="0">
      <w:lvlJc w:val="left"/>
      <w:lvlText w:val="(%1)"/>
      <w:numFmt w:val="lowerLetter"/>
      <w:start w:val="1"/>
    </w:lvl>
  </w:abstractNum>
  <w:abstractNum w:abstractNumId="64">
    <w:nsid w:val="4A10B4E8"/>
    <w:multiLevelType w:val="hybridMultilevel"/>
    <w:lvl w:ilvl="0">
      <w:lvlJc w:val="left"/>
      <w:lvlText w:val="(%1)"/>
      <w:numFmt w:val="lowerLetter"/>
      <w:start w:val="1"/>
    </w:lvl>
  </w:abstractNum>
  <w:abstractNum w:abstractNumId="65">
    <w:nsid w:val="43D3BCD4"/>
    <w:multiLevelType w:val="hybridMultilevel"/>
    <w:lvl w:ilvl="0">
      <w:lvlJc w:val="left"/>
      <w:lvlText w:val="(%1)"/>
      <w:numFmt w:val="lowerLetter"/>
      <w:start w:val="1"/>
    </w:lvl>
  </w:abstractNum>
  <w:abstractNum w:abstractNumId="66">
    <w:nsid w:val="4C2A7166"/>
    <w:multiLevelType w:val="hybridMultilevel"/>
    <w:lvl w:ilvl="0">
      <w:lvlJc w:val="left"/>
      <w:lvlText w:val="(%1)"/>
      <w:numFmt w:val="lowerLetter"/>
      <w:start w:val="1"/>
    </w:lvl>
    <w:lvl w:ilvl="1">
      <w:lvlJc w:val="left"/>
      <w:lvlText w:val="(%2)"/>
      <w:numFmt w:val="lowerRoman"/>
      <w:start w:val="1"/>
    </w:lvl>
  </w:abstractNum>
  <w:abstractNum w:abstractNumId="67">
    <w:nsid w:val="2E534A82"/>
    <w:multiLevelType w:val="hybridMultilevel"/>
    <w:lvl w:ilvl="0">
      <w:lvlJc w:val="left"/>
      <w:lvlText w:val="(%1)"/>
      <w:numFmt w:val="lowerLetter"/>
      <w:start w:val="1"/>
    </w:lvl>
  </w:abstractNum>
  <w:abstractNum w:abstractNumId="68">
    <w:nsid w:val="26F2D364"/>
    <w:multiLevelType w:val="hybridMultilevel"/>
    <w:lvl w:ilvl="0">
      <w:lvlJc w:val="left"/>
      <w:lvlText w:val="(%1)"/>
      <w:numFmt w:val="lowerLetter"/>
      <w:start w:val="1"/>
    </w:lvl>
  </w:abstractNum>
  <w:abstractNum w:abstractNumId="69">
    <w:nsid w:val="71C1AF98"/>
    <w:multiLevelType w:val="hybridMultilevel"/>
    <w:lvl w:ilvl="0">
      <w:lvlJc w:val="left"/>
      <w:lvlText w:val="(%1)"/>
      <w:numFmt w:val="lowerLetter"/>
      <w:start w:val="1"/>
    </w:lvl>
  </w:abstractNum>
  <w:abstractNum w:abstractNumId="70">
    <w:nsid w:val="3D00B9D9"/>
    <w:multiLevelType w:val="hybridMultilevel"/>
    <w:lvl w:ilvl="0">
      <w:lvlJc w:val="left"/>
      <w:lvlText w:val="(%1)"/>
      <w:numFmt w:val="lowerLetter"/>
      <w:start w:val="1"/>
    </w:lvl>
    <w:lvl w:ilvl="1">
      <w:lvlJc w:val="left"/>
      <w:lvlText w:val="(%2)"/>
      <w:numFmt w:val="lowerRoman"/>
      <w:start w:val="1"/>
    </w:lvl>
  </w:abstractNum>
  <w:abstractNum w:abstractNumId="71">
    <w:nsid w:val="15BCABA8"/>
    <w:multiLevelType w:val="hybridMultilevel"/>
    <w:lvl w:ilvl="0">
      <w:lvlJc w:val="left"/>
      <w:lvlText w:val="(%1)"/>
      <w:numFmt w:val="lowerLetter"/>
      <w:start w:val="4"/>
    </w:lvl>
    <w:lvl w:ilvl="1">
      <w:lvlJc w:val="left"/>
      <w:lvlText w:val="(%2)"/>
      <w:numFmt w:val="lowerRoman"/>
      <w:start w:val="1"/>
    </w:lvl>
  </w:abstractNum>
  <w:abstractNum w:abstractNumId="72">
    <w:nsid w:val="4E0B9A87"/>
    <w:multiLevelType w:val="hybridMultilevel"/>
    <w:lvl w:ilvl="0">
      <w:lvlJc w:val="left"/>
      <w:lvlText w:val="(%1)"/>
      <w:numFmt w:val="lowerLetter"/>
      <w:start w:val="8"/>
    </w:lvl>
  </w:abstractNum>
  <w:abstractNum w:abstractNumId="73">
    <w:nsid w:val="434BAE75"/>
    <w:multiLevelType w:val="hybridMultilevel"/>
    <w:lvl w:ilvl="0">
      <w:lvlJc w:val="left"/>
      <w:lvlText w:val="(%1)"/>
      <w:numFmt w:val="lowerLetter"/>
      <w:start w:val="1"/>
    </w:lvl>
  </w:abstractNum>
  <w:abstractNum w:abstractNumId="74">
    <w:nsid w:val="4F38F265"/>
    <w:multiLevelType w:val="hybridMultilevel"/>
    <w:lvl w:ilvl="0">
      <w:lvlJc w:val="left"/>
      <w:lvlText w:val="(%1)"/>
      <w:numFmt w:val="lowerRoman"/>
      <w:start w:val="1"/>
    </w:lvl>
  </w:abstractNum>
  <w:abstractNum w:abstractNumId="75">
    <w:nsid w:val="4C502870"/>
    <w:multiLevelType w:val="hybridMultilevel"/>
    <w:lvl w:ilvl="0">
      <w:lvlJc w:val="left"/>
      <w:lvlText w:val="(%1)"/>
      <w:numFmt w:val="lowerLetter"/>
      <w:start w:val="1"/>
    </w:lvl>
    <w:lvl w:ilvl="1">
      <w:lvlJc w:val="left"/>
      <w:lvlText w:val="(%2)"/>
      <w:numFmt w:val="lowerRoman"/>
      <w:start w:val="1"/>
    </w:lvl>
  </w:abstractNum>
  <w:abstractNum w:abstractNumId="76">
    <w:nsid w:val="1DE8725A"/>
    <w:multiLevelType w:val="hybridMultilevel"/>
    <w:lvl w:ilvl="0">
      <w:lvlJc w:val="left"/>
      <w:lvlText w:val="(%1)"/>
      <w:numFmt w:val="lowerLetter"/>
      <w:start w:val="2"/>
    </w:lvl>
  </w:abstractNum>
  <w:abstractNum w:abstractNumId="77">
    <w:nsid w:val="6A37288A"/>
    <w:multiLevelType w:val="hybridMultilevel"/>
    <w:lvl w:ilvl="0">
      <w:lvlJc w:val="left"/>
      <w:lvlText w:val="(%1)"/>
      <w:numFmt w:val="lowerLetter"/>
      <w:start w:val="1"/>
    </w:lvl>
  </w:abstractNum>
  <w:abstractNum w:abstractNumId="78">
    <w:nsid w:val="8F8B73F"/>
    <w:multiLevelType w:val="hybridMultilevel"/>
    <w:lvl w:ilvl="0">
      <w:lvlJc w:val="left"/>
      <w:lvlText w:val="(%1)"/>
      <w:numFmt w:val="lowerLetter"/>
      <w:start w:val="1"/>
    </w:lvl>
  </w:abstractNum>
  <w:abstractNum w:abstractNumId="79">
    <w:nsid w:val="CA6B462"/>
    <w:multiLevelType w:val="hybridMultilevel"/>
    <w:lvl w:ilvl="0">
      <w:lvlJc w:val="left"/>
      <w:lvlText w:val="(%1)"/>
      <w:numFmt w:val="lowerLetter"/>
      <w:start w:val="2"/>
    </w:lvl>
  </w:abstractNum>
  <w:abstractNum w:abstractNumId="80">
    <w:nsid w:val="763CB680"/>
    <w:multiLevelType w:val="hybridMultilevel"/>
    <w:lvl w:ilvl="0">
      <w:lvlJc w:val="left"/>
      <w:lvlText w:val="(%1)"/>
      <w:numFmt w:val="lowerLetter"/>
      <w:start w:val="1"/>
    </w:lvl>
  </w:abstractNum>
  <w:abstractNum w:abstractNumId="81">
    <w:nsid w:val="15B71329"/>
    <w:multiLevelType w:val="hybridMultilevel"/>
    <w:lvl w:ilvl="0">
      <w:lvlJc w:val="left"/>
      <w:lvlText w:val="(%1)"/>
      <w:numFmt w:val="lowerLetter"/>
      <w:start w:val="1"/>
    </w:lvl>
  </w:abstractNum>
  <w:abstractNum w:abstractNumId="82">
    <w:nsid w:val="3DA97044"/>
    <w:multiLevelType w:val="hybridMultilevel"/>
    <w:lvl w:ilvl="0">
      <w:lvlJc w:val="left"/>
      <w:lvlText w:val="(%1)"/>
      <w:numFmt w:val="lowerLetter"/>
      <w:start w:val="1"/>
    </w:lvl>
  </w:abstractNum>
  <w:abstractNum w:abstractNumId="83">
    <w:nsid w:val="1CDCE2DE"/>
    <w:multiLevelType w:val="hybridMultilevel"/>
    <w:lvl w:ilvl="0">
      <w:lvlJc w:val="left"/>
      <w:lvlText w:val="(%1)"/>
      <w:numFmt w:val="lowerLetter"/>
      <w:start w:val="1"/>
    </w:lvl>
    <w:lvl w:ilvl="1">
      <w:lvlJc w:val="left"/>
      <w:lvlText w:val="(%2)"/>
      <w:numFmt w:val="lowerRoman"/>
      <w:start w:val="1"/>
    </w:lvl>
  </w:abstractNum>
  <w:abstractNum w:abstractNumId="84">
    <w:nsid w:val="69D3947C"/>
    <w:multiLevelType w:val="hybridMultilevel"/>
    <w:lvl w:ilvl="0">
      <w:lvlJc w:val="left"/>
      <w:lvlText w:val="(%1)"/>
      <w:numFmt w:val="lowerLetter"/>
      <w:start w:val="1"/>
    </w:lvl>
    <w:lvl w:ilvl="1">
      <w:lvlJc w:val="left"/>
      <w:lvlText w:val="(%2)"/>
      <w:numFmt w:val="lowerRoman"/>
      <w:start w:val="1"/>
    </w:lvl>
  </w:abstractNum>
  <w:abstractNum w:abstractNumId="85">
    <w:nsid w:val="2539DFA5"/>
    <w:multiLevelType w:val="hybridMultilevel"/>
    <w:lvl w:ilvl="0">
      <w:lvlJc w:val="left"/>
      <w:lvlText w:val="(%1)"/>
      <w:numFmt w:val="lowerLetter"/>
      <w:start w:val="2"/>
    </w:lvl>
  </w:abstractNum>
  <w:abstractNum w:abstractNumId="86">
    <w:nsid w:val="2DB88089"/>
    <w:multiLevelType w:val="hybridMultilevel"/>
    <w:lvl w:ilvl="0">
      <w:lvlJc w:val="left"/>
      <w:lvlText w:val="(%1)"/>
      <w:numFmt w:val="lowerLetter"/>
      <w:start w:val="1"/>
    </w:lvl>
  </w:abstractNum>
  <w:abstractNum w:abstractNumId="87">
    <w:nsid w:val="706B674E"/>
    <w:multiLevelType w:val="hybridMultilevel"/>
    <w:lvl w:ilvl="0">
      <w:lvlJc w:val="left"/>
      <w:lvlText w:val="(%1)"/>
      <w:numFmt w:val="lowerLetter"/>
      <w:start w:val="1"/>
    </w:lvl>
  </w:abstractNum>
  <w:abstractNum w:abstractNumId="88">
    <w:nsid w:val="2C106A57"/>
    <w:multiLevelType w:val="hybridMultilevel"/>
    <w:lvl w:ilvl="0">
      <w:lvlJc w:val="left"/>
      <w:lvlText w:val="%1."/>
      <w:numFmt w:val="decimal"/>
      <w:start w:val="2"/>
    </w:lvl>
  </w:abstractNum>
  <w:abstractNum w:abstractNumId="89">
    <w:nsid w:val="684EED59"/>
    <w:multiLevelType w:val="hybridMultilevel"/>
    <w:lvl w:ilvl="0">
      <w:lvlJc w:val="left"/>
      <w:lvlText w:val="%1."/>
      <w:numFmt w:val="decimal"/>
      <w:start w:val="3"/>
    </w:lvl>
  </w:abstractNum>
  <w:abstractNum w:abstractNumId="90">
    <w:nsid w:val="545EE5D3"/>
    <w:multiLevelType w:val="hybridMultilevel"/>
    <w:lvl w:ilvl="0">
      <w:lvlJc w:val="left"/>
      <w:lvlText w:val="%1."/>
      <w:numFmt w:val="decimal"/>
      <w:start w:val="4"/>
    </w:lvl>
  </w:abstractNum>
  <w:abstractNum w:abstractNumId="91">
    <w:nsid w:val="4A66051"/>
    <w:multiLevelType w:val="hybridMultilevel"/>
    <w:lvl w:ilvl="0">
      <w:lvlJc w:val="left"/>
      <w:lvlText w:val="(%1)"/>
      <w:numFmt w:val="lowerLetter"/>
      <w:start w:val="1"/>
    </w:lvl>
  </w:abstractNum>
  <w:abstractNum w:abstractNumId="92">
    <w:nsid w:val="20F4BDAD"/>
    <w:multiLevelType w:val="hybridMultilevel"/>
    <w:lvl w:ilvl="0">
      <w:lvlJc w:val="left"/>
      <w:lvlText w:val="%1."/>
      <w:numFmt w:val="decimal"/>
      <w:start w:val="5"/>
    </w:lvl>
  </w:abstractNum>
  <w:abstractNum w:abstractNumId="93">
    <w:nsid w:val="639DEFAC"/>
    <w:multiLevelType w:val="hybridMultilevel"/>
    <w:lvl w:ilvl="0">
      <w:lvlJc w:val="left"/>
      <w:lvlText w:val="(%1)"/>
      <w:numFmt w:val="lowerLetter"/>
      <w:start w:val="1"/>
    </w:lvl>
    <w:lvl w:ilvl="1">
      <w:lvlJc w:val="left"/>
      <w:lvlText w:val="(%2)"/>
      <w:numFmt w:val="lowerRoman"/>
      <w:start w:val="1"/>
    </w:lvl>
  </w:abstractNum>
  <w:abstractNum w:abstractNumId="94">
    <w:nsid w:val="501F9786"/>
    <w:multiLevelType w:val="hybridMultilevel"/>
    <w:lvl w:ilvl="0">
      <w:lvlJc w:val="left"/>
      <w:lvlText w:val="%1."/>
      <w:numFmt w:val="decimal"/>
      <w:start w:val="6"/>
    </w:lvl>
  </w:abstractNum>
  <w:abstractNum w:abstractNumId="95">
    <w:nsid w:val="6B057295"/>
    <w:multiLevelType w:val="hybridMultilevel"/>
    <w:lvl w:ilvl="0">
      <w:lvlJc w:val="left"/>
      <w:lvlText w:val="(%1)"/>
      <w:numFmt w:val="lowerLetter"/>
      <w:start w:val="1"/>
    </w:lvl>
    <w:lvl w:ilvl="1">
      <w:lvlJc w:val="left"/>
      <w:lvlText w:val="(%2)"/>
      <w:numFmt w:val="lowerRoman"/>
      <w:start w:val="1"/>
    </w:lvl>
  </w:abstractNum>
  <w:abstractNum w:abstractNumId="96">
    <w:nsid w:val="2771AC80"/>
    <w:multiLevelType w:val="hybridMultilevel"/>
    <w:lvl w:ilvl="0">
      <w:lvlJc w:val="left"/>
      <w:lvlText w:val="(%1)"/>
      <w:numFmt w:val="upperLetter"/>
      <w:start w:val="1"/>
    </w:lvl>
    <w:lvl w:ilvl="1">
      <w:lvlJc w:val="left"/>
      <w:lvlText w:val="(%2)"/>
      <w:numFmt w:val="decimal"/>
      <w:start w:val="1"/>
    </w:lvl>
  </w:abstractNum>
  <w:abstractNum w:abstractNumId="97">
    <w:nsid w:val="1C4A08EC"/>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98">
    <w:nsid w:val="1958BD17"/>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99">
    <w:nsid w:val="4E647FE4"/>
    <w:multiLevelType w:val="hybridMultilevel"/>
    <w:lvl w:ilvl="0">
      <w:lvlJc w:val="left"/>
      <w:lvlText w:val="(%1)"/>
      <w:numFmt w:val="lowerLetter"/>
      <w:start w:val="1"/>
    </w:lvl>
  </w:abstractNum>
  <w:abstractNum w:abstractNumId="100">
    <w:nsid w:val="E0BB885"/>
    <w:multiLevelType w:val="hybridMultilevel"/>
    <w:lvl w:ilvl="0">
      <w:lvlJc w:val="left"/>
      <w:lvlText w:val="(%1)"/>
      <w:numFmt w:val="lowerLetter"/>
      <w:start w:val="1"/>
    </w:lvl>
    <w:lvl w:ilvl="1">
      <w:lvlJc w:val="left"/>
      <w:lvlText w:val="(%2)"/>
      <w:numFmt w:val="lowerRoman"/>
      <w:start w:val="1"/>
    </w:lvl>
  </w:abstractNum>
  <w:abstractNum w:abstractNumId="101">
    <w:nsid w:val="565976F1"/>
    <w:multiLevelType w:val="hybridMultilevel"/>
    <w:lvl w:ilvl="0">
      <w:lvlJc w:val="left"/>
      <w:lvlText w:val="(%1)"/>
      <w:numFmt w:val="lowerLetter"/>
      <w:start w:val="1"/>
    </w:lvl>
  </w:abstractNum>
  <w:abstractNum w:abstractNumId="102">
    <w:nsid w:val="64212B8C"/>
    <w:multiLevelType w:val="hybridMultilevel"/>
    <w:lvl w:ilvl="0">
      <w:lvlJc w:val="left"/>
      <w:lvlText w:val="(%1)"/>
      <w:numFmt w:val="lowerLetter"/>
      <w:start w:val="1"/>
    </w:lvl>
    <w:lvl w:ilvl="1">
      <w:lvlJc w:val="left"/>
      <w:lvlText w:val="(%2)"/>
      <w:numFmt w:val="lowerRoman"/>
      <w:start w:val="1"/>
    </w:lvl>
  </w:abstractNum>
  <w:abstractNum w:abstractNumId="103">
    <w:nsid w:val="5C17530C"/>
    <w:multiLevelType w:val="hybridMultilevel"/>
    <w:lvl w:ilvl="0">
      <w:lvlJc w:val="left"/>
      <w:lvlText w:val="(%1)"/>
      <w:numFmt w:val="lowerLetter"/>
      <w:start w:val="2"/>
    </w:lvl>
    <w:lvl w:ilvl="1">
      <w:lvlJc w:val="left"/>
      <w:lvlText w:val="(%2)"/>
      <w:numFmt w:val="lowerRoman"/>
      <w:start w:val="1"/>
    </w:lvl>
  </w:abstractNum>
  <w:abstractNum w:abstractNumId="104">
    <w:nsid w:val="19A52566"/>
    <w:multiLevelType w:val="hybridMultilevel"/>
    <w:lvl w:ilvl="0">
      <w:lvlJc w:val="left"/>
      <w:lvlText w:val="(%1)"/>
      <w:numFmt w:val="lowerLetter"/>
      <w:start w:val="5"/>
    </w:lvl>
  </w:abstractNum>
  <w:abstractNum w:abstractNumId="105">
    <w:nsid w:val="335A1DF1"/>
    <w:multiLevelType w:val="hybridMultilevel"/>
    <w:lvl w:ilvl="0">
      <w:lvlJc w:val="left"/>
      <w:lvlText w:val="(%1)"/>
      <w:numFmt w:val="lowerRoman"/>
      <w:start w:val="1"/>
    </w:lvl>
  </w:abstractNum>
  <w:abstractNum w:abstractNumId="106">
    <w:nsid w:val="28677B7C"/>
    <w:multiLevelType w:val="hybridMultilevel"/>
    <w:lvl w:ilvl="0">
      <w:lvlJc w:val="left"/>
      <w:lvlText w:val="(%1)"/>
      <w:numFmt w:val="lowerLetter"/>
      <w:start w:val="6"/>
    </w:lvl>
  </w:abstractNum>
  <w:abstractNum w:abstractNumId="107">
    <w:nsid w:val="378D97C0"/>
    <w:multiLevelType w:val="hybridMultilevel"/>
    <w:lvl w:ilvl="0">
      <w:lvlJc w:val="left"/>
      <w:lvlText w:val="(%1)"/>
      <w:numFmt w:val="lowerLetter"/>
      <w:start w:val="1"/>
    </w:lvl>
  </w:abstractNum>
  <w:abstractNum w:abstractNumId="108">
    <w:nsid w:val="1D91467C"/>
    <w:multiLevelType w:val="hybridMultilevel"/>
    <w:lvl w:ilvl="0">
      <w:lvlJc w:val="left"/>
      <w:lvlText w:val="%1."/>
      <w:numFmt w:val="decimal"/>
      <w:start w:val="8"/>
    </w:lvl>
  </w:abstractNum>
  <w:abstractNum w:abstractNumId="109">
    <w:nsid w:val="316032BB"/>
    <w:multiLevelType w:val="hybridMultilevel"/>
    <w:lvl w:ilvl="0">
      <w:lvlJc w:val="left"/>
      <w:lvlText w:val="(%1)"/>
      <w:numFmt w:val="lowerLetter"/>
      <w:start w:val="1"/>
    </w:lvl>
  </w:abstractNum>
  <w:abstractNum w:abstractNumId="110">
    <w:nsid w:val="44344C22"/>
    <w:multiLevelType w:val="hybridMultilevel"/>
    <w:lvl w:ilvl="0">
      <w:lvlJc w:val="left"/>
      <w:lvlText w:val="(%1)"/>
      <w:numFmt w:val="lowerLetter"/>
      <w:start w:val="1"/>
    </w:lvl>
  </w:abstractNum>
  <w:abstractNum w:abstractNumId="111">
    <w:nsid w:val="13CDFCFC"/>
    <w:multiLevelType w:val="hybridMultilevel"/>
    <w:lvl w:ilvl="0">
      <w:lvlJc w:val="left"/>
      <w:lvlText w:val="(%1)"/>
      <w:numFmt w:val="lowerLetter"/>
      <w:start w:val="2"/>
    </w:lvl>
    <w:lvl w:ilvl="1">
      <w:lvlJc w:val="left"/>
      <w:lvlText w:val="(%2)"/>
      <w:numFmt w:val="lowerRoman"/>
      <w:start w:val="1"/>
    </w:lvl>
  </w:abstractNum>
  <w:abstractNum w:abstractNumId="112">
    <w:nsid w:val="471745E4"/>
    <w:multiLevelType w:val="hybridMultilevel"/>
    <w:lvl w:ilvl="0">
      <w:lvlJc w:val="left"/>
      <w:lvlText w:val="(%1)"/>
      <w:numFmt w:val="lowerLetter"/>
      <w:start w:val="1"/>
    </w:lvl>
  </w:abstractNum>
  <w:abstractNum w:abstractNumId="113">
    <w:nsid w:val="1DDBC66"/>
    <w:multiLevelType w:val="hybridMultilevel"/>
    <w:lvl w:ilvl="0">
      <w:lvlJc w:val="left"/>
      <w:lvlText w:val="(%1)"/>
      <w:numFmt w:val="lowerRoman"/>
      <w:start w:val="1"/>
    </w:lvl>
  </w:abstractNum>
  <w:abstractNum w:abstractNumId="114">
    <w:nsid w:val="30AADFDA"/>
    <w:multiLevelType w:val="hybridMultilevel"/>
    <w:lvl w:ilvl="0">
      <w:lvlJc w:val="left"/>
      <w:lvlText w:val="%1."/>
      <w:numFmt w:val="decimal"/>
      <w:start w:val="9"/>
    </w:lvl>
  </w:abstractNum>
  <w:abstractNum w:abstractNumId="115">
    <w:nsid w:val="30EADA61"/>
    <w:multiLevelType w:val="hybridMultilevel"/>
    <w:lvl w:ilvl="0">
      <w:lvlJc w:val="left"/>
      <w:lvlText w:val="(%1)"/>
      <w:numFmt w:val="lowerLetter"/>
      <w:start w:val="1"/>
    </w:lvl>
  </w:abstractNum>
  <w:abstractNum w:abstractNumId="116">
    <w:nsid w:val="27179C0B"/>
    <w:multiLevelType w:val="hybridMultilevel"/>
    <w:lvl w:ilvl="0">
      <w:lvlJc w:val="left"/>
      <w:lvlText w:val="(%1)"/>
      <w:numFmt w:val="lowerLetter"/>
      <w:start w:val="2"/>
    </w:lvl>
  </w:abstractNum>
  <w:abstractNum w:abstractNumId="117">
    <w:nsid w:val="5E636063"/>
    <w:multiLevelType w:val="hybridMultilevel"/>
    <w:lvl w:ilvl="0">
      <w:lvlJc w:val="left"/>
      <w:lvlText w:val="%1."/>
      <w:numFmt w:val="decimal"/>
      <w:start w:val="10"/>
    </w:lvl>
  </w:abstractNum>
  <w:abstractNum w:abstractNumId="118">
    <w:nsid w:val="215641AF"/>
    <w:multiLevelType w:val="hybridMultilevel"/>
    <w:lvl w:ilvl="0">
      <w:lvlJc w:val="left"/>
      <w:lvlText w:val="(%1)"/>
      <w:numFmt w:val="lowerLetter"/>
      <w:start w:val="1"/>
    </w:lvl>
    <w:lvl w:ilvl="1">
      <w:lvlJc w:val="left"/>
      <w:lvlText w:val="(%2)"/>
      <w:numFmt w:val="lowerRoman"/>
      <w:start w:val="1"/>
    </w:lvl>
  </w:abstractNum>
  <w:abstractNum w:abstractNumId="119">
    <w:nsid w:val="53280662"/>
    <w:multiLevelType w:val="hybridMultilevel"/>
    <w:lvl w:ilvl="0">
      <w:lvlJc w:val="left"/>
      <w:lvlText w:val="(%1)"/>
      <w:numFmt w:val="lowerLetter"/>
      <w:start w:val="3"/>
    </w:lvl>
    <w:lvl w:ilvl="1">
      <w:lvlJc w:val="left"/>
      <w:lvlText w:val="(%2)"/>
      <w:numFmt w:val="lowerRoman"/>
      <w:start w:val="1"/>
    </w:lvl>
  </w:abstractNum>
  <w:abstractNum w:abstractNumId="120">
    <w:nsid w:val="46B24DBC"/>
    <w:multiLevelType w:val="hybridMultilevel"/>
    <w:lvl w:ilvl="0">
      <w:lvlJc w:val="left"/>
      <w:lvlText w:val="(%1)"/>
      <w:numFmt w:val="lowerLetter"/>
      <w:start w:val="4"/>
    </w:lvl>
  </w:abstractNum>
  <w:abstractNum w:abstractNumId="121">
    <w:nsid w:val="75B52783"/>
    <w:multiLevelType w:val="hybridMultilevel"/>
    <w:lvl w:ilvl="0">
      <w:lvlJc w:val="left"/>
      <w:lvlText w:val="(%1)"/>
      <w:numFmt w:val="lowerLetter"/>
      <w:start w:val="5"/>
    </w:lvl>
  </w:abstractNum>
  <w:abstractNum w:abstractNumId="122">
    <w:nsid w:val="57CE66B4"/>
    <w:multiLevelType w:val="hybridMultilevel"/>
    <w:lvl w:ilvl="0">
      <w:lvlJc w:val="left"/>
      <w:lvlText w:val="(%1)"/>
      <w:numFmt w:val="lowerLetter"/>
      <w:start w:val="1"/>
    </w:lvl>
    <w:lvl w:ilvl="1">
      <w:lvlJc w:val="left"/>
      <w:lvlText w:val="(%2)"/>
      <w:numFmt w:val="lowerRoman"/>
      <w:start w:val="1"/>
    </w:lvl>
  </w:abstractNum>
  <w:abstractNum w:abstractNumId="123">
    <w:nsid w:val="67A70B69"/>
    <w:multiLevelType w:val="hybridMultilevel"/>
    <w:lvl w:ilvl="0">
      <w:lvlJc w:val="left"/>
      <w:lvlText w:val="(%1)"/>
      <w:numFmt w:val="lowerLetter"/>
      <w:start w:val="1"/>
    </w:lvl>
  </w:abstractNum>
  <w:abstractNum w:abstractNumId="124">
    <w:nsid w:val="5953172F"/>
    <w:multiLevelType w:val="hybridMultilevel"/>
    <w:lvl w:ilvl="0">
      <w:lvlJc w:val="left"/>
      <w:lvlText w:val="%1."/>
      <w:numFmt w:val="decimal"/>
      <w:start w:val="11"/>
    </w:lvl>
  </w:abstractNum>
  <w:abstractNum w:abstractNumId="125">
    <w:nsid w:val="27EDFE3A"/>
    <w:multiLevelType w:val="hybridMultilevel"/>
    <w:lvl w:ilvl="0">
      <w:lvlJc w:val="left"/>
      <w:lvlText w:val="(%1)"/>
      <w:numFmt w:val="lowerLetter"/>
      <w:start w:val="1"/>
    </w:lvl>
  </w:abstractNum>
  <w:abstractNum w:abstractNumId="126">
    <w:nsid w:val="52AC7DFF"/>
    <w:multiLevelType w:val="hybridMultilevel"/>
    <w:lvl w:ilvl="0">
      <w:lvlJc w:val="left"/>
      <w:lvlText w:val="%1."/>
      <w:numFmt w:val="decimal"/>
      <w:start w:val="12"/>
    </w:lvl>
  </w:abstractNum>
  <w:abstractNum w:abstractNumId="127">
    <w:nsid w:val="C4C3AF"/>
    <w:multiLevelType w:val="hybridMultilevel"/>
    <w:lvl w:ilvl="0">
      <w:lvlJc w:val="left"/>
      <w:lvlText w:val="(%1)"/>
      <w:numFmt w:val="lowerLetter"/>
      <w:start w:val="1"/>
    </w:lvl>
    <w:lvl w:ilvl="1">
      <w:lvlJc w:val="left"/>
      <w:lvlText w:val="(%2)"/>
      <w:numFmt w:val="lowerRoman"/>
      <w:start w:val="1"/>
    </w:lvl>
  </w:abstractNum>
  <w:abstractNum w:abstractNumId="128">
    <w:nsid w:val="44380727"/>
    <w:multiLevelType w:val="hybridMultilevel"/>
    <w:lvl w:ilvl="0">
      <w:lvlJc w:val="left"/>
      <w:lvlText w:val="(%1)"/>
      <w:numFmt w:val="lowerRoman"/>
      <w:start w:val="2"/>
    </w:lvl>
  </w:abstractNum>
  <w:abstractNum w:abstractNumId="129">
    <w:nsid w:val="6C053B16"/>
    <w:multiLevelType w:val="hybridMultilevel"/>
    <w:lvl w:ilvl="0">
      <w:lvlJc w:val="left"/>
      <w:lvlText w:val="(%1)"/>
      <w:numFmt w:val="lowerLetter"/>
      <w:start w:val="1"/>
    </w:lvl>
  </w:abstractNum>
  <w:abstractNum w:abstractNumId="130">
    <w:nsid w:val="4F294393"/>
    <w:multiLevelType w:val="hybridMultilevel"/>
    <w:lvl w:ilvl="0">
      <w:lvlJc w:val="left"/>
      <w:lvlText w:val="(%1)"/>
      <w:numFmt w:val="lowerLetter"/>
      <w:start w:val="1"/>
    </w:lvl>
    <w:lvl w:ilvl="1">
      <w:lvlJc w:val="left"/>
      <w:lvlText w:val="(%2)"/>
      <w:numFmt w:val="lowerRoman"/>
      <w:start w:val="1"/>
    </w:lvl>
  </w:abstractNum>
  <w:abstractNum w:abstractNumId="131">
    <w:nsid w:val="5243BFAC"/>
    <w:multiLevelType w:val="hybridMultilevel"/>
    <w:lvl w:ilvl="0">
      <w:lvlJc w:val="left"/>
      <w:lvlText w:val="(%1)"/>
      <w:numFmt w:val="lowerLetter"/>
      <w:start w:val="3"/>
    </w:lvl>
  </w:abstractNum>
  <w:abstractNum w:abstractNumId="132">
    <w:nsid w:val="425EB20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3">
    <w:nsid w:val="334A6F1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34">
    <w:nsid w:val="2E5B12B8"/>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35">
    <w:nsid w:val="5C03D76D"/>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36">
    <w:nsid w:val="66A48D11"/>
    <w:multiLevelType w:val="hybridMultilevel"/>
    <w:lvl w:ilvl="0">
      <w:lvlJc w:val="left"/>
      <w:lvlText w:val="(%1)"/>
      <w:numFmt w:val="lowerLetter"/>
      <w:start w:val="1"/>
    </w:lvl>
  </w:abstractNum>
  <w:abstractNum w:abstractNumId="137">
    <w:nsid w:val="56C28E34"/>
    <w:multiLevelType w:val="hybridMultilevel"/>
    <w:lvl w:ilvl="0">
      <w:lvlJc w:val="left"/>
      <w:lvlText w:val="(%1)"/>
      <w:numFmt w:val="lowerLetter"/>
      <w:start w:val="1"/>
    </w:lvl>
    <w:lvl w:ilvl="1">
      <w:lvlJc w:val="left"/>
      <w:lvlText w:val="(%2)"/>
      <w:numFmt w:val="lowerRoman"/>
      <w:start w:val="1"/>
    </w:lvl>
  </w:abstractNum>
  <w:abstractNum w:abstractNumId="138">
    <w:nsid w:val="13916F2D"/>
    <w:multiLevelType w:val="hybridMultilevel"/>
    <w:lvl w:ilvl="0">
      <w:lvlJc w:val="left"/>
      <w:lvlText w:val="(%1)"/>
      <w:numFmt w:val="lowerRoman"/>
      <w:start w:val="2"/>
    </w:lvl>
    <w:lvl w:ilvl="1">
      <w:lvlJc w:val="left"/>
      <w:lvlText w:val="(%2)"/>
      <w:numFmt w:val="upperLetter"/>
      <w:start w:val="1"/>
    </w:lvl>
  </w:abstractNum>
  <w:abstractNum w:abstractNumId="139">
    <w:nsid w:val="435D38D"/>
    <w:multiLevelType w:val="hybridMultilevel"/>
    <w:lvl w:ilvl="0">
      <w:lvlJc w:val="left"/>
      <w:lvlText w:val="%1"/>
      <w:numFmt w:val="lowerLetter"/>
      <w:start w:val="1"/>
    </w:lvl>
    <w:lvl w:ilvl="1">
      <w:lvlJc w:val="left"/>
      <w:lvlText w:val="(%2)"/>
      <w:numFmt w:val="lowerRoman"/>
      <w:start w:val="1"/>
    </w:lvl>
  </w:abstractNum>
  <w:abstractNum w:abstractNumId="140">
    <w:nsid w:val="822C0EF"/>
    <w:multiLevelType w:val="hybridMultilevel"/>
    <w:lvl w:ilvl="0">
      <w:lvlJc w:val="left"/>
      <w:lvlText w:val="(%1)"/>
      <w:numFmt w:val="lowerLetter"/>
      <w:start w:val="6"/>
    </w:lvl>
    <w:lvl w:ilvl="1">
      <w:lvlJc w:val="left"/>
      <w:lvlText w:val="(%2)"/>
      <w:numFmt w:val="lowerRoman"/>
      <w:start w:val="2"/>
    </w:lvl>
  </w:abstractNum>
  <w:abstractNum w:abstractNumId="141">
    <w:nsid w:val="57C5BB4F"/>
    <w:multiLevelType w:val="hybridMultilevel"/>
    <w:lvl w:ilvl="0">
      <w:lvlJc w:val="left"/>
      <w:lvlText w:val="(%1)"/>
      <w:numFmt w:val="lowerRoman"/>
      <w:start w:val="1"/>
    </w:lvl>
  </w:abstractNum>
  <w:abstractNum w:abstractNumId="142">
    <w:nsid w:val="1803D089"/>
    <w:multiLevelType w:val="hybridMultilevel"/>
    <w:lvl w:ilvl="0">
      <w:lvlJc w:val="left"/>
      <w:lvlText w:val="(%1)"/>
      <w:numFmt w:val="upperLetter"/>
      <w:start w:val="1"/>
    </w:lvl>
  </w:abstractNum>
  <w:abstractNum w:abstractNumId="143">
    <w:nsid w:val="4F3A06D4"/>
    <w:multiLevelType w:val="hybridMultilevel"/>
    <w:lvl w:ilvl="0">
      <w:lvlJc w:val="left"/>
      <w:lvlText w:val="(%1)"/>
      <w:numFmt w:val="lowerLetter"/>
      <w:start w:val="7"/>
    </w:lvl>
    <w:lvl w:ilvl="1">
      <w:lvlJc w:val="left"/>
      <w:lvlText w:val="(%2)"/>
      <w:numFmt w:val="lowerRoman"/>
      <w:start w:val="2"/>
    </w:lvl>
  </w:abstractNum>
  <w:abstractNum w:abstractNumId="144">
    <w:nsid w:val="59A377B6"/>
    <w:multiLevelType w:val="hybridMultilevel"/>
    <w:lvl w:ilvl="0">
      <w:lvlJc w:val="left"/>
      <w:lvlText w:val="%1"/>
      <w:numFmt w:val="lowerLetter"/>
      <w:start w:val="1"/>
    </w:lvl>
    <w:lvl w:ilvl="1">
      <w:lvlJc w:val="left"/>
      <w:lvlText w:val="(%2)"/>
      <w:numFmt w:val="lowerRoman"/>
      <w:start w:val="1"/>
    </w:lvl>
  </w:abstractNum>
  <w:abstractNum w:abstractNumId="145">
    <w:nsid w:val="48AEB063"/>
    <w:multiLevelType w:val="hybridMultilevel"/>
    <w:lvl w:ilvl="0">
      <w:lvlJc w:val="left"/>
      <w:lvlText w:val="(%1)"/>
      <w:numFmt w:val="lowerLetter"/>
      <w:start w:val="11"/>
    </w:lvl>
    <w:lvl w:ilvl="1">
      <w:lvlJc w:val="left"/>
      <w:lvlText w:val="%2"/>
      <w:numFmt w:val="lowerRoman"/>
      <w:start w:val="1"/>
    </w:lvl>
  </w:abstractNum>
  <w:abstractNum w:abstractNumId="146">
    <w:nsid w:val="24E135"/>
    <w:multiLevelType w:val="hybridMultilevel"/>
    <w:lvl w:ilvl="0">
      <w:lvlJc w:val="left"/>
      <w:lvlText w:val="(%1)"/>
      <w:numFmt w:val="lowerLetter"/>
      <w:start w:val="13"/>
    </w:lvl>
  </w:abstractNum>
  <w:abstractNum w:abstractNumId="147">
    <w:nsid w:val="BB13C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8">
    <w:nsid w:val="271210C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49">
    <w:nsid w:val="217B22E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0">
    <w:nsid w:val="53E31A24"/>
    <w:multiLevelType w:val="hybridMultilevel"/>
    <w:lvl w:ilvl="0">
      <w:lvlJc w:val="left"/>
      <w:lvlText w:val="(%1)"/>
      <w:numFmt w:val="lowerLetter"/>
      <w:start w:val="1"/>
    </w:lvl>
  </w:abstractNum>
  <w:abstractNum w:abstractNumId="151">
    <w:nsid w:val="6DC45E83"/>
    <w:multiLevelType w:val="hybridMultilevel"/>
    <w:lvl w:ilvl="0">
      <w:lvlJc w:val="left"/>
      <w:lvlText w:val="(%1)"/>
      <w:numFmt w:val="lowerLetter"/>
      <w:start w:val="1"/>
    </w:lvl>
  </w:abstractNum>
  <w:abstractNum w:abstractNumId="152">
    <w:nsid w:val="17304A67"/>
    <w:multiLevelType w:val="hybridMultilevel"/>
    <w:lvl w:ilvl="0">
      <w:lvlJc w:val="left"/>
      <w:lvlText w:val="(%1)"/>
      <w:numFmt w:val="lowerLetter"/>
      <w:start w:val="1"/>
    </w:lvl>
  </w:abstractNum>
  <w:abstractNum w:abstractNumId="153">
    <w:nsid w:val="2BB180D8"/>
    <w:multiLevelType w:val="hybridMultilevel"/>
    <w:lvl w:ilvl="0">
      <w:lvlJc w:val="left"/>
      <w:lvlText w:val="(%1)"/>
      <w:numFmt w:val="lowerLetter"/>
      <w:start w:val="2"/>
    </w:lvl>
  </w:abstractNum>
  <w:abstractNum w:abstractNumId="154">
    <w:nsid w:val="556B69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5">
    <w:nsid w:val="70836196"/>
    <w:multiLevelType w:val="hybridMultilevel"/>
    <w:lvl w:ilvl="0">
      <w:lvlJc w:val="left"/>
      <w:lvlText w:val="%1"/>
      <w:numFmt w:val="lowerLetter"/>
      <w:start w:val="1"/>
    </w:lvl>
    <w:lvl w:ilvl="1">
      <w:lvlJc w:val="left"/>
      <w:lvlText w:val="(%2)"/>
      <w:numFmt w:val="lowerRoman"/>
      <w:start w:val="2"/>
    </w:lvl>
  </w:abstractNum>
  <w:abstractNum w:abstractNumId="156">
    <w:nsid w:val="539F7F12"/>
    <w:multiLevelType w:val="hybridMultilevel"/>
    <w:lvl w:ilvl="0">
      <w:lvlJc w:val="left"/>
      <w:lvlText w:val="(%1)"/>
      <w:numFmt w:val="lowerLetter"/>
      <w:start w:val="4"/>
    </w:lvl>
    <w:lvl w:ilvl="1">
      <w:lvlJc w:val="left"/>
      <w:lvlText w:val="(%2)"/>
      <w:numFmt w:val="lowerRoman"/>
      <w:start w:val="1"/>
    </w:lvl>
  </w:abstractNum>
  <w:abstractNum w:abstractNumId="157">
    <w:nsid w:val="2817E7EC"/>
    <w:multiLevelType w:val="hybridMultilevel"/>
    <w:lvl w:ilvl="0">
      <w:lvlJc w:val="left"/>
      <w:lvlText w:val="%1"/>
      <w:numFmt w:val="lowerLetter"/>
      <w:start w:val="1"/>
    </w:lvl>
    <w:lvl w:ilvl="1">
      <w:lvlJc w:val="left"/>
      <w:lvlText w:val="(%2)"/>
      <w:numFmt w:val="upperLetter"/>
      <w:start w:val="1"/>
    </w:lvl>
  </w:abstractNum>
  <w:abstractNum w:abstractNumId="158">
    <w:nsid w:val="71482545"/>
    <w:multiLevelType w:val="hybridMultilevel"/>
    <w:lvl w:ilvl="0">
      <w:lvlJc w:val="left"/>
      <w:lvlText w:val="(%1)"/>
      <w:numFmt w:val="lowerLetter"/>
      <w:start w:val="6"/>
    </w:lvl>
    <w:lvl w:ilvl="1">
      <w:lvlJc w:val="left"/>
      <w:lvlText w:val="%2"/>
      <w:numFmt w:val="upperLetter"/>
      <w:start w:val="1"/>
    </w:lvl>
  </w:abstractNum>
  <w:abstractNum w:abstractNumId="159">
    <w:nsid w:val="17D78639"/>
    <w:multiLevelType w:val="hybridMultilevel"/>
    <w:lvl w:ilvl="0">
      <w:lvlJc w:val="left"/>
      <w:lvlText w:val="(%1)"/>
      <w:numFmt w:val="lowerLetter"/>
      <w:start w:val="1"/>
    </w:lvl>
  </w:abstractNum>
  <w:abstractNum w:abstractNumId="160">
    <w:nsid w:val="141D2302"/>
    <w:multiLevelType w:val="hybridMultilevel"/>
    <w:lvl w:ilvl="0">
      <w:lvlJc w:val="left"/>
      <w:lvlText w:val="%1"/>
      <w:numFmt w:val="decimal"/>
      <w:start w:val="1"/>
    </w:lvl>
    <w:lvl w:ilvl="1">
      <w:lvlJc w:val="left"/>
      <w:lvlText w:val="(%2)"/>
      <w:numFmt w:val="lowerLetter"/>
      <w:start w:val="2"/>
    </w:lvl>
  </w:abstractNum>
  <w:abstractNum w:abstractNumId="161">
    <w:nsid w:val="407168D8"/>
    <w:multiLevelType w:val="hybridMultilevel"/>
    <w:lvl w:ilvl="0">
      <w:lvlJc w:val="left"/>
      <w:lvlText w:val="%1."/>
      <w:numFmt w:val="decimal"/>
      <w:start w:val="13"/>
    </w:lvl>
    <w:lvl w:ilvl="1">
      <w:lvlJc w:val="left"/>
      <w:lvlText w:val="%2"/>
      <w:numFmt w:val="lowerLetter"/>
      <w:start w:val="1"/>
    </w:lvl>
  </w:abstractNum>
  <w:abstractNum w:abstractNumId="162">
    <w:nsid w:val="6A1B45E5"/>
    <w:multiLevelType w:val="hybridMultilevel"/>
    <w:lvl w:ilvl="0">
      <w:lvlJc w:val="left"/>
      <w:lvlText w:val="(%1)"/>
      <w:numFmt w:val="lowerLetter"/>
      <w:start w:val="1"/>
    </w:lvl>
    <w:lvl w:ilvl="1">
      <w:lvlJc w:val="left"/>
      <w:lvlText w:val="(%2)"/>
      <w:numFmt w:val="lowerRoman"/>
      <w:start w:val="1"/>
    </w:lvl>
  </w:abstractNum>
  <w:abstractNum w:abstractNumId="163">
    <w:nsid w:val="567BD50A"/>
    <w:multiLevelType w:val="hybridMultilevel"/>
    <w:lvl w:ilvl="0">
      <w:lvlJc w:val="left"/>
      <w:lvlText w:val="(%1)"/>
      <w:numFmt w:val="lowerRoman"/>
      <w:start w:val="1"/>
    </w:lvl>
  </w:abstractNum>
  <w:abstractNum w:abstractNumId="164">
    <w:nsid w:val="73BBD7F8"/>
    <w:multiLevelType w:val="hybridMultilevel"/>
    <w:lvl w:ilvl="0">
      <w:lvlJc w:val="left"/>
      <w:lvlText w:val="(%1)"/>
      <w:numFmt w:val="lowerRoman"/>
      <w:start w:val="1"/>
    </w:lvl>
  </w:abstractNum>
  <w:abstractNum w:abstractNumId="165">
    <w:nsid w:val="1876589D"/>
    <w:multiLevelType w:val="hybridMultilevel"/>
    <w:lvl w:ilvl="0">
      <w:lvlJc w:val="left"/>
      <w:lvlText w:val="(%1)"/>
      <w:numFmt w:val="lowerLetter"/>
      <w:start w:val="1"/>
    </w:lvl>
  </w:abstractNum>
  <w:abstractNum w:abstractNumId="166">
    <w:nsid w:val="327FAC77"/>
    <w:multiLevelType w:val="hybridMultilevel"/>
    <w:lvl w:ilvl="0">
      <w:lvlJc w:val="left"/>
      <w:lvlText w:val="(%1)"/>
      <w:numFmt w:val="lowerLetter"/>
      <w:start w:val="1"/>
    </w:lvl>
    <w:lvl w:ilvl="1">
      <w:lvlJc w:val="left"/>
      <w:lvlText w:val="(%2)"/>
      <w:numFmt w:val="lowerRoman"/>
      <w:start w:val="1"/>
    </w:lvl>
  </w:abstractNum>
  <w:abstractNum w:abstractNumId="167">
    <w:nsid w:val="5A606509"/>
    <w:multiLevelType w:val="hybridMultilevel"/>
    <w:lvl w:ilvl="0">
      <w:lvlJc w:val="left"/>
      <w:lvlText w:val="%1."/>
      <w:numFmt w:val="decimal"/>
      <w:start w:val="14"/>
    </w:lvl>
  </w:abstractNum>
  <w:abstractNum w:abstractNumId="168">
    <w:nsid w:val="6F38E6D1"/>
    <w:multiLevelType w:val="hybridMultilevel"/>
    <w:lvl w:ilvl="0">
      <w:lvlJc w:val="left"/>
      <w:lvlText w:val="(%1)"/>
      <w:numFmt w:val="lowerLetter"/>
      <w:start w:val="1"/>
    </w:lvl>
    <w:lvl w:ilvl="1">
      <w:lvlJc w:val="left"/>
      <w:lvlText w:val="(%2)"/>
      <w:numFmt w:val="lowerRoman"/>
      <w:start w:val="1"/>
    </w:lvl>
  </w:abstractNum>
  <w:abstractNum w:abstractNumId="169">
    <w:nsid w:val="46111BA5"/>
    <w:multiLevelType w:val="hybridMultilevel"/>
    <w:lvl w:ilvl="0">
      <w:lvlJc w:val="left"/>
      <w:lvlText w:val="(%1)"/>
      <w:numFmt w:val="lowerLetter"/>
      <w:start w:val="2"/>
    </w:lvl>
  </w:abstractNum>
  <w:abstractNum w:abstractNumId="170">
    <w:nsid w:val="5E963896"/>
    <w:multiLevelType w:val="hybridMultilevel"/>
    <w:lvl w:ilvl="0">
      <w:lvlJc w:val="left"/>
      <w:lvlText w:val="(%1)"/>
      <w:numFmt w:val="lowerLetter"/>
      <w:start w:val="1"/>
    </w:lvl>
  </w:abstractNum>
  <w:abstractNum w:abstractNumId="171">
    <w:nsid w:val="775BA7C1"/>
    <w:multiLevelType w:val="hybridMultilevel"/>
    <w:lvl w:ilvl="0">
      <w:lvlJc w:val="left"/>
      <w:lvlText w:val="%1"/>
      <w:numFmt w:val="decimal"/>
      <w:start w:val="1"/>
    </w:lvl>
    <w:lvl w:ilvl="1">
      <w:lvlJc w:val="left"/>
      <w:lvlText w:val="(%2)"/>
      <w:numFmt w:val="lowerLetter"/>
      <w:start w:val="1"/>
    </w:lvl>
  </w:abstractNum>
  <w:abstractNum w:abstractNumId="172">
    <w:nsid w:val="1DD6D6F4"/>
    <w:multiLevelType w:val="hybridMultilevel"/>
    <w:lvl w:ilvl="0">
      <w:lvlJc w:val="left"/>
      <w:lvlText w:val="%1."/>
      <w:numFmt w:val="decimal"/>
      <w:start w:val="15"/>
    </w:lvl>
    <w:lvl w:ilvl="1">
      <w:lvlJc w:val="left"/>
      <w:lvlText w:val="%2"/>
      <w:numFmt w:val="lowerLetter"/>
      <w:start w:val="1"/>
    </w:lvl>
  </w:abstractNum>
  <w:abstractNum w:abstractNumId="173">
    <w:nsid w:val="769A091F"/>
    <w:multiLevelType w:val="hybridMultilevel"/>
    <w:lvl w:ilvl="0">
      <w:lvlJc w:val="left"/>
      <w:lvlText w:val="(%1)"/>
      <w:numFmt w:val="lowerLetter"/>
      <w:start w:val="1"/>
    </w:lvl>
  </w:abstractNum>
  <w:abstractNum w:abstractNumId="174">
    <w:nsid w:val="4695AE95"/>
    <w:multiLevelType w:val="hybridMultilevel"/>
    <w:lvl w:ilvl="0">
      <w:lvlJc w:val="left"/>
      <w:lvlText w:val="(%1)"/>
      <w:numFmt w:val="lowerLetter"/>
      <w:start w:val="1"/>
    </w:lvl>
  </w:abstractNum>
  <w:abstractNum w:abstractNumId="175">
    <w:nsid w:val="777A4EAA"/>
    <w:multiLevelType w:val="hybridMultilevel"/>
    <w:lvl w:ilvl="0">
      <w:lvlJc w:val="left"/>
      <w:lvlText w:val="%1."/>
      <w:numFmt w:val="decimal"/>
      <w:start w:val="16"/>
    </w:lvl>
  </w:abstractNum>
  <w:abstractNum w:abstractNumId="176">
    <w:nsid w:val="3F48B982"/>
    <w:multiLevelType w:val="hybridMultilevel"/>
    <w:lvl w:ilvl="0">
      <w:lvlJc w:val="left"/>
      <w:lvlText w:val="(%1)"/>
      <w:numFmt w:val="lowerLetter"/>
      <w:start w:val="1"/>
    </w:lvl>
  </w:abstractNum>
  <w:abstractNum w:abstractNumId="177">
    <w:nsid w:val="46BA8FCA"/>
    <w:multiLevelType w:val="hybridMultilevel"/>
    <w:lvl w:ilvl="0">
      <w:lvlJc w:val="left"/>
      <w:lvlText w:val="%1."/>
      <w:numFmt w:val="decimal"/>
      <w:start w:val="17"/>
    </w:lvl>
    <w:lvl w:ilvl="1">
      <w:lvlJc w:val="left"/>
      <w:lvlText w:val="(%2)"/>
      <w:numFmt w:val="lowerLetter"/>
      <w:start w:val="1"/>
    </w:lvl>
  </w:abstractNum>
  <w:abstractNum w:abstractNumId="178">
    <w:nsid w:val="7835626C"/>
    <w:multiLevelType w:val="hybridMultilevel"/>
    <w:lvl w:ilvl="0">
      <w:lvlJc w:val="left"/>
      <w:lvlText w:val="(%1)"/>
      <w:numFmt w:val="lowerLetter"/>
      <w:start w:val="1"/>
    </w:lvl>
  </w:abstractNum>
  <w:abstractNum w:abstractNumId="179">
    <w:nsid w:val="665ACA49"/>
    <w:multiLevelType w:val="hybridMultilevel"/>
    <w:lvl w:ilvl="0">
      <w:lvlJc w:val="left"/>
      <w:lvlText w:val="(%1)"/>
      <w:numFmt w:val="lowerLetter"/>
      <w:start w:val="2"/>
    </w:lvl>
  </w:abstractNum>
  <w:abstractNum w:abstractNumId="180">
    <w:nsid w:val="6835B2AE"/>
    <w:multiLevelType w:val="hybridMultilevel"/>
    <w:lvl w:ilvl="0">
      <w:lvlJc w:val="left"/>
      <w:lvlText w:val="(%1)"/>
      <w:numFmt w:val="lowerLetter"/>
      <w:start w:val="1"/>
    </w:lvl>
  </w:abstractNum>
  <w:abstractNum w:abstractNumId="181">
    <w:nsid w:val="4C187C90"/>
    <w:multiLevelType w:val="hybridMultilevel"/>
    <w:lvl w:ilvl="0">
      <w:lvlJc w:val="left"/>
      <w:lvlText w:val="(%1)"/>
      <w:numFmt w:val="lowerLetter"/>
      <w:start w:val="1"/>
    </w:lvl>
  </w:abstractNum>
  <w:abstractNum w:abstractNumId="182">
    <w:nsid w:val="541F28CD"/>
    <w:multiLevelType w:val="hybridMultilevel"/>
    <w:lvl w:ilvl="0">
      <w:lvlJc w:val="left"/>
      <w:lvlText w:val="(%1)"/>
      <w:numFmt w:val="lowerLetter"/>
      <w:start w:val="1"/>
    </w:lvl>
  </w:abstractNum>
  <w:abstractNum w:abstractNumId="183">
    <w:nsid w:val="7F65FD16"/>
    <w:multiLevelType w:val="hybridMultilevel"/>
    <w:lvl w:ilvl="0">
      <w:lvlJc w:val="left"/>
      <w:lvlText w:val="(%1)"/>
      <w:numFmt w:val="lowerLetter"/>
      <w:start w:val="1"/>
    </w:lvl>
  </w:abstractNum>
  <w:abstractNum w:abstractNumId="184">
    <w:nsid w:val="77C9FD68"/>
    <w:multiLevelType w:val="hybridMultilevel"/>
    <w:lvl w:ilvl="0">
      <w:lvlJc w:val="left"/>
      <w:lvlText w:val="(%1)"/>
      <w:numFmt w:val="lowerLetter"/>
      <w:start w:val="2"/>
    </w:lvl>
  </w:abstractNum>
  <w:abstractNum w:abstractNumId="185">
    <w:nsid w:val="298A92BA"/>
    <w:multiLevelType w:val="hybridMultilevel"/>
    <w:lvl w:ilvl="0">
      <w:lvlJc w:val="left"/>
      <w:lvlText w:val="(%1)"/>
      <w:numFmt w:val="lowerRoman"/>
      <w:start w:val="1"/>
    </w:lvl>
  </w:abstractNum>
  <w:abstractNum w:abstractNumId="186">
    <w:nsid w:val="6FE95E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7">
    <w:nsid w:val="4B697C7A"/>
    <w:multiLevelType w:val="hybridMultilevel"/>
    <w:lvl w:ilvl="0">
      <w:lvlJc w:val="left"/>
      <w:lvlText w:val="(%1)"/>
      <w:numFmt w:val="lowerLetter"/>
      <w:start w:val="1"/>
    </w:lvl>
  </w:abstractNum>
  <w:abstractNum w:abstractNumId="188">
    <w:nsid w:val="51A27AA6"/>
    <w:multiLevelType w:val="hybridMultilevel"/>
    <w:lvl w:ilvl="0">
      <w:lvlJc w:val="left"/>
      <w:lvlText w:val="(%1)"/>
      <w:numFmt w:val="lowerLetter"/>
      <w:start w:val="1"/>
    </w:lvl>
  </w:abstractNum>
  <w:abstractNum w:abstractNumId="189">
    <w:nsid w:val="613183F2"/>
    <w:multiLevelType w:val="hybridMultilevel"/>
    <w:lvl w:ilvl="0">
      <w:lvlJc w:val="left"/>
      <w:lvlText w:val="(%1)"/>
      <w:numFmt w:val="lowerLetter"/>
      <w:start w:val="1"/>
    </w:lvl>
    <w:lvl w:ilvl="1">
      <w:lvlJc w:val="left"/>
      <w:lvlText w:val="(%2)"/>
      <w:numFmt w:val="lowerRoman"/>
      <w:start w:val="1"/>
    </w:lvl>
  </w:abstractNum>
  <w:abstractNum w:abstractNumId="190">
    <w:nsid w:val="634102B4"/>
    <w:multiLevelType w:val="hybridMultilevel"/>
    <w:lvl w:ilvl="0">
      <w:lvlJc w:val="left"/>
      <w:lvlText w:val="(%1)"/>
      <w:numFmt w:val="lowerLetter"/>
      <w:start w:val="1"/>
    </w:lvl>
  </w:abstractNum>
  <w:abstractNum w:abstractNumId="191">
    <w:nsid w:val="65BF9DA8"/>
    <w:multiLevelType w:val="hybridMultilevel"/>
    <w:lvl w:ilvl="0">
      <w:lvlJc w:val="left"/>
      <w:lvlText w:val="(%1)"/>
      <w:numFmt w:val="lowerLetter"/>
      <w:start w:val="2"/>
    </w:lvl>
  </w:abstractNum>
  <w:abstractNum w:abstractNumId="192">
    <w:nsid w:val="21A2ECCA"/>
    <w:multiLevelType w:val="hybridMultilevel"/>
    <w:lvl w:ilvl="0">
      <w:lvlJc w:val="left"/>
      <w:lvlText w:val="(%1)"/>
      <w:numFmt w:val="lowerLetter"/>
      <w:start w:val="1"/>
    </w:lvl>
  </w:abstractNum>
  <w:abstractNum w:abstractNumId="193">
    <w:nsid w:val="4D5C4899"/>
    <w:multiLevelType w:val="hybridMultilevel"/>
    <w:lvl w:ilvl="0">
      <w:lvlJc w:val="left"/>
      <w:lvlText w:val="(%1)"/>
      <w:numFmt w:val="lowerLetter"/>
      <w:start w:val="1"/>
    </w:lvl>
    <w:lvl w:ilvl="1">
      <w:lvlJc w:val="left"/>
      <w:lvlText w:val="(%2)"/>
      <w:numFmt w:val="lowerRoman"/>
      <w:start w:val="1"/>
    </w:lvl>
  </w:abstractNum>
  <w:abstractNum w:abstractNumId="194">
    <w:nsid w:val="3C3B72B2"/>
    <w:multiLevelType w:val="hybridMultilevel"/>
    <w:lvl w:ilvl="0">
      <w:lvlJc w:val="left"/>
      <w:lvlText w:val="(%1)"/>
      <w:numFmt w:val="lowerLetter"/>
      <w:start w:val="1"/>
    </w:lvl>
  </w:abstractNum>
  <w:abstractNum w:abstractNumId="195">
    <w:nsid w:val="155EC4C2"/>
    <w:multiLevelType w:val="hybridMultilevel"/>
    <w:lvl w:ilvl="0">
      <w:lvlJc w:val="left"/>
      <w:lvlText w:val="(%1)"/>
      <w:numFmt w:val="lowerLetter"/>
      <w:start w:val="1"/>
    </w:lvl>
  </w:abstractNum>
  <w:abstractNum w:abstractNumId="196">
    <w:nsid w:val="65D2A137"/>
    <w:multiLevelType w:val="hybridMultilevel"/>
    <w:lvl w:ilvl="0">
      <w:lvlJc w:val="left"/>
      <w:lvlText w:val="(%1)"/>
      <w:numFmt w:val="lowerLetter"/>
      <w:start w:val="1"/>
    </w:lvl>
  </w:abstractNum>
  <w:abstractNum w:abstractNumId="197">
    <w:nsid w:val="6EBB1F2A"/>
    <w:multiLevelType w:val="hybridMultilevel"/>
    <w:lvl w:ilvl="0">
      <w:lvlJc w:val="left"/>
      <w:lvlText w:val="(%1)"/>
      <w:numFmt w:val="lowerLetter"/>
      <w:start w:val="1"/>
    </w:lvl>
    <w:lvl w:ilvl="1">
      <w:lvlJc w:val="left"/>
      <w:lvlText w:val="(%2)"/>
      <w:numFmt w:val="lowerRoman"/>
      <w:start w:val="1"/>
    </w:lvl>
  </w:abstractNum>
  <w:abstractNum w:abstractNumId="198">
    <w:nsid w:val="6FBF29CB"/>
    <w:multiLevelType w:val="hybridMultilevel"/>
    <w:lvl w:ilvl="0">
      <w:lvlJc w:val="left"/>
      <w:lvlText w:val="%1."/>
      <w:numFmt w:val="decimal"/>
      <w:start w:val="18"/>
    </w:lvl>
  </w:abstractNum>
  <w:abstractNum w:abstractNumId="199">
    <w:nsid w:val="550B8808"/>
    <w:multiLevelType w:val="hybridMultilevel"/>
    <w:lvl w:ilvl="0">
      <w:lvlJc w:val="left"/>
      <w:lvlText w:val="(%1)"/>
      <w:numFmt w:val="lowerLetter"/>
      <w:start w:val="1"/>
    </w:lvl>
  </w:abstractNum>
  <w:abstractNum w:abstractNumId="200">
    <w:nsid w:val="34CC3ACF"/>
    <w:multiLevelType w:val="hybridMultilevel"/>
    <w:lvl w:ilvl="0">
      <w:lvlJc w:val="left"/>
      <w:lvlText w:val="(%1)"/>
      <w:numFmt w:val="lowerLetter"/>
      <w:start w:val="2"/>
    </w:lvl>
  </w:abstractNum>
  <w:abstractNum w:abstractNumId="201">
    <w:nsid w:val="4E556261"/>
    <w:multiLevelType w:val="hybridMultilevel"/>
    <w:lvl w:ilvl="0">
      <w:lvlJc w:val="left"/>
      <w:lvlText w:val="(%1)"/>
      <w:numFmt w:val="lowerLetter"/>
      <w:start w:val="1"/>
    </w:lvl>
  </w:abstractNum>
  <w:abstractNum w:abstractNumId="202">
    <w:nsid w:val="4C672FC9"/>
    <w:multiLevelType w:val="hybridMultilevel"/>
    <w:lvl w:ilvl="0">
      <w:lvlJc w:val="left"/>
      <w:lvlText w:val="(%1)"/>
      <w:numFmt w:val="lowerLetter"/>
      <w:start w:val="1"/>
    </w:lvl>
    <w:lvl w:ilvl="1">
      <w:lvlJc w:val="left"/>
      <w:lvlText w:val="(%2)"/>
      <w:numFmt w:val="lowerRoman"/>
      <w:start w:val="1"/>
    </w:lvl>
  </w:abstractNum>
  <w:abstractNum w:abstractNumId="203">
    <w:nsid w:val="52A311C3"/>
    <w:multiLevelType w:val="hybridMultilevel"/>
    <w:lvl w:ilvl="0">
      <w:lvlJc w:val="left"/>
      <w:lvlText w:val="(%1)"/>
      <w:numFmt w:val="lowerLetter"/>
      <w:start w:val="1"/>
    </w:lvl>
  </w:abstractNum>
  <w:abstractNum w:abstractNumId="204">
    <w:nsid w:val="44EF6B80"/>
    <w:multiLevelType w:val="hybridMultilevel"/>
    <w:lvl w:ilvl="0">
      <w:lvlJc w:val="left"/>
      <w:lvlText w:val="(%1)"/>
      <w:numFmt w:val="lowerLetter"/>
      <w:start w:val="3"/>
    </w:lvl>
  </w:abstractNum>
  <w:abstractNum w:abstractNumId="205">
    <w:nsid w:val="12FCDE5E"/>
    <w:multiLevelType w:val="hybridMultilevel"/>
    <w:lvl w:ilvl="0">
      <w:lvlJc w:val="left"/>
      <w:lvlText w:val="(%1)"/>
      <w:numFmt w:val="lowerLetter"/>
      <w:start w:val="1"/>
    </w:lvl>
  </w:abstractNum>
  <w:abstractNum w:abstractNumId="206">
    <w:nsid w:val="4A1D606E"/>
    <w:multiLevelType w:val="hybridMultilevel"/>
    <w:lvl w:ilvl="0">
      <w:lvlJc w:val="left"/>
      <w:lvlText w:val="(%1)"/>
      <w:numFmt w:val="lowerLetter"/>
      <w:start w:val="1"/>
    </w:lvl>
    <w:lvl w:ilvl="1">
      <w:lvlJc w:val="left"/>
      <w:lvlText w:val="(%2)"/>
      <w:numFmt w:val="lowerRoman"/>
      <w:start w:val="1"/>
    </w:lvl>
  </w:abstractNum>
  <w:abstractNum w:abstractNumId="207">
    <w:nsid w:val="4382503"/>
    <w:multiLevelType w:val="hybridMultilevel"/>
    <w:lvl w:ilvl="0">
      <w:lvlJc w:val="left"/>
      <w:lvlText w:val="(%1)"/>
      <w:numFmt w:val="lowerLetter"/>
      <w:start w:val="2"/>
    </w:lvl>
    <w:lvl w:ilvl="1">
      <w:lvlJc w:val="left"/>
      <w:lvlText w:val="(%2)"/>
      <w:numFmt w:val="lowerRoman"/>
      <w:start w:val="1"/>
    </w:lvl>
  </w:abstractNum>
  <w:abstractNum w:abstractNumId="208">
    <w:nsid w:val="59B76E28"/>
    <w:multiLevelType w:val="hybridMultilevel"/>
    <w:lvl w:ilvl="0">
      <w:lvlJc w:val="left"/>
      <w:lvlText w:val="(%1)"/>
      <w:numFmt w:val="lowerLetter"/>
      <w:start w:val="3"/>
    </w:lvl>
  </w:abstractNum>
  <w:abstractNum w:abstractNumId="209">
    <w:nsid w:val="4252C2DA"/>
    <w:multiLevelType w:val="hybridMultilevel"/>
    <w:lvl w:ilvl="0">
      <w:lvlJc w:val="left"/>
      <w:lvlText w:val="(%1)"/>
      <w:numFmt w:val="lowerLetter"/>
      <w:start w:val="1"/>
    </w:lvl>
    <w:lvl w:ilvl="1">
      <w:lvlJc w:val="left"/>
      <w:lvlText w:val="(%2)"/>
      <w:numFmt w:val="lowerRoman"/>
      <w:start w:val="1"/>
    </w:lvl>
  </w:abstractNum>
  <w:abstractNum w:abstractNumId="210">
    <w:nsid w:val="6A92EF4C"/>
    <w:multiLevelType w:val="hybridMultilevel"/>
    <w:lvl w:ilvl="0">
      <w:lvlJc w:val="left"/>
      <w:lvlText w:val="%1."/>
      <w:numFmt w:val="decimal"/>
      <w:start w:val="19"/>
    </w:lvl>
  </w:abstractNum>
  <w:abstractNum w:abstractNumId="211">
    <w:nsid w:val="41ED20D7"/>
    <w:multiLevelType w:val="hybridMultilevel"/>
    <w:lvl w:ilvl="0">
      <w:lvlJc w:val="left"/>
      <w:lvlText w:val="(%1)"/>
      <w:numFmt w:val="lowerLetter"/>
      <w:start w:val="1"/>
    </w:lvl>
  </w:abstractNum>
  <w:abstractNum w:abstractNumId="212">
    <w:nsid w:val="E6B3F6A"/>
    <w:multiLevelType w:val="hybridMultilevel"/>
    <w:lvl w:ilvl="0">
      <w:lvlJc w:val="left"/>
      <w:lvlText w:val="(%1)"/>
      <w:numFmt w:val="lowerLetter"/>
      <w:start w:val="1"/>
    </w:lvl>
  </w:abstractNum>
  <w:abstractNum w:abstractNumId="213">
    <w:nsid w:val="3EB21819"/>
    <w:multiLevelType w:val="hybridMultilevel"/>
    <w:lvl w:ilvl="0">
      <w:lvlJc w:val="left"/>
      <w:lvlText w:val="(%1)"/>
      <w:numFmt w:val="lowerLetter"/>
      <w:start w:val="1"/>
    </w:lvl>
  </w:abstractNum>
  <w:abstractNum w:abstractNumId="214">
    <w:nsid w:val="41531DED"/>
    <w:multiLevelType w:val="hybridMultilevel"/>
    <w:lvl w:ilvl="0">
      <w:lvlJc w:val="left"/>
      <w:lvlText w:val="(%1)"/>
      <w:numFmt w:val="lowerLetter"/>
      <w:start w:val="1"/>
    </w:lvl>
  </w:abstractNum>
  <w:abstractNum w:abstractNumId="215">
    <w:nsid w:val="6353CD2"/>
    <w:multiLevelType w:val="hybridMultilevel"/>
    <w:lvl w:ilvl="0">
      <w:lvlJc w:val="left"/>
      <w:lvlText w:val="%1"/>
      <w:numFmt w:val="decimal"/>
      <w:start w:val="1"/>
    </w:lvl>
    <w:lvl w:ilvl="1">
      <w:lvlJc w:val="left"/>
      <w:lvlText w:val="(%2)"/>
      <w:numFmt w:val="lowerLetter"/>
      <w:start w:val="1"/>
    </w:lvl>
  </w:abstractNum>
  <w:abstractNum w:abstractNumId="216">
    <w:nsid w:val="683CAAD3"/>
    <w:multiLevelType w:val="hybridMultilevel"/>
    <w:lvl w:ilvl="0">
      <w:lvlJc w:val="left"/>
      <w:lvlText w:val="%1."/>
      <w:numFmt w:val="decimal"/>
      <w:start w:val="20"/>
    </w:lvl>
    <w:lvl w:ilvl="1">
      <w:lvlJc w:val="left"/>
      <w:lvlText w:val="%2"/>
      <w:numFmt w:val="lowerLetter"/>
      <w:start w:val="1"/>
    </w:lvl>
  </w:abstractNum>
  <w:abstractNum w:abstractNumId="217">
    <w:nsid w:val="313C7C99"/>
    <w:multiLevelType w:val="hybridMultilevel"/>
    <w:lvl w:ilvl="0">
      <w:lvlJc w:val="left"/>
      <w:lvlText w:val="(%1)"/>
      <w:numFmt w:val="lowerLetter"/>
      <w:start w:val="1"/>
    </w:lvl>
  </w:abstractNum>
  <w:abstractNum w:abstractNumId="218">
    <w:nsid w:val="519EB94C"/>
    <w:multiLevelType w:val="hybridMultilevel"/>
    <w:lvl w:ilvl="0">
      <w:lvlJc w:val="left"/>
      <w:lvlText w:val="(%1)"/>
      <w:numFmt w:val="lowerLetter"/>
      <w:start w:val="1"/>
    </w:lvl>
  </w:abstractNum>
  <w:abstractNum w:abstractNumId="219">
    <w:nsid w:val="39DF2579"/>
    <w:multiLevelType w:val="hybridMultilevel"/>
    <w:lvl w:ilvl="0">
      <w:lvlJc w:val="left"/>
      <w:lvlText w:val="(%1)"/>
      <w:numFmt w:val="lowerLetter"/>
      <w:start w:val="1"/>
    </w:lvl>
  </w:abstractNum>
  <w:abstractNum w:abstractNumId="220">
    <w:nsid w:val="126E008B"/>
    <w:multiLevelType w:val="hybridMultilevel"/>
    <w:lvl w:ilvl="0">
      <w:lvlJc w:val="left"/>
      <w:lvlText w:val="(%1)"/>
      <w:numFmt w:val="lowerLetter"/>
      <w:start w:val="1"/>
    </w:lvl>
  </w:abstractNum>
  <w:abstractNum w:abstractNumId="221">
    <w:nsid w:val="34DFBC00"/>
    <w:multiLevelType w:val="hybridMultilevel"/>
    <w:lvl w:ilvl="0">
      <w:lvlJc w:val="left"/>
      <w:lvlText w:val="(%1)"/>
      <w:numFmt w:val="lowerLetter"/>
      <w:start w:val="1"/>
    </w:lvl>
  </w:abstractNum>
  <w:abstractNum w:abstractNumId="222">
    <w:nsid w:val="1F9EC322"/>
    <w:multiLevelType w:val="hybridMultilevel"/>
    <w:lvl w:ilvl="0">
      <w:lvlJc w:val="left"/>
      <w:lvlText w:val="(%1)"/>
      <w:numFmt w:val="lowerLetter"/>
      <w:start w:val="1"/>
    </w:lvl>
    <w:lvl w:ilvl="1">
      <w:lvlJc w:val="left"/>
      <w:lvlText w:val="(%2)"/>
      <w:numFmt w:val="lowerRoman"/>
      <w:start w:val="1"/>
    </w:lvl>
  </w:abstractNum>
  <w:abstractNum w:abstractNumId="223">
    <w:nsid w:val="3410ED5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4">
    <w:nsid w:val="23C049A"/>
    <w:multiLevelType w:val="hybridMultilevel"/>
    <w:lvl w:ilvl="0">
      <w:lvlJc w:val="left"/>
      <w:lvlText w:val="%1"/>
      <w:numFmt w:val="lowerRoman"/>
      <w:start w:val="1"/>
    </w:lvl>
    <w:lvl w:ilvl="1">
      <w:lvlJc w:val="left"/>
      <w:lvlText w:val="(%2)"/>
      <w:numFmt w:val="upperLetter"/>
      <w:start w:val="2"/>
    </w:lvl>
  </w:abstractNum>
  <w:abstractNum w:abstractNumId="225">
    <w:nsid w:val="5BDA35D4"/>
    <w:multiLevelType w:val="hybridMultilevel"/>
    <w:lvl w:ilvl="0">
      <w:lvlJc w:val="left"/>
      <w:lvlText w:val="(%1)"/>
      <w:numFmt w:val="lowerRoman"/>
      <w:start w:val="2"/>
    </w:lvl>
    <w:lvl w:ilvl="1">
      <w:lvlJc w:val="left"/>
      <w:lvlText w:val="%2"/>
      <w:numFmt w:val="upperLetter"/>
      <w:start w:val="1"/>
    </w:lvl>
  </w:abstractNum>
  <w:abstractNum w:abstractNumId="226">
    <w:nsid w:val="496FB218"/>
    <w:multiLevelType w:val="hybridMultilevel"/>
    <w:lvl w:ilvl="0">
      <w:lvlJc w:val="left"/>
      <w:lvlText w:val="(%1)"/>
      <w:numFmt w:val="lowerLetter"/>
      <w:start w:val="1"/>
    </w:lvl>
    <w:lvl w:ilvl="1">
      <w:lvlJc w:val="left"/>
      <w:lvlText w:val="(%2)"/>
      <w:numFmt w:val="lowerRoman"/>
      <w:start w:val="1"/>
    </w:lvl>
  </w:abstractNum>
  <w:abstractNum w:abstractNumId="227">
    <w:nsid w:val="680EA5D1"/>
    <w:multiLevelType w:val="hybridMultilevel"/>
    <w:lvl w:ilvl="0">
      <w:lvlJc w:val="left"/>
      <w:lvlText w:val="(%1)"/>
      <w:numFmt w:val="lowerLetter"/>
      <w:start w:val="1"/>
    </w:lvl>
    <w:lvl w:ilvl="1">
      <w:lvlJc w:val="left"/>
      <w:lvlText w:val="(%2)"/>
      <w:numFmt w:val="lowerRoman"/>
      <w:start w:val="1"/>
    </w:lvl>
  </w:abstractNum>
  <w:abstractNum w:abstractNumId="228">
    <w:nsid w:val="4A9554FE"/>
    <w:multiLevelType w:val="hybridMultilevel"/>
    <w:lvl w:ilvl="0">
      <w:lvlJc w:val="left"/>
      <w:lvlText w:val="(%1)"/>
      <w:numFmt w:val="lowerLetter"/>
      <w:start w:val="1"/>
    </w:lvl>
  </w:abstractNum>
  <w:abstractNum w:abstractNumId="229">
    <w:nsid w:val="392EDBE4"/>
    <w:multiLevelType w:val="hybridMultilevel"/>
    <w:lvl w:ilvl="0">
      <w:lvlJc w:val="left"/>
      <w:lvlText w:val="(%1)"/>
      <w:numFmt w:val="lowerLetter"/>
      <w:start w:val="1"/>
    </w:lvl>
  </w:abstractNum>
  <w:abstractNum w:abstractNumId="230">
    <w:nsid w:val="3D1A2DD9"/>
    <w:multiLevelType w:val="hybridMultilevel"/>
    <w:lvl w:ilvl="0">
      <w:lvlJc w:val="left"/>
      <w:lvlText w:val="(%1)"/>
      <w:numFmt w:val="lowerLetter"/>
      <w:start w:val="1"/>
    </w:lvl>
  </w:abstractNum>
  <w:abstractNum w:abstractNumId="231">
    <w:nsid w:val="7F618FCD"/>
    <w:multiLevelType w:val="hybridMultilevel"/>
    <w:lvl w:ilvl="0">
      <w:lvlJc w:val="left"/>
      <w:lvlText w:val="(%1)"/>
      <w:numFmt w:val="lowerLetter"/>
      <w:start w:val="1"/>
    </w:lvl>
  </w:abstractNum>
  <w:abstractNum w:abstractNumId="232">
    <w:nsid w:val="7843E45"/>
    <w:multiLevelType w:val="hybridMultilevel"/>
    <w:lvl w:ilvl="0">
      <w:lvlJc w:val="left"/>
      <w:lvlText w:val="(%1)"/>
      <w:numFmt w:val="lowerLetter"/>
      <w:start w:val="1"/>
    </w:lvl>
  </w:abstractNum>
  <w:abstractNum w:abstractNumId="233">
    <w:nsid w:val="9815DA3"/>
    <w:multiLevelType w:val="hybridMultilevel"/>
    <w:lvl w:ilvl="0">
      <w:lvlJc w:val="left"/>
      <w:lvlText w:val="(%1)"/>
      <w:numFmt w:val="lowerLetter"/>
      <w:start w:val="3"/>
    </w:lvl>
  </w:abstractNum>
  <w:abstractNum w:abstractNumId="234">
    <w:nsid w:val="5204A191"/>
    <w:multiLevelType w:val="hybridMultilevel"/>
    <w:lvl w:ilvl="0">
      <w:lvlJc w:val="left"/>
      <w:lvlText w:val="(%1)"/>
      <w:numFmt w:val="lowerLetter"/>
      <w:start w:val="1"/>
    </w:lvl>
  </w:abstractNum>
  <w:abstractNum w:abstractNumId="235">
    <w:nsid w:val="4C73A9C6"/>
    <w:multiLevelType w:val="hybridMultilevel"/>
    <w:lvl w:ilvl="0">
      <w:lvlJc w:val="left"/>
      <w:lvlText w:val="(%1)"/>
      <w:numFmt w:val="lowerLetter"/>
      <w:start w:val="2"/>
    </w:lvl>
    <w:lvl w:ilvl="1">
      <w:lvlJc w:val="left"/>
      <w:lvlText w:val="(%2)"/>
      <w:numFmt w:val="lowerRoman"/>
      <w:start w:val="1"/>
    </w:lvl>
  </w:abstractNum>
  <w:abstractNum w:abstractNumId="236">
    <w:nsid w:val="1C7E3C01"/>
    <w:multiLevelType w:val="hybridMultilevel"/>
    <w:lvl w:ilvl="0">
      <w:lvlJc w:val="left"/>
      <w:lvlText w:val="(%1)"/>
      <w:numFmt w:val="lowerLetter"/>
      <w:start w:val="1"/>
    </w:lvl>
    <w:lvl w:ilvl="1">
      <w:lvlJc w:val="left"/>
      <w:lvlText w:val="(%2)"/>
      <w:numFmt w:val="lowerRoman"/>
      <w:start w:val="1"/>
    </w:lvl>
  </w:abstractNum>
  <w:abstractNum w:abstractNumId="237">
    <w:nsid w:val="1C2201FF"/>
    <w:multiLevelType w:val="hybridMultilevel"/>
    <w:lvl w:ilvl="0">
      <w:lvlJc w:val="left"/>
      <w:lvlText w:val="%1."/>
      <w:numFmt w:val="decimal"/>
      <w:start w:val="21"/>
    </w:lvl>
  </w:abstractNum>
  <w:abstractNum w:abstractNumId="238">
    <w:nsid w:val="50ABCEC9"/>
    <w:multiLevelType w:val="hybridMultilevel"/>
    <w:lvl w:ilvl="0">
      <w:lvlJc w:val="left"/>
      <w:lvlText w:val="(%1)"/>
      <w:numFmt w:val="lowerLetter"/>
      <w:start w:val="1"/>
    </w:lvl>
    <w:lvl w:ilvl="1">
      <w:lvlJc w:val="left"/>
      <w:lvlText w:val="(%2)"/>
      <w:numFmt w:val="lowerRoman"/>
      <w:start w:val="1"/>
    </w:lvl>
  </w:abstractNum>
  <w:abstractNum w:abstractNumId="239">
    <w:nsid w:val="7635AA2A"/>
    <w:multiLevelType w:val="hybridMultilevel"/>
    <w:lvl w:ilvl="0">
      <w:lvlJc w:val="left"/>
      <w:lvlText w:val="(%1)"/>
      <w:numFmt w:val="lowerLetter"/>
      <w:start w:val="1"/>
    </w:lvl>
  </w:abstractNum>
  <w:abstractNum w:abstractNumId="240">
    <w:nsid w:val="5E74C4D9"/>
    <w:multiLevelType w:val="hybridMultilevel"/>
    <w:lvl w:ilvl="0">
      <w:lvlJc w:val="left"/>
      <w:lvlText w:val="(%1)"/>
      <w:numFmt w:val="lowerLetter"/>
      <w:start w:val="1"/>
    </w:lvl>
  </w:abstractNum>
  <w:abstractNum w:abstractNumId="241">
    <w:nsid w:val="3B3EBE15"/>
    <w:multiLevelType w:val="hybridMultilevel"/>
    <w:lvl w:ilvl="0">
      <w:lvlJc w:val="left"/>
      <w:lvlText w:val="(%1)"/>
      <w:numFmt w:val="lowerLetter"/>
      <w:start w:val="4"/>
    </w:lvl>
  </w:abstractNum>
  <w:abstractNum w:abstractNumId="242">
    <w:nsid w:val="3822CB01"/>
    <w:multiLevelType w:val="hybridMultilevel"/>
    <w:lvl w:ilvl="0">
      <w:lvlJc w:val="left"/>
      <w:lvlText w:val="(%1)"/>
      <w:numFmt w:val="lowerLetter"/>
      <w:start w:val="1"/>
    </w:lvl>
    <w:lvl w:ilvl="1">
      <w:lvlJc w:val="left"/>
      <w:lvlText w:val="(%2)"/>
      <w:numFmt w:val="lowerRoman"/>
      <w:start w:val="1"/>
    </w:lvl>
  </w:abstractNum>
  <w:abstractNum w:abstractNumId="243">
    <w:nsid w:val="6CE00443"/>
    <w:multiLevelType w:val="hybridMultilevel"/>
    <w:lvl w:ilvl="0">
      <w:lvlJc w:val="left"/>
      <w:lvlText w:val="(%1)"/>
      <w:numFmt w:val="lowerLetter"/>
      <w:start w:val="1"/>
    </w:lvl>
    <w:lvl w:ilvl="1">
      <w:lvlJc w:val="left"/>
      <w:lvlText w:val="(%2)"/>
      <w:numFmt w:val="lowerRoman"/>
      <w:start w:val="1"/>
    </w:lvl>
  </w:abstractNum>
  <w:abstractNum w:abstractNumId="244">
    <w:nsid w:val="79F0D62F"/>
    <w:multiLevelType w:val="hybridMultilevel"/>
    <w:lvl w:ilvl="0">
      <w:lvlJc w:val="left"/>
      <w:lvlText w:val="(%1)"/>
      <w:numFmt w:val="lowerLetter"/>
      <w:start w:val="2"/>
    </w:lvl>
  </w:abstractNum>
  <w:abstractNum w:abstractNumId="245">
    <w:nsid w:val="7975E8EE"/>
    <w:multiLevelType w:val="hybridMultilevel"/>
    <w:lvl w:ilvl="0">
      <w:lvlJc w:val="left"/>
      <w:lvlText w:val="(%1)"/>
      <w:numFmt w:val="lowerLetter"/>
      <w:start w:val="1"/>
    </w:lvl>
  </w:abstractNum>
  <w:abstractNum w:abstractNumId="246">
    <w:nsid w:val="73154115"/>
    <w:multiLevelType w:val="hybridMultilevel"/>
    <w:lvl w:ilvl="0">
      <w:lvlJc w:val="left"/>
      <w:lvlText w:val="(%1)"/>
      <w:numFmt w:val="lowerLetter"/>
      <w:start w:val="1"/>
    </w:lvl>
  </w:abstractNum>
  <w:abstractNum w:abstractNumId="247">
    <w:nsid w:val="622D8102"/>
    <w:multiLevelType w:val="hybridMultilevel"/>
    <w:lvl w:ilvl="0">
      <w:lvlJc w:val="left"/>
      <w:lvlText w:val="%1."/>
      <w:numFmt w:val="decimal"/>
      <w:start w:val="22"/>
    </w:lvl>
  </w:abstractNum>
  <w:abstractNum w:abstractNumId="248">
    <w:nsid w:val="2AB26587"/>
    <w:multiLevelType w:val="hybridMultilevel"/>
    <w:lvl w:ilvl="0">
      <w:lvlJc w:val="left"/>
      <w:lvlText w:val="(%1)"/>
      <w:numFmt w:val="lowerLetter"/>
      <w:start w:val="1"/>
    </w:lvl>
  </w:abstractNum>
  <w:abstractNum w:abstractNumId="249">
    <w:nsid w:val="44B3FA61"/>
    <w:multiLevelType w:val="hybridMultilevel"/>
    <w:lvl w:ilvl="0">
      <w:lvlJc w:val="left"/>
      <w:lvlText w:val="(%1)"/>
      <w:numFmt w:val="lowerLetter"/>
      <w:start w:val="1"/>
    </w:lvl>
    <w:lvl w:ilvl="1">
      <w:lvlJc w:val="left"/>
      <w:lvlText w:val="(%2)"/>
      <w:numFmt w:val="lowerRoman"/>
      <w:start w:val="1"/>
    </w:lvl>
  </w:abstractNum>
  <w:abstractNum w:abstractNumId="250">
    <w:nsid w:val="1C0CA67C"/>
    <w:multiLevelType w:val="hybridMultilevel"/>
    <w:lvl w:ilvl="0">
      <w:lvlJc w:val="left"/>
      <w:lvlText w:val="(%1)"/>
      <w:numFmt w:val="lowerLetter"/>
      <w:start w:val="3"/>
    </w:lvl>
  </w:abstractNum>
  <w:abstractNum w:abstractNumId="251">
    <w:nsid w:val="3D206613"/>
    <w:multiLevelType w:val="hybridMultilevel"/>
    <w:lvl w:ilvl="0">
      <w:lvlJc w:val="left"/>
      <w:lvlText w:val="(%1)"/>
      <w:numFmt w:val="lowerLetter"/>
      <w:start w:val="1"/>
    </w:lvl>
    <w:lvl w:ilvl="1">
      <w:lvlJc w:val="left"/>
      <w:lvlText w:val="(%2)"/>
      <w:numFmt w:val="lowerRoman"/>
      <w:start w:val="1"/>
    </w:lvl>
  </w:abstractNum>
  <w:abstractNum w:abstractNumId="252">
    <w:nsid w:val="7993B662"/>
    <w:multiLevelType w:val="hybridMultilevel"/>
    <w:lvl w:ilvl="0">
      <w:lvlJc w:val="left"/>
      <w:lvlText w:val="(%1)"/>
      <w:numFmt w:val="lowerLetter"/>
      <w:start w:val="1"/>
    </w:lvl>
    <w:lvl w:ilvl="1">
      <w:lvlJc w:val="left"/>
      <w:lvlText w:val="(%2)"/>
      <w:numFmt w:val="lowerRoman"/>
      <w:start w:val="1"/>
    </w:lvl>
  </w:abstractNum>
  <w:abstractNum w:abstractNumId="253">
    <w:nsid w:val="3BAB699E"/>
    <w:multiLevelType w:val="hybridMultilevel"/>
    <w:lvl w:ilvl="0">
      <w:lvlJc w:val="left"/>
      <w:lvlText w:val="(%1)"/>
      <w:numFmt w:val="lowerLetter"/>
      <w:start w:val="2"/>
    </w:lvl>
    <w:lvl w:ilvl="1">
      <w:lvlJc w:val="left"/>
      <w:lvlText w:val="(%2)"/>
      <w:numFmt w:val="lowerRoman"/>
      <w:start w:val="1"/>
    </w:lvl>
  </w:abstractNum>
  <w:abstractNum w:abstractNumId="254">
    <w:nsid w:val="71315369"/>
    <w:multiLevelType w:val="hybridMultilevel"/>
    <w:lvl w:ilvl="0">
      <w:lvlJc w:val="left"/>
      <w:lvlText w:val="%1"/>
      <w:numFmt w:val="lowerLetter"/>
      <w:start w:val="1"/>
    </w:lvl>
    <w:lvl w:ilvl="1">
      <w:lvlJc w:val="left"/>
      <w:lvlText w:val="(%2)"/>
      <w:numFmt w:val="lowerLetter"/>
      <w:start w:val="35"/>
    </w:lvl>
  </w:abstractNum>
  <w:abstractNum w:abstractNumId="255">
    <w:nsid w:val="7BCFBAFC"/>
    <w:multiLevelType w:val="hybridMultilevel"/>
    <w:lvl w:ilvl="0">
      <w:lvlJc w:val="left"/>
      <w:lvlText w:val="(%1)"/>
      <w:numFmt w:val="lowerLetter"/>
      <w:start w:val="3"/>
    </w:lvl>
    <w:lvl w:ilvl="1">
      <w:lvlJc w:val="left"/>
      <w:lvlText w:val="(%2)"/>
      <w:numFmt w:val="lowerLetter"/>
      <w:start w:val="9"/>
    </w:lvl>
  </w:abstractNum>
  <w:abstractNum w:abstractNumId="256">
    <w:nsid w:val="17859F72"/>
    <w:multiLevelType w:val="hybridMultilevel"/>
    <w:lvl w:ilvl="0">
      <w:lvlJc w:val="left"/>
      <w:lvlText w:val="(%1)"/>
      <w:numFmt w:val="lowerRoman"/>
      <w:start w:val="2"/>
    </w:lvl>
  </w:abstractNum>
  <w:abstractNum w:abstractNumId="257">
    <w:nsid w:val="3AA10581"/>
    <w:multiLevelType w:val="hybridMultilevel"/>
    <w:lvl w:ilvl="0">
      <w:lvlJc w:val="left"/>
      <w:lvlText w:val="(%1)"/>
      <w:numFmt w:val="lowerLetter"/>
      <w:start w:val="1"/>
    </w:lvl>
    <w:lvl w:ilvl="1">
      <w:lvlJc w:val="left"/>
      <w:lvlText w:val="(%2)"/>
      <w:numFmt w:val="lowerRoman"/>
      <w:start w:val="1"/>
    </w:lvl>
  </w:abstractNum>
  <w:abstractNum w:abstractNumId="258">
    <w:nsid w:val="63DE60CD"/>
    <w:multiLevelType w:val="hybridMultilevel"/>
    <w:lvl w:ilvl="0">
      <w:lvlJc w:val="left"/>
      <w:lvlText w:val="(%1)"/>
      <w:numFmt w:val="lowerLetter"/>
      <w:start w:val="1"/>
    </w:lvl>
    <w:lvl w:ilvl="1">
      <w:lvlJc w:val="left"/>
      <w:lvlText w:val="(%2)"/>
      <w:numFmt w:val="lowerRoman"/>
      <w:start w:val="1"/>
    </w:lvl>
  </w:abstractNum>
  <w:abstractNum w:abstractNumId="259">
    <w:nsid w:val="621AF471"/>
    <w:multiLevelType w:val="hybridMultilevel"/>
    <w:lvl w:ilvl="0">
      <w:lvlJc w:val="left"/>
      <w:lvlText w:val="%1"/>
      <w:numFmt w:val="lowerLetter"/>
      <w:start w:val="1"/>
    </w:lvl>
    <w:lvl w:ilvl="1">
      <w:lvlJc w:val="left"/>
      <w:lvlText w:val="(%2)"/>
      <w:numFmt w:val="lowerRoman"/>
      <w:start w:val="2"/>
    </w:lvl>
  </w:abstractNum>
  <w:abstractNum w:abstractNumId="260">
    <w:nsid w:val="73CFE165"/>
    <w:multiLevelType w:val="hybridMultilevel"/>
    <w:lvl w:ilvl="0">
      <w:lvlJc w:val="left"/>
      <w:lvlText w:val="(%1)"/>
      <w:numFmt w:val="lowerLetter"/>
      <w:start w:val="3"/>
    </w:lvl>
    <w:lvl w:ilvl="1">
      <w:lvlJc w:val="left"/>
      <w:lvlText w:val="%2"/>
      <w:numFmt w:val="lowerRoman"/>
      <w:start w:val="1"/>
    </w:lvl>
  </w:abstractNum>
  <w:abstractNum w:abstractNumId="261">
    <w:nsid w:val="20F88EA6"/>
    <w:multiLevelType w:val="hybridMultilevel"/>
    <w:lvl w:ilvl="0">
      <w:lvlJc w:val="left"/>
      <w:lvlText w:val="(%1)"/>
      <w:numFmt w:val="lowerLetter"/>
      <w:start w:val="1"/>
    </w:lvl>
  </w:abstractNum>
  <w:abstractNum w:abstractNumId="262">
    <w:nsid w:val="617C843E"/>
    <w:multiLevelType w:val="hybridMultilevel"/>
    <w:lvl w:ilvl="0">
      <w:lvlJc w:val="left"/>
      <w:lvlText w:val="(%1)"/>
      <w:numFmt w:val="lowerRoman"/>
      <w:start w:val="1"/>
    </w:lvl>
  </w:abstractNum>
  <w:abstractNum w:abstractNumId="263">
    <w:nsid w:val="7B541FAB"/>
    <w:multiLevelType w:val="hybridMultilevel"/>
    <w:lvl w:ilvl="0">
      <w:lvlJc w:val="left"/>
      <w:lvlText w:val="%1."/>
      <w:numFmt w:val="decimal"/>
      <w:start w:val="23"/>
    </w:lvl>
  </w:abstractNum>
  <w:abstractNum w:abstractNumId="264">
    <w:nsid w:val="2A79EC49"/>
    <w:multiLevelType w:val="hybridMultilevel"/>
    <w:lvl w:ilvl="0">
      <w:lvlJc w:val="left"/>
      <w:lvlText w:val="%1."/>
      <w:numFmt w:val="decimal"/>
      <w:start w:val="24"/>
    </w:lvl>
    <w:lvl w:ilvl="1">
      <w:lvlJc w:val="left"/>
      <w:lvlText w:val="(%2)"/>
      <w:numFmt w:val="lowerLetter"/>
      <w:start w:val="1"/>
    </w:lvl>
  </w:abstractNum>
  <w:abstractNum w:abstractNumId="265">
    <w:nsid w:val="338125CF"/>
    <w:multiLevelType w:val="hybridMultilevel"/>
    <w:lvl w:ilvl="0">
      <w:lvlJc w:val="left"/>
      <w:lvlText w:val="(%1)"/>
      <w:numFmt w:val="lowerLetter"/>
      <w:start w:val="2"/>
    </w:lvl>
  </w:abstractNum>
  <w:abstractNum w:abstractNumId="266">
    <w:nsid w:val="47C7C971"/>
    <w:multiLevelType w:val="hybridMultilevel"/>
    <w:lvl w:ilvl="0">
      <w:lvlJc w:val="left"/>
      <w:lvlText w:val="%1."/>
      <w:numFmt w:val="decimal"/>
      <w:start w:val="25"/>
    </w:lvl>
  </w:abstractNum>
  <w:abstractNum w:abstractNumId="267">
    <w:nsid w:val="46F8284B"/>
    <w:multiLevelType w:val="hybridMultilevel"/>
    <w:lvl w:ilvl="0">
      <w:lvlJc w:val="left"/>
      <w:lvlText w:val="(%1)"/>
      <w:numFmt w:val="lowerLetter"/>
      <w:start w:val="1"/>
    </w:lvl>
  </w:abstractNum>
  <w:abstractNum w:abstractNumId="268">
    <w:nsid w:val="4FA327CE"/>
    <w:multiLevelType w:val="hybridMultilevel"/>
    <w:lvl w:ilvl="0">
      <w:lvlJc w:val="left"/>
      <w:lvlText w:val="(%1)"/>
      <w:numFmt w:val="lowerLetter"/>
      <w:start w:val="1"/>
    </w:lvl>
    <w:lvl w:ilvl="1">
      <w:lvlJc w:val="left"/>
      <w:lvlText w:val="(%2)"/>
      <w:numFmt w:val="lowerRoman"/>
      <w:start w:val="1"/>
    </w:lvl>
  </w:abstractNum>
  <w:abstractNum w:abstractNumId="269">
    <w:nsid w:val="1873983A"/>
    <w:multiLevelType w:val="hybridMultilevel"/>
    <w:lvl w:ilvl="0">
      <w:lvlJc w:val="left"/>
      <w:lvlText w:val="(%1)"/>
      <w:numFmt w:val="lowerLetter"/>
      <w:start w:val="2"/>
    </w:lvl>
  </w:abstractNum>
  <w:abstractNum w:abstractNumId="270">
    <w:nsid w:val="3D2DD275"/>
    <w:multiLevelType w:val="hybridMultilevel"/>
    <w:lvl w:ilvl="0">
      <w:lvlJc w:val="left"/>
      <w:lvlText w:val="(%1)"/>
      <w:numFmt w:val="lowerLetter"/>
      <w:start w:val="1"/>
    </w:lvl>
  </w:abstractNum>
  <w:abstractNum w:abstractNumId="271">
    <w:nsid w:val="2E17ECA7"/>
    <w:multiLevelType w:val="hybridMultilevel"/>
    <w:lvl w:ilvl="0">
      <w:lvlJc w:val="left"/>
      <w:lvlText w:val="(%1)"/>
      <w:numFmt w:val="lowerLetter"/>
      <w:start w:val="1"/>
    </w:lvl>
  </w:abstractNum>
  <w:abstractNum w:abstractNumId="272">
    <w:nsid w:val="53B2564F"/>
    <w:multiLevelType w:val="hybridMultilevel"/>
    <w:lvl w:ilvl="0">
      <w:lvlJc w:val="left"/>
      <w:lvlText w:val="(%1)"/>
      <w:numFmt w:val="lowerLetter"/>
      <w:start w:val="1"/>
    </w:lvl>
  </w:abstractNum>
  <w:abstractNum w:abstractNumId="273">
    <w:nsid w:val="75509D76"/>
    <w:multiLevelType w:val="hybridMultilevel"/>
    <w:lvl w:ilvl="0">
      <w:lvlJc w:val="left"/>
      <w:lvlText w:val="%1"/>
      <w:numFmt w:val="decimal"/>
      <w:start w:val="1"/>
    </w:lvl>
    <w:lvl w:ilvl="1">
      <w:lvlJc w:val="left"/>
      <w:lvlText w:val="(%2)"/>
      <w:numFmt w:val="lowerLetter"/>
      <w:start w:val="4"/>
    </w:lvl>
  </w:abstractNum>
  <w:abstractNum w:abstractNumId="274">
    <w:nsid w:val="1AF7F0EA"/>
    <w:multiLevelType w:val="hybridMultilevel"/>
    <w:lvl w:ilvl="0">
      <w:lvlJc w:val="left"/>
      <w:lvlText w:val="%1."/>
      <w:numFmt w:val="decimal"/>
      <w:start w:val="26"/>
    </w:lvl>
    <w:lvl w:ilvl="1">
      <w:lvlJc w:val="left"/>
      <w:lvlText w:val="%2"/>
      <w:numFmt w:val="lowerLetter"/>
      <w:start w:val="1"/>
    </w:lvl>
  </w:abstractNum>
  <w:abstractNum w:abstractNumId="275">
    <w:nsid w:val="4DA32C7E"/>
    <w:multiLevelType w:val="hybridMultilevel"/>
    <w:lvl w:ilvl="0">
      <w:lvlJc w:val="left"/>
      <w:lvlText w:val="(%1)"/>
      <w:numFmt w:val="lowerLetter"/>
      <w:start w:val="1"/>
    </w:lvl>
    <w:lvl w:ilvl="1">
      <w:lvlJc w:val="left"/>
      <w:lvlText w:val="(%2)"/>
      <w:numFmt w:val="lowerRoman"/>
      <w:start w:val="1"/>
    </w:lvl>
  </w:abstractNum>
  <w:abstractNum w:abstractNumId="276">
    <w:nsid w:val="6EC68664"/>
    <w:multiLevelType w:val="hybridMultilevel"/>
    <w:lvl w:ilvl="0">
      <w:lvlJc w:val="left"/>
      <w:lvlText w:val="(%1)"/>
      <w:numFmt w:val="lowerLetter"/>
      <w:start w:val="2"/>
    </w:lvl>
  </w:abstractNum>
  <w:abstractNum w:abstractNumId="277">
    <w:nsid w:val="E0D31FF"/>
    <w:multiLevelType w:val="hybridMultilevel"/>
    <w:lvl w:ilvl="0">
      <w:lvlJc w:val="left"/>
      <w:lvlText w:val="(%1)"/>
      <w:numFmt w:val="lowerLetter"/>
      <w:start w:val="1"/>
    </w:lvl>
  </w:abstractNum>
  <w:abstractNum w:abstractNumId="278">
    <w:nsid w:val="2FD0AD81"/>
    <w:multiLevelType w:val="hybridMultilevel"/>
    <w:lvl w:ilvl="0">
      <w:lvlJc w:val="left"/>
      <w:lvlText w:val="%1"/>
      <w:numFmt w:val="lowerLetter"/>
      <w:start w:val="1"/>
    </w:lvl>
    <w:lvl w:ilvl="1">
      <w:lvlJc w:val="left"/>
      <w:lvlText w:val="(%2)"/>
      <w:numFmt w:val="lowerRoman"/>
      <w:start w:val="1"/>
    </w:lvl>
  </w:abstractNum>
  <w:abstractNum w:abstractNumId="279">
    <w:nsid w:val="1978EBEB"/>
    <w:multiLevelType w:val="hybridMultilevel"/>
    <w:lvl w:ilvl="0">
      <w:lvlJc w:val="left"/>
      <w:lvlText w:val="(%1)"/>
      <w:numFmt w:val="lowerLetter"/>
      <w:start w:val="2"/>
    </w:lvl>
    <w:lvl w:ilvl="1">
      <w:lvlJc w:val="left"/>
      <w:lvlText w:val="%2"/>
      <w:numFmt w:val="lowerRoman"/>
      <w:start w:val="1"/>
    </w:lvl>
  </w:abstractNum>
  <w:abstractNum w:abstractNumId="280">
    <w:nsid w:val="52C12C61"/>
    <w:multiLevelType w:val="hybridMultilevel"/>
    <w:lvl w:ilvl="0">
      <w:lvlJc w:val="left"/>
      <w:lvlText w:val="(%1)"/>
      <w:numFmt w:val="lowerLetter"/>
      <w:start w:val="1"/>
    </w:lvl>
    <w:lvl w:ilvl="1">
      <w:lvlJc w:val="left"/>
      <w:lvlText w:val="(%2)"/>
      <w:numFmt w:val="lowerRoman"/>
      <w:start w:val="1"/>
    </w:lvl>
  </w:abstractNum>
  <w:abstractNum w:abstractNumId="281">
    <w:nsid w:val="4BDD53FD"/>
    <w:multiLevelType w:val="hybridMultilevel"/>
    <w:lvl w:ilvl="0">
      <w:lvlJc w:val="left"/>
      <w:lvlText w:val="%1."/>
      <w:numFmt w:val="decimal"/>
      <w:start w:val="28"/>
    </w:lvl>
  </w:abstractNum>
  <w:abstractNum w:abstractNumId="282">
    <w:nsid w:val="569951FE"/>
    <w:multiLevelType w:val="hybridMultilevel"/>
    <w:lvl w:ilvl="0">
      <w:lvlJc w:val="left"/>
      <w:lvlText w:val="%1."/>
      <w:numFmt w:val="decimal"/>
      <w:start w:val="29"/>
    </w:lvl>
  </w:abstractNum>
  <w:abstractNum w:abstractNumId="283">
    <w:nsid w:val="4C54E2C3"/>
    <w:multiLevelType w:val="hybridMultilevel"/>
    <w:lvl w:ilvl="0">
      <w:lvlJc w:val="left"/>
      <w:lvlText w:val="(%1)"/>
      <w:numFmt w:val="lowerLetter"/>
      <w:start w:val="1"/>
    </w:lvl>
    <w:lvl w:ilvl="1">
      <w:lvlJc w:val="left"/>
      <w:lvlText w:val="(%2)"/>
      <w:numFmt w:val="lowerLetter"/>
      <w:start w:val="9"/>
    </w:lvl>
  </w:abstractNum>
  <w:abstractNum w:abstractNumId="284">
    <w:nsid w:val="788BD9B"/>
    <w:multiLevelType w:val="hybridMultilevel"/>
    <w:lvl w:ilvl="0">
      <w:lvlJc w:val="left"/>
      <w:lvlText w:val="(%1)"/>
      <w:numFmt w:val="upperLetter"/>
      <w:start w:val="1"/>
    </w:lvl>
  </w:abstractNum>
  <w:abstractNum w:abstractNumId="285">
    <w:nsid w:val="47CAA567"/>
    <w:multiLevelType w:val="hybridMultilevel"/>
    <w:lvl w:ilvl="0">
      <w:lvlJc w:val="left"/>
      <w:lvlText w:val="(%1)"/>
      <w:numFmt w:val="upperLetter"/>
      <w:start w:val="3"/>
    </w:lvl>
  </w:abstractNum>
  <w:abstractNum w:abstractNumId="286">
    <w:nsid w:val="48249DBF"/>
    <w:multiLevelType w:val="hybridMultilevel"/>
    <w:lvl w:ilvl="0">
      <w:lvlJc w:val="left"/>
      <w:lvlText w:val="%1."/>
      <w:numFmt w:val="decimal"/>
      <w:start w:val="32"/>
    </w:lvl>
  </w:abstractNum>
  <w:abstractNum w:abstractNumId="287">
    <w:nsid w:val="1F0E5D0D"/>
    <w:multiLevelType w:val="hybridMultilevel"/>
    <w:lvl w:ilvl="0">
      <w:lvlJc w:val="left"/>
      <w:lvlText w:val="(%1)"/>
      <w:numFmt w:val="lowerLetter"/>
      <w:start w:val="1"/>
    </w:lvl>
    <w:lvl w:ilvl="1">
      <w:lvlJc w:val="left"/>
      <w:lvlText w:val="(%2)"/>
      <w:numFmt w:val="lowerRoman"/>
      <w:start w:val="1"/>
    </w:lvl>
  </w:abstractNum>
  <w:abstractNum w:abstractNumId="288">
    <w:nsid w:val="26BAAE9"/>
    <w:multiLevelType w:val="hybridMultilevel"/>
    <w:lvl w:ilvl="0">
      <w:lvlJc w:val="left"/>
      <w:lvlText w:val="(%1)"/>
      <w:numFmt w:val="lowerRoman"/>
      <w:start w:val="3"/>
    </w:lvl>
  </w:abstractNum>
  <w:abstractNum w:abstractNumId="289">
    <w:nsid w:val="2C02FE8C"/>
    <w:multiLevelType w:val="hybridMultilevel"/>
    <w:lvl w:ilvl="0">
      <w:lvlJc w:val="left"/>
      <w:lvlText w:val="(%1)"/>
      <w:numFmt w:val="upperLetter"/>
      <w:start w:val="1"/>
    </w:lvl>
  </w:abstractNum>
  <w:abstractNum w:abstractNumId="290">
    <w:nsid w:val="129517E"/>
    <w:multiLevelType w:val="hybridMultilevel"/>
    <w:lvl w:ilvl="0">
      <w:lvlJc w:val="left"/>
      <w:lvlText w:val="(%1)"/>
      <w:numFmt w:val="lowerLetter"/>
      <w:start w:val="3"/>
    </w:lvl>
  </w:abstractNum>
  <w:abstractNum w:abstractNumId="291">
    <w:nsid w:val="763B8C4E"/>
    <w:multiLevelType w:val="hybridMultilevel"/>
    <w:lvl w:ilvl="0">
      <w:lvlJc w:val="left"/>
      <w:lvlText w:val="(%1)"/>
      <w:numFmt w:val="lowerLetter"/>
      <w:start w:val="1"/>
    </w:lvl>
  </w:abstractNum>
  <w:abstractNum w:abstractNumId="292">
    <w:nsid w:val="4CFB8D32"/>
    <w:multiLevelType w:val="hybridMultilevel"/>
    <w:lvl w:ilvl="0">
      <w:lvlJc w:val="left"/>
      <w:lvlText w:val="(%1)"/>
      <w:numFmt w:val="lowerLetter"/>
      <w:start w:val="1"/>
    </w:lvl>
    <w:lvl w:ilvl="1">
      <w:lvlJc w:val="left"/>
      <w:lvlText w:val="(%2)"/>
      <w:numFmt w:val="lowerRoman"/>
      <w:start w:val="1"/>
    </w:lvl>
  </w:abstractNum>
  <w:abstractNum w:abstractNumId="293">
    <w:nsid w:val="62A5D5BD"/>
    <w:multiLevelType w:val="hybridMultilevel"/>
    <w:lvl w:ilvl="0">
      <w:lvlJc w:val="left"/>
      <w:lvlText w:val="(%1)"/>
      <w:numFmt w:val="lowerRoman"/>
      <w:start w:val="8"/>
    </w:lvl>
  </w:abstractNum>
  <w:abstractNum w:abstractNumId="294">
    <w:nsid w:val="718FABF9"/>
    <w:multiLevelType w:val="hybridMultilevel"/>
    <w:lvl w:ilvl="0">
      <w:lvlJc w:val="left"/>
      <w:lvlText w:val="(%1)"/>
      <w:numFmt w:val="lowerLetter"/>
      <w:start w:val="2"/>
    </w:lvl>
    <w:lvl w:ilvl="1">
      <w:lvlJc w:val="left"/>
      <w:lvlText w:val="(%2)"/>
      <w:numFmt w:val="lowerRoman"/>
      <w:start w:val="1"/>
    </w:lvl>
  </w:abstractNum>
  <w:abstractNum w:abstractNumId="295">
    <w:nsid w:val="7775797C"/>
    <w:multiLevelType w:val="hybridMultilevel"/>
    <w:lvl w:ilvl="0">
      <w:lvlJc w:val="left"/>
      <w:lvlText w:val="(%1)"/>
      <w:numFmt w:val="lowerLetter"/>
      <w:start w:val="1"/>
    </w:lvl>
  </w:abstractNum>
  <w:abstractNum w:abstractNumId="296">
    <w:nsid w:val="1626FB8C"/>
    <w:multiLevelType w:val="hybridMultilevel"/>
    <w:lvl w:ilvl="0">
      <w:lvlJc w:val="left"/>
      <w:lvlText w:val="%1"/>
      <w:numFmt w:val="decimal"/>
      <w:start w:val="1"/>
    </w:lvl>
    <w:lvl w:ilvl="1">
      <w:lvlJc w:val="left"/>
      <w:lvlText w:val="(%2)"/>
      <w:numFmt w:val="lowerLetter"/>
      <w:start w:val="1"/>
    </w:lvl>
  </w:abstractNum>
  <w:abstractNum w:abstractNumId="297">
    <w:nsid w:val="3957756A"/>
    <w:multiLevelType w:val="hybridMultilevel"/>
    <w:lvl w:ilvl="0">
      <w:lvlJc w:val="left"/>
      <w:lvlText w:val="%1."/>
      <w:numFmt w:val="decimal"/>
      <w:start w:val="33"/>
    </w:lvl>
    <w:lvl w:ilvl="1">
      <w:lvlJc w:val="left"/>
      <w:lvlText w:val="%2"/>
      <w:numFmt w:val="lowerLetter"/>
      <w:start w:val="1"/>
    </w:lvl>
  </w:abstractNum>
  <w:abstractNum w:abstractNumId="298">
    <w:nsid w:val="3E6DA1C7"/>
    <w:multiLevelType w:val="hybridMultilevel"/>
    <w:lvl w:ilvl="0">
      <w:lvlJc w:val="left"/>
      <w:lvlText w:val="(%1)"/>
      <w:numFmt w:val="lowerLetter"/>
      <w:start w:val="1"/>
    </w:lvl>
    <w:lvl w:ilvl="1">
      <w:lvlJc w:val="left"/>
      <w:lvlText w:val="(%2)"/>
      <w:numFmt w:val="lowerRoman"/>
      <w:start w:val="1"/>
    </w:lvl>
  </w:abstractNum>
  <w:abstractNum w:abstractNumId="299">
    <w:nsid w:val="65CA235B"/>
    <w:multiLevelType w:val="hybridMultilevel"/>
    <w:lvl w:ilvl="0">
      <w:lvlJc w:val="left"/>
      <w:lvlText w:val="(%1)"/>
      <w:numFmt w:val="lowerRoman"/>
      <w:start w:val="3"/>
    </w:lvl>
  </w:abstractNum>
  <w:abstractNum w:abstractNumId="300">
    <w:nsid w:val="51CB0DA4"/>
    <w:multiLevelType w:val="hybridMultilevel"/>
    <w:lvl w:ilvl="0">
      <w:lvlJc w:val="left"/>
      <w:lvlText w:val="(%1)"/>
      <w:numFmt w:val="lowerLetter"/>
      <w:start w:val="1"/>
    </w:lvl>
    <w:lvl w:ilvl="1">
      <w:lvlJc w:val="left"/>
      <w:lvlText w:val="(%2)"/>
      <w:numFmt w:val="lowerRoman"/>
      <w:start w:val="1"/>
    </w:lvl>
  </w:abstractNum>
  <w:abstractNum w:abstractNumId="301">
    <w:nsid w:val="7B9B743C"/>
    <w:multiLevelType w:val="hybridMultilevel"/>
    <w:lvl w:ilvl="0">
      <w:lvlJc w:val="left"/>
      <w:lvlText w:val="%1."/>
      <w:numFmt w:val="decimal"/>
      <w:start w:val="34"/>
    </w:lvl>
  </w:abstractNum>
  <w:abstractNum w:abstractNumId="302">
    <w:nsid w:val="13E21002"/>
    <w:multiLevelType w:val="hybridMultilevel"/>
    <w:lvl w:ilvl="0">
      <w:lvlJc w:val="left"/>
      <w:lvlText w:val="(%1)"/>
      <w:numFmt w:val="lowerLetter"/>
      <w:start w:val="1"/>
    </w:lvl>
    <w:lvl w:ilvl="1">
      <w:lvlJc w:val="left"/>
      <w:lvlText w:val="(%2)"/>
      <w:numFmt w:val="lowerRoman"/>
      <w:start w:val="1"/>
    </w:lvl>
  </w:abstractNum>
  <w:abstractNum w:abstractNumId="303">
    <w:nsid w:val="257D63F4"/>
    <w:multiLevelType w:val="hybridMultilevel"/>
    <w:lvl w:ilvl="0">
      <w:lvlJc w:val="left"/>
      <w:lvlText w:val="%1."/>
      <w:numFmt w:val="decimal"/>
      <w:start w:val="36"/>
    </w:lvl>
  </w:abstractNum>
  <w:abstractNum w:abstractNumId="304">
    <w:nsid w:val="70EC11B2"/>
    <w:multiLevelType w:val="hybridMultilevel"/>
    <w:lvl w:ilvl="0">
      <w:lvlJc w:val="left"/>
      <w:lvlText w:val="(%1)"/>
      <w:numFmt w:val="lowerRoman"/>
      <w:start w:val="3"/>
    </w:lvl>
  </w:abstractNum>
  <w:abstractNum w:abstractNumId="305">
    <w:nsid w:val="2EDA00ED"/>
    <w:multiLevelType w:val="hybridMultilevel"/>
    <w:lvl w:ilvl="0">
      <w:lvlJc w:val="left"/>
      <w:lvlText w:val="%1."/>
      <w:numFmt w:val="decimal"/>
      <w:start w:val="37"/>
    </w:lvl>
    <w:lvl w:ilvl="1">
      <w:lvlJc w:val="left"/>
      <w:lvlText w:val="(%2)"/>
      <w:numFmt w:val="lowerLetter"/>
      <w:start w:val="1"/>
    </w:lvl>
  </w:abstractNum>
  <w:abstractNum w:abstractNumId="306">
    <w:nsid w:val="7320907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7">
    <w:nsid w:val="5FB29816"/>
    <w:multiLevelType w:val="hybridMultilevel"/>
    <w:lvl w:ilvl="0">
      <w:lvlJc w:val="left"/>
      <w:lvlText w:val="%1."/>
      <w:numFmt w:val="decimal"/>
      <w:start w:val="3"/>
    </w:lvl>
    <w:lvl w:ilvl="1">
      <w:lvlJc w:val="left"/>
      <w:lvlText w:val="(%2)"/>
      <w:numFmt w:val="lowerLetter"/>
      <w:start w:val="1"/>
    </w:lvl>
  </w:abstractNum>
  <w:abstractNum w:abstractNumId="308">
    <w:nsid w:val="3CE732EC"/>
    <w:multiLevelType w:val="hybridMultilevel"/>
    <w:lvl w:ilvl="0">
      <w:lvlJc w:val="left"/>
      <w:lvlText w:val="%1."/>
      <w:numFmt w:val="decimal"/>
      <w:start w:val="1"/>
    </w:lvl>
  </w:abstractNum>
  <w:abstractNum w:abstractNumId="309">
    <w:nsid w:val="22F13DF3"/>
    <w:multiLevelType w:val="hybridMultilevel"/>
    <w:lvl w:ilvl="0">
      <w:lvlJc w:val="left"/>
      <w:lvlText w:val="%1."/>
      <w:numFmt w:val="decimal"/>
      <w:start w:val="3"/>
    </w:lvl>
  </w:abstractNum>
  <w:abstractNum w:abstractNumId="310">
    <w:nsid w:val="792B8401"/>
    <w:multiLevelType w:val="hybridMultilevel"/>
    <w:lvl w:ilvl="0">
      <w:lvlJc w:val="left"/>
      <w:lvlText w:val="%1."/>
      <w:numFmt w:val="decimal"/>
      <w:start w:val="1"/>
    </w:lvl>
    <w:lvl w:ilvl="1">
      <w:lvlJc w:val="left"/>
      <w:lvlText w:val="(%2)"/>
      <w:numFmt w:val="lowerLetter"/>
      <w:start w:val="1"/>
    </w:lvl>
  </w:abstractNum>
  <w:abstractNum w:abstractNumId="311">
    <w:nsid w:val="FA85F4D"/>
    <w:multiLevelType w:val="hybridMultilevel"/>
    <w:lvl w:ilvl="0">
      <w:lvlJc w:val="left"/>
      <w:lvlText w:val="%1"/>
      <w:numFmt w:val="decimal"/>
      <w:start w:val="1"/>
    </w:lvl>
    <w:lvl w:ilvl="1">
      <w:lvlJc w:val="left"/>
      <w:lvlText w:val="(%2)"/>
      <w:numFmt w:val="lowerLetter"/>
      <w:start w:val="3"/>
    </w:lvl>
  </w:abstractNum>
  <w:abstractNum w:abstractNumId="312">
    <w:nsid w:val="6ECE91F0"/>
    <w:multiLevelType w:val="hybridMultilevel"/>
    <w:lvl w:ilvl="0">
      <w:lvlJc w:val="left"/>
      <w:lvlText w:val="%1."/>
      <w:numFmt w:val="decimal"/>
      <w:start w:val="3"/>
    </w:lvl>
    <w:lvl w:ilvl="1">
      <w:lvlJc w:val="left"/>
      <w:lvlText w:val="(%2)"/>
      <w:numFmt w:val="lowerLetter"/>
      <w:start w:val="1"/>
    </w:lvl>
  </w:abstractNum>
  <w:abstractNum w:abstractNumId="313">
    <w:nsid w:val="4FC4D600"/>
    <w:multiLevelType w:val="hybridMultilevel"/>
    <w:lvl w:ilvl="0">
      <w:lvlJc w:val="left"/>
      <w:lvlText w:val="1"/>
      <w:numFmt w:val="bullet"/>
      <w:start w:val="1"/>
    </w:lvl>
  </w:abstractNum>
  <w:abstractNum w:abstractNumId="314">
    <w:nsid w:val="5BFD4210"/>
    <w:multiLevelType w:val="hybridMultilevel"/>
    <w:lvl w:ilvl="0">
      <w:lvlJc w:val="left"/>
      <w:lvlText w:val="2"/>
      <w:numFmt w:val="bullet"/>
      <w:start w:val="1"/>
    </w:lvl>
  </w:abstractNum>
  <w:abstractNum w:abstractNumId="315">
    <w:nsid w:val="76574F8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6">
    <w:nsid w:val="178F7B67"/>
    <w:multiLevelType w:val="hybridMultilevel"/>
    <w:lvl w:ilvl="0">
      <w:lvlJc w:val="left"/>
      <w:lvlText w:val="%1."/>
      <w:numFmt w:val="decimal"/>
      <w:start w:val="5"/>
    </w:lvl>
  </w:abstractNum>
  <w:abstractNum w:abstractNumId="317">
    <w:nsid w:val="2421DFCF"/>
    <w:multiLevelType w:val="hybridMultilevel"/>
    <w:lvl w:ilvl="0">
      <w:lvlJc w:val="left"/>
      <w:lvlText w:val="3"/>
      <w:numFmt w:val="bullet"/>
      <w:start w:val="1"/>
    </w:lvl>
  </w:abstractNum>
  <w:abstractNum w:abstractNumId="318">
    <w:nsid w:val="1565AC99"/>
    <w:multiLevelType w:val="hybridMultilevel"/>
    <w:lvl w:ilvl="0">
      <w:lvlJc w:val="left"/>
      <w:lvlText w:val="4"/>
      <w:numFmt w:val="bullet"/>
      <w:start w:val="1"/>
    </w:lvl>
  </w:abstractNum>
  <w:abstractNum w:abstractNumId="319">
    <w:nsid w:val="19FB2650"/>
    <w:multiLevelType w:val="hybridMultilevel"/>
    <w:lvl w:ilvl="0">
      <w:lvlJc w:val="left"/>
      <w:lvlText w:val="%1."/>
      <w:numFmt w:val="decimal"/>
      <w:start w:val="1"/>
    </w:lvl>
    <w:lvl w:ilvl="1">
      <w:lvlJc w:val="left"/>
      <w:lvlText w:val="(%2)"/>
      <w:numFmt w:val="lowerLetter"/>
      <w:start w:val="1"/>
    </w:lvl>
  </w:abstractNum>
  <w:abstractNum w:abstractNumId="320">
    <w:nsid w:val="5024DE5B"/>
    <w:multiLevelType w:val="hybridMultilevel"/>
    <w:lvl w:ilvl="0">
      <w:lvlJc w:val="left"/>
      <w:lvlText w:val="5"/>
      <w:numFmt w:val="bullet"/>
      <w:start w:val="1"/>
    </w:lvl>
  </w:abstractNum>
  <w:abstractNum w:abstractNumId="321">
    <w:nsid w:val="168EFE1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22">
    <w:nsid w:val="1036B29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23">
    <w:nsid w:val="1D206B8E"/>
    <w:multiLevelType w:val="hybridMultilevel"/>
    <w:lvl w:ilvl="0">
      <w:lvlJc w:val="left"/>
      <w:lvlText w:val="6"/>
      <w:numFmt w:val="bullet"/>
      <w:start w:val="1"/>
    </w:lvl>
  </w:abstractNum>
  <w:abstractNum w:abstractNumId="324">
    <w:nsid w:val="7934D3D4"/>
    <w:multiLevelType w:val="hybridMultilevel"/>
    <w:lvl w:ilvl="0">
      <w:lvlJc w:val="left"/>
      <w:lvlText w:val="7"/>
      <w:numFmt w:val="bullet"/>
      <w:start w:val="1"/>
    </w:lvl>
  </w:abstractNum>
  <w:abstractNum w:abstractNumId="325">
    <w:nsid w:val="1C65E98"/>
    <w:multiLevelType w:val="hybridMultilevel"/>
    <w:lvl w:ilvl="0">
      <w:lvlJc w:val="left"/>
      <w:lvlText w:val="8"/>
      <w:numFmt w:val="bullet"/>
      <w:start w:val="1"/>
    </w:lvl>
  </w:abstractNum>
  <w:abstractNum w:abstractNumId="326">
    <w:nsid w:val="1495E50A"/>
    <w:multiLevelType w:val="hybridMultilevel"/>
    <w:lvl w:ilvl="0">
      <w:lvlJc w:val="left"/>
      <w:lvlText w:val="9"/>
      <w:numFmt w:val="bullet"/>
      <w:start w:val="1"/>
    </w:lvl>
  </w:abstractNum>
  <w:abstractNum w:abstractNumId="327">
    <w:nsid w:val="F5BCF61"/>
    <w:multiLevelType w:val="hybridMultilevel"/>
    <w:lvl w:ilvl="0">
      <w:lvlJc w:val="left"/>
      <w:lvlText w:val="%1."/>
      <w:numFmt w:val="decimal"/>
      <w:start w:val="1"/>
    </w:lvl>
    <w:lvl w:ilvl="1">
      <w:lvlJc w:val="left"/>
      <w:lvlText w:val="(%2)"/>
      <w:numFmt w:val="lowerLetter"/>
      <w:start w:val="1"/>
    </w:lvl>
  </w:abstractNum>
  <w:abstractNum w:abstractNumId="328">
    <w:nsid w:val="3B1DD403"/>
    <w:multiLevelType w:val="hybridMultilevel"/>
    <w:lvl w:ilvl="0">
      <w:lvlJc w:val="left"/>
      <w:lvlText w:val="*"/>
      <w:numFmt w:val="bullet"/>
      <w:start w:val="1"/>
    </w:lvl>
  </w:abstractNum>
  <w:abstractNum w:abstractNumId="329">
    <w:nsid w:val="530386D1"/>
    <w:multiLevelType w:val="hybridMultilevel"/>
    <w:lvl w:ilvl="0">
      <w:lvlJc w:val="left"/>
      <w:lvlText w:val="%1"/>
      <w:numFmt w:val="decimal"/>
      <w:start w:val="10"/>
    </w:lvl>
  </w:abstractNum>
  <w:abstractNum w:abstractNumId="330">
    <w:nsid w:val="7525F2BC"/>
    <w:multiLevelType w:val="hybridMultilevel"/>
    <w:lvl w:ilvl="0">
      <w:lvlJc w:val="left"/>
      <w:lvlText w:val="%1"/>
      <w:numFmt w:val="decimal"/>
      <w:start w:val="1"/>
    </w:lvl>
    <w:lvl w:ilvl="1">
      <w:lvlJc w:val="left"/>
      <w:lvlText w:val="(%2)"/>
      <w:numFmt w:val="lowerRoman"/>
      <w:start w:val="1"/>
    </w:lvl>
  </w:abstractNum>
  <w:abstractNum w:abstractNumId="331">
    <w:nsid w:val="CE8E1A7"/>
    <w:multiLevelType w:val="hybridMultilevel"/>
    <w:lvl w:ilvl="0">
      <w:lvlJc w:val="left"/>
      <w:lvlText w:val="%1."/>
      <w:numFmt w:val="decimal"/>
      <w:start w:val="1"/>
    </w:lvl>
    <w:lvl w:ilvl="1">
      <w:lvlJc w:val="left"/>
      <w:lvlText w:val="%2"/>
      <w:numFmt w:val="lowerRoman"/>
      <w:start w:val="1"/>
    </w:lvl>
  </w:abstractNum>
  <w:abstractNum w:abstractNumId="332">
    <w:nsid w:val="4E9EFB0D"/>
    <w:multiLevelType w:val="hybridMultilevel"/>
    <w:lvl w:ilvl="0">
      <w:lvlJc w:val="left"/>
      <w:lvlText w:val="%1."/>
      <w:numFmt w:val="decimal"/>
      <w:start w:val="2"/>
    </w:lvl>
  </w:abstractNum>
  <w:abstractNum w:abstractNumId="333">
    <w:nsid w:val="90802BE"/>
    <w:multiLevelType w:val="hybridMultilevel"/>
    <w:lvl w:ilvl="0">
      <w:lvlJc w:val="left"/>
      <w:lvlText w:val="%1"/>
      <w:numFmt w:val="decimal"/>
      <w:start w:val="1"/>
    </w:lvl>
    <w:lvl w:ilvl="1">
      <w:lvlJc w:val="left"/>
      <w:lvlText w:val="%2)"/>
      <w:numFmt w:val="lowerLetter"/>
      <w:start w:val="1"/>
    </w:lvl>
  </w:abstractNum>
  <w:abstractNum w:abstractNumId="334">
    <w:nsid w:val="3266459B"/>
    <w:multiLevelType w:val="hybridMultilevel"/>
    <w:lvl w:ilvl="0">
      <w:lvlJc w:val="left"/>
      <w:lvlText w:val="%1."/>
      <w:numFmt w:val="decimal"/>
      <w:start w:val="3"/>
    </w:lvl>
    <w:lvl w:ilvl="1">
      <w:lvlJc w:val="left"/>
      <w:lvlText w:val="%2"/>
      <w:numFmt w:val="lowerLetter"/>
      <w:start w:val="1"/>
    </w:lvl>
  </w:abstractNum>
  <w:abstractNum w:abstractNumId="335">
    <w:nsid w:val="3F8B0CBF"/>
    <w:multiLevelType w:val="hybridMultilevel"/>
    <w:lvl w:ilvl="0">
      <w:lvlJc w:val="left"/>
      <w:lvlText w:val="%1."/>
      <w:numFmt w:val="decimal"/>
      <w:start w:val="4"/>
    </w:lvl>
  </w:abstractNum>
  <w:abstractNum w:abstractNumId="336">
    <w:nsid w:val="37E203AB"/>
    <w:multiLevelType w:val="hybridMultilevel"/>
    <w:lvl w:ilvl="0">
      <w:lvlJc w:val="left"/>
      <w:lvlText w:val="%1."/>
      <w:numFmt w:val="decimal"/>
      <w:start w:val="5"/>
    </w:lvl>
  </w:abstractNum>
  <w:abstractNum w:abstractNumId="337">
    <w:nsid w:val="2586D60E"/>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2020-04-27T06:58:20Z</dcterms:created>
  <dcterms:modified xsi:type="dcterms:W3CDTF">2020-04-27T06:58:20Z</dcterms:modified>
</cp:coreProperties>
</file>