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Skeffington Keyna Pidcock</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06/30/2021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05"/>
        <w:spacing w:after="0"/>
        <w:rPr>
          <w:sz w:val="20"/>
          <w:szCs w:val="20"/>
          <w:color w:val="auto"/>
        </w:rPr>
      </w:pPr>
      <w:r>
        <w:rPr>
          <w:rFonts w:ascii="Arial" w:cs="Arial" w:eastAsia="Arial" w:hAnsi="Arial"/>
          <w:sz w:val="17"/>
          <w:szCs w:val="17"/>
          <w:color w:val="0000FF"/>
        </w:rPr>
        <w:t>General Counsel</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40"/>
              <w:spacing w:after="0"/>
              <w:rPr>
                <w:sz w:val="20"/>
                <w:szCs w:val="20"/>
                <w:color w:val="auto"/>
              </w:rPr>
            </w:pPr>
            <w:r>
              <w:rPr>
                <w:rFonts w:ascii="Arial" w:cs="Arial" w:eastAsia="Arial" w:hAnsi="Arial"/>
                <w:sz w:val="17"/>
                <w:szCs w:val="17"/>
                <w:color w:val="0000FF"/>
              </w:rPr>
              <w:t>X0</w:t>
            </w:r>
          </w:p>
        </w:tc>
        <w:tc>
          <w:tcPr>
            <w:tcW w:w="1600" w:type="dxa"/>
            <w:vAlign w:val="bottom"/>
          </w:tcPr>
          <w:p>
            <w:pPr>
              <w:ind w:left="400"/>
              <w:spacing w:after="0"/>
              <w:rPr>
                <w:sz w:val="20"/>
                <w:szCs w:val="20"/>
                <w:color w:val="auto"/>
              </w:rPr>
            </w:pPr>
            <w:r>
              <w:rPr>
                <w:rFonts w:ascii="Arial" w:cs="Arial" w:eastAsia="Arial" w:hAnsi="Arial"/>
                <w:sz w:val="17"/>
                <w:szCs w:val="17"/>
                <w:color w:val="0000FF"/>
              </w:rPr>
              <w:t>W2 6LG</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06/30/2021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18</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66.21</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5,543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06/30/2021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20" w:type="dxa"/>
            <w:vAlign w:val="bottom"/>
            <w:tcBorders>
              <w:bottom w:val="single" w:sz="8" w:color="2C2C2C"/>
            </w:tcBorders>
          </w:tcPr>
          <w:p>
            <w:pPr>
              <w:jc w:val="right"/>
              <w:ind w:right="193"/>
              <w:spacing w:after="0"/>
              <w:rPr>
                <w:sz w:val="20"/>
                <w:szCs w:val="20"/>
                <w:color w:val="auto"/>
              </w:rPr>
            </w:pPr>
            <w:r>
              <w:rPr>
                <w:rFonts w:ascii="Arial" w:cs="Arial" w:eastAsia="Arial" w:hAnsi="Arial"/>
                <w:sz w:val="17"/>
                <w:szCs w:val="17"/>
                <w:color w:val="0000FF"/>
              </w:rPr>
              <w:t>9</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80"/>
              <w:spacing w:after="0" w:line="320"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3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right"/>
              <w:ind w:right="380"/>
              <w:spacing w:after="0"/>
              <w:rPr>
                <w:sz w:val="20"/>
                <w:szCs w:val="20"/>
                <w:color w:val="auto"/>
              </w:rPr>
            </w:pPr>
            <w:r>
              <w:rPr>
                <w:rFonts w:ascii="Arial" w:cs="Arial" w:eastAsia="Arial" w:hAnsi="Arial"/>
                <w:sz w:val="17"/>
                <w:szCs w:val="17"/>
                <w:color w:val="0000FF"/>
                <w:w w:val="93"/>
              </w:rPr>
              <w:t>5,552</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acquired under the LivaNova Employee Share Purchase Plan (the "ESPP") from contributions by the reporting person.</w:t>
      </w:r>
    </w:p>
    <w:p>
      <w:pPr>
        <w:spacing w:after="0" w:line="50" w:lineRule="exact"/>
        <w:rPr>
          <w:rFonts w:ascii="Arial" w:cs="Arial" w:eastAsia="Arial" w:hAnsi="Arial"/>
          <w:sz w:val="13"/>
          <w:szCs w:val="13"/>
          <w:color w:val="008000"/>
        </w:rPr>
      </w:pPr>
    </w:p>
    <w:p>
      <w:pPr>
        <w:ind w:left="40" w:right="3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Matching Shares acquired under the ESPP under which LivaNova grants one Ordinary Share for every two Ordinary Shares purchased under the ESPP to participants located in certain countries. The Matching Shares are subject to a three year restriction on selling such shares and three year forfeiture period if the participant ceases to be employed by LivaNova (with certain exclusions under the ESPP).</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3"/>
              </w:rPr>
              <w:t>/s/ Sarah K. Mohr, POA</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07/01/2021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0"/>
          <w:szCs w:val="20"/>
          <w:b w:val="1"/>
          <w:bCs w:val="1"/>
          <w:u w:val="single" w:color="auto"/>
          <w:color w:val="auto"/>
        </w:rPr>
        <w:t>POWER OF ATTORNEY</w:t>
      </w:r>
    </w:p>
    <w:p>
      <w:pPr>
        <w:spacing w:after="0" w:line="216" w:lineRule="exact"/>
        <w:rPr>
          <w:sz w:val="20"/>
          <w:szCs w:val="20"/>
          <w:color w:val="auto"/>
        </w:rPr>
      </w:pPr>
    </w:p>
    <w:p>
      <w:pPr>
        <w:ind w:right="260" w:firstLine="640"/>
        <w:spacing w:after="0" w:line="281" w:lineRule="auto"/>
        <w:rPr>
          <w:sz w:val="20"/>
          <w:szCs w:val="20"/>
          <w:color w:val="auto"/>
        </w:rPr>
      </w:pPr>
      <w:r>
        <w:rPr>
          <w:rFonts w:ascii="Arial" w:cs="Arial" w:eastAsia="Arial" w:hAnsi="Arial"/>
          <w:sz w:val="20"/>
          <w:szCs w:val="20"/>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57" w:lineRule="exact"/>
        <w:rPr>
          <w:sz w:val="20"/>
          <w:szCs w:val="20"/>
          <w:color w:val="auto"/>
        </w:rPr>
      </w:pPr>
    </w:p>
    <w:p>
      <w:pPr>
        <w:ind w:left="1280" w:hanging="634"/>
        <w:spacing w:after="0" w:line="332" w:lineRule="auto"/>
        <w:tabs>
          <w:tab w:leader="none" w:pos="1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13" w:lineRule="exact"/>
        <w:rPr>
          <w:rFonts w:ascii="Arial" w:cs="Arial" w:eastAsia="Arial" w:hAnsi="Arial"/>
          <w:sz w:val="18"/>
          <w:szCs w:val="18"/>
          <w:color w:val="auto"/>
        </w:rPr>
      </w:pPr>
    </w:p>
    <w:p>
      <w:pPr>
        <w:ind w:left="1280" w:right="100" w:hanging="634"/>
        <w:spacing w:after="0" w:line="359"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95" w:lineRule="exact"/>
        <w:rPr>
          <w:rFonts w:ascii="Arial" w:cs="Arial" w:eastAsia="Arial" w:hAnsi="Arial"/>
          <w:sz w:val="17"/>
          <w:szCs w:val="17"/>
          <w:color w:val="auto"/>
        </w:rPr>
      </w:pPr>
    </w:p>
    <w:p>
      <w:pPr>
        <w:ind w:left="1280" w:right="280" w:hanging="634"/>
        <w:spacing w:after="0" w:line="282" w:lineRule="auto"/>
        <w:tabs>
          <w:tab w:leader="none" w:pos="1280"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55" w:lineRule="exact"/>
        <w:rPr>
          <w:sz w:val="20"/>
          <w:szCs w:val="20"/>
          <w:color w:val="auto"/>
        </w:rPr>
      </w:pPr>
    </w:p>
    <w:p>
      <w:pPr>
        <w:ind w:firstLine="640"/>
        <w:spacing w:after="0" w:line="31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1" w:lineRule="exact"/>
        <w:rPr>
          <w:sz w:val="20"/>
          <w:szCs w:val="20"/>
          <w:color w:val="auto"/>
        </w:rPr>
      </w:pPr>
    </w:p>
    <w:p>
      <w:pPr>
        <w:ind w:right="60" w:firstLine="640"/>
        <w:spacing w:after="0" w:line="316" w:lineRule="auto"/>
        <w:rPr>
          <w:sz w:val="20"/>
          <w:szCs w:val="20"/>
          <w:color w:val="auto"/>
        </w:rPr>
      </w:pPr>
      <w:r>
        <w:rPr>
          <w:rFonts w:ascii="Arial" w:cs="Arial" w:eastAsia="Arial" w:hAnsi="Arial"/>
          <w:sz w:val="18"/>
          <w:szCs w:val="18"/>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31" w:lineRule="exact"/>
        <w:rPr>
          <w:sz w:val="20"/>
          <w:szCs w:val="20"/>
          <w:color w:val="auto"/>
        </w:rPr>
      </w:pPr>
    </w:p>
    <w:p>
      <w:pPr>
        <w:ind w:right="140" w:firstLine="640"/>
        <w:spacing w:after="0" w:line="356"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2" w:lineRule="exact"/>
        <w:rPr>
          <w:sz w:val="20"/>
          <w:szCs w:val="20"/>
          <w:color w:val="auto"/>
        </w:rPr>
      </w:pPr>
    </w:p>
    <w:p>
      <w:pPr>
        <w:ind w:right="60" w:firstLine="640"/>
        <w:spacing w:after="0" w:line="28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5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120"/>
        <w:spacing w:after="0"/>
        <w:rPr>
          <w:sz w:val="20"/>
          <w:szCs w:val="20"/>
          <w:color w:val="auto"/>
        </w:rPr>
      </w:pPr>
      <w:r>
        <w:rPr>
          <w:rFonts w:ascii="Arial" w:cs="Arial" w:eastAsia="Arial" w:hAnsi="Arial"/>
          <w:sz w:val="20"/>
          <w:szCs w:val="20"/>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-16510</wp:posOffset>
            </wp:positionV>
            <wp:extent cx="14579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0"/>
          <w:szCs w:val="20"/>
          <w:color w:val="auto"/>
        </w:rPr>
        <w:t>Keyna Skeffington</w:t>
      </w:r>
    </w:p>
    <w:sectPr>
      <w:pgSz w:w="11900" w:h="16838" w:orient="portrait"/>
      <w:cols w:equalWidth="0" w:num="1">
        <w:col w:w="10960"/>
      </w:cols>
      <w:pgMar w:left="460" w:top="357"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2021-07-01T17:46:26Z</dcterms:created>
  <dcterms:modified xsi:type="dcterms:W3CDTF">2021-07-01T17:46:26Z</dcterms:modified>
</cp:coreProperties>
</file>