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28,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289560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28, 2018, LivaNova PLC (the “Company”) issued a press release announcing financial results for the fourth quarter and full year ended December 31, 2017. The Company will host a business update conference call and webcast today, February 28 2018, at 8:00 a.m. Central Time (9:00 a.m. Eastern Time, 2:00 p.m. GMT), during which the Company will discuss the financial results. The conference call will be available to interested parties through a live audio webcast commencing at 8:00 a.m. Central Time (9:00 a.m. Eastern Time, 2:00 p.m. GMT) and accessible through the Investor Relations section of the LivaNova corporate website at www.livanova.com. A copy of the Company’s press release is furnished as Exhibit 99.1 on this Current Report on Form 8-K.</w:t>
      </w:r>
    </w:p>
    <w:p>
      <w:pPr>
        <w:spacing w:after="0" w:line="19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8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dated February 28, 2018</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360"/>
          </w:cols>
          <w:pgMar w:left="240" w:top="36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240" w:top="364"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80" w:type="dxa"/>
            <w:vAlign w:val="bottom"/>
            <w:gridSpan w:val="2"/>
          </w:tcPr>
          <w:p>
            <w:pPr>
              <w:ind w:left="248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880" w:type="dxa"/>
            <w:vAlign w:val="bottom"/>
            <w:gridSpan w:val="2"/>
          </w:tcPr>
          <w:p>
            <w:pPr>
              <w:spacing w:after="0"/>
              <w:rPr>
                <w:sz w:val="24"/>
                <w:szCs w:val="24"/>
                <w:color w:val="auto"/>
              </w:rPr>
            </w:pPr>
          </w:p>
        </w:tc>
      </w:tr>
      <w:tr>
        <w:trPr>
          <w:trHeight w:val="547"/>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46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Press Release issued by LivaNova PLC dated February 28, 2018</w:t>
              </w:r>
            </w:hyperlink>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2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0179"/>
          </w:cols>
          <w:pgMar w:left="280" w:top="364" w:right="1440" w:bottom="1440" w:gutter="0" w:footer="0" w:header="0"/>
        </w:sectPr>
      </w:pPr>
    </w:p>
    <w:bookmarkStart w:id="4" w:name="page5"/>
    <w:bookmarkEnd w:id="4"/>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68084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00"/>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Fourth Quarter and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Full-Year 2017 Results</w:t>
      </w:r>
    </w:p>
    <w:p>
      <w:pPr>
        <w:spacing w:after="0" w:line="305" w:lineRule="exact"/>
        <w:rPr>
          <w:sz w:val="20"/>
          <w:szCs w:val="20"/>
          <w:color w:val="auto"/>
        </w:rPr>
      </w:pPr>
    </w:p>
    <w:p>
      <w:pPr>
        <w:jc w:val="both"/>
        <w:spacing w:after="0" w:line="398" w:lineRule="auto"/>
        <w:rPr>
          <w:sz w:val="20"/>
          <w:szCs w:val="20"/>
          <w:color w:val="auto"/>
        </w:rPr>
      </w:pPr>
      <w:r>
        <w:rPr>
          <w:rFonts w:ascii="Arial" w:cs="Arial" w:eastAsia="Arial" w:hAnsi="Arial"/>
          <w:sz w:val="20"/>
          <w:szCs w:val="20"/>
          <w:b w:val="1"/>
          <w:bCs w:val="1"/>
          <w:color w:val="auto"/>
        </w:rPr>
        <w:t xml:space="preserve">London, February 28, 2018 – </w:t>
      </w:r>
      <w:r>
        <w:rPr>
          <w:rFonts w:ascii="Arial" w:cs="Arial" w:eastAsia="Arial" w:hAnsi="Arial"/>
          <w:sz w:val="20"/>
          <w:szCs w:val="20"/>
          <w:color w:val="auto"/>
        </w:rPr>
        <w:t>LivaNova PLC (NASDAQ:LIVN) (“LivaNova” or the “Company”), a market-leading medical</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and innovation company, today reported results for the quarter and full-year ended December 31, 2017.</w:t>
      </w:r>
    </w:p>
    <w:p>
      <w:pPr>
        <w:spacing w:after="0" w:line="315"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For the fourth quarter of 2017, worldwide sales from continuing operations were $278.4 million, an increase of 11.5 percent on a reported basis and an increase of 8.1 percent on a constant currency basis, as compared to the same quarter of the previous year. On the basis of U.S. Generally Accepted Accounting Principles ("GAAP"), fourth quarter 2017 diluted losses per share from continuing operations were ($0.65). Fourth quarter 2017 adjusted diluted earnings per share from continuing operations were $0.88. For full-year 2017, worldwide sales from continuing operations were $1.0 billion, an increase of 4.9 percent on a reported basis and increase of 4.1 percent on a constant currency basis, as compared to the previous year. On a GAAP basis, full-year 2017 diluted earnings per share from continuing operations were $1.12. Full-year 2017 adjusted diluted earnings per share from continuing operations were $3.31.</w:t>
      </w:r>
    </w:p>
    <w:p>
      <w:pPr>
        <w:spacing w:after="0" w:line="347" w:lineRule="exact"/>
        <w:rPr>
          <w:sz w:val="20"/>
          <w:szCs w:val="20"/>
          <w:color w:val="auto"/>
        </w:rPr>
      </w:pPr>
    </w:p>
    <w:p>
      <w:pPr>
        <w:spacing w:after="0" w:line="345" w:lineRule="auto"/>
        <w:rPr>
          <w:sz w:val="20"/>
          <w:szCs w:val="20"/>
          <w:color w:val="auto"/>
        </w:rPr>
      </w:pPr>
      <w:r>
        <w:rPr>
          <w:rFonts w:ascii="Arial" w:cs="Arial" w:eastAsia="Arial" w:hAnsi="Arial"/>
          <w:sz w:val="20"/>
          <w:szCs w:val="20"/>
          <w:color w:val="auto"/>
        </w:rPr>
        <w:t>“We had a tremendous fourth quarter, meeting all of our financial targets for the year,” said Damien McDonald, LivaNova's Chief Executive Officer. “Neuromodulation benefited from the strong performance of our newest VNS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System, SenTiva</w:t>
      </w:r>
      <w:r>
        <w:rPr>
          <w:rFonts w:ascii="Arial" w:cs="Arial" w:eastAsia="Arial" w:hAnsi="Arial"/>
          <w:sz w:val="25"/>
          <w:szCs w:val="25"/>
          <w:color w:val="auto"/>
          <w:vertAlign w:val="superscript"/>
        </w:rPr>
        <w:t>TM</w:t>
      </w:r>
      <w:r>
        <w:rPr>
          <w:rFonts w:ascii="Arial" w:cs="Arial" w:eastAsia="Arial" w:hAnsi="Arial"/>
          <w:sz w:val="20"/>
          <w:szCs w:val="20"/>
          <w:color w:val="auto"/>
        </w:rPr>
        <w:t>, which received U.S. Food and Drug Administration approval in early October 2017. The business also benefited from rescheduled procedures as a result of hurricane impacts in the third quarter. Cardiac Surgery experienced robust growth, driven by sales of our S5</w:t>
      </w:r>
      <w:r>
        <w:rPr>
          <w:rFonts w:ascii="Arial" w:cs="Arial" w:eastAsia="Arial" w:hAnsi="Arial"/>
          <w:sz w:val="25"/>
          <w:szCs w:val="25"/>
          <w:color w:val="auto"/>
          <w:vertAlign w:val="superscript"/>
        </w:rPr>
        <w:t>®</w:t>
      </w:r>
      <w:r>
        <w:rPr>
          <w:rFonts w:ascii="Arial" w:cs="Arial" w:eastAsia="Arial" w:hAnsi="Arial"/>
          <w:sz w:val="20"/>
          <w:szCs w:val="20"/>
          <w:color w:val="auto"/>
        </w:rPr>
        <w:t xml:space="preserve"> heart-lung machine and our Perceval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sutureless aortic heart valve. We are moving forward with the divestment of our Cardiac Rhythm Management business to MicroPort Scientific Corporation, which is expected to close in the second quarter of 2018. All of this allowed us to grow our full-year adjusted diluted earnings per share from continuing operations by 9.2 percent from full-year 2016. We recently announced the acquisition of ImThera Medical, which complements our Neuromodulation business with a device focused on neurostimulation for the treatment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16" w:right="239" w:bottom="1440" w:gutter="0" w:footer="0" w:header="0"/>
        </w:sectPr>
      </w:pPr>
    </w:p>
    <w:bookmarkStart w:id="5" w:name="page6"/>
    <w:bookmarkEnd w:id="5"/>
    <w:p>
      <w:pPr>
        <w:ind w:right="140"/>
        <w:spacing w:after="0" w:line="370" w:lineRule="auto"/>
        <w:rPr>
          <w:sz w:val="20"/>
          <w:szCs w:val="20"/>
          <w:color w:val="auto"/>
        </w:rPr>
      </w:pPr>
      <w:r>
        <w:rPr>
          <w:rFonts w:ascii="Arial" w:cs="Arial" w:eastAsia="Arial" w:hAnsi="Arial"/>
          <w:sz w:val="20"/>
          <w:szCs w:val="20"/>
          <w:color w:val="auto"/>
        </w:rPr>
        <w:t>of obstructive sleep apnea, and more recently announced our intent to acquire TandemLife, which complements our Cardiac Surgery business with advanced cardiopulmonary temporary support solutions. We intend to continue this momentum throughout 2018, taking actions that strengthen LivaNova’s commitment to improving the lives of patients around the world.”</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2017 Results</w:t>
      </w:r>
    </w:p>
    <w:p>
      <w:pPr>
        <w:spacing w:after="0" w:line="321"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Worldwide sales from continuing operations for the fourth quarter were $278.4 million, up 8.1 percent on a constant currency basis compared to the fourth quarter of 2016. The following table highlights worldwide sales for the fourth quarter of 2017 by Business Franchise:</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580" w:type="dxa"/>
            <w:vAlign w:val="bottom"/>
            <w:tcBorders>
              <w:top w:val="single" w:sz="8" w:color="auto"/>
              <w:bottom w:val="single" w:sz="8" w:color="00000A"/>
              <w:right w:val="single" w:sz="8" w:color="00000A"/>
            </w:tcBorders>
            <w:gridSpan w:val="2"/>
          </w:tcPr>
          <w:p>
            <w:pPr>
              <w:jc w:val="right"/>
              <w:ind w:right="285"/>
              <w:spacing w:after="0"/>
              <w:rPr>
                <w:sz w:val="20"/>
                <w:szCs w:val="20"/>
                <w:color w:val="auto"/>
              </w:rPr>
            </w:pPr>
            <w:r>
              <w:rPr>
                <w:rFonts w:ascii="Arial" w:cs="Arial" w:eastAsia="Arial" w:hAnsi="Arial"/>
                <w:sz w:val="18"/>
                <w:szCs w:val="18"/>
                <w:color w:val="auto"/>
              </w:rPr>
              <w:t>Three months ended December 31,</w:t>
            </w:r>
          </w:p>
        </w:tc>
        <w:tc>
          <w:tcPr>
            <w:tcW w:w="1800" w:type="dxa"/>
            <w:vAlign w:val="bottom"/>
            <w:tcBorders>
              <w:top w:val="single" w:sz="8" w:color="auto"/>
              <w:bottom w:val="single" w:sz="8" w:color="auto"/>
              <w:right w:val="single" w:sz="8" w:color="auto"/>
            </w:tcBorders>
            <w:vMerge w:val="restart"/>
          </w:tcPr>
          <w:p>
            <w:pPr>
              <w:jc w:val="right"/>
              <w:ind w:right="405"/>
              <w:spacing w:after="0"/>
              <w:rPr>
                <w:sz w:val="20"/>
                <w:szCs w:val="20"/>
                <w:color w:val="auto"/>
              </w:rPr>
            </w:pPr>
            <w:r>
              <w:rPr>
                <w:rFonts w:ascii="Arial" w:cs="Arial" w:eastAsia="Arial" w:hAnsi="Arial"/>
                <w:sz w:val="18"/>
                <w:szCs w:val="18"/>
                <w:color w:val="auto"/>
              </w:rPr>
              <w:t>% Change</w:t>
            </w:r>
          </w:p>
        </w:tc>
        <w:tc>
          <w:tcPr>
            <w:tcW w:w="1680" w:type="dxa"/>
            <w:vAlign w:val="bottom"/>
            <w:tcBorders>
              <w:top w:val="single" w:sz="8" w:color="auto"/>
              <w:right w:val="single" w:sz="8" w:color="auto"/>
            </w:tcBorders>
          </w:tcPr>
          <w:p>
            <w:pPr>
              <w:jc w:val="right"/>
              <w:ind w:right="25"/>
              <w:spacing w:after="0"/>
              <w:rPr>
                <w:sz w:val="20"/>
                <w:szCs w:val="20"/>
                <w:color w:val="auto"/>
              </w:rPr>
            </w:pPr>
            <w:r>
              <w:rPr>
                <w:rFonts w:ascii="Arial" w:cs="Arial" w:eastAsia="Arial" w:hAnsi="Arial"/>
                <w:sz w:val="18"/>
                <w:szCs w:val="18"/>
                <w:color w:val="auto"/>
              </w:rPr>
              <w:t>Constant Currency</w:t>
            </w:r>
          </w:p>
        </w:tc>
        <w:tc>
          <w:tcPr>
            <w:tcW w:w="0" w:type="dxa"/>
            <w:vAlign w:val="bottom"/>
          </w:tcPr>
          <w:p>
            <w:pPr>
              <w:spacing w:after="0"/>
              <w:rPr>
                <w:sz w:val="1"/>
                <w:szCs w:val="1"/>
                <w:color w:val="auto"/>
              </w:rPr>
            </w:pPr>
          </w:p>
        </w:tc>
      </w:tr>
      <w:tr>
        <w:trPr>
          <w:trHeight w:val="102"/>
        </w:trPr>
        <w:tc>
          <w:tcPr>
            <w:tcW w:w="43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Business Franchise / Product Line:</w:t>
            </w:r>
          </w:p>
        </w:tc>
        <w:tc>
          <w:tcPr>
            <w:tcW w:w="2000" w:type="dxa"/>
            <w:vAlign w:val="bottom"/>
            <w:tcBorders>
              <w:right w:val="single" w:sz="8" w:color="00000A"/>
            </w:tcBorders>
            <w:vMerge w:val="restart"/>
          </w:tcPr>
          <w:p>
            <w:pPr>
              <w:jc w:val="right"/>
              <w:ind w:right="725"/>
              <w:spacing w:after="0"/>
              <w:rPr>
                <w:sz w:val="20"/>
                <w:szCs w:val="20"/>
                <w:color w:val="auto"/>
              </w:rPr>
            </w:pPr>
            <w:r>
              <w:rPr>
                <w:rFonts w:ascii="Arial" w:cs="Arial" w:eastAsia="Arial" w:hAnsi="Arial"/>
                <w:sz w:val="18"/>
                <w:szCs w:val="18"/>
                <w:color w:val="auto"/>
              </w:rPr>
              <w:t>2017</w:t>
            </w:r>
          </w:p>
        </w:tc>
        <w:tc>
          <w:tcPr>
            <w:tcW w:w="1580" w:type="dxa"/>
            <w:vAlign w:val="bottom"/>
            <w:tcBorders>
              <w:right w:val="single" w:sz="8" w:color="00000A"/>
            </w:tcBorders>
            <w:vMerge w:val="restart"/>
          </w:tcPr>
          <w:p>
            <w:pPr>
              <w:jc w:val="right"/>
              <w:ind w:right="505"/>
              <w:spacing w:after="0"/>
              <w:rPr>
                <w:sz w:val="20"/>
                <w:szCs w:val="20"/>
                <w:color w:val="auto"/>
              </w:rPr>
            </w:pPr>
            <w:r>
              <w:rPr>
                <w:rFonts w:ascii="Arial" w:cs="Arial" w:eastAsia="Arial" w:hAnsi="Arial"/>
                <w:sz w:val="18"/>
                <w:szCs w:val="18"/>
                <w:color w:val="auto"/>
              </w:rPr>
              <w:t>2016</w:t>
            </w:r>
          </w:p>
        </w:tc>
        <w:tc>
          <w:tcPr>
            <w:tcW w:w="180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restart"/>
          </w:tcPr>
          <w:p>
            <w:pPr>
              <w:jc w:val="right"/>
              <w:ind w:right="345"/>
              <w:spacing w:after="0" w:line="197"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56"/>
        </w:trPr>
        <w:tc>
          <w:tcPr>
            <w:tcW w:w="43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000" w:type="dxa"/>
            <w:vAlign w:val="bottom"/>
            <w:tcBorders>
              <w:bottom w:val="single" w:sz="8" w:color="auto"/>
              <w:right w:val="single" w:sz="8" w:color="00000A"/>
            </w:tcBorders>
            <w:vMerge w:val="continue"/>
          </w:tcPr>
          <w:p>
            <w:pPr>
              <w:spacing w:after="0"/>
              <w:rPr>
                <w:sz w:val="13"/>
                <w:szCs w:val="13"/>
                <w:color w:val="auto"/>
              </w:rPr>
            </w:pPr>
          </w:p>
        </w:tc>
        <w:tc>
          <w:tcPr>
            <w:tcW w:w="1580" w:type="dxa"/>
            <w:vAlign w:val="bottom"/>
            <w:tcBorders>
              <w:bottom w:val="single" w:sz="8" w:color="auto"/>
              <w:right w:val="single" w:sz="8" w:color="00000A"/>
            </w:tcBorders>
            <w:vMerge w:val="continue"/>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3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2000" w:type="dxa"/>
            <w:vAlign w:val="bottom"/>
            <w:tcBorders>
              <w:right w:val="single" w:sz="8" w:color="auto"/>
            </w:tcBorders>
          </w:tcPr>
          <w:p>
            <w:pPr>
              <w:jc w:val="right"/>
              <w:ind w:right="25"/>
              <w:spacing w:after="0"/>
              <w:rPr>
                <w:sz w:val="20"/>
                <w:szCs w:val="20"/>
                <w:color w:val="auto"/>
              </w:rPr>
            </w:pPr>
            <w:r>
              <w:rPr>
                <w:rFonts w:ascii="Arial" w:cs="Arial" w:eastAsia="Arial" w:hAnsi="Arial"/>
                <w:sz w:val="18"/>
                <w:szCs w:val="18"/>
                <w:i w:val="1"/>
                <w:iCs w:val="1"/>
                <w:color w:val="auto"/>
              </w:rPr>
              <w:t>$142.3</w:t>
            </w:r>
          </w:p>
        </w:tc>
        <w:tc>
          <w:tcPr>
            <w:tcW w:w="1580" w:type="dxa"/>
            <w:vAlign w:val="bottom"/>
            <w:tcBorders>
              <w:right w:val="single" w:sz="8" w:color="00000A"/>
            </w:tcBorders>
          </w:tcPr>
          <w:p>
            <w:pPr>
              <w:jc w:val="right"/>
              <w:ind w:right="45"/>
              <w:spacing w:after="0"/>
              <w:rPr>
                <w:sz w:val="20"/>
                <w:szCs w:val="20"/>
                <w:color w:val="auto"/>
              </w:rPr>
            </w:pPr>
            <w:r>
              <w:rPr>
                <w:rFonts w:ascii="Arial" w:cs="Arial" w:eastAsia="Arial" w:hAnsi="Arial"/>
                <w:sz w:val="18"/>
                <w:szCs w:val="18"/>
                <w:i w:val="1"/>
                <w:iCs w:val="1"/>
                <w:color w:val="auto"/>
              </w:rPr>
              <w:t>$124.7</w:t>
            </w:r>
          </w:p>
        </w:tc>
        <w:tc>
          <w:tcPr>
            <w:tcW w:w="180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14.1%</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9.2%</w:t>
            </w:r>
          </w:p>
        </w:tc>
        <w:tc>
          <w:tcPr>
            <w:tcW w:w="0" w:type="dxa"/>
            <w:vAlign w:val="bottom"/>
          </w:tcPr>
          <w:p>
            <w:pPr>
              <w:spacing w:after="0"/>
              <w:rPr>
                <w:sz w:val="1"/>
                <w:szCs w:val="1"/>
                <w:color w:val="auto"/>
              </w:rPr>
            </w:pPr>
          </w:p>
        </w:tc>
      </w:tr>
      <w:tr>
        <w:trPr>
          <w:trHeight w:val="244"/>
        </w:trPr>
        <w:tc>
          <w:tcPr>
            <w:tcW w:w="43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2000" w:type="dxa"/>
            <w:vAlign w:val="bottom"/>
            <w:tcBorders>
              <w:top w:val="single" w:sz="8" w:color="auto"/>
              <w:bottom w:val="single" w:sz="8" w:color="00000A"/>
              <w:right w:val="single" w:sz="8" w:color="auto"/>
            </w:tcBorders>
          </w:tcPr>
          <w:p>
            <w:pPr>
              <w:jc w:val="right"/>
              <w:ind w:right="25"/>
              <w:spacing w:after="0"/>
              <w:rPr>
                <w:sz w:val="20"/>
                <w:szCs w:val="20"/>
                <w:color w:val="auto"/>
              </w:rPr>
            </w:pPr>
            <w:r>
              <w:rPr>
                <w:rFonts w:ascii="Arial" w:cs="Arial" w:eastAsia="Arial" w:hAnsi="Arial"/>
                <w:sz w:val="18"/>
                <w:szCs w:val="18"/>
                <w:i w:val="1"/>
                <w:iCs w:val="1"/>
                <w:color w:val="auto"/>
              </w:rPr>
              <w:t>35.6</w:t>
            </w:r>
          </w:p>
        </w:tc>
        <w:tc>
          <w:tcPr>
            <w:tcW w:w="1580" w:type="dxa"/>
            <w:vAlign w:val="bottom"/>
            <w:tcBorders>
              <w:top w:val="single" w:sz="8" w:color="auto"/>
              <w:bottom w:val="single" w:sz="8" w:color="00000A"/>
              <w:right w:val="single" w:sz="8" w:color="00000A"/>
            </w:tcBorders>
          </w:tcPr>
          <w:p>
            <w:pPr>
              <w:jc w:val="right"/>
              <w:ind w:right="45"/>
              <w:spacing w:after="0"/>
              <w:rPr>
                <w:sz w:val="20"/>
                <w:szCs w:val="20"/>
                <w:color w:val="auto"/>
              </w:rPr>
            </w:pPr>
            <w:r>
              <w:rPr>
                <w:rFonts w:ascii="Arial" w:cs="Arial" w:eastAsia="Arial" w:hAnsi="Arial"/>
                <w:sz w:val="18"/>
                <w:szCs w:val="18"/>
                <w:i w:val="1"/>
                <w:iCs w:val="1"/>
                <w:color w:val="auto"/>
              </w:rPr>
              <w:t>34.0</w:t>
            </w:r>
          </w:p>
        </w:tc>
        <w:tc>
          <w:tcPr>
            <w:tcW w:w="1800" w:type="dxa"/>
            <w:vAlign w:val="bottom"/>
            <w:tcBorders>
              <w:top w:val="single" w:sz="8" w:color="00000A"/>
              <w:bottom w:val="single" w:sz="8" w:color="00000A"/>
              <w:right w:val="single" w:sz="8" w:color="00000A"/>
            </w:tcBorders>
          </w:tcPr>
          <w:p>
            <w:pPr>
              <w:jc w:val="right"/>
              <w:spacing w:after="0"/>
              <w:rPr>
                <w:sz w:val="20"/>
                <w:szCs w:val="20"/>
                <w:color w:val="auto"/>
              </w:rPr>
            </w:pPr>
            <w:r>
              <w:rPr>
                <w:rFonts w:ascii="Arial" w:cs="Arial" w:eastAsia="Arial" w:hAnsi="Arial"/>
                <w:sz w:val="18"/>
                <w:szCs w:val="18"/>
                <w:i w:val="1"/>
                <w:iCs w:val="1"/>
                <w:color w:val="auto"/>
              </w:rPr>
              <w:t>4.7%</w:t>
            </w:r>
          </w:p>
        </w:tc>
        <w:tc>
          <w:tcPr>
            <w:tcW w:w="1680" w:type="dxa"/>
            <w:vAlign w:val="bottom"/>
            <w:tcBorders>
              <w:top w:val="single" w:sz="8" w:color="00000A"/>
              <w:bottom w:val="single" w:sz="8" w:color="00000A"/>
              <w:right w:val="single" w:sz="8" w:color="auto"/>
            </w:tcBorders>
          </w:tcPr>
          <w:p>
            <w:pPr>
              <w:jc w:val="right"/>
              <w:spacing w:after="0"/>
              <w:rPr>
                <w:sz w:val="20"/>
                <w:szCs w:val="20"/>
                <w:color w:val="auto"/>
              </w:rPr>
            </w:pPr>
            <w:r>
              <w:rPr>
                <w:rFonts w:ascii="Arial" w:cs="Arial" w:eastAsia="Arial" w:hAnsi="Arial"/>
                <w:sz w:val="18"/>
                <w:szCs w:val="18"/>
                <w:i w:val="1"/>
                <w:iCs w:val="1"/>
                <w:color w:val="auto"/>
              </w:rPr>
              <w:t>0.2%</w:t>
            </w:r>
          </w:p>
        </w:tc>
        <w:tc>
          <w:tcPr>
            <w:tcW w:w="0" w:type="dxa"/>
            <w:vAlign w:val="bottom"/>
          </w:tcPr>
          <w:p>
            <w:pPr>
              <w:spacing w:after="0"/>
              <w:rPr>
                <w:sz w:val="1"/>
                <w:szCs w:val="1"/>
                <w:color w:val="auto"/>
              </w:rPr>
            </w:pPr>
          </w:p>
        </w:tc>
      </w:tr>
      <w:tr>
        <w:trPr>
          <w:trHeight w:val="265"/>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Surgery</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177.9</w:t>
            </w:r>
          </w:p>
        </w:tc>
        <w:tc>
          <w:tcPr>
            <w:tcW w:w="1580" w:type="dxa"/>
            <w:vAlign w:val="bottom"/>
            <w:tcBorders>
              <w:bottom w:val="single" w:sz="8" w:color="00000A"/>
              <w:right w:val="single" w:sz="8" w:color="00000A"/>
            </w:tcBorders>
          </w:tcPr>
          <w:p>
            <w:pPr>
              <w:jc w:val="right"/>
              <w:ind w:right="45"/>
              <w:spacing w:after="0"/>
              <w:rPr>
                <w:sz w:val="20"/>
                <w:szCs w:val="20"/>
                <w:color w:val="auto"/>
              </w:rPr>
            </w:pPr>
            <w:r>
              <w:rPr>
                <w:rFonts w:ascii="Arial" w:cs="Arial" w:eastAsia="Arial" w:hAnsi="Arial"/>
                <w:sz w:val="20"/>
                <w:szCs w:val="20"/>
                <w:color w:val="auto"/>
              </w:rPr>
              <w:t>158.7</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12.1%</w:t>
            </w:r>
          </w:p>
        </w:tc>
        <w:tc>
          <w:tcPr>
            <w:tcW w:w="168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64"/>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99.8</w:t>
            </w:r>
          </w:p>
        </w:tc>
        <w:tc>
          <w:tcPr>
            <w:tcW w:w="1580" w:type="dxa"/>
            <w:vAlign w:val="bottom"/>
            <w:tcBorders>
              <w:bottom w:val="single" w:sz="8" w:color="00000A"/>
              <w:right w:val="single" w:sz="8" w:color="00000A"/>
            </w:tcBorders>
          </w:tcPr>
          <w:p>
            <w:pPr>
              <w:jc w:val="right"/>
              <w:ind w:right="45"/>
              <w:spacing w:after="0"/>
              <w:rPr>
                <w:sz w:val="20"/>
                <w:szCs w:val="20"/>
                <w:color w:val="auto"/>
              </w:rPr>
            </w:pPr>
            <w:r>
              <w:rPr>
                <w:rFonts w:ascii="Arial" w:cs="Arial" w:eastAsia="Arial" w:hAnsi="Arial"/>
                <w:sz w:val="20"/>
                <w:szCs w:val="20"/>
                <w:color w:val="auto"/>
              </w:rPr>
              <w:t>90.5</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10.3%</w:t>
            </w:r>
          </w:p>
        </w:tc>
        <w:tc>
          <w:tcPr>
            <w:tcW w:w="168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64"/>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0.7</w:t>
            </w:r>
          </w:p>
        </w:tc>
        <w:tc>
          <w:tcPr>
            <w:tcW w:w="1580" w:type="dxa"/>
            <w:vAlign w:val="bottom"/>
            <w:tcBorders>
              <w:bottom w:val="single" w:sz="8" w:color="00000A"/>
              <w:right w:val="single" w:sz="8" w:color="00000A"/>
            </w:tcBorders>
          </w:tcPr>
          <w:p>
            <w:pPr>
              <w:jc w:val="right"/>
              <w:ind w:right="45"/>
              <w:spacing w:after="0"/>
              <w:rPr>
                <w:sz w:val="20"/>
                <w:szCs w:val="20"/>
                <w:color w:val="auto"/>
              </w:rPr>
            </w:pPr>
            <w:r>
              <w:rPr>
                <w:rFonts w:ascii="Arial" w:cs="Arial" w:eastAsia="Arial" w:hAnsi="Arial"/>
                <w:sz w:val="20"/>
                <w:szCs w:val="20"/>
                <w:color w:val="auto"/>
              </w:rPr>
              <w:t>0.4</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w:t>
            </w:r>
          </w:p>
        </w:tc>
        <w:tc>
          <w:tcPr>
            <w:tcW w:w="168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4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200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20"/>
                <w:szCs w:val="20"/>
                <w:color w:val="auto"/>
              </w:rPr>
              <w:t>$278.4</w:t>
            </w:r>
          </w:p>
        </w:tc>
        <w:tc>
          <w:tcPr>
            <w:tcW w:w="1580" w:type="dxa"/>
            <w:vAlign w:val="bottom"/>
            <w:tcBorders>
              <w:bottom w:val="single" w:sz="8" w:color="auto"/>
              <w:right w:val="single" w:sz="8" w:color="00000A"/>
            </w:tcBorders>
          </w:tcPr>
          <w:p>
            <w:pPr>
              <w:jc w:val="right"/>
              <w:ind w:right="45"/>
              <w:spacing w:after="0"/>
              <w:rPr>
                <w:sz w:val="20"/>
                <w:szCs w:val="20"/>
                <w:color w:val="auto"/>
              </w:rPr>
            </w:pPr>
            <w:r>
              <w:rPr>
                <w:rFonts w:ascii="Arial" w:cs="Arial" w:eastAsia="Arial" w:hAnsi="Arial"/>
                <w:sz w:val="20"/>
                <w:szCs w:val="20"/>
                <w:color w:val="auto"/>
              </w:rPr>
              <w:t>$249.6</w:t>
            </w:r>
          </w:p>
        </w:tc>
        <w:tc>
          <w:tcPr>
            <w:tcW w:w="1800" w:type="dxa"/>
            <w:vAlign w:val="bottom"/>
            <w:tcBorders>
              <w:bottom w:val="single" w:sz="8" w:color="auto"/>
              <w:right w:val="single" w:sz="8" w:color="00000A"/>
            </w:tcBorders>
          </w:tcPr>
          <w:p>
            <w:pPr>
              <w:jc w:val="right"/>
              <w:spacing w:after="0"/>
              <w:rPr>
                <w:sz w:val="20"/>
                <w:szCs w:val="20"/>
                <w:color w:val="auto"/>
              </w:rPr>
            </w:pPr>
            <w:r>
              <w:rPr>
                <w:rFonts w:ascii="Arial" w:cs="Arial" w:eastAsia="Arial" w:hAnsi="Arial"/>
                <w:sz w:val="20"/>
                <w:szCs w:val="20"/>
                <w:color w:val="auto"/>
              </w:rPr>
              <w:t>11.5%</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 currency % change is considered a non-GAAP metric.</w:t>
      </w:r>
    </w:p>
    <w:p>
      <w:pPr>
        <w:spacing w:after="0" w:line="256"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For discussion purposes, all sales growth rates below reflect comparable, constant currency growth. Constant currency growth accounts for the impact from fluctuations in the various currencies in which the Company operates as compared to reported growth.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Surgery</w:t>
      </w:r>
    </w:p>
    <w:p>
      <w:pPr>
        <w:spacing w:after="0" w:line="145"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Cardiac Surgery sales, which include cardiopulmonary products and heart valves, were $177.9 million, representing a 7.3 percent increase versus the comparable fourth quarter of 2016.</w:t>
      </w:r>
    </w:p>
    <w:p>
      <w:pPr>
        <w:spacing w:after="0" w:line="339" w:lineRule="exact"/>
        <w:rPr>
          <w:sz w:val="20"/>
          <w:szCs w:val="20"/>
          <w:color w:val="auto"/>
        </w:rPr>
      </w:pPr>
    </w:p>
    <w:p>
      <w:pPr>
        <w:jc w:val="both"/>
        <w:ind w:right="20"/>
        <w:spacing w:after="0" w:line="340" w:lineRule="auto"/>
        <w:rPr>
          <w:sz w:val="20"/>
          <w:szCs w:val="20"/>
          <w:color w:val="auto"/>
        </w:rPr>
      </w:pPr>
      <w:r>
        <w:rPr>
          <w:rFonts w:ascii="Arial" w:cs="Arial" w:eastAsia="Arial" w:hAnsi="Arial"/>
          <w:sz w:val="20"/>
          <w:szCs w:val="20"/>
          <w:color w:val="auto"/>
        </w:rPr>
        <w:t>Sales in cardiopulmonary products were $142.3 million, representing a 9.2 percent increase versus the fourth quarter of 2016. This was primarily due to customers upgrading from older S3</w:t>
      </w:r>
      <w:r>
        <w:rPr>
          <w:rFonts w:ascii="Arial" w:cs="Arial" w:eastAsia="Arial" w:hAnsi="Arial"/>
          <w:sz w:val="25"/>
          <w:szCs w:val="25"/>
          <w:color w:val="auto"/>
          <w:vertAlign w:val="superscript"/>
        </w:rPr>
        <w:t>®</w:t>
      </w:r>
      <w:r>
        <w:rPr>
          <w:rFonts w:ascii="Arial" w:cs="Arial" w:eastAsia="Arial" w:hAnsi="Arial"/>
          <w:sz w:val="20"/>
          <w:szCs w:val="20"/>
          <w:color w:val="auto"/>
        </w:rPr>
        <w:t xml:space="preserve"> heart-lung machines to the current S5 machines, as well as increased market share.</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703" w:right="219" w:bottom="1440" w:gutter="0" w:footer="0" w:header="0"/>
        </w:sectPr>
      </w:pPr>
    </w:p>
    <w:bookmarkStart w:id="6" w:name="page7"/>
    <w:bookmarkEnd w:id="6"/>
    <w:p>
      <w:pPr>
        <w:jc w:val="both"/>
        <w:spacing w:after="0" w:line="370" w:lineRule="auto"/>
        <w:rPr>
          <w:sz w:val="20"/>
          <w:szCs w:val="20"/>
          <w:color w:val="auto"/>
        </w:rPr>
      </w:pPr>
      <w:r>
        <w:rPr>
          <w:rFonts w:ascii="Arial" w:cs="Arial" w:eastAsia="Arial" w:hAnsi="Arial"/>
          <w:sz w:val="20"/>
          <w:szCs w:val="20"/>
          <w:color w:val="auto"/>
        </w:rPr>
        <w:t>Heart valve sales, including tissue and mechanical heart valves, were $35.6 million, an increase of 0.2 percent compared to the fourth quarter of 2016. Growth in demand for the Perceval sutureless aortic heart valve more than offset global declines in traditional tissue and mechanical heart valves.</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Neuromodulation sales were $99.8 million in the fourth quarter, representing a 9.4 percent increase versus the fourth quarter of 2016. Sales were driven by strong demand for the SenTiva VNS Therapy System and by higher procedural volumes resulting from hurricane-related impacts in the third quarter.</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Rhythm Management</w:t>
      </w:r>
    </w:p>
    <w:p>
      <w:pPr>
        <w:spacing w:after="0" w:line="199"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On November 20, 2017, LivaNova entered into a binding Letter of Intent for the sale of the company’s Cardiac Rhythm Management Business Franchise (“CRM”) to MicroPort Scientific Corporation. As a result, we recognized a net impairment of CRM’s long-lived assets of $78.3 million. All financial results for CRM are captured on the income statement under Discontinued Operations.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On a U.S. GAAP basis, fourth quarter 2017 operating income from continuing operations was $18.3 million. Adjusted operating income from continuing operations for the fourth quarter of 2017 was $55.2 million, an increase of 1.8 percent as compared to the fourth quarter of 2016, primarily driven by favorable product mix and gross profit improvements, partially offset by expected increases in operating expenses due to increased R&amp;D investment in our Transcatheter Mitral Valve Replacement (“TMVR”) and Heart Failure programs.</w:t>
      </w:r>
    </w:p>
    <w:p>
      <w:pPr>
        <w:spacing w:after="0" w:line="344"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On a U.S. GAAP basis, fourth quarter 2017 diluted losses per share from continuing operations were ($0.65), which includes an $8.6 million impairment of two of our cost-method investments and a $27.5 million non-cash net charge related to the U.S. Tax Cuts and Jobs Act enacted on December 22, 2017. Fourth quarter 2017 adjusted diluted earnings per share from continuing operations were $0.88, an increase of 6.0 percent as compared to the fourth quarter of 2016.</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2017 Results</w:t>
      </w:r>
    </w:p>
    <w:p>
      <w:pPr>
        <w:spacing w:after="0" w:line="321"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Worldwide sales for full-year 2017 from continuing operations were $1.0 billion, up 4.1 percent on a constant currency basis compared to full-year 2016. The following table highlights worldwide sales for full-year 2017 by Business Franchise: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7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3"/>
        </w:trPr>
        <w:tc>
          <w:tcPr>
            <w:tcW w:w="4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580" w:type="dxa"/>
            <w:vAlign w:val="bottom"/>
            <w:tcBorders>
              <w:top w:val="single" w:sz="8" w:color="auto"/>
              <w:bottom w:val="single" w:sz="8" w:color="00000A"/>
              <w:right w:val="single" w:sz="8" w:color="00000A"/>
            </w:tcBorders>
            <w:gridSpan w:val="2"/>
          </w:tcPr>
          <w:p>
            <w:pPr>
              <w:jc w:val="right"/>
              <w:ind w:right="225"/>
              <w:spacing w:after="0"/>
              <w:rPr>
                <w:sz w:val="20"/>
                <w:szCs w:val="20"/>
                <w:color w:val="auto"/>
              </w:rPr>
            </w:pPr>
            <w:r>
              <w:rPr>
                <w:rFonts w:ascii="Arial" w:cs="Arial" w:eastAsia="Arial" w:hAnsi="Arial"/>
                <w:sz w:val="18"/>
                <w:szCs w:val="18"/>
                <w:color w:val="auto"/>
              </w:rPr>
              <w:t>Twelve months ended December 31,</w:t>
            </w:r>
          </w:p>
        </w:tc>
        <w:tc>
          <w:tcPr>
            <w:tcW w:w="1800" w:type="dxa"/>
            <w:vAlign w:val="bottom"/>
            <w:tcBorders>
              <w:top w:val="single" w:sz="8" w:color="auto"/>
              <w:bottom w:val="single" w:sz="8" w:color="auto"/>
              <w:right w:val="single" w:sz="8" w:color="auto"/>
            </w:tcBorders>
            <w:vMerge w:val="restart"/>
          </w:tcPr>
          <w:p>
            <w:pPr>
              <w:jc w:val="right"/>
              <w:ind w:right="405"/>
              <w:spacing w:after="0"/>
              <w:rPr>
                <w:sz w:val="20"/>
                <w:szCs w:val="20"/>
                <w:color w:val="auto"/>
              </w:rPr>
            </w:pPr>
            <w:r>
              <w:rPr>
                <w:rFonts w:ascii="Arial" w:cs="Arial" w:eastAsia="Arial" w:hAnsi="Arial"/>
                <w:sz w:val="18"/>
                <w:szCs w:val="18"/>
                <w:color w:val="auto"/>
              </w:rPr>
              <w:t>% Change</w:t>
            </w:r>
          </w:p>
        </w:tc>
        <w:tc>
          <w:tcPr>
            <w:tcW w:w="1720" w:type="dxa"/>
            <w:vAlign w:val="bottom"/>
            <w:tcBorders>
              <w:top w:val="single" w:sz="8" w:color="auto"/>
              <w:right w:val="single" w:sz="8" w:color="auto"/>
            </w:tcBorders>
          </w:tcPr>
          <w:p>
            <w:pPr>
              <w:jc w:val="right"/>
              <w:ind w:right="45"/>
              <w:spacing w:after="0"/>
              <w:rPr>
                <w:sz w:val="20"/>
                <w:szCs w:val="20"/>
                <w:color w:val="auto"/>
              </w:rPr>
            </w:pPr>
            <w:r>
              <w:rPr>
                <w:rFonts w:ascii="Arial" w:cs="Arial" w:eastAsia="Arial" w:hAnsi="Arial"/>
                <w:sz w:val="18"/>
                <w:szCs w:val="18"/>
                <w:color w:val="auto"/>
              </w:rPr>
              <w:t>Constant Currency</w:t>
            </w:r>
          </w:p>
        </w:tc>
        <w:tc>
          <w:tcPr>
            <w:tcW w:w="0" w:type="dxa"/>
            <w:vAlign w:val="bottom"/>
          </w:tcPr>
          <w:p>
            <w:pPr>
              <w:spacing w:after="0"/>
              <w:rPr>
                <w:sz w:val="1"/>
                <w:szCs w:val="1"/>
                <w:color w:val="auto"/>
              </w:rPr>
            </w:pPr>
          </w:p>
        </w:tc>
      </w:tr>
      <w:tr>
        <w:trPr>
          <w:trHeight w:val="102"/>
        </w:trPr>
        <w:tc>
          <w:tcPr>
            <w:tcW w:w="4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Business Franchise / Product Line:</w:t>
            </w:r>
          </w:p>
        </w:tc>
        <w:tc>
          <w:tcPr>
            <w:tcW w:w="2020" w:type="dxa"/>
            <w:vAlign w:val="bottom"/>
            <w:tcBorders>
              <w:right w:val="single" w:sz="8" w:color="00000A"/>
            </w:tcBorders>
            <w:vMerge w:val="restart"/>
          </w:tcPr>
          <w:p>
            <w:pPr>
              <w:jc w:val="right"/>
              <w:ind w:right="725"/>
              <w:spacing w:after="0"/>
              <w:rPr>
                <w:sz w:val="20"/>
                <w:szCs w:val="20"/>
                <w:color w:val="auto"/>
              </w:rPr>
            </w:pPr>
            <w:r>
              <w:rPr>
                <w:rFonts w:ascii="Arial" w:cs="Arial" w:eastAsia="Arial" w:hAnsi="Arial"/>
                <w:sz w:val="18"/>
                <w:szCs w:val="18"/>
                <w:color w:val="auto"/>
              </w:rPr>
              <w:t>2017</w:t>
            </w:r>
          </w:p>
        </w:tc>
        <w:tc>
          <w:tcPr>
            <w:tcW w:w="1560" w:type="dxa"/>
            <w:vAlign w:val="bottom"/>
            <w:tcBorders>
              <w:right w:val="single" w:sz="8" w:color="00000A"/>
            </w:tcBorders>
            <w:vMerge w:val="restart"/>
          </w:tcPr>
          <w:p>
            <w:pPr>
              <w:jc w:val="right"/>
              <w:ind w:right="485"/>
              <w:spacing w:after="0"/>
              <w:rPr>
                <w:sz w:val="20"/>
                <w:szCs w:val="20"/>
                <w:color w:val="auto"/>
              </w:rPr>
            </w:pPr>
            <w:r>
              <w:rPr>
                <w:rFonts w:ascii="Arial" w:cs="Arial" w:eastAsia="Arial" w:hAnsi="Arial"/>
                <w:sz w:val="18"/>
                <w:szCs w:val="18"/>
                <w:color w:val="auto"/>
              </w:rPr>
              <w:t>2016</w:t>
            </w:r>
          </w:p>
        </w:tc>
        <w:tc>
          <w:tcPr>
            <w:tcW w:w="180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jc w:val="right"/>
              <w:ind w:right="365"/>
              <w:spacing w:after="0" w:line="197"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56"/>
        </w:trPr>
        <w:tc>
          <w:tcPr>
            <w:tcW w:w="43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020" w:type="dxa"/>
            <w:vAlign w:val="bottom"/>
            <w:tcBorders>
              <w:bottom w:val="single" w:sz="8" w:color="auto"/>
              <w:right w:val="single" w:sz="8" w:color="00000A"/>
            </w:tcBorders>
            <w:vMerge w:val="continue"/>
          </w:tcPr>
          <w:p>
            <w:pPr>
              <w:spacing w:after="0"/>
              <w:rPr>
                <w:sz w:val="13"/>
                <w:szCs w:val="13"/>
                <w:color w:val="auto"/>
              </w:rPr>
            </w:pPr>
          </w:p>
        </w:tc>
        <w:tc>
          <w:tcPr>
            <w:tcW w:w="1560" w:type="dxa"/>
            <w:vAlign w:val="bottom"/>
            <w:tcBorders>
              <w:bottom w:val="single" w:sz="8" w:color="auto"/>
              <w:right w:val="single" w:sz="8" w:color="00000A"/>
            </w:tcBorders>
            <w:vMerge w:val="continue"/>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172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3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2020" w:type="dxa"/>
            <w:vAlign w:val="bottom"/>
            <w:tcBorders>
              <w:right w:val="single" w:sz="8" w:color="auto"/>
            </w:tcBorders>
          </w:tcPr>
          <w:p>
            <w:pPr>
              <w:jc w:val="right"/>
              <w:ind w:right="25"/>
              <w:spacing w:after="0"/>
              <w:rPr>
                <w:sz w:val="20"/>
                <w:szCs w:val="20"/>
                <w:color w:val="auto"/>
              </w:rPr>
            </w:pPr>
            <w:r>
              <w:rPr>
                <w:rFonts w:ascii="Arial" w:cs="Arial" w:eastAsia="Arial" w:hAnsi="Arial"/>
                <w:sz w:val="18"/>
                <w:szCs w:val="18"/>
                <w:i w:val="1"/>
                <w:iCs w:val="1"/>
                <w:color w:val="auto"/>
              </w:rPr>
              <w:t>$497.3</w:t>
            </w:r>
          </w:p>
        </w:tc>
        <w:tc>
          <w:tcPr>
            <w:tcW w:w="1560" w:type="dxa"/>
            <w:vAlign w:val="bottom"/>
            <w:tcBorders>
              <w:right w:val="single" w:sz="8" w:color="00000A"/>
            </w:tcBorders>
          </w:tcPr>
          <w:p>
            <w:pPr>
              <w:jc w:val="right"/>
              <w:ind w:right="25"/>
              <w:spacing w:after="0"/>
              <w:rPr>
                <w:sz w:val="20"/>
                <w:szCs w:val="20"/>
                <w:color w:val="auto"/>
              </w:rPr>
            </w:pPr>
            <w:r>
              <w:rPr>
                <w:rFonts w:ascii="Arial" w:cs="Arial" w:eastAsia="Arial" w:hAnsi="Arial"/>
                <w:sz w:val="18"/>
                <w:szCs w:val="18"/>
                <w:i w:val="1"/>
                <w:iCs w:val="1"/>
                <w:color w:val="auto"/>
              </w:rPr>
              <w:t>$474.4</w:t>
            </w:r>
          </w:p>
        </w:tc>
        <w:tc>
          <w:tcPr>
            <w:tcW w:w="1800" w:type="dxa"/>
            <w:vAlign w:val="bottom"/>
            <w:tcBorders>
              <w:right w:val="single" w:sz="8" w:color="00000A"/>
            </w:tcBorders>
          </w:tcPr>
          <w:p>
            <w:pPr>
              <w:jc w:val="right"/>
              <w:spacing w:after="0"/>
              <w:rPr>
                <w:sz w:val="20"/>
                <w:szCs w:val="20"/>
                <w:color w:val="auto"/>
              </w:rPr>
            </w:pPr>
            <w:r>
              <w:rPr>
                <w:rFonts w:ascii="Arial" w:cs="Arial" w:eastAsia="Arial" w:hAnsi="Arial"/>
                <w:sz w:val="18"/>
                <w:szCs w:val="18"/>
                <w:i w:val="1"/>
                <w:iCs w:val="1"/>
                <w:color w:val="auto"/>
              </w:rPr>
              <w:t>4.8%</w:t>
            </w:r>
          </w:p>
        </w:tc>
        <w:tc>
          <w:tcPr>
            <w:tcW w:w="1720" w:type="dxa"/>
            <w:vAlign w:val="bottom"/>
            <w:tcBorders>
              <w:right w:val="single" w:sz="8" w:color="auto"/>
            </w:tcBorders>
          </w:tcPr>
          <w:p>
            <w:pPr>
              <w:jc w:val="right"/>
              <w:ind w:right="45"/>
              <w:spacing w:after="0"/>
              <w:rPr>
                <w:sz w:val="20"/>
                <w:szCs w:val="20"/>
                <w:color w:val="auto"/>
              </w:rPr>
            </w:pPr>
            <w:r>
              <w:rPr>
                <w:rFonts w:ascii="Arial" w:cs="Arial" w:eastAsia="Arial" w:hAnsi="Arial"/>
                <w:sz w:val="18"/>
                <w:szCs w:val="18"/>
                <w:i w:val="1"/>
                <w:iCs w:val="1"/>
                <w:color w:val="auto"/>
              </w:rPr>
              <w:t>3.5%</w:t>
            </w:r>
          </w:p>
        </w:tc>
        <w:tc>
          <w:tcPr>
            <w:tcW w:w="0" w:type="dxa"/>
            <w:vAlign w:val="bottom"/>
          </w:tcPr>
          <w:p>
            <w:pPr>
              <w:spacing w:after="0"/>
              <w:rPr>
                <w:sz w:val="1"/>
                <w:szCs w:val="1"/>
                <w:color w:val="auto"/>
              </w:rPr>
            </w:pPr>
          </w:p>
        </w:tc>
      </w:tr>
      <w:tr>
        <w:trPr>
          <w:trHeight w:val="244"/>
        </w:trPr>
        <w:tc>
          <w:tcPr>
            <w:tcW w:w="434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2020" w:type="dxa"/>
            <w:vAlign w:val="bottom"/>
            <w:tcBorders>
              <w:top w:val="single" w:sz="8" w:color="auto"/>
              <w:bottom w:val="single" w:sz="8" w:color="00000A"/>
              <w:right w:val="single" w:sz="8" w:color="auto"/>
            </w:tcBorders>
          </w:tcPr>
          <w:p>
            <w:pPr>
              <w:jc w:val="right"/>
              <w:ind w:right="25"/>
              <w:spacing w:after="0"/>
              <w:rPr>
                <w:sz w:val="20"/>
                <w:szCs w:val="20"/>
                <w:color w:val="auto"/>
              </w:rPr>
            </w:pPr>
            <w:r>
              <w:rPr>
                <w:rFonts w:ascii="Arial" w:cs="Arial" w:eastAsia="Arial" w:hAnsi="Arial"/>
                <w:sz w:val="18"/>
                <w:szCs w:val="18"/>
                <w:i w:val="1"/>
                <w:iCs w:val="1"/>
                <w:color w:val="auto"/>
              </w:rPr>
              <w:t>138.2</w:t>
            </w:r>
          </w:p>
        </w:tc>
        <w:tc>
          <w:tcPr>
            <w:tcW w:w="1560" w:type="dxa"/>
            <w:vAlign w:val="bottom"/>
            <w:tcBorders>
              <w:top w:val="single" w:sz="8" w:color="auto"/>
              <w:bottom w:val="single" w:sz="8" w:color="00000A"/>
              <w:right w:val="single" w:sz="8" w:color="00000A"/>
            </w:tcBorders>
          </w:tcPr>
          <w:p>
            <w:pPr>
              <w:jc w:val="right"/>
              <w:ind w:right="25"/>
              <w:spacing w:after="0"/>
              <w:rPr>
                <w:sz w:val="20"/>
                <w:szCs w:val="20"/>
                <w:color w:val="auto"/>
              </w:rPr>
            </w:pPr>
            <w:r>
              <w:rPr>
                <w:rFonts w:ascii="Arial" w:cs="Arial" w:eastAsia="Arial" w:hAnsi="Arial"/>
                <w:sz w:val="18"/>
                <w:szCs w:val="18"/>
                <w:i w:val="1"/>
                <w:iCs w:val="1"/>
                <w:color w:val="auto"/>
              </w:rPr>
              <w:t>137.3</w:t>
            </w:r>
          </w:p>
        </w:tc>
        <w:tc>
          <w:tcPr>
            <w:tcW w:w="1800" w:type="dxa"/>
            <w:vAlign w:val="bottom"/>
            <w:tcBorders>
              <w:top w:val="single" w:sz="8" w:color="00000A"/>
              <w:bottom w:val="single" w:sz="8" w:color="00000A"/>
              <w:right w:val="single" w:sz="8" w:color="00000A"/>
            </w:tcBorders>
          </w:tcPr>
          <w:p>
            <w:pPr>
              <w:jc w:val="right"/>
              <w:spacing w:after="0"/>
              <w:rPr>
                <w:sz w:val="20"/>
                <w:szCs w:val="20"/>
                <w:color w:val="auto"/>
              </w:rPr>
            </w:pPr>
            <w:r>
              <w:rPr>
                <w:rFonts w:ascii="Arial" w:cs="Arial" w:eastAsia="Arial" w:hAnsi="Arial"/>
                <w:sz w:val="18"/>
                <w:szCs w:val="18"/>
                <w:i w:val="1"/>
                <w:iCs w:val="1"/>
                <w:color w:val="auto"/>
              </w:rPr>
              <w:t>0.7%</w:t>
            </w:r>
          </w:p>
        </w:tc>
        <w:tc>
          <w:tcPr>
            <w:tcW w:w="1720" w:type="dxa"/>
            <w:vAlign w:val="bottom"/>
            <w:tcBorders>
              <w:top w:val="single" w:sz="8" w:color="00000A"/>
              <w:bottom w:val="single" w:sz="8" w:color="00000A"/>
              <w:right w:val="single" w:sz="8" w:color="auto"/>
            </w:tcBorders>
          </w:tcPr>
          <w:p>
            <w:pPr>
              <w:jc w:val="right"/>
              <w:spacing w:after="0"/>
              <w:rPr>
                <w:sz w:val="20"/>
                <w:szCs w:val="20"/>
                <w:color w:val="auto"/>
              </w:rPr>
            </w:pPr>
            <w:r>
              <w:rPr>
                <w:rFonts w:ascii="Arial" w:cs="Arial" w:eastAsia="Arial" w:hAnsi="Arial"/>
                <w:sz w:val="18"/>
                <w:szCs w:val="18"/>
                <w:i w:val="1"/>
                <w:iCs w:val="1"/>
                <w:color w:val="auto"/>
              </w:rPr>
              <w:t>(0.4%)</w:t>
            </w:r>
          </w:p>
        </w:tc>
        <w:tc>
          <w:tcPr>
            <w:tcW w:w="0" w:type="dxa"/>
            <w:vAlign w:val="bottom"/>
          </w:tcPr>
          <w:p>
            <w:pPr>
              <w:spacing w:after="0"/>
              <w:rPr>
                <w:sz w:val="1"/>
                <w:szCs w:val="1"/>
                <w:color w:val="auto"/>
              </w:rPr>
            </w:pPr>
          </w:p>
        </w:tc>
      </w:tr>
      <w:tr>
        <w:trPr>
          <w:trHeight w:val="265"/>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Surgery</w:t>
            </w:r>
          </w:p>
        </w:tc>
        <w:tc>
          <w:tcPr>
            <w:tcW w:w="20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635.5</w:t>
            </w:r>
          </w:p>
        </w:tc>
        <w:tc>
          <w:tcPr>
            <w:tcW w:w="1560" w:type="dxa"/>
            <w:vAlign w:val="bottom"/>
            <w:tcBorders>
              <w:bottom w:val="single" w:sz="8" w:color="00000A"/>
              <w:right w:val="single" w:sz="8" w:color="00000A"/>
            </w:tcBorders>
          </w:tcPr>
          <w:p>
            <w:pPr>
              <w:jc w:val="right"/>
              <w:ind w:right="25"/>
              <w:spacing w:after="0"/>
              <w:rPr>
                <w:sz w:val="20"/>
                <w:szCs w:val="20"/>
                <w:color w:val="auto"/>
              </w:rPr>
            </w:pPr>
            <w:r>
              <w:rPr>
                <w:rFonts w:ascii="Arial" w:cs="Arial" w:eastAsia="Arial" w:hAnsi="Arial"/>
                <w:sz w:val="20"/>
                <w:szCs w:val="20"/>
                <w:color w:val="auto"/>
              </w:rPr>
              <w:t>611.7</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3.9%</w:t>
            </w:r>
          </w:p>
        </w:tc>
        <w:tc>
          <w:tcPr>
            <w:tcW w:w="17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64"/>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20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375.0</w:t>
            </w:r>
          </w:p>
        </w:tc>
        <w:tc>
          <w:tcPr>
            <w:tcW w:w="1560" w:type="dxa"/>
            <w:vAlign w:val="bottom"/>
            <w:tcBorders>
              <w:bottom w:val="single" w:sz="8" w:color="00000A"/>
              <w:right w:val="single" w:sz="8" w:color="00000A"/>
            </w:tcBorders>
          </w:tcPr>
          <w:p>
            <w:pPr>
              <w:jc w:val="right"/>
              <w:ind w:right="25"/>
              <w:spacing w:after="0"/>
              <w:rPr>
                <w:sz w:val="20"/>
                <w:szCs w:val="20"/>
                <w:color w:val="auto"/>
              </w:rPr>
            </w:pPr>
            <w:r>
              <w:rPr>
                <w:rFonts w:ascii="Arial" w:cs="Arial" w:eastAsia="Arial" w:hAnsi="Arial"/>
                <w:sz w:val="20"/>
                <w:szCs w:val="20"/>
                <w:color w:val="auto"/>
              </w:rPr>
              <w:t>351.4</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6.7%</w:t>
            </w:r>
          </w:p>
        </w:tc>
        <w:tc>
          <w:tcPr>
            <w:tcW w:w="17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64"/>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1.8</w:t>
            </w:r>
          </w:p>
        </w:tc>
        <w:tc>
          <w:tcPr>
            <w:tcW w:w="1560" w:type="dxa"/>
            <w:vAlign w:val="bottom"/>
            <w:tcBorders>
              <w:bottom w:val="single" w:sz="8" w:color="00000A"/>
              <w:right w:val="single" w:sz="8" w:color="00000A"/>
            </w:tcBorders>
          </w:tcPr>
          <w:p>
            <w:pPr>
              <w:jc w:val="right"/>
              <w:ind w:right="25"/>
              <w:spacing w:after="0"/>
              <w:rPr>
                <w:sz w:val="20"/>
                <w:szCs w:val="20"/>
                <w:color w:val="auto"/>
              </w:rPr>
            </w:pPr>
            <w:r>
              <w:rPr>
                <w:rFonts w:ascii="Arial" w:cs="Arial" w:eastAsia="Arial" w:hAnsi="Arial"/>
                <w:sz w:val="20"/>
                <w:szCs w:val="20"/>
                <w:color w:val="auto"/>
              </w:rPr>
              <w:t>1.7</w:t>
            </w:r>
          </w:p>
        </w:tc>
        <w:tc>
          <w:tcPr>
            <w:tcW w:w="180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202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20"/>
                <w:szCs w:val="20"/>
                <w:color w:val="auto"/>
              </w:rPr>
              <w:t>$1,012.3</w:t>
            </w:r>
          </w:p>
        </w:tc>
        <w:tc>
          <w:tcPr>
            <w:tcW w:w="1560" w:type="dxa"/>
            <w:vAlign w:val="bottom"/>
            <w:tcBorders>
              <w:bottom w:val="single" w:sz="8" w:color="auto"/>
              <w:right w:val="single" w:sz="8" w:color="00000A"/>
            </w:tcBorders>
          </w:tcPr>
          <w:p>
            <w:pPr>
              <w:jc w:val="right"/>
              <w:ind w:right="25"/>
              <w:spacing w:after="0"/>
              <w:rPr>
                <w:sz w:val="20"/>
                <w:szCs w:val="20"/>
                <w:color w:val="auto"/>
              </w:rPr>
            </w:pPr>
            <w:r>
              <w:rPr>
                <w:rFonts w:ascii="Arial" w:cs="Arial" w:eastAsia="Arial" w:hAnsi="Arial"/>
                <w:sz w:val="20"/>
                <w:szCs w:val="20"/>
                <w:color w:val="auto"/>
              </w:rPr>
              <w:t>$964.9</w:t>
            </w:r>
          </w:p>
        </w:tc>
        <w:tc>
          <w:tcPr>
            <w:tcW w:w="1800" w:type="dxa"/>
            <w:vAlign w:val="bottom"/>
            <w:tcBorders>
              <w:bottom w:val="single" w:sz="8" w:color="auto"/>
              <w:right w:val="single" w:sz="8" w:color="00000A"/>
            </w:tcBorders>
          </w:tcPr>
          <w:p>
            <w:pPr>
              <w:jc w:val="right"/>
              <w:spacing w:after="0"/>
              <w:rPr>
                <w:sz w:val="20"/>
                <w:szCs w:val="20"/>
                <w:color w:val="auto"/>
              </w:rPr>
            </w:pPr>
            <w:r>
              <w:rPr>
                <w:rFonts w:ascii="Arial" w:cs="Arial" w:eastAsia="Arial" w:hAnsi="Arial"/>
                <w:sz w:val="20"/>
                <w:szCs w:val="20"/>
                <w:color w:val="auto"/>
              </w:rPr>
              <w:t>4.9%</w:t>
            </w:r>
          </w:p>
        </w:tc>
        <w:tc>
          <w:tcPr>
            <w:tcW w:w="172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 currency % change is considered a non-GAAP metric.</w:t>
      </w:r>
    </w:p>
    <w:p>
      <w:pPr>
        <w:spacing w:after="0" w:line="256" w:lineRule="exact"/>
        <w:rPr>
          <w:sz w:val="20"/>
          <w:szCs w:val="20"/>
          <w:color w:val="auto"/>
        </w:rPr>
      </w:pPr>
    </w:p>
    <w:p>
      <w:pPr>
        <w:jc w:val="both"/>
        <w:ind w:right="20"/>
        <w:spacing w:after="0" w:line="370" w:lineRule="auto"/>
        <w:rPr>
          <w:sz w:val="20"/>
          <w:szCs w:val="20"/>
          <w:color w:val="auto"/>
        </w:rPr>
      </w:pPr>
      <w:r>
        <w:rPr>
          <w:rFonts w:ascii="Arial" w:cs="Arial" w:eastAsia="Arial" w:hAnsi="Arial"/>
          <w:sz w:val="20"/>
          <w:szCs w:val="20"/>
          <w:color w:val="auto"/>
        </w:rPr>
        <w:t>For discussion purposes, all sales growth rates below reflect comparable, constant currency growth. Constant currency growth accounts for the impact from fluctuations in the various currencies in which the Company operates as compared to reported growth.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Surgery</w:t>
      </w:r>
    </w:p>
    <w:p>
      <w:pPr>
        <w:spacing w:after="0" w:line="145"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Cardiac Surgery sales, which include cardiopulmonary products and heart valves, were $635.5 million, representing a 2.7 percent increase versus the comparable period in 2016.</w:t>
      </w:r>
    </w:p>
    <w:p>
      <w:pPr>
        <w:spacing w:after="0" w:line="339" w:lineRule="exact"/>
        <w:rPr>
          <w:sz w:val="20"/>
          <w:szCs w:val="20"/>
          <w:color w:val="auto"/>
        </w:rPr>
      </w:pPr>
    </w:p>
    <w:p>
      <w:pPr>
        <w:jc w:val="both"/>
        <w:ind w:right="20"/>
        <w:spacing w:after="0" w:line="336" w:lineRule="auto"/>
        <w:rPr>
          <w:sz w:val="20"/>
          <w:szCs w:val="20"/>
          <w:color w:val="auto"/>
        </w:rPr>
      </w:pPr>
      <w:r>
        <w:rPr>
          <w:rFonts w:ascii="Arial" w:cs="Arial" w:eastAsia="Arial" w:hAnsi="Arial"/>
          <w:sz w:val="20"/>
          <w:szCs w:val="20"/>
          <w:color w:val="auto"/>
        </w:rPr>
        <w:t>Sales in cardiopulmonary products were $497.3 million, representing a 3.5 percent increase versus full-year 2016. This was due to strength in our heart-lung machines from continued progress in upgrading customers from older S3 machines to our current S5 machines, as well as strong sales of the Inspire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oxygenator.</w:t>
      </w:r>
    </w:p>
    <w:p>
      <w:pPr>
        <w:spacing w:after="0" w:line="358"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Heart valve sales, including tissue and mechanical heart valves, were $138.2 million, a decrease of 0.4 percent compared to full-year 2016 as a result of continuing global declines in traditional tissue and mechanical heart valves.</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ind w:right="20"/>
        <w:spacing w:after="0" w:line="340" w:lineRule="auto"/>
        <w:rPr>
          <w:sz w:val="20"/>
          <w:szCs w:val="20"/>
          <w:color w:val="auto"/>
        </w:rPr>
      </w:pPr>
      <w:r>
        <w:rPr>
          <w:rFonts w:ascii="Arial" w:cs="Arial" w:eastAsia="Arial" w:hAnsi="Arial"/>
          <w:sz w:val="20"/>
          <w:szCs w:val="20"/>
          <w:color w:val="auto"/>
        </w:rPr>
        <w:t>Neuromodulation sales were $375.0 million for full-year 2017, representing a 6.7 percent increase compared to full-year 2016. Sales were driven by strong demand for the AspireSR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VNS Therapy System, and the launch of the SenTiva VNS Therapy System in the fourth quarter.</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40"/>
          </w:cols>
          <w:pgMar w:left="240" w:top="754" w:right="2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On a U.S. GAAP basis, full-year 2017 operating income from continuing operations was $95.7 million. Adjusted operating income from continuing operations for the full-year 2017 was $218.7 million, an increase of 3.2 percent as compared to full-year 2016, primarily driven by favorable product mix and gross profit improvements, partially offset by expected increases in operating expenses due to increased R&amp;D investment in our TMVR and Heart Failure programs.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2018 Guidance</w:t>
      </w:r>
    </w:p>
    <w:p>
      <w:pPr>
        <w:spacing w:after="0" w:line="199"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LivaNova expects worldwide net sales from continuing operations for full-year 2018 to grow between 4 and 6 percent on a constant-currency basis. Adjusted diluted earnings per share from continuing operations for 2018 are expected to be in the range of $3.40 to $3.60.</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Key non-GAAP reconciliation items to the projected 2018 adjusted diluted earnings per share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1130" w:type="dxa"/>
        <w:tblCellMar>
          <w:top w:w="0" w:type="dxa"/>
          <w:left w:w="0" w:type="dxa"/>
          <w:bottom w:w="0" w:type="dxa"/>
          <w:right w:w="0" w:type="dxa"/>
        </w:tblCellMar>
      </w:tblPr>
      <w:tr>
        <w:trPr>
          <w:trHeight w:val="277"/>
        </w:trPr>
        <w:tc>
          <w:tcPr>
            <w:tcW w:w="69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80" w:type="dxa"/>
            <w:vAlign w:val="bottom"/>
            <w:tcBorders>
              <w:top w:val="single" w:sz="8" w:color="auto"/>
              <w:bottom w:val="single" w:sz="8" w:color="auto"/>
              <w:right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Earnings Per Share</w:t>
            </w:r>
          </w:p>
        </w:tc>
      </w:tr>
      <w:tr>
        <w:trPr>
          <w:trHeight w:val="250"/>
        </w:trPr>
        <w:tc>
          <w:tcPr>
            <w:tcW w:w="6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Estimated merger and integration charges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$0.28</w:t>
            </w:r>
          </w:p>
        </w:tc>
      </w:tr>
      <w:tr>
        <w:trPr>
          <w:trHeight w:val="250"/>
        </w:trPr>
        <w:tc>
          <w:tcPr>
            <w:tcW w:w="6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Estimated charges for restructuring</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$0.30</w:t>
            </w:r>
          </w:p>
        </w:tc>
      </w:tr>
      <w:tr>
        <w:trPr>
          <w:trHeight w:val="250"/>
        </w:trPr>
        <w:tc>
          <w:tcPr>
            <w:tcW w:w="6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Amortization of intangible assets related to purchase price accounting</w:t>
            </w:r>
          </w:p>
        </w:tc>
        <w:tc>
          <w:tcPr>
            <w:tcW w:w="8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$0.67</w:t>
            </w:r>
          </w:p>
        </w:tc>
        <w:tc>
          <w:tcPr>
            <w:tcW w:w="840" w:type="dxa"/>
            <w:vAlign w:val="bottom"/>
            <w:tcBorders>
              <w:bottom w:val="single" w:sz="8" w:color="auto"/>
              <w:right w:val="single" w:sz="8" w:color="auto"/>
            </w:tcBorders>
          </w:tcPr>
          <w:p>
            <w:pPr>
              <w:spacing w:after="0"/>
              <w:rPr>
                <w:sz w:val="21"/>
                <w:szCs w:val="21"/>
                <w:color w:val="auto"/>
              </w:rPr>
            </w:pPr>
          </w:p>
        </w:tc>
      </w:tr>
      <w:tr>
        <w:trPr>
          <w:trHeight w:val="250"/>
        </w:trPr>
        <w:tc>
          <w:tcPr>
            <w:tcW w:w="6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Estimated charges related to equity compensation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$0.40</w:t>
            </w:r>
          </w:p>
        </w:tc>
      </w:tr>
    </w:tbl>
    <w:p>
      <w:pPr>
        <w:spacing w:after="0" w:line="200" w:lineRule="exact"/>
        <w:rPr>
          <w:sz w:val="20"/>
          <w:szCs w:val="20"/>
          <w:color w:val="auto"/>
        </w:rPr>
      </w:pPr>
    </w:p>
    <w:p>
      <w:pPr>
        <w:spacing w:after="0" w:line="269" w:lineRule="exact"/>
        <w:rPr>
          <w:sz w:val="20"/>
          <w:szCs w:val="20"/>
          <w:color w:val="auto"/>
        </w:rPr>
      </w:pPr>
    </w:p>
    <w:p>
      <w:pPr>
        <w:ind w:right="500"/>
        <w:spacing w:after="0" w:line="370" w:lineRule="auto"/>
        <w:rPr>
          <w:sz w:val="20"/>
          <w:szCs w:val="20"/>
          <w:color w:val="auto"/>
        </w:rPr>
      </w:pPr>
      <w:r>
        <w:rPr>
          <w:rFonts w:ascii="Arial" w:cs="Arial" w:eastAsia="Arial" w:hAnsi="Arial"/>
          <w:sz w:val="20"/>
          <w:szCs w:val="20"/>
          <w:color w:val="auto"/>
        </w:rPr>
        <w:t>In 2018, the company estimates that adjusted cash flow from operations, excluding integration, restructuring and product remediation payments, will be in the range of $180 to $200 million. Capital expenditures are projected to range between $35 million to $40 million.</w:t>
      </w:r>
    </w:p>
    <w:p>
      <w:pPr>
        <w:spacing w:after="0" w:line="341" w:lineRule="exact"/>
        <w:rPr>
          <w:sz w:val="20"/>
          <w:szCs w:val="20"/>
          <w:color w:val="auto"/>
        </w:rPr>
      </w:pPr>
    </w:p>
    <w:p>
      <w:pPr>
        <w:ind w:right="380"/>
        <w:spacing w:after="0" w:line="368" w:lineRule="auto"/>
        <w:rPr>
          <w:sz w:val="20"/>
          <w:szCs w:val="20"/>
          <w:color w:val="auto"/>
        </w:rPr>
      </w:pPr>
      <w:r>
        <w:rPr>
          <w:rFonts w:ascii="Arial" w:cs="Arial" w:eastAsia="Arial" w:hAnsi="Arial"/>
          <w:sz w:val="20"/>
          <w:szCs w:val="20"/>
          <w:color w:val="auto"/>
        </w:rPr>
        <w:t>"We are entering 2018 with significant momentum to drive continued progress. We have a focused set of initiatives to increase sales growth, advance new product launches and improve our margins," said McDonald. "We are investing in advancing our pipeline and implementing programs to reach new patient populations around the globe. We believe these efforts will enable LivaNova to most effectively serve the needs of our customers and patients and create quality, long-term value for our shareholders."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45" w:lineRule="exact"/>
        <w:rPr>
          <w:sz w:val="20"/>
          <w:szCs w:val="20"/>
          <w:color w:val="auto"/>
        </w:rPr>
      </w:pPr>
    </w:p>
    <w:p>
      <w:pPr>
        <w:spacing w:after="0" w:line="373" w:lineRule="auto"/>
        <w:rPr>
          <w:sz w:val="20"/>
          <w:szCs w:val="20"/>
          <w:color w:val="auto"/>
        </w:rPr>
      </w:pPr>
      <w:r>
        <w:rPr>
          <w:rFonts w:ascii="Arial" w:cs="Arial" w:eastAsia="Arial" w:hAnsi="Arial"/>
          <w:sz w:val="20"/>
          <w:szCs w:val="20"/>
          <w:color w:val="auto"/>
        </w:rPr>
        <w:t>The Company will host a live audio webcast for interested parties commencing at 8 a.m. Central Time (9 a.m. Eastern Time, 2 p.m. GMT) on Wednesday, February 28 that will be accessible through the Investor Relations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030" w:right="239" w:bottom="1440" w:gutter="0" w:footer="0" w:header="0"/>
        </w:sectPr>
      </w:pPr>
    </w:p>
    <w:bookmarkStart w:id="9" w:name="page10"/>
    <w:bookmarkEnd w:id="9"/>
    <w:p>
      <w:pPr>
        <w:jc w:val="both"/>
        <w:ind w:right="20"/>
        <w:spacing w:after="0" w:line="398" w:lineRule="auto"/>
        <w:rPr>
          <w:sz w:val="20"/>
          <w:szCs w:val="20"/>
          <w:color w:val="auto"/>
        </w:rPr>
      </w:pPr>
      <w:r>
        <w:rPr>
          <w:rFonts w:ascii="Arial" w:cs="Arial" w:eastAsia="Arial" w:hAnsi="Arial"/>
          <w:sz w:val="20"/>
          <w:szCs w:val="20"/>
          <w:color w:val="auto"/>
        </w:rPr>
        <w:t xml:space="preserve">section of the LivaNova corporate website at </w:t>
      </w:r>
      <w:r>
        <w:rPr>
          <w:rFonts w:ascii="Arial" w:cs="Arial" w:eastAsia="Arial" w:hAnsi="Arial"/>
          <w:sz w:val="20"/>
          <w:szCs w:val="20"/>
          <w:u w:val="single" w:color="auto"/>
          <w:color w:val="1443BF"/>
        </w:rPr>
        <w:t>www.livanova.com</w:t>
      </w:r>
      <w:r>
        <w:rPr>
          <w:rFonts w:ascii="Arial" w:cs="Arial" w:eastAsia="Arial" w:hAnsi="Arial"/>
          <w:sz w:val="20"/>
          <w:szCs w:val="20"/>
          <w:b w:val="1"/>
          <w:bCs w:val="1"/>
          <w:color w:val="auto"/>
        </w:rPr>
        <w:t>.</w:t>
      </w:r>
      <w:r>
        <w:rPr>
          <w:rFonts w:ascii="Arial" w:cs="Arial" w:eastAsia="Arial" w:hAnsi="Arial"/>
          <w:sz w:val="20"/>
          <w:szCs w:val="20"/>
          <w:color w:val="auto"/>
        </w:rPr>
        <w:t xml:space="preserve"> To listen to the conference call live by telephone, dial (866) 393-4306 (if dialing from within the U.S.) or (734) 385-2616 (if dialing from outside the U.S.). The conference ID is 2898787.</w:t>
      </w:r>
    </w:p>
    <w:p>
      <w:pPr>
        <w:spacing w:after="0" w:line="31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121"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more than 4,500 employees, inclusive of approximately 900 employed by our CRM business franchise. LivaNova operates as three business franchises: Cardiac Surgery, Neuromodulation and Cardiac Rhythm Management, with operating headquarters in Mirandola (Italy), Houston (U.S.A.) and Clamart (France),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79" w:right="239" w:bottom="1440" w:gutter="0" w:footer="0" w:header="0"/>
        </w:sectPr>
      </w:pPr>
    </w:p>
    <w:bookmarkStart w:id="10" w:name="page11"/>
    <w:bookmarkEnd w:id="10"/>
    <w:p>
      <w:pPr>
        <w:jc w:val="both"/>
        <w:spacing w:after="0" w:line="356" w:lineRule="auto"/>
        <w:rPr>
          <w:sz w:val="20"/>
          <w:szCs w:val="20"/>
          <w:color w:val="auto"/>
        </w:rPr>
      </w:pPr>
      <w:r>
        <w:rPr>
          <w:rFonts w:ascii="Arial" w:cs="Arial" w:eastAsia="Arial" w:hAnsi="Arial"/>
          <w:sz w:val="20"/>
          <w:szCs w:val="20"/>
          <w:color w:val="auto"/>
        </w:rPr>
        <w:t>The Company also believes adjusted diluted earnings per share is meaningful as it allows investors to evaluate the Company’s performance for different periods on a more comparable basis by adjusting for items that are not related to the ongoing operations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21"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2018, advancing our growth, driving product launches and funding our equity investments, executing on our synergy targets and retaining our focus, energy and discipline as a company, serving the needs of our customers and patients, and delivering strong value to our shareholders.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906" w:right="239" w:bottom="1440" w:gutter="0" w:footer="0" w:header="0"/>
        </w:sectPr>
      </w:pPr>
    </w:p>
    <w:bookmarkStart w:id="11" w:name="page12"/>
    <w:bookmarkEnd w:id="11"/>
    <w:p>
      <w:pPr>
        <w:jc w:val="both"/>
        <w:spacing w:after="0" w:line="367" w:lineRule="auto"/>
        <w:rPr>
          <w:sz w:val="20"/>
          <w:szCs w:val="20"/>
          <w:color w:val="auto"/>
        </w:rPr>
      </w:pPr>
      <w:r>
        <w:rPr>
          <w:rFonts w:ascii="Arial" w:cs="Arial" w:eastAsia="Arial" w:hAnsi="Arial"/>
          <w:sz w:val="20"/>
          <w:szCs w:val="20"/>
          <w:color w:val="auto"/>
        </w:rPr>
        <w:t>with assumptions made in connection with critical accounting estimates and legal proceedings; (xii) LivaNova’s international operations, which are subject to the risks of currency fluctuations and foreign exchange controls; (xiii)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1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auto"/>
        </w:rPr>
        <w:t>www.livanova.com</w:t>
      </w:r>
      <w:r>
        <w:rPr>
          <w:rFonts w:ascii="Arial" w:cs="Arial" w:eastAsia="Arial" w:hAnsi="Arial"/>
          <w:sz w:val="20"/>
          <w:szCs w:val="20"/>
          <w:color w:val="auto"/>
        </w:rPr>
        <w:t>,</w:t>
      </w:r>
      <w:r>
        <w:rPr>
          <w:rFonts w:ascii="Arial" w:cs="Arial" w:eastAsia="Arial" w:hAnsi="Arial"/>
          <w:sz w:val="20"/>
          <w:szCs w:val="20"/>
          <w:b w:val="1"/>
          <w:bCs w:val="1"/>
          <w:color w:val="auto"/>
        </w:rPr>
        <w:t xml:space="preserve"> or contact:</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Investor Relations and Media</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Karen King</w:t>
      </w:r>
    </w:p>
    <w:p>
      <w:pPr>
        <w:ind w:left="180"/>
        <w:spacing w:after="0" w:line="236" w:lineRule="auto"/>
        <w:rPr>
          <w:sz w:val="20"/>
          <w:szCs w:val="20"/>
          <w:color w:val="auto"/>
        </w:rPr>
      </w:pPr>
      <w:r>
        <w:rPr>
          <w:rFonts w:ascii="Arial" w:cs="Arial" w:eastAsia="Arial" w:hAnsi="Arial"/>
          <w:sz w:val="20"/>
          <w:szCs w:val="20"/>
          <w:color w:val="auto"/>
        </w:rPr>
        <w:t>Vice President, Investor Relations &amp; Corporate Communications</w:t>
      </w:r>
    </w:p>
    <w:p>
      <w:pPr>
        <w:ind w:left="180"/>
        <w:spacing w:after="0" w:line="225" w:lineRule="auto"/>
        <w:rPr>
          <w:sz w:val="20"/>
          <w:szCs w:val="20"/>
          <w:color w:val="auto"/>
        </w:rPr>
      </w:pPr>
      <w:r>
        <w:rPr>
          <w:rFonts w:ascii="Arial" w:cs="Arial" w:eastAsia="Arial" w:hAnsi="Arial"/>
          <w:sz w:val="20"/>
          <w:szCs w:val="20"/>
          <w:color w:val="auto"/>
        </w:rPr>
        <w:t>Phone: +1 (281) 228-7262</w:t>
      </w:r>
    </w:p>
    <w:p>
      <w:pPr>
        <w:ind w:left="180"/>
        <w:spacing w:after="0" w:line="226" w:lineRule="auto"/>
        <w:rPr>
          <w:sz w:val="20"/>
          <w:szCs w:val="20"/>
          <w:color w:val="auto"/>
        </w:rPr>
      </w:pPr>
      <w:r>
        <w:rPr>
          <w:rFonts w:ascii="Arial" w:cs="Arial" w:eastAsia="Arial" w:hAnsi="Arial"/>
          <w:sz w:val="20"/>
          <w:szCs w:val="20"/>
          <w:color w:val="auto"/>
        </w:rPr>
        <w:t>Fax: +1 (281) 218-9332</w:t>
      </w:r>
    </w:p>
    <w:p>
      <w:pPr>
        <w:ind w:left="180"/>
        <w:spacing w:after="0"/>
        <w:rPr>
          <w:sz w:val="20"/>
          <w:szCs w:val="20"/>
          <w:color w:val="auto"/>
        </w:rPr>
      </w:pPr>
      <w:r>
        <w:rPr>
          <w:rFonts w:ascii="Arial" w:cs="Arial" w:eastAsia="Arial" w:hAnsi="Arial"/>
          <w:sz w:val="20"/>
          <w:szCs w:val="20"/>
          <w:color w:val="auto"/>
        </w:rPr>
        <w:t>e-mail: Corporate.Communications@LivaNova.com</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703" w:right="239" w:bottom="1440" w:gutter="0" w:footer="0" w:header="0"/>
        </w:sectPr>
      </w:pPr>
    </w:p>
    <w:bookmarkStart w:id="12" w:name="page13"/>
    <w:bookmarkEnd w:id="12"/>
    <w:p>
      <w:pPr>
        <w:ind w:left="5"/>
        <w:spacing w:after="0"/>
        <w:rPr>
          <w:sz w:val="20"/>
          <w:szCs w:val="20"/>
          <w:color w:val="auto"/>
        </w:rPr>
      </w:pPr>
      <w:r>
        <w:rPr>
          <w:rFonts w:ascii="Arial" w:cs="Arial" w:eastAsia="Arial" w:hAnsi="Arial"/>
          <w:sz w:val="18"/>
          <w:szCs w:val="18"/>
          <w:b w:val="1"/>
          <w:bCs w:val="1"/>
          <w:color w:val="auto"/>
        </w:rPr>
        <w:t>LIVANOVA PLC</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QUARTERLY SALES</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(U.S. dollars in millions)</w:t>
      </w:r>
    </w:p>
    <w:p>
      <w:pPr>
        <w:spacing w:after="0" w:line="171" w:lineRule="exact"/>
        <w:rPr>
          <w:sz w:val="20"/>
          <w:szCs w:val="20"/>
          <w:color w:val="auto"/>
        </w:rPr>
      </w:pPr>
    </w:p>
    <w:tbl>
      <w:tblPr>
        <w:tblLayout w:type="fixed"/>
        <w:tblInd w:w="5" w:type="dxa"/>
        <w:tblCellMar>
          <w:top w:w="0" w:type="dxa"/>
          <w:left w:w="0" w:type="dxa"/>
          <w:bottom w:w="0" w:type="dxa"/>
          <w:right w:w="0" w:type="dxa"/>
        </w:tblCellMar>
      </w:tblPr>
      <w:tr>
        <w:trPr>
          <w:trHeight w:val="259"/>
        </w:trPr>
        <w:tc>
          <w:tcPr>
            <w:tcW w:w="4060" w:type="dxa"/>
            <w:vAlign w:val="bottom"/>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Three Months Ended December 31,</w:t>
            </w:r>
          </w:p>
        </w:tc>
        <w:tc>
          <w:tcPr>
            <w:tcW w:w="2060" w:type="dxa"/>
            <w:vAlign w:val="bottom"/>
            <w:tcBorders>
              <w:bottom w:val="single" w:sz="8" w:color="auto"/>
            </w:tcBorders>
          </w:tcPr>
          <w:p>
            <w:pPr>
              <w:spacing w:after="0"/>
              <w:rPr>
                <w:sz w:val="22"/>
                <w:szCs w:val="22"/>
                <w:color w:val="auto"/>
              </w:rPr>
            </w:pPr>
          </w:p>
        </w:tc>
      </w:tr>
      <w:tr>
        <w:trPr>
          <w:trHeight w:val="328"/>
        </w:trPr>
        <w:tc>
          <w:tcPr>
            <w:tcW w:w="4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 Change at Actual</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r>
      <w:tr>
        <w:trPr>
          <w:trHeight w:val="259"/>
        </w:trPr>
        <w:tc>
          <w:tcPr>
            <w:tcW w:w="4060" w:type="dxa"/>
            <w:vAlign w:val="bottom"/>
          </w:tcPr>
          <w:p>
            <w:pPr>
              <w:spacing w:after="0"/>
              <w:rPr>
                <w:sz w:val="22"/>
                <w:szCs w:val="22"/>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Currency Rates</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Currency Rates</w:t>
            </w:r>
            <w:r>
              <w:rPr>
                <w:rFonts w:ascii="Arial" w:cs="Arial" w:eastAsia="Arial" w:hAnsi="Arial"/>
                <w:sz w:val="21"/>
                <w:szCs w:val="21"/>
                <w:color w:val="auto"/>
                <w:vertAlign w:val="superscript"/>
              </w:rPr>
              <w:t>(1)</w:t>
            </w:r>
          </w:p>
        </w:tc>
      </w:tr>
      <w:tr>
        <w:trPr>
          <w:trHeight w:val="257"/>
        </w:trPr>
        <w:tc>
          <w:tcPr>
            <w:tcW w:w="4060" w:type="dxa"/>
            <w:vAlign w:val="bottom"/>
          </w:tcPr>
          <w:p>
            <w:pPr>
              <w:spacing w:after="0"/>
              <w:rPr>
                <w:sz w:val="20"/>
                <w:szCs w:val="20"/>
                <w:color w:val="auto"/>
              </w:rPr>
            </w:pPr>
            <w:r>
              <w:rPr>
                <w:rFonts w:ascii="Arial" w:cs="Arial" w:eastAsia="Arial" w:hAnsi="Arial"/>
                <w:sz w:val="18"/>
                <w:szCs w:val="18"/>
                <w:b w:val="1"/>
                <w:bCs w:val="1"/>
                <w:color w:val="auto"/>
              </w:rPr>
              <w:t>Cardiopulmonary</w:t>
            </w: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7"/>
        </w:trPr>
        <w:tc>
          <w:tcPr>
            <w:tcW w:w="4060" w:type="dxa"/>
            <w:vAlign w:val="bottom"/>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50"/>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r>
      <w:tr>
        <w:trPr>
          <w:trHeight w:val="446"/>
        </w:trPr>
        <w:tc>
          <w:tcPr>
            <w:tcW w:w="4060" w:type="dxa"/>
            <w:vAlign w:val="bottom"/>
          </w:tcPr>
          <w:p>
            <w:pPr>
              <w:spacing w:after="0"/>
              <w:rPr>
                <w:sz w:val="20"/>
                <w:szCs w:val="20"/>
                <w:color w:val="auto"/>
              </w:rPr>
            </w:pPr>
            <w:r>
              <w:rPr>
                <w:rFonts w:ascii="Arial" w:cs="Arial" w:eastAsia="Arial" w:hAnsi="Arial"/>
                <w:sz w:val="18"/>
                <w:szCs w:val="18"/>
                <w:b w:val="1"/>
                <w:bCs w:val="1"/>
                <w:color w:val="auto"/>
              </w:rPr>
              <w:t>Heart Valves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4060" w:type="dxa"/>
            <w:vAlign w:val="bottom"/>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50"/>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r>
      <w:tr>
        <w:trPr>
          <w:trHeight w:val="446"/>
        </w:trPr>
        <w:tc>
          <w:tcPr>
            <w:tcW w:w="4060" w:type="dxa"/>
            <w:vAlign w:val="bottom"/>
          </w:tcPr>
          <w:p>
            <w:pPr>
              <w:spacing w:after="0"/>
              <w:rPr>
                <w:sz w:val="20"/>
                <w:szCs w:val="20"/>
                <w:color w:val="auto"/>
              </w:rPr>
            </w:pPr>
            <w:r>
              <w:rPr>
                <w:rFonts w:ascii="Arial" w:cs="Arial" w:eastAsia="Arial" w:hAnsi="Arial"/>
                <w:sz w:val="18"/>
                <w:szCs w:val="18"/>
                <w:b w:val="1"/>
                <w:bCs w:val="1"/>
                <w:color w:val="auto"/>
              </w:rPr>
              <w:t>Cardiac Surgery</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7"/>
        </w:trPr>
        <w:tc>
          <w:tcPr>
            <w:tcW w:w="4060" w:type="dxa"/>
            <w:vAlign w:val="bottom"/>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50"/>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7.3%</w:t>
            </w:r>
          </w:p>
        </w:tc>
      </w:tr>
      <w:tr>
        <w:trPr>
          <w:trHeight w:val="446"/>
        </w:trPr>
        <w:tc>
          <w:tcPr>
            <w:tcW w:w="406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7"/>
        </w:trPr>
        <w:tc>
          <w:tcPr>
            <w:tcW w:w="4060" w:type="dxa"/>
            <w:vAlign w:val="bottom"/>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50"/>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9.4%</w:t>
            </w:r>
          </w:p>
        </w:tc>
      </w:tr>
      <w:tr>
        <w:trPr>
          <w:trHeight w:val="446"/>
        </w:trPr>
        <w:tc>
          <w:tcPr>
            <w:tcW w:w="40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US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4060" w:type="dxa"/>
            <w:vAlign w:val="bottom"/>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446"/>
        </w:trPr>
        <w:tc>
          <w:tcPr>
            <w:tcW w:w="4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7"/>
        </w:trPr>
        <w:tc>
          <w:tcPr>
            <w:tcW w:w="4060" w:type="dxa"/>
            <w:vAlign w:val="bottom"/>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57"/>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$278.4</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$249.6</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2"/>
                <w:szCs w:val="22"/>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8.1%</w:t>
            </w:r>
          </w:p>
        </w:tc>
      </w:tr>
      <w:tr>
        <w:trPr>
          <w:trHeight w:val="20"/>
        </w:trPr>
        <w:tc>
          <w:tcPr>
            <w:tcW w:w="4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61" w:lineRule="exact"/>
        <w:rPr>
          <w:sz w:val="20"/>
          <w:szCs w:val="20"/>
          <w:color w:val="auto"/>
        </w:rPr>
      </w:pPr>
    </w:p>
    <w:p>
      <w:pPr>
        <w:ind w:left="5"/>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pacing w:after="0" w:line="86" w:lineRule="exact"/>
        <w:rPr>
          <w:sz w:val="20"/>
          <w:szCs w:val="20"/>
          <w:color w:val="auto"/>
        </w:rPr>
      </w:pPr>
    </w:p>
    <w:p>
      <w:pPr>
        <w:ind w:left="145" w:hanging="145"/>
        <w:spacing w:after="0"/>
        <w:tabs>
          <w:tab w:leader="none" w:pos="145"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Constant currency is a non-GAAP measure.</w:t>
      </w:r>
    </w:p>
    <w:p>
      <w:pPr>
        <w:spacing w:after="0" w:line="262"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5"/>
          </w:cols>
          <w:pgMar w:left="275" w:top="778" w:right="239" w:bottom="1440" w:gutter="0" w:footer="0" w:header="0"/>
        </w:sectPr>
      </w:pPr>
    </w:p>
    <w:bookmarkStart w:id="13" w:name="page14"/>
    <w:bookmarkEnd w:id="13"/>
    <w:p>
      <w:pPr>
        <w:ind w:left="5"/>
        <w:spacing w:after="0"/>
        <w:rPr>
          <w:sz w:val="20"/>
          <w:szCs w:val="20"/>
          <w:color w:val="auto"/>
        </w:rPr>
      </w:pPr>
      <w:r>
        <w:rPr>
          <w:rFonts w:ascii="Arial" w:cs="Arial" w:eastAsia="Arial" w:hAnsi="Arial"/>
          <w:sz w:val="18"/>
          <w:szCs w:val="18"/>
          <w:b w:val="1"/>
          <w:bCs w:val="1"/>
          <w:color w:val="auto"/>
        </w:rPr>
        <w:t>LIVANOVA PLC</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TWELVE MONTH SALES</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(U.S. dollars in millions)</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246"/>
        </w:trPr>
        <w:tc>
          <w:tcPr>
            <w:tcW w:w="39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Twelve Months Ended December 31,</w:t>
            </w:r>
          </w:p>
        </w:tc>
        <w:tc>
          <w:tcPr>
            <w:tcW w:w="2060" w:type="dxa"/>
            <w:vAlign w:val="bottom"/>
            <w:tcBorders>
              <w:bottom w:val="single" w:sz="8" w:color="auto"/>
            </w:tcBorders>
          </w:tcPr>
          <w:p>
            <w:pPr>
              <w:spacing w:after="0"/>
              <w:rPr>
                <w:sz w:val="21"/>
                <w:szCs w:val="21"/>
                <w:color w:val="auto"/>
              </w:rPr>
            </w:pPr>
          </w:p>
        </w:tc>
      </w:tr>
      <w:tr>
        <w:trPr>
          <w:trHeight w:val="328"/>
        </w:trPr>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 Change at Actual</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 Change at Constant</w:t>
            </w:r>
          </w:p>
        </w:tc>
      </w:tr>
      <w:tr>
        <w:trPr>
          <w:trHeight w:val="252"/>
        </w:trPr>
        <w:tc>
          <w:tcPr>
            <w:tcW w:w="3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2160" w:type="dxa"/>
            <w:vAlign w:val="bottom"/>
            <w:gridSpan w:val="2"/>
          </w:tcPr>
          <w:p>
            <w:pPr>
              <w:ind w:left="360"/>
              <w:spacing w:after="0"/>
              <w:rPr>
                <w:sz w:val="20"/>
                <w:szCs w:val="20"/>
                <w:color w:val="auto"/>
              </w:rPr>
            </w:pPr>
            <w:r>
              <w:rPr>
                <w:rFonts w:ascii="Arial" w:cs="Arial" w:eastAsia="Arial" w:hAnsi="Arial"/>
                <w:sz w:val="18"/>
                <w:szCs w:val="18"/>
                <w:b w:val="1"/>
                <w:bCs w:val="1"/>
                <w:color w:val="auto"/>
              </w:rPr>
              <w:t>Currency Rates</w:t>
            </w:r>
          </w:p>
        </w:tc>
        <w:tc>
          <w:tcPr>
            <w:tcW w:w="206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Currency Rates</w:t>
            </w:r>
            <w:r>
              <w:rPr>
                <w:rFonts w:ascii="Arial" w:cs="Arial" w:eastAsia="Arial" w:hAnsi="Arial"/>
                <w:sz w:val="21"/>
                <w:szCs w:val="21"/>
                <w:color w:val="auto"/>
                <w:vertAlign w:val="superscript"/>
              </w:rPr>
              <w:t>(1)</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Cardiopulmonary</w:t>
            </w: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154.4</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128.5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497.3</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474.4</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r>
      <w:tr>
        <w:trPr>
          <w:trHeight w:val="419"/>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Heart Valves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137.3</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(0.4%)</w:t>
            </w:r>
          </w:p>
        </w:tc>
      </w:tr>
      <w:tr>
        <w:trPr>
          <w:trHeight w:val="39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Cardiac Surgery</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182.1</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256.8</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635.5</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611.7</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r>
      <w:tr>
        <w:trPr>
          <w:trHeight w:val="39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Neuromodulation</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298.5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351.4</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r>
      <w:tr>
        <w:trPr>
          <w:trHeight w:val="446"/>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250"/>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160" w:type="dxa"/>
            <w:vAlign w:val="bottom"/>
            <w:gridSpan w:val="2"/>
          </w:tcPr>
          <w:p>
            <w:pPr>
              <w:ind w:left="1500"/>
              <w:spacing w:after="0"/>
              <w:rPr>
                <w:sz w:val="20"/>
                <w:szCs w:val="20"/>
                <w:color w:val="auto"/>
              </w:rPr>
            </w:pPr>
            <w:r>
              <w:rPr>
                <w:rFonts w:ascii="Arial" w:cs="Arial" w:eastAsia="Arial" w:hAnsi="Arial"/>
                <w:sz w:val="18"/>
                <w:szCs w:val="18"/>
                <w:color w:val="auto"/>
              </w:rPr>
              <w:t>N/A</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N/A</w:t>
            </w:r>
          </w:p>
        </w:tc>
      </w:tr>
      <w:tr>
        <w:trPr>
          <w:trHeight w:val="446"/>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480.6</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40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204.8</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406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279.5</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57"/>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$1,012.3</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$964.9</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2"/>
                <w:szCs w:val="22"/>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315" w:lineRule="exact"/>
        <w:rPr>
          <w:sz w:val="20"/>
          <w:szCs w:val="20"/>
          <w:color w:val="auto"/>
        </w:rPr>
      </w:pPr>
    </w:p>
    <w:p>
      <w:pPr>
        <w:ind w:left="5"/>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pacing w:after="0" w:line="109" w:lineRule="exact"/>
        <w:rPr>
          <w:sz w:val="20"/>
          <w:szCs w:val="20"/>
          <w:color w:val="auto"/>
        </w:rPr>
      </w:pPr>
    </w:p>
    <w:p>
      <w:pPr>
        <w:ind w:left="125" w:hanging="125"/>
        <w:spacing w:after="0"/>
        <w:tabs>
          <w:tab w:leader="none" w:pos="125" w:val="left"/>
        </w:tabs>
        <w:numPr>
          <w:ilvl w:val="0"/>
          <w:numId w:val="5"/>
        </w:numPr>
        <w:rPr>
          <w:rFonts w:ascii="Arial" w:cs="Arial" w:eastAsia="Arial" w:hAnsi="Arial"/>
          <w:sz w:val="15"/>
          <w:szCs w:val="15"/>
          <w:color w:val="auto"/>
          <w:vertAlign w:val="superscript"/>
        </w:rPr>
      </w:pPr>
      <w:r>
        <w:rPr>
          <w:rFonts w:ascii="Arial" w:cs="Arial" w:eastAsia="Arial" w:hAnsi="Arial"/>
          <w:sz w:val="12"/>
          <w:szCs w:val="12"/>
          <w:color w:val="auto"/>
        </w:rPr>
        <w:t>Constant currency is a non-GAAP measure.</w:t>
      </w:r>
    </w:p>
    <w:p>
      <w:pPr>
        <w:spacing w:after="0" w:line="262"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5"/>
          </w:cols>
          <w:pgMar w:left="275" w:top="778"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right="5340"/>
        <w:spacing w:after="0" w:line="343" w:lineRule="auto"/>
        <w:rPr>
          <w:sz w:val="20"/>
          <w:szCs w:val="20"/>
          <w:color w:val="auto"/>
        </w:rPr>
      </w:pPr>
      <w:r>
        <w:rPr>
          <w:rFonts w:ascii="Arial" w:cs="Arial" w:eastAsia="Arial" w:hAnsi="Arial"/>
          <w:sz w:val="19"/>
          <w:szCs w:val="19"/>
          <w:b w:val="1"/>
          <w:bCs w:val="1"/>
          <w:color w:val="auto"/>
        </w:rPr>
        <w:t>CONSOLIDATED STATEMENT OF INCOME (LOSS) - UNAUDITED (U.S. dollars in millions,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Pr>
          <w:p>
            <w:pPr>
              <w:spacing w:after="0"/>
              <w:rPr>
                <w:sz w:val="19"/>
                <w:szCs w:val="19"/>
                <w:color w:val="auto"/>
              </w:rPr>
            </w:pPr>
          </w:p>
        </w:tc>
        <w:tc>
          <w:tcPr>
            <w:tcW w:w="374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6"/>
                <w:szCs w:val="16"/>
                <w:b w:val="1"/>
                <w:bCs w:val="1"/>
                <w:color w:val="auto"/>
              </w:rPr>
              <w:t>Three Months Ended December 31,</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3"/>
                <w:szCs w:val="23"/>
                <w:color w:val="auto"/>
              </w:rPr>
            </w:pPr>
          </w:p>
        </w:tc>
        <w:tc>
          <w:tcPr>
            <w:tcW w:w="1820" w:type="dxa"/>
            <w:vAlign w:val="bottom"/>
            <w:tcBorders>
              <w:bottom w:val="single" w:sz="8" w:color="auto"/>
            </w:tcBorders>
          </w:tcPr>
          <w:p>
            <w:pPr>
              <w:jc w:val="right"/>
              <w:ind w:right="65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658"/>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3"/>
                <w:szCs w:val="23"/>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433"/>
        </w:trPr>
        <w:tc>
          <w:tcPr>
            <w:tcW w:w="5840" w:type="dxa"/>
            <w:vAlign w:val="bottom"/>
          </w:tcPr>
          <w:p>
            <w:pPr>
              <w:spacing w:after="0"/>
              <w:rPr>
                <w:sz w:val="20"/>
                <w:szCs w:val="20"/>
                <w:color w:val="auto"/>
              </w:rPr>
            </w:pPr>
            <w:r>
              <w:rPr>
                <w:rFonts w:ascii="Arial" w:cs="Arial" w:eastAsia="Arial" w:hAnsi="Arial"/>
                <w:sz w:val="16"/>
                <w:szCs w:val="16"/>
                <w:color w:val="auto"/>
              </w:rPr>
              <w:t>Net sales</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24"/>
                <w:szCs w:val="24"/>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$249.6</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88.9</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200"/>
              <w:spacing w:after="0"/>
              <w:rPr>
                <w:sz w:val="20"/>
                <w:szCs w:val="20"/>
                <w:color w:val="auto"/>
              </w:rPr>
            </w:pPr>
            <w:r>
              <w:rPr>
                <w:rFonts w:ascii="Arial" w:cs="Arial" w:eastAsia="Arial" w:hAnsi="Arial"/>
                <w:sz w:val="16"/>
                <w:szCs w:val="16"/>
                <w:color w:val="auto"/>
              </w:rPr>
              <w:t>Product remediation</w:t>
            </w: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35.3</w:t>
            </w:r>
          </w:p>
        </w:tc>
        <w:tc>
          <w:tcPr>
            <w:tcW w:w="2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6"/>
                <w:szCs w:val="16"/>
                <w:color w:val="auto"/>
              </w:rPr>
              <w:t>Gross profit</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125.4</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413"/>
        </w:trPr>
        <w:tc>
          <w:tcPr>
            <w:tcW w:w="5840" w:type="dxa"/>
            <w:vAlign w:val="bottom"/>
          </w:tcPr>
          <w:p>
            <w:pPr>
              <w:spacing w:after="0"/>
              <w:rPr>
                <w:sz w:val="20"/>
                <w:szCs w:val="20"/>
                <w:color w:val="auto"/>
              </w:rPr>
            </w:pPr>
            <w:r>
              <w:rPr>
                <w:rFonts w:ascii="Arial" w:cs="Arial" w:eastAsia="Arial" w:hAnsi="Arial"/>
                <w:sz w:val="16"/>
                <w:szCs w:val="16"/>
                <w:color w:val="auto"/>
              </w:rPr>
              <w:t>Operating expenses:</w:t>
            </w:r>
          </w:p>
        </w:tc>
        <w:tc>
          <w:tcPr>
            <w:tcW w:w="1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95.7</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Merger and integration expenses</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Restructuring expenses</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16.8</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200"/>
              <w:spacing w:after="0"/>
              <w:rPr>
                <w:sz w:val="20"/>
                <w:szCs w:val="20"/>
                <w:color w:val="auto"/>
              </w:rPr>
            </w:pPr>
            <w:r>
              <w:rPr>
                <w:rFonts w:ascii="Arial" w:cs="Arial" w:eastAsia="Arial" w:hAnsi="Arial"/>
                <w:sz w:val="16"/>
                <w:szCs w:val="16"/>
                <w:color w:val="auto"/>
              </w:rPr>
              <w:t>Amortization of intangibles</w:t>
            </w: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140.3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18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840" w:type="dxa"/>
            <w:vAlign w:val="bottom"/>
          </w:tcPr>
          <w:p>
            <w:pPr>
              <w:spacing w:after="0"/>
              <w:rPr>
                <w:sz w:val="20"/>
                <w:szCs w:val="20"/>
                <w:color w:val="auto"/>
              </w:rPr>
            </w:pPr>
            <w:r>
              <w:rPr>
                <w:rFonts w:ascii="Arial" w:cs="Arial" w:eastAsia="Arial" w:hAnsi="Arial"/>
                <w:sz w:val="16"/>
                <w:szCs w:val="16"/>
                <w:color w:val="auto"/>
              </w:rPr>
              <w:t>Operating income (loss) from continuing operations</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(14.9)</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386"/>
        </w:trPr>
        <w:tc>
          <w:tcPr>
            <w:tcW w:w="584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Impairment of cost-method investments</w:t>
            </w:r>
          </w:p>
        </w:tc>
        <w:tc>
          <w:tcPr>
            <w:tcW w:w="18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200"/>
              <w:spacing w:after="0"/>
              <w:rPr>
                <w:sz w:val="20"/>
                <w:szCs w:val="20"/>
                <w:color w:val="auto"/>
              </w:rPr>
            </w:pPr>
            <w:r>
              <w:rPr>
                <w:rFonts w:ascii="Arial" w:cs="Arial" w:eastAsia="Arial" w:hAnsi="Arial"/>
                <w:sz w:val="16"/>
                <w:szCs w:val="16"/>
                <w:color w:val="auto"/>
              </w:rPr>
              <w:t>Foreign exchange and other gains</w:t>
            </w: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6"/>
                <w:szCs w:val="16"/>
                <w:color w:val="auto"/>
              </w:rPr>
              <w:t>Income (loss) from continuing operations before tax</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(14.6)</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413"/>
        </w:trPr>
        <w:tc>
          <w:tcPr>
            <w:tcW w:w="5840" w:type="dxa"/>
            <w:vAlign w:val="bottom"/>
          </w:tcPr>
          <w:p>
            <w:pPr>
              <w:ind w:left="200"/>
              <w:spacing w:after="0"/>
              <w:rPr>
                <w:sz w:val="20"/>
                <w:szCs w:val="20"/>
                <w:color w:val="auto"/>
              </w:rPr>
            </w:pPr>
            <w:r>
              <w:rPr>
                <w:rFonts w:ascii="Arial" w:cs="Arial" w:eastAsia="Arial" w:hAnsi="Arial"/>
                <w:sz w:val="16"/>
                <w:szCs w:val="16"/>
                <w:color w:val="auto"/>
              </w:rPr>
              <w:t>Losses from equity method investments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200"/>
              <w:spacing w:after="0"/>
              <w:rPr>
                <w:sz w:val="20"/>
                <w:szCs w:val="20"/>
                <w:color w:val="auto"/>
              </w:rPr>
            </w:pPr>
            <w:r>
              <w:rPr>
                <w:rFonts w:ascii="Arial" w:cs="Arial" w:eastAsia="Arial" w:hAnsi="Arial"/>
                <w:sz w:val="16"/>
                <w:szCs w:val="16"/>
                <w:color w:val="auto"/>
              </w:rPr>
              <w:t>Income tax expense (benefit)</w:t>
            </w: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182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521"/>
        </w:trPr>
        <w:tc>
          <w:tcPr>
            <w:tcW w:w="584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Loss from discontinued operations, net of tax</w:t>
            </w:r>
          </w:p>
        </w:tc>
        <w:tc>
          <w:tcPr>
            <w:tcW w:w="18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(23.5)</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200"/>
              <w:spacing w:after="0"/>
              <w:rPr>
                <w:sz w:val="20"/>
                <w:szCs w:val="20"/>
                <w:color w:val="auto"/>
              </w:rPr>
            </w:pPr>
            <w:r>
              <w:rPr>
                <w:rFonts w:ascii="Arial" w:cs="Arial" w:eastAsia="Arial" w:hAnsi="Arial"/>
                <w:sz w:val="16"/>
                <w:szCs w:val="16"/>
                <w:color w:val="auto"/>
              </w:rPr>
              <w:t>Impairment of discontinued operations, net of tax</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0"/>
                <w:szCs w:val="20"/>
                <w:color w:val="auto"/>
              </w:rPr>
            </w:pPr>
            <w:r>
              <w:rPr>
                <w:rFonts w:ascii="Arial" w:cs="Arial" w:eastAsia="Arial" w:hAnsi="Arial"/>
                <w:sz w:val="16"/>
                <w:szCs w:val="16"/>
                <w:color w:val="auto"/>
              </w:rPr>
              <w:t>Net loss from discontinued operations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20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840" w:type="dxa"/>
            <w:vAlign w:val="bottom"/>
          </w:tcPr>
          <w:p>
            <w:pPr>
              <w:spacing w:after="0"/>
              <w:rPr>
                <w:sz w:val="20"/>
                <w:szCs w:val="20"/>
                <w:color w:val="auto"/>
              </w:rPr>
            </w:pPr>
            <w:r>
              <w:rPr>
                <w:rFonts w:ascii="Arial" w:cs="Arial" w:eastAsia="Arial" w:hAnsi="Arial"/>
                <w:sz w:val="16"/>
                <w:szCs w:val="16"/>
                <w:color w:val="auto"/>
              </w:rPr>
              <w:t>Net loss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507"/>
        </w:trPr>
        <w:tc>
          <w:tcPr>
            <w:tcW w:w="5840" w:type="dxa"/>
            <w:vAlign w:val="bottom"/>
          </w:tcPr>
          <w:p>
            <w:pPr>
              <w:spacing w:after="0"/>
              <w:rPr>
                <w:sz w:val="20"/>
                <w:szCs w:val="20"/>
                <w:color w:val="auto"/>
              </w:rPr>
            </w:pPr>
            <w:r>
              <w:rPr>
                <w:rFonts w:ascii="Arial" w:cs="Arial" w:eastAsia="Arial" w:hAnsi="Arial"/>
                <w:sz w:val="16"/>
                <w:szCs w:val="16"/>
                <w:color w:val="auto"/>
              </w:rPr>
              <w:t>Basic loss per common share:</w:t>
            </w:r>
          </w:p>
        </w:tc>
        <w:tc>
          <w:tcPr>
            <w:tcW w:w="1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82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($0.13)</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40" w:type="dxa"/>
            <w:vAlign w:val="bottom"/>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Diluted loss per common share:</w:t>
            </w: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82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($0.13)</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40" w:type="dxa"/>
            <w:vAlign w:val="bottom"/>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8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Basic</w:t>
            </w: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6"/>
                <w:szCs w:val="16"/>
                <w:color w:val="auto"/>
              </w:rPr>
              <w:t>Diluted</w:t>
            </w: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2"/>
        </w:trPr>
        <w:tc>
          <w:tcPr>
            <w:tcW w:w="5840" w:type="dxa"/>
            <w:vAlign w:val="bottom"/>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24"/>
                <w:szCs w:val="24"/>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$161.3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87.4</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19.7</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54.2</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3"/>
                <w:szCs w:val="23"/>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40.6</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6"/>
        </w:trPr>
        <w:tc>
          <w:tcPr>
            <w:tcW w:w="5840" w:type="dxa"/>
            <w:vAlign w:val="bottom"/>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24"/>
                <w:szCs w:val="24"/>
                <w:color w:val="auto"/>
              </w:rPr>
            </w:pPr>
          </w:p>
        </w:tc>
        <w:tc>
          <w:tcPr>
            <w:tcW w:w="1820" w:type="dxa"/>
            <w:vAlign w:val="bottom"/>
          </w:tcPr>
          <w:p>
            <w:pPr>
              <w:jc w:val="right"/>
              <w:ind w:right="38"/>
              <w:spacing w:after="0"/>
              <w:rPr>
                <w:sz w:val="20"/>
                <w:szCs w:val="20"/>
                <w:color w:val="auto"/>
              </w:rPr>
            </w:pPr>
            <w:r>
              <w:rPr>
                <w:rFonts w:ascii="Arial" w:cs="Arial" w:eastAsia="Arial" w:hAnsi="Arial"/>
                <w:sz w:val="16"/>
                <w:szCs w:val="16"/>
                <w:color w:val="auto"/>
              </w:rPr>
              <w:t>$0.83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774" w:right="239" w:bottom="0" w:gutter="0" w:footer="0" w:header="0"/>
        </w:sect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380"/>
          </w:cols>
          <w:pgMar w:left="280" w:top="774" w:right="239" w:bottom="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spacing w:after="0"/>
              <w:rPr>
                <w:sz w:val="23"/>
                <w:szCs w:val="23"/>
                <w:color w:val="auto"/>
              </w:rPr>
            </w:pPr>
          </w:p>
        </w:tc>
        <w:tc>
          <w:tcPr>
            <w:tcW w:w="3480" w:type="dxa"/>
            <w:vAlign w:val="bottom"/>
            <w:gridSpan w:val="4"/>
          </w:tcPr>
          <w:p>
            <w:pPr>
              <w:jc w:val="right"/>
              <w:spacing w:after="0"/>
              <w:rPr>
                <w:sz w:val="20"/>
                <w:szCs w:val="20"/>
                <w:color w:val="auto"/>
              </w:rPr>
            </w:pPr>
            <w:r>
              <w:rPr>
                <w:rFonts w:ascii="Arial" w:cs="Arial" w:eastAsia="Arial" w:hAnsi="Arial"/>
                <w:sz w:val="16"/>
                <w:szCs w:val="16"/>
                <w:color w:val="auto"/>
              </w:rPr>
              <w:t>GAAP Three Months Ended December 31,</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180" w:type="dxa"/>
            <w:vAlign w:val="bottom"/>
            <w:gridSpan w:val="3"/>
          </w:tcPr>
          <w:p>
            <w:pPr>
              <w:jc w:val="right"/>
              <w:ind w:right="27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Three Months Ended December 31,</w:t>
            </w:r>
          </w:p>
        </w:tc>
      </w:tr>
      <w:tr>
        <w:trPr>
          <w:trHeight w:val="208"/>
        </w:trPr>
        <w:tc>
          <w:tcPr>
            <w:tcW w:w="28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2016</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2016</w:t>
            </w:r>
          </w:p>
        </w:tc>
      </w:tr>
      <w:tr>
        <w:trPr>
          <w:trHeight w:val="237"/>
        </w:trPr>
        <w:tc>
          <w:tcPr>
            <w:tcW w:w="40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20" w:type="dxa"/>
            <w:vAlign w:val="bottom"/>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50.2%</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2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38.3%</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R&amp;D</w:t>
            </w:r>
          </w:p>
        </w:tc>
        <w:tc>
          <w:tcPr>
            <w:tcW w:w="7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38"/>
        </w:trPr>
        <w:tc>
          <w:tcPr>
            <w:tcW w:w="4080" w:type="dxa"/>
            <w:vAlign w:val="bottom"/>
            <w:gridSpan w:val="2"/>
          </w:tcPr>
          <w:p>
            <w:pPr>
              <w:spacing w:after="0"/>
              <w:rPr>
                <w:sz w:val="20"/>
                <w:szCs w:val="20"/>
                <w:color w:val="auto"/>
              </w:rPr>
            </w:pPr>
            <w:r>
              <w:rPr>
                <w:rFonts w:ascii="Arial" w:cs="Arial" w:eastAsia="Arial" w:hAnsi="Arial"/>
                <w:sz w:val="16"/>
                <w:szCs w:val="16"/>
                <w:color w:val="auto"/>
              </w:rPr>
              <w:t>Operating income from continuing</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5"/>
        </w:trPr>
        <w:tc>
          <w:tcPr>
            <w:tcW w:w="4080" w:type="dxa"/>
            <w:vAlign w:val="bottom"/>
            <w:gridSpan w:val="2"/>
          </w:tcPr>
          <w:p>
            <w:pPr>
              <w:spacing w:after="0"/>
              <w:rPr>
                <w:sz w:val="20"/>
                <w:szCs w:val="20"/>
                <w:color w:val="auto"/>
              </w:rPr>
            </w:pPr>
            <w:r>
              <w:rPr>
                <w:rFonts w:ascii="Arial" w:cs="Arial" w:eastAsia="Arial" w:hAnsi="Arial"/>
                <w:sz w:val="16"/>
                <w:szCs w:val="16"/>
                <w:color w:val="auto"/>
              </w:rPr>
              <w:t>operations</w:t>
            </w: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38"/>
        </w:trPr>
        <w:tc>
          <w:tcPr>
            <w:tcW w:w="4080" w:type="dxa"/>
            <w:vAlign w:val="bottom"/>
            <w:gridSpan w:val="2"/>
          </w:tcPr>
          <w:p>
            <w:pPr>
              <w:spacing w:after="0"/>
              <w:rPr>
                <w:sz w:val="20"/>
                <w:szCs w:val="20"/>
                <w:color w:val="auto"/>
              </w:rPr>
            </w:pPr>
            <w:r>
              <w:rPr>
                <w:rFonts w:ascii="Arial" w:cs="Arial" w:eastAsia="Arial" w:hAnsi="Arial"/>
                <w:sz w:val="16"/>
                <w:szCs w:val="16"/>
                <w:color w:val="auto"/>
              </w:rPr>
              <w:t>Income from continuing operations,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5"/>
        </w:trPr>
        <w:tc>
          <w:tcPr>
            <w:tcW w:w="4080" w:type="dxa"/>
            <w:vAlign w:val="bottom"/>
            <w:gridSpan w:val="2"/>
          </w:tcPr>
          <w:p>
            <w:pPr>
              <w:spacing w:after="0"/>
              <w:rPr>
                <w:sz w:val="20"/>
                <w:szCs w:val="20"/>
                <w:color w:val="auto"/>
              </w:rPr>
            </w:pPr>
            <w:r>
              <w:rPr>
                <w:rFonts w:ascii="Arial" w:cs="Arial" w:eastAsia="Arial" w:hAnsi="Arial"/>
                <w:sz w:val="16"/>
                <w:szCs w:val="16"/>
                <w:color w:val="auto"/>
              </w:rPr>
              <w:t>net of tax</w:t>
            </w:r>
          </w:p>
        </w:tc>
        <w:tc>
          <w:tcPr>
            <w:tcW w:w="7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20" w:type="dxa"/>
            <w:vAlign w:val="bottom"/>
          </w:tcPr>
          <w:p>
            <w:pPr>
              <w:jc w:val="right"/>
              <w:spacing w:after="0"/>
              <w:rPr>
                <w:sz w:val="20"/>
                <w:szCs w:val="20"/>
                <w:color w:val="auto"/>
              </w:rPr>
            </w:pPr>
            <w:r>
              <w:rPr>
                <w:rFonts w:ascii="Arial" w:cs="Arial" w:eastAsia="Arial" w:hAnsi="Arial"/>
                <w:sz w:val="16"/>
                <w:szCs w:val="16"/>
                <w:color w:val="auto"/>
              </w:rPr>
              <w:t>495.8%</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71.7%</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20.7%</w:t>
            </w:r>
          </w:p>
        </w:tc>
      </w:tr>
    </w:tbl>
    <w:p>
      <w:pPr>
        <w:spacing w:after="0" w:line="240" w:lineRule="exact"/>
        <w:rPr>
          <w:sz w:val="20"/>
          <w:szCs w:val="20"/>
          <w:color w:val="auto"/>
        </w:rPr>
      </w:pPr>
    </w:p>
    <w:p>
      <w:pPr>
        <w:ind w:left="440" w:right="240" w:hanging="330"/>
        <w:spacing w:after="0" w:line="258" w:lineRule="auto"/>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sz w:val="20"/>
          <w:szCs w:val="20"/>
          <w:color w:val="auto"/>
        </w:rPr>
      </w:pPr>
    </w:p>
    <w:p>
      <w:pPr>
        <w:ind w:left="440" w:hanging="270"/>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80"/>
          </w:cols>
          <w:pgMar w:left="320" w:top="792" w:right="29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INCOME (LOSS)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dollars in millions,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00" w:type="dxa"/>
            <w:vAlign w:val="bottom"/>
          </w:tcPr>
          <w:p>
            <w:pPr>
              <w:spacing w:after="0"/>
              <w:rPr>
                <w:sz w:val="19"/>
                <w:szCs w:val="19"/>
                <w:color w:val="auto"/>
              </w:rPr>
            </w:pPr>
          </w:p>
        </w:tc>
        <w:tc>
          <w:tcPr>
            <w:tcW w:w="37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Twelve Months Ended December 31,</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3"/>
                <w:szCs w:val="23"/>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3"/>
                <w:szCs w:val="23"/>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433"/>
        </w:trPr>
        <w:tc>
          <w:tcPr>
            <w:tcW w:w="5900" w:type="dxa"/>
            <w:vAlign w:val="bottom"/>
          </w:tcPr>
          <w:p>
            <w:pPr>
              <w:spacing w:after="0"/>
              <w:rPr>
                <w:sz w:val="20"/>
                <w:szCs w:val="20"/>
                <w:color w:val="auto"/>
              </w:rPr>
            </w:pPr>
            <w:r>
              <w:rPr>
                <w:rFonts w:ascii="Arial" w:cs="Arial" w:eastAsia="Arial" w:hAnsi="Arial"/>
                <w:sz w:val="16"/>
                <w:szCs w:val="16"/>
                <w:color w:val="auto"/>
              </w:rPr>
              <w:t>Net sales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$1,012.3</w:t>
            </w:r>
          </w:p>
        </w:tc>
        <w:tc>
          <w:tcPr>
            <w:tcW w:w="120" w:type="dxa"/>
            <w:vAlign w:val="bottom"/>
          </w:tcPr>
          <w:p>
            <w:pPr>
              <w:spacing w:after="0"/>
              <w:rPr>
                <w:sz w:val="24"/>
                <w:szCs w:val="24"/>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$964.9</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Cost of sales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353.4</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367.8</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00" w:type="dxa"/>
            <w:vAlign w:val="bottom"/>
          </w:tcPr>
          <w:p>
            <w:pPr>
              <w:ind w:left="340"/>
              <w:spacing w:after="0"/>
              <w:rPr>
                <w:sz w:val="20"/>
                <w:szCs w:val="20"/>
                <w:color w:val="auto"/>
              </w:rPr>
            </w:pPr>
            <w:r>
              <w:rPr>
                <w:rFonts w:ascii="Arial" w:cs="Arial" w:eastAsia="Arial" w:hAnsi="Arial"/>
                <w:sz w:val="16"/>
                <w:szCs w:val="16"/>
                <w:color w:val="auto"/>
              </w:rPr>
              <w:t>Product remediation</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w:t>
            </w:r>
          </w:p>
        </w:tc>
        <w:tc>
          <w:tcPr>
            <w:tcW w:w="2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6"/>
                <w:szCs w:val="16"/>
                <w:color w:val="auto"/>
              </w:rPr>
              <w:t>Gross profit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651.6</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559.5</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413"/>
        </w:trPr>
        <w:tc>
          <w:tcPr>
            <w:tcW w:w="5900" w:type="dxa"/>
            <w:vAlign w:val="bottom"/>
          </w:tcPr>
          <w:p>
            <w:pPr>
              <w:spacing w:after="0"/>
              <w:rPr>
                <w:sz w:val="20"/>
                <w:szCs w:val="20"/>
                <w:color w:val="auto"/>
              </w:rPr>
            </w:pPr>
            <w:r>
              <w:rPr>
                <w:rFonts w:ascii="Arial" w:cs="Arial" w:eastAsia="Arial" w:hAnsi="Arial"/>
                <w:sz w:val="16"/>
                <w:szCs w:val="16"/>
                <w:color w:val="auto"/>
              </w:rPr>
              <w:t>Operating expenses:</w:t>
            </w: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380.6</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356.8</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Merger and integration expenses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Restructuring expenses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00" w:type="dxa"/>
            <w:vAlign w:val="bottom"/>
          </w:tcPr>
          <w:p>
            <w:pPr>
              <w:ind w:left="340"/>
              <w:spacing w:after="0"/>
              <w:rPr>
                <w:sz w:val="20"/>
                <w:szCs w:val="20"/>
                <w:color w:val="auto"/>
              </w:rPr>
            </w:pPr>
            <w:r>
              <w:rPr>
                <w:rFonts w:ascii="Arial" w:cs="Arial" w:eastAsia="Arial" w:hAnsi="Arial"/>
                <w:sz w:val="16"/>
                <w:szCs w:val="16"/>
                <w:color w:val="auto"/>
              </w:rPr>
              <w:t>Amortization of intangibles</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2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556.0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528.1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80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900" w:type="dxa"/>
            <w:vAlign w:val="bottom"/>
          </w:tcPr>
          <w:p>
            <w:pPr>
              <w:spacing w:after="0"/>
              <w:rPr>
                <w:sz w:val="20"/>
                <w:szCs w:val="20"/>
                <w:color w:val="auto"/>
              </w:rPr>
            </w:pPr>
            <w:r>
              <w:rPr>
                <w:rFonts w:ascii="Arial" w:cs="Arial" w:eastAsia="Arial" w:hAnsi="Arial"/>
                <w:sz w:val="16"/>
                <w:szCs w:val="16"/>
                <w:color w:val="auto"/>
              </w:rPr>
              <w:t>Operating income from continuing operations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386"/>
        </w:trPr>
        <w:tc>
          <w:tcPr>
            <w:tcW w:w="5900" w:type="dxa"/>
            <w:vAlign w:val="bottom"/>
          </w:tcPr>
          <w:p>
            <w:pPr>
              <w:ind w:left="340"/>
              <w:spacing w:after="0"/>
              <w:rPr>
                <w:sz w:val="20"/>
                <w:szCs w:val="20"/>
                <w:color w:val="auto"/>
              </w:rPr>
            </w:pPr>
            <w:r>
              <w:rPr>
                <w:rFonts w:ascii="Arial" w:cs="Arial" w:eastAsia="Arial" w:hAnsi="Arial"/>
                <w:sz w:val="16"/>
                <w:szCs w:val="16"/>
                <w:color w:val="auto"/>
              </w:rPr>
              <w:t>Interest expense, net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Gain on acquisition of Caisson Interventional, LLC</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Impairment of cost-method investments</w:t>
            </w:r>
          </w:p>
        </w:tc>
        <w:tc>
          <w:tcPr>
            <w:tcW w:w="180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00" w:type="dxa"/>
            <w:vAlign w:val="bottom"/>
          </w:tcPr>
          <w:p>
            <w:pPr>
              <w:ind w:left="340"/>
              <w:spacing w:after="0"/>
              <w:rPr>
                <w:sz w:val="20"/>
                <w:szCs w:val="20"/>
                <w:color w:val="auto"/>
              </w:rPr>
            </w:pPr>
            <w:r>
              <w:rPr>
                <w:rFonts w:ascii="Arial" w:cs="Arial" w:eastAsia="Arial" w:hAnsi="Arial"/>
                <w:sz w:val="16"/>
                <w:szCs w:val="16"/>
                <w:color w:val="auto"/>
              </w:rPr>
              <w:t>Foreign exchange and other gains</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6"/>
                <w:szCs w:val="16"/>
                <w:color w:val="auto"/>
              </w:rPr>
              <w:t>Income from continuing operations before tax</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371.2%</w:t>
            </w:r>
          </w:p>
        </w:tc>
        <w:tc>
          <w:tcPr>
            <w:tcW w:w="0" w:type="dxa"/>
            <w:vAlign w:val="bottom"/>
          </w:tcPr>
          <w:p>
            <w:pPr>
              <w:spacing w:after="0"/>
              <w:rPr>
                <w:sz w:val="1"/>
                <w:szCs w:val="1"/>
                <w:color w:val="auto"/>
              </w:rPr>
            </w:pPr>
          </w:p>
        </w:tc>
      </w:tr>
      <w:tr>
        <w:trPr>
          <w:trHeight w:val="413"/>
        </w:trPr>
        <w:tc>
          <w:tcPr>
            <w:tcW w:w="5900" w:type="dxa"/>
            <w:vAlign w:val="bottom"/>
          </w:tcPr>
          <w:p>
            <w:pPr>
              <w:ind w:left="340"/>
              <w:spacing w:after="0"/>
              <w:rPr>
                <w:sz w:val="20"/>
                <w:szCs w:val="20"/>
                <w:color w:val="auto"/>
              </w:rPr>
            </w:pPr>
            <w:r>
              <w:rPr>
                <w:rFonts w:ascii="Arial" w:cs="Arial" w:eastAsia="Arial" w:hAnsi="Arial"/>
                <w:sz w:val="16"/>
                <w:szCs w:val="16"/>
                <w:color w:val="auto"/>
              </w:rPr>
              <w:t>Losses from equity method investments</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4"/>
                <w:szCs w:val="24"/>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90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2,768.4%</w:t>
            </w:r>
          </w:p>
        </w:tc>
        <w:tc>
          <w:tcPr>
            <w:tcW w:w="0" w:type="dxa"/>
            <w:vAlign w:val="bottom"/>
          </w:tcPr>
          <w:p>
            <w:pPr>
              <w:spacing w:after="0"/>
              <w:rPr>
                <w:sz w:val="1"/>
                <w:szCs w:val="1"/>
                <w:color w:val="auto"/>
              </w:rPr>
            </w:pPr>
          </w:p>
        </w:tc>
      </w:tr>
      <w:tr>
        <w:trPr>
          <w:trHeight w:val="413"/>
        </w:trPr>
        <w:tc>
          <w:tcPr>
            <w:tcW w:w="59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Loss from discontinued operations, net of tax</w:t>
            </w:r>
          </w:p>
        </w:tc>
        <w:tc>
          <w:tcPr>
            <w:tcW w:w="18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00" w:type="dxa"/>
            <w:vAlign w:val="bottom"/>
          </w:tcPr>
          <w:p>
            <w:pPr>
              <w:ind w:left="340"/>
              <w:spacing w:after="0"/>
              <w:rPr>
                <w:sz w:val="20"/>
                <w:szCs w:val="20"/>
                <w:color w:val="auto"/>
              </w:rPr>
            </w:pPr>
            <w:r>
              <w:rPr>
                <w:rFonts w:ascii="Arial" w:cs="Arial" w:eastAsia="Arial" w:hAnsi="Arial"/>
                <w:sz w:val="16"/>
                <w:szCs w:val="16"/>
                <w:color w:val="auto"/>
              </w:rPr>
              <w:t>Impairment of discontinued operations, net of tax</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16"/>
                <w:szCs w:val="16"/>
                <w:color w:val="auto"/>
              </w:rPr>
              <w:t>Net loss from discontinued operations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900" w:type="dxa"/>
            <w:vAlign w:val="bottom"/>
          </w:tcPr>
          <w:p>
            <w:pPr>
              <w:spacing w:after="0"/>
              <w:rPr>
                <w:sz w:val="20"/>
                <w:szCs w:val="20"/>
                <w:color w:val="auto"/>
              </w:rPr>
            </w:pPr>
            <w:r>
              <w:rPr>
                <w:rFonts w:ascii="Arial" w:cs="Arial" w:eastAsia="Arial" w:hAnsi="Arial"/>
                <w:sz w:val="16"/>
                <w:szCs w:val="16"/>
                <w:color w:val="auto"/>
              </w:rPr>
              <w:t>Net loss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507"/>
        </w:trPr>
        <w:tc>
          <w:tcPr>
            <w:tcW w:w="5900" w:type="dxa"/>
            <w:vAlign w:val="bottom"/>
          </w:tcPr>
          <w:p>
            <w:pPr>
              <w:spacing w:after="0"/>
              <w:rPr>
                <w:sz w:val="20"/>
                <w:szCs w:val="20"/>
                <w:color w:val="auto"/>
              </w:rPr>
            </w:pPr>
            <w:r>
              <w:rPr>
                <w:rFonts w:ascii="Arial" w:cs="Arial" w:eastAsia="Arial" w:hAnsi="Arial"/>
                <w:sz w:val="16"/>
                <w:szCs w:val="16"/>
                <w:color w:val="auto"/>
              </w:rPr>
              <w:t>Basic income (loss) per common share:</w:t>
            </w: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Continuing operations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00" w:type="dxa"/>
            <w:vAlign w:val="bottom"/>
          </w:tcPr>
          <w:p>
            <w:pPr>
              <w:ind w:left="340"/>
              <w:spacing w:after="0"/>
              <w:rPr>
                <w:sz w:val="20"/>
                <w:szCs w:val="20"/>
                <w:color w:val="auto"/>
              </w:rPr>
            </w:pPr>
            <w:r>
              <w:rPr>
                <w:rFonts w:ascii="Arial" w:cs="Arial" w:eastAsia="Arial" w:hAnsi="Arial"/>
                <w:sz w:val="16"/>
                <w:szCs w:val="16"/>
                <w:color w:val="auto"/>
              </w:rPr>
              <w:t>Discontinued operations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6"/>
                <w:szCs w:val="16"/>
                <w:color w:val="auto"/>
              </w:rPr>
              <w:t>Diluted income (loss) per common share:</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9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Continuing operations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900" w:type="dxa"/>
            <w:vAlign w:val="bottom"/>
          </w:tcPr>
          <w:p>
            <w:pPr>
              <w:ind w:left="340"/>
              <w:spacing w:after="0"/>
              <w:rPr>
                <w:sz w:val="20"/>
                <w:szCs w:val="20"/>
                <w:color w:val="auto"/>
              </w:rPr>
            </w:pPr>
            <w:r>
              <w:rPr>
                <w:rFonts w:ascii="Arial" w:cs="Arial" w:eastAsia="Arial" w:hAnsi="Arial"/>
                <w:sz w:val="16"/>
                <w:szCs w:val="16"/>
                <w:color w:val="auto"/>
              </w:rPr>
              <w:t>Discontinued operations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Basic</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340"/>
              <w:spacing w:after="0"/>
              <w:rPr>
                <w:sz w:val="20"/>
                <w:szCs w:val="20"/>
                <w:color w:val="auto"/>
              </w:rPr>
            </w:pPr>
            <w:r>
              <w:rPr>
                <w:rFonts w:ascii="Arial" w:cs="Arial" w:eastAsia="Arial" w:hAnsi="Arial"/>
                <w:sz w:val="16"/>
                <w:szCs w:val="16"/>
                <w:color w:val="auto"/>
              </w:rPr>
              <w:t>Diluted</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5"/>
        </w:trPr>
        <w:tc>
          <w:tcPr>
            <w:tcW w:w="5900" w:type="dxa"/>
            <w:vAlign w:val="bottom"/>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$664.8</w:t>
            </w:r>
          </w:p>
        </w:tc>
        <w:tc>
          <w:tcPr>
            <w:tcW w:w="120" w:type="dxa"/>
            <w:vAlign w:val="bottom"/>
          </w:tcPr>
          <w:p>
            <w:pPr>
              <w:spacing w:after="0"/>
              <w:rPr>
                <w:sz w:val="24"/>
                <w:szCs w:val="24"/>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$628.0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350.9</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335.2</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80.9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211.9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148.5</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6"/>
        </w:trPr>
        <w:tc>
          <w:tcPr>
            <w:tcW w:w="5900" w:type="dxa"/>
            <w:vAlign w:val="bottom"/>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4"/>
                <w:szCs w:val="24"/>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774" w:right="239" w:bottom="0" w:gutter="0" w:footer="0" w:header="0"/>
        </w:sect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380"/>
          </w:cols>
          <w:pgMar w:left="280" w:top="774" w:right="23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00" w:type="dxa"/>
            <w:vAlign w:val="bottom"/>
          </w:tcPr>
          <w:p>
            <w:pPr>
              <w:spacing w:after="0"/>
              <w:rPr>
                <w:sz w:val="23"/>
                <w:szCs w:val="23"/>
                <w:color w:val="auto"/>
              </w:rPr>
            </w:pPr>
          </w:p>
        </w:tc>
        <w:tc>
          <w:tcPr>
            <w:tcW w:w="3920" w:type="dxa"/>
            <w:vAlign w:val="bottom"/>
            <w:gridSpan w:val="5"/>
          </w:tcPr>
          <w:p>
            <w:pPr>
              <w:ind w:left="280"/>
              <w:spacing w:after="0"/>
              <w:rPr>
                <w:sz w:val="20"/>
                <w:szCs w:val="20"/>
                <w:color w:val="auto"/>
              </w:rPr>
            </w:pPr>
            <w:r>
              <w:rPr>
                <w:rFonts w:ascii="Arial" w:cs="Arial" w:eastAsia="Arial" w:hAnsi="Arial"/>
                <w:sz w:val="16"/>
                <w:szCs w:val="16"/>
                <w:color w:val="auto"/>
              </w:rPr>
              <w:t>GAAP Twelve Months Ended December 31,</w:t>
            </w:r>
          </w:p>
        </w:tc>
        <w:tc>
          <w:tcPr>
            <w:tcW w:w="4340" w:type="dxa"/>
            <w:vAlign w:val="bottom"/>
            <w:gridSpan w:val="3"/>
          </w:tcPr>
          <w:p>
            <w:pPr>
              <w:jc w:val="right"/>
              <w:ind w:right="29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Twelve Months Ended December 31,</w:t>
            </w:r>
          </w:p>
        </w:tc>
      </w:tr>
      <w:tr>
        <w:trPr>
          <w:trHeight w:val="208"/>
        </w:trPr>
        <w:tc>
          <w:tcPr>
            <w:tcW w:w="2500" w:type="dxa"/>
            <w:vAlign w:val="bottom"/>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2017</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20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2016</w:t>
            </w:r>
          </w:p>
        </w:tc>
      </w:tr>
      <w:tr>
        <w:trPr>
          <w:trHeight w:val="237"/>
        </w:trPr>
        <w:tc>
          <w:tcPr>
            <w:tcW w:w="37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2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70"/>
        </w:trPr>
        <w:tc>
          <w:tcPr>
            <w:tcW w:w="372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2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70"/>
        </w:trPr>
        <w:tc>
          <w:tcPr>
            <w:tcW w:w="3720" w:type="dxa"/>
            <w:vAlign w:val="bottom"/>
            <w:gridSpan w:val="2"/>
          </w:tcPr>
          <w:p>
            <w:pPr>
              <w:spacing w:after="0"/>
              <w:rPr>
                <w:sz w:val="20"/>
                <w:szCs w:val="20"/>
                <w:color w:val="auto"/>
              </w:rPr>
            </w:pPr>
            <w:r>
              <w:rPr>
                <w:rFonts w:ascii="Arial" w:cs="Arial" w:eastAsia="Arial" w:hAnsi="Arial"/>
                <w:sz w:val="16"/>
                <w:szCs w:val="16"/>
                <w:color w:val="auto"/>
              </w:rPr>
              <w:t>R&amp;D</w:t>
            </w: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38"/>
        </w:trPr>
        <w:tc>
          <w:tcPr>
            <w:tcW w:w="3720" w:type="dxa"/>
            <w:vAlign w:val="bottom"/>
            <w:gridSpan w:val="2"/>
          </w:tcPr>
          <w:p>
            <w:pPr>
              <w:spacing w:after="0"/>
              <w:rPr>
                <w:sz w:val="20"/>
                <w:szCs w:val="20"/>
                <w:color w:val="auto"/>
              </w:rPr>
            </w:pPr>
            <w:r>
              <w:rPr>
                <w:rFonts w:ascii="Arial" w:cs="Arial" w:eastAsia="Arial" w:hAnsi="Arial"/>
                <w:sz w:val="16"/>
                <w:szCs w:val="16"/>
                <w:color w:val="auto"/>
              </w:rPr>
              <w:t>Operating income from</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195"/>
        </w:trPr>
        <w:tc>
          <w:tcPr>
            <w:tcW w:w="372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6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38"/>
        </w:trPr>
        <w:tc>
          <w:tcPr>
            <w:tcW w:w="3720" w:type="dxa"/>
            <w:vAlign w:val="bottom"/>
            <w:gridSpan w:val="2"/>
          </w:tcPr>
          <w:p>
            <w:pPr>
              <w:spacing w:after="0"/>
              <w:rPr>
                <w:sz w:val="20"/>
                <w:szCs w:val="20"/>
                <w:color w:val="auto"/>
              </w:rPr>
            </w:pPr>
            <w:r>
              <w:rPr>
                <w:rFonts w:ascii="Arial" w:cs="Arial" w:eastAsia="Arial" w:hAnsi="Arial"/>
                <w:sz w:val="16"/>
                <w:szCs w:val="16"/>
                <w:color w:val="auto"/>
              </w:rPr>
              <w:t>Income from continuing</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195"/>
        </w:trPr>
        <w:tc>
          <w:tcPr>
            <w:tcW w:w="3720" w:type="dxa"/>
            <w:vAlign w:val="bottom"/>
            <w:gridSpan w:val="2"/>
          </w:tcPr>
          <w:p>
            <w:pPr>
              <w:spacing w:after="0"/>
              <w:rPr>
                <w:sz w:val="20"/>
                <w:szCs w:val="20"/>
                <w:color w:val="auto"/>
              </w:rPr>
            </w:pPr>
            <w:r>
              <w:rPr>
                <w:rFonts w:ascii="Arial" w:cs="Arial" w:eastAsia="Arial" w:hAnsi="Arial"/>
                <w:sz w:val="16"/>
                <w:szCs w:val="16"/>
                <w:color w:val="auto"/>
              </w:rPr>
              <w:t>operations, net of tax</w:t>
            </w:r>
          </w:p>
        </w:tc>
        <w:tc>
          <w:tcPr>
            <w:tcW w:w="6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70"/>
        </w:trPr>
        <w:tc>
          <w:tcPr>
            <w:tcW w:w="372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2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24.7%</w:t>
            </w:r>
          </w:p>
        </w:tc>
      </w:tr>
    </w:tbl>
    <w:p>
      <w:pPr>
        <w:spacing w:after="0" w:line="240" w:lineRule="exact"/>
        <w:rPr>
          <w:sz w:val="20"/>
          <w:szCs w:val="20"/>
          <w:color w:val="auto"/>
        </w:rPr>
      </w:pPr>
    </w:p>
    <w:p>
      <w:pPr>
        <w:ind w:left="420" w:right="380" w:hanging="414"/>
        <w:spacing w:after="0" w:line="258"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86"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 Numbers may not add up precisely due to rounding.</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60"/>
          </w:cols>
          <w:pgMar w:left="580" w:top="792" w:right="559" w:bottom="1440" w:gutter="0" w:footer="0" w:header="0"/>
        </w:sectPr>
      </w:pPr>
    </w:p>
    <w:bookmarkStart w:id="18" w:name="page19"/>
    <w:bookmarkEnd w:id="18"/>
    <w:p>
      <w:pPr>
        <w:ind w:left="40" w:right="5040"/>
        <w:spacing w:after="0" w:line="402" w:lineRule="auto"/>
        <w:rPr>
          <w:sz w:val="20"/>
          <w:szCs w:val="20"/>
          <w:color w:val="auto"/>
        </w:rPr>
      </w:pPr>
      <w:r>
        <w:rPr>
          <w:rFonts w:ascii="Arial" w:cs="Arial" w:eastAsia="Arial" w:hAnsi="Arial"/>
          <w:sz w:val="16"/>
          <w:szCs w:val="16"/>
          <w:b w:val="1"/>
          <w:bCs w:val="1"/>
          <w:color w:val="auto"/>
        </w:rPr>
        <w:t xml:space="preserve">RECONCILIATION OF GAAP TO NON-GAAP FINANCIAL MEASURES - UNAUDITED </w:t>
      </w: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Operating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Diluted EPS</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income from</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Net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Diluted EPS from</w:t>
            </w:r>
          </w:p>
        </w:tc>
        <w:tc>
          <w:tcPr>
            <w:tcW w:w="880" w:type="dxa"/>
            <w:vAlign w:val="bottom"/>
          </w:tcPr>
          <w:p>
            <w:pPr>
              <w:spacing w:after="0"/>
              <w:rPr>
                <w:sz w:val="14"/>
                <w:szCs w:val="14"/>
                <w:color w:val="auto"/>
              </w:rPr>
            </w:pPr>
          </w:p>
        </w:tc>
      </w:tr>
      <w:tr>
        <w:trPr>
          <w:trHeight w:val="162"/>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Gross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discontinued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discontinued</w:t>
            </w:r>
          </w:p>
        </w:tc>
        <w:tc>
          <w:tcPr>
            <w:tcW w:w="880" w:type="dxa"/>
            <w:vAlign w:val="bottom"/>
          </w:tcPr>
          <w:p>
            <w:pPr>
              <w:spacing w:after="0"/>
              <w:rPr>
                <w:sz w:val="14"/>
                <w:szCs w:val="14"/>
                <w:color w:val="auto"/>
              </w:rPr>
            </w:pPr>
          </w:p>
        </w:tc>
      </w:tr>
      <w:tr>
        <w:trPr>
          <w:trHeight w:val="19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Sales</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profit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Diluted EPS</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GAAP Financial Measures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$278.4</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$172.1</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($80.2)</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($0.65)</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r>
      <w:tr>
        <w:trPr>
          <w:trHeight w:val="218"/>
        </w:trPr>
        <w:tc>
          <w:tcPr>
            <w:tcW w:w="2880" w:type="dxa"/>
            <w:vAlign w:val="bottom"/>
          </w:tcPr>
          <w:p>
            <w:pPr>
              <w:ind w:left="40"/>
              <w:spacing w:after="0"/>
              <w:rPr>
                <w:sz w:val="20"/>
                <w:szCs w:val="20"/>
                <w:color w:val="auto"/>
              </w:rPr>
            </w:pPr>
            <w:r>
              <w:rPr>
                <w:rFonts w:ascii="Arial" w:cs="Arial" w:eastAsia="Arial" w:hAnsi="Arial"/>
                <w:sz w:val="14"/>
                <w:szCs w:val="14"/>
                <w:color w:val="auto"/>
              </w:rPr>
              <w:t>Specified items</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11"/>
        </w:trPr>
        <w:tc>
          <w:tcPr>
            <w:tcW w:w="2880" w:type="dxa"/>
            <w:vAlign w:val="bottom"/>
          </w:tcPr>
          <w:p>
            <w:pPr>
              <w:ind w:left="180"/>
              <w:spacing w:after="0"/>
              <w:rPr>
                <w:sz w:val="20"/>
                <w:szCs w:val="20"/>
                <w:color w:val="auto"/>
              </w:rPr>
            </w:pPr>
            <w:r>
              <w:rPr>
                <w:rFonts w:ascii="Arial" w:cs="Arial" w:eastAsia="Arial" w:hAnsi="Arial"/>
                <w:sz w:val="14"/>
                <w:szCs w:val="14"/>
                <w:color w:val="auto"/>
              </w:rPr>
              <w:t>Merger and integration expenses (A)</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0.12</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Restructuring expenses (B)</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Depreciation and amortization (C)</w:t>
            </w:r>
          </w:p>
        </w:tc>
        <w:tc>
          <w:tcPr>
            <w:tcW w:w="7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0.13</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Product remediation (D)</w:t>
            </w:r>
          </w:p>
        </w:tc>
        <w:tc>
          <w:tcPr>
            <w:tcW w:w="7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Other income/(expenses) &amp; litigations (E)</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0.07</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Equity compensation (F)</w:t>
            </w:r>
          </w:p>
        </w:tc>
        <w:tc>
          <w:tcPr>
            <w:tcW w:w="7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0.09</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CRM business franchise divestiture (G)</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82.7</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82.7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1.69</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Other Impairments (H)</w:t>
            </w:r>
          </w:p>
        </w:tc>
        <w:tc>
          <w:tcPr>
            <w:tcW w:w="7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0.17</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Acquisition costs (I)</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Certain interest adjustments (J)</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6"/>
        </w:trPr>
        <w:tc>
          <w:tcPr>
            <w:tcW w:w="2880" w:type="dxa"/>
            <w:vAlign w:val="bottom"/>
          </w:tcPr>
          <w:p>
            <w:pPr>
              <w:ind w:left="180"/>
              <w:spacing w:after="0"/>
              <w:rPr>
                <w:sz w:val="20"/>
                <w:szCs w:val="20"/>
                <w:color w:val="auto"/>
              </w:rPr>
            </w:pPr>
            <w:r>
              <w:rPr>
                <w:rFonts w:ascii="Arial" w:cs="Arial" w:eastAsia="Arial" w:hAnsi="Arial"/>
                <w:sz w:val="14"/>
                <w:szCs w:val="14"/>
                <w:color w:val="auto"/>
              </w:rPr>
              <w:t>Certain tax adjustments (K)</w:t>
            </w: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37.6</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0.85</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(0.07)</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0.78</w:t>
            </w:r>
          </w:p>
        </w:tc>
      </w:tr>
      <w:tr>
        <w:trPr>
          <w:trHeight w:val="270"/>
        </w:trPr>
        <w:tc>
          <w:tcPr>
            <w:tcW w:w="2880" w:type="dxa"/>
            <w:vAlign w:val="bottom"/>
          </w:tcPr>
          <w:p>
            <w:pPr>
              <w:ind w:left="40"/>
              <w:spacing w:after="0"/>
              <w:rPr>
                <w:sz w:val="20"/>
                <w:szCs w:val="20"/>
                <w:color w:val="auto"/>
              </w:rPr>
            </w:pPr>
            <w:r>
              <w:rPr>
                <w:rFonts w:ascii="Arial" w:cs="Arial" w:eastAsia="Arial" w:hAnsi="Arial"/>
                <w:sz w:val="14"/>
                <w:szCs w:val="14"/>
                <w:color w:val="auto"/>
              </w:rPr>
              <w:t>Adjusted financial measures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$278.4</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$178.8</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$43.1</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$43.8</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$0.88</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$0.89</w:t>
            </w:r>
          </w:p>
        </w:tc>
      </w:tr>
      <w:tr>
        <w:trPr>
          <w:trHeight w:val="20"/>
        </w:trPr>
        <w:tc>
          <w:tcPr>
            <w:tcW w:w="2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GAAP results for the three months ended December 31, 2017 include:</w:t>
      </w:r>
    </w:p>
    <w:p>
      <w:pPr>
        <w:spacing w:after="0" w:line="82" w:lineRule="exact"/>
        <w:rPr>
          <w:sz w:val="20"/>
          <w:szCs w:val="20"/>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Continuing operations includes $0.2m related to COGS, $3.5m related to SG&amp;A and $0.3m for R&amp;D.</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CRM business franchise impairment of $93.6m and $6.3m of expenses associated with divestiture</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$8.6m of impairments to cost-method investments and $1.0m of tangible asset impairments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associated with the acquisitions of ImThera, TandemLife and Caisson</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related to intellectual property migration and other non-recurring impacts to interest expense</w:t>
      </w:r>
    </w:p>
    <w:p>
      <w:pPr>
        <w:spacing w:after="0" w:line="55" w:lineRule="exact"/>
        <w:rPr>
          <w:rFonts w:ascii="Arial" w:cs="Arial" w:eastAsia="Arial" w:hAnsi="Arial"/>
          <w:sz w:val="14"/>
          <w:szCs w:val="14"/>
          <w:color w:val="auto"/>
        </w:rPr>
      </w:pPr>
    </w:p>
    <w:p>
      <w:pPr>
        <w:ind w:left="500" w:right="220" w:hanging="465"/>
        <w:spacing w:after="0" w:line="258"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 of which $27.5m related to a net, non-cash charge incurred as a result of the U.S. enacted Tax Cuts and Jobs Act on December 22, 2017.</w:t>
      </w:r>
    </w:p>
    <w:p>
      <w:pPr>
        <w:spacing w:after="0" w:line="221" w:lineRule="exact"/>
        <w:rPr>
          <w:sz w:val="20"/>
          <w:szCs w:val="20"/>
          <w:color w:val="auto"/>
        </w:rPr>
      </w:pPr>
    </w:p>
    <w:p>
      <w:pPr>
        <w:ind w:left="500" w:hanging="465"/>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783" w:right="239" w:bottom="1440" w:gutter="0" w:footer="0" w:header="0"/>
        </w:sectPr>
      </w:pPr>
    </w:p>
    <w:bookmarkStart w:id="19" w:name="page20"/>
    <w:bookmarkEnd w:id="19"/>
    <w:p>
      <w:pPr>
        <w:ind w:left="40" w:right="5040"/>
        <w:spacing w:after="0" w:line="402" w:lineRule="auto"/>
        <w:rPr>
          <w:sz w:val="20"/>
          <w:szCs w:val="20"/>
          <w:color w:val="auto"/>
        </w:rPr>
      </w:pPr>
      <w:r>
        <w:rPr>
          <w:rFonts w:ascii="Arial" w:cs="Arial" w:eastAsia="Arial" w:hAnsi="Arial"/>
          <w:sz w:val="16"/>
          <w:szCs w:val="16"/>
          <w:b w:val="1"/>
          <w:bCs w:val="1"/>
          <w:color w:val="auto"/>
        </w:rPr>
        <w:t xml:space="preserve">RECONCILIATION OF GAAP TO NON-GAAP FINANCIAL MEASURES - UNAUDITED </w:t>
      </w: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Operating</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(loss) 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Diluted EPS</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Net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Diluted EPS from</w:t>
            </w:r>
          </w:p>
        </w:tc>
        <w:tc>
          <w:tcPr>
            <w:tcW w:w="880" w:type="dxa"/>
            <w:vAlign w:val="bottom"/>
          </w:tcPr>
          <w:p>
            <w:pPr>
              <w:spacing w:after="0"/>
              <w:rPr>
                <w:sz w:val="14"/>
                <w:szCs w:val="14"/>
                <w:color w:val="auto"/>
              </w:rPr>
            </w:pPr>
          </w:p>
        </w:tc>
      </w:tr>
      <w:tr>
        <w:trPr>
          <w:trHeight w:val="162"/>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Gross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discontinued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discontinued</w:t>
            </w:r>
          </w:p>
        </w:tc>
        <w:tc>
          <w:tcPr>
            <w:tcW w:w="880" w:type="dxa"/>
            <w:vAlign w:val="bottom"/>
          </w:tcPr>
          <w:p>
            <w:pPr>
              <w:spacing w:after="0"/>
              <w:rPr>
                <w:sz w:val="14"/>
                <w:szCs w:val="14"/>
                <w:color w:val="auto"/>
              </w:rPr>
            </w:pPr>
          </w:p>
        </w:tc>
      </w:tr>
      <w:tr>
        <w:trPr>
          <w:trHeight w:val="19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2016</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Sales</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profit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Diluted EPS</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GAAP Financial Measures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$249.6</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($0.61)</w:t>
            </w:r>
          </w:p>
        </w:tc>
      </w:tr>
      <w:tr>
        <w:trPr>
          <w:trHeight w:val="218"/>
        </w:trPr>
        <w:tc>
          <w:tcPr>
            <w:tcW w:w="2880" w:type="dxa"/>
            <w:vAlign w:val="bottom"/>
          </w:tcPr>
          <w:p>
            <w:pPr>
              <w:ind w:left="40"/>
              <w:spacing w:after="0"/>
              <w:rPr>
                <w:sz w:val="20"/>
                <w:szCs w:val="20"/>
                <w:color w:val="auto"/>
              </w:rPr>
            </w:pPr>
            <w:r>
              <w:rPr>
                <w:rFonts w:ascii="Arial" w:cs="Arial" w:eastAsia="Arial" w:hAnsi="Arial"/>
                <w:sz w:val="14"/>
                <w:szCs w:val="14"/>
                <w:color w:val="auto"/>
              </w:rPr>
              <w:t>Specified Items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11"/>
        </w:trPr>
        <w:tc>
          <w:tcPr>
            <w:tcW w:w="2880" w:type="dxa"/>
            <w:vAlign w:val="bottom"/>
          </w:tcPr>
          <w:p>
            <w:pPr>
              <w:ind w:left="180"/>
              <w:spacing w:after="0"/>
              <w:rPr>
                <w:sz w:val="20"/>
                <w:szCs w:val="20"/>
                <w:color w:val="auto"/>
              </w:rPr>
            </w:pPr>
            <w:r>
              <w:rPr>
                <w:rFonts w:ascii="Arial" w:cs="Arial" w:eastAsia="Arial" w:hAnsi="Arial"/>
                <w:sz w:val="14"/>
                <w:szCs w:val="14"/>
                <w:color w:val="auto"/>
              </w:rPr>
              <w:t>Restructuring expenses (A)</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0.25</w:t>
            </w:r>
          </w:p>
        </w:tc>
      </w:tr>
      <w:tr>
        <w:trPr>
          <w:trHeight w:val="206"/>
        </w:trPr>
        <w:tc>
          <w:tcPr>
            <w:tcW w:w="2880" w:type="dxa"/>
            <w:vAlign w:val="bottom"/>
          </w:tcPr>
          <w:p>
            <w:pPr>
              <w:ind w:left="180"/>
              <w:spacing w:after="0"/>
              <w:rPr>
                <w:sz w:val="20"/>
                <w:szCs w:val="20"/>
                <w:color w:val="auto"/>
              </w:rPr>
            </w:pPr>
            <w:r>
              <w:rPr>
                <w:rFonts w:ascii="Arial" w:cs="Arial" w:eastAsia="Arial" w:hAnsi="Arial"/>
                <w:sz w:val="14"/>
                <w:szCs w:val="14"/>
                <w:color w:val="auto"/>
              </w:rPr>
              <w:t>Depreciation, Amortization &amp; Inventory</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2"/>
        </w:trPr>
        <w:tc>
          <w:tcPr>
            <w:tcW w:w="2880" w:type="dxa"/>
            <w:vAlign w:val="bottom"/>
          </w:tcPr>
          <w:p>
            <w:pPr>
              <w:ind w:left="180"/>
              <w:spacing w:after="0"/>
              <w:rPr>
                <w:sz w:val="20"/>
                <w:szCs w:val="20"/>
                <w:color w:val="auto"/>
              </w:rPr>
            </w:pPr>
            <w:r>
              <w:rPr>
                <w:rFonts w:ascii="Arial" w:cs="Arial" w:eastAsia="Arial" w:hAnsi="Arial"/>
                <w:sz w:val="14"/>
                <w:szCs w:val="14"/>
                <w:color w:val="auto"/>
              </w:rPr>
              <w:t>Step-Up (B)</w:t>
            </w:r>
          </w:p>
        </w:tc>
        <w:tc>
          <w:tcPr>
            <w:tcW w:w="7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13.4</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0.27</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Impairment of goodwill (C)</w:t>
            </w: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0.38</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0.38</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Product remediation (D)</w:t>
            </w:r>
          </w:p>
        </w:tc>
        <w:tc>
          <w:tcPr>
            <w:tcW w:w="7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23.8</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0.49</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0.49</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Other income/(expenses) &amp; litigations (E)</w:t>
            </w: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0.07</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Equity compensation (F)</w:t>
            </w:r>
          </w:p>
        </w:tc>
        <w:tc>
          <w:tcPr>
            <w:tcW w:w="70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0"/>
        </w:trPr>
        <w:tc>
          <w:tcPr>
            <w:tcW w:w="2880" w:type="dxa"/>
            <w:vAlign w:val="bottom"/>
          </w:tcPr>
          <w:p>
            <w:pPr>
              <w:ind w:left="180"/>
              <w:spacing w:after="0"/>
              <w:rPr>
                <w:sz w:val="20"/>
                <w:szCs w:val="20"/>
                <w:color w:val="auto"/>
              </w:rPr>
            </w:pPr>
            <w:r>
              <w:rPr>
                <w:rFonts w:ascii="Arial" w:cs="Arial" w:eastAsia="Arial" w:hAnsi="Arial"/>
                <w:sz w:val="14"/>
                <w:szCs w:val="14"/>
                <w:color w:val="auto"/>
              </w:rPr>
              <w:t>Certain interest adjustments (G)</w:t>
            </w: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14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980" w:type="dxa"/>
            <w:vAlign w:val="bottom"/>
          </w:tcPr>
          <w:p>
            <w:pPr>
              <w:jc w:val="right"/>
              <w:spacing w:after="0"/>
              <w:rPr>
                <w:sz w:val="20"/>
                <w:szCs w:val="20"/>
                <w:color w:val="auto"/>
              </w:rPr>
            </w:pPr>
            <w:r>
              <w:rPr>
                <w:rFonts w:ascii="Arial" w:cs="Arial" w:eastAsia="Arial" w:hAnsi="Arial"/>
                <w:sz w:val="14"/>
                <w:szCs w:val="14"/>
                <w:color w:val="auto"/>
              </w:rPr>
              <w:t>(0.02)</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76"/>
        </w:trPr>
        <w:tc>
          <w:tcPr>
            <w:tcW w:w="2880" w:type="dxa"/>
            <w:vAlign w:val="bottom"/>
          </w:tcPr>
          <w:p>
            <w:pPr>
              <w:ind w:left="180"/>
              <w:spacing w:after="0"/>
              <w:rPr>
                <w:sz w:val="20"/>
                <w:szCs w:val="20"/>
                <w:color w:val="auto"/>
              </w:rPr>
            </w:pPr>
            <w:r>
              <w:rPr>
                <w:rFonts w:ascii="Arial" w:cs="Arial" w:eastAsia="Arial" w:hAnsi="Arial"/>
                <w:sz w:val="14"/>
                <w:szCs w:val="14"/>
                <w:color w:val="auto"/>
              </w:rPr>
              <w:t>Certain tax adjustments (H)</w:t>
            </w: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r>
      <w:tr>
        <w:trPr>
          <w:trHeight w:val="270"/>
        </w:trPr>
        <w:tc>
          <w:tcPr>
            <w:tcW w:w="2880" w:type="dxa"/>
            <w:vAlign w:val="bottom"/>
          </w:tcPr>
          <w:p>
            <w:pPr>
              <w:ind w:left="40"/>
              <w:spacing w:after="0"/>
              <w:rPr>
                <w:sz w:val="20"/>
                <w:szCs w:val="20"/>
                <w:color w:val="auto"/>
              </w:rPr>
            </w:pPr>
            <w:r>
              <w:rPr>
                <w:rFonts w:ascii="Arial" w:cs="Arial" w:eastAsia="Arial" w:hAnsi="Arial"/>
                <w:sz w:val="14"/>
                <w:szCs w:val="14"/>
                <w:color w:val="auto"/>
              </w:rPr>
              <w:t>Adjusted financial measures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$249.6</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$161.3</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$54.2</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$41.5</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$0.83</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$0.85</w:t>
            </w:r>
          </w:p>
        </w:tc>
      </w:tr>
      <w:tr>
        <w:trPr>
          <w:trHeight w:val="20"/>
        </w:trPr>
        <w:tc>
          <w:tcPr>
            <w:tcW w:w="2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GAAP results for the three months ended December 31, 2016 include:</w:t>
      </w:r>
    </w:p>
    <w:p>
      <w:pPr>
        <w:spacing w:after="0" w:line="82" w:lineRule="exact"/>
        <w:rPr>
          <w:sz w:val="20"/>
          <w:szCs w:val="20"/>
          <w:color w:val="auto"/>
        </w:rPr>
      </w:pPr>
    </w:p>
    <w:p>
      <w:pPr>
        <w:ind w:left="500" w:hanging="46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Impairment of CRM segment goodwill</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500" w:right="320" w:hanging="465"/>
        <w:spacing w:after="0" w:line="258"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 of $2.6m related to the reassessment of earn-out provisions for two legacy distributor acquisitions; $0.7m related to a provision for previous years under audit in a foreign jurisdiction</w:t>
      </w:r>
    </w:p>
    <w:p>
      <w:pPr>
        <w:spacing w:after="0" w:line="32" w:lineRule="exact"/>
        <w:rPr>
          <w:rFonts w:ascii="Arial" w:cs="Arial" w:eastAsia="Arial" w:hAnsi="Arial"/>
          <w:sz w:val="14"/>
          <w:szCs w:val="14"/>
          <w:color w:val="auto"/>
        </w:rPr>
      </w:pPr>
    </w:p>
    <w:p>
      <w:pPr>
        <w:ind w:left="500" w:hanging="46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Continuing operations includes $3.8m related to SG&amp;A, $0.1m related to R&amp;D and ($0.1m) related to COGS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interest related to intellectual property migration and other non-recurring impacts to interest expense</w:t>
      </w:r>
    </w:p>
    <w:p>
      <w:pPr>
        <w:spacing w:after="0" w:line="55" w:lineRule="exact"/>
        <w:rPr>
          <w:rFonts w:ascii="Arial" w:cs="Arial" w:eastAsia="Arial" w:hAnsi="Arial"/>
          <w:sz w:val="14"/>
          <w:szCs w:val="14"/>
          <w:color w:val="auto"/>
        </w:rPr>
      </w:pPr>
    </w:p>
    <w:p>
      <w:pPr>
        <w:ind w:left="380" w:right="5480" w:hanging="345"/>
        <w:spacing w:after="0" w:line="413" w:lineRule="auto"/>
        <w:tabs>
          <w:tab w:leader="none" w:pos="5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Primarily relates to discrete tax items and the tax impact of intercompany transactions </w:t>
      </w:r>
      <w:r>
        <w:rPr>
          <w:rFonts w:ascii="Arial" w:cs="Arial" w:eastAsia="Arial" w:hAnsi="Arial"/>
          <w:sz w:val="18"/>
          <w:szCs w:val="18"/>
          <w:color w:val="auto"/>
        </w:rPr>
        <w:t xml:space="preserve">* </w:t>
      </w:r>
      <w:r>
        <w:rPr>
          <w:rFonts w:ascii="Arial" w:cs="Arial" w:eastAsia="Arial" w:hAnsi="Arial"/>
          <w:sz w:val="14"/>
          <w:szCs w:val="14"/>
          <w:color w:val="auto"/>
        </w:rPr>
        <w:t>Numbers may not add up precisely due to rounding.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783" w:right="239" w:bottom="1440" w:gutter="0" w:footer="0" w:header="0"/>
        </w:sectPr>
      </w:pPr>
    </w:p>
    <w:bookmarkStart w:id="20" w:name="page21"/>
    <w:bookmarkEnd w:id="20"/>
    <w:p>
      <w:pPr>
        <w:ind w:left="40" w:right="5040"/>
        <w:spacing w:after="0" w:line="402" w:lineRule="auto"/>
        <w:rPr>
          <w:sz w:val="20"/>
          <w:szCs w:val="20"/>
          <w:color w:val="auto"/>
        </w:rPr>
      </w:pPr>
      <w:r>
        <w:rPr>
          <w:rFonts w:ascii="Arial" w:cs="Arial" w:eastAsia="Arial" w:hAnsi="Arial"/>
          <w:sz w:val="16"/>
          <w:szCs w:val="16"/>
          <w:b w:val="1"/>
          <w:bCs w:val="1"/>
          <w:color w:val="auto"/>
        </w:rPr>
        <w:t xml:space="preserve">RECONCILIATION OF GAAP TO NON-GAAP FINANCIAL MEASURES - UNAUDITED </w:t>
      </w: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Operating</w:t>
            </w:r>
          </w:p>
        </w:tc>
        <w:tc>
          <w:tcPr>
            <w:tcW w:w="1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7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Diluted EPS</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income from</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Income from</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Diluted EPS from</w:t>
            </w:r>
          </w:p>
        </w:tc>
        <w:tc>
          <w:tcPr>
            <w:tcW w:w="6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Gross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continuing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discontinued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discontinued</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Diluted</w:t>
            </w:r>
          </w:p>
        </w:tc>
      </w:tr>
      <w:tr>
        <w:trPr>
          <w:trHeight w:val="196"/>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Sales</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profit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operations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EPS</w:t>
            </w: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GAAP Financial 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$1,012.3</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$651.6</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$95.7</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$54.5</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($79.6)</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($0.52)</w:t>
            </w:r>
          </w:p>
        </w:tc>
      </w:tr>
      <w:tr>
        <w:trPr>
          <w:trHeight w:val="218"/>
        </w:trPr>
        <w:tc>
          <w:tcPr>
            <w:tcW w:w="2980" w:type="dxa"/>
            <w:vAlign w:val="bottom"/>
          </w:tcPr>
          <w:p>
            <w:pPr>
              <w:ind w:left="40"/>
              <w:spacing w:after="0"/>
              <w:rPr>
                <w:sz w:val="20"/>
                <w:szCs w:val="20"/>
                <w:color w:val="auto"/>
              </w:rPr>
            </w:pPr>
            <w:r>
              <w:rPr>
                <w:rFonts w:ascii="Arial" w:cs="Arial" w:eastAsia="Arial" w:hAnsi="Arial"/>
                <w:sz w:val="14"/>
                <w:szCs w:val="14"/>
                <w:color w:val="auto"/>
              </w:rPr>
              <w:t>Specified Items</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11"/>
        </w:trPr>
        <w:tc>
          <w:tcPr>
            <w:tcW w:w="2980" w:type="dxa"/>
            <w:vAlign w:val="bottom"/>
          </w:tcPr>
          <w:p>
            <w:pPr>
              <w:ind w:left="180"/>
              <w:spacing w:after="0"/>
              <w:rPr>
                <w:sz w:val="20"/>
                <w:szCs w:val="20"/>
                <w:color w:val="auto"/>
              </w:rPr>
            </w:pPr>
            <w:r>
              <w:rPr>
                <w:rFonts w:ascii="Arial" w:cs="Arial" w:eastAsia="Arial" w:hAnsi="Arial"/>
                <w:sz w:val="14"/>
                <w:szCs w:val="14"/>
                <w:color w:val="auto"/>
              </w:rPr>
              <w:t>Merger and integration expenses (A)</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1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0.24</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Restructuring expenses (B)</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0.30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0.27</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Amortization (C)</w:t>
            </w:r>
          </w:p>
        </w:tc>
        <w:tc>
          <w:tcPr>
            <w:tcW w:w="8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37.2</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0.55</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0.77</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Product remediation (D)</w:t>
            </w:r>
          </w:p>
        </w:tc>
        <w:tc>
          <w:tcPr>
            <w:tcW w:w="8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0.10</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Other income/(expenses) &amp; litigations (E)</w:t>
            </w:r>
          </w:p>
        </w:tc>
        <w:tc>
          <w:tcPr>
            <w:tcW w:w="8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0.08</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0.08</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Equity compensation (F)</w:t>
            </w:r>
          </w:p>
        </w:tc>
        <w:tc>
          <w:tcPr>
            <w:tcW w:w="8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0.28</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0.31</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CRM business franchise divestiture (G)</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83.7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83.7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1.73</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Other impairments (H)</w:t>
            </w:r>
          </w:p>
        </w:tc>
        <w:tc>
          <w:tcPr>
            <w:tcW w:w="8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0.43</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0.43</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Acquisition costs (I)</w:t>
            </w:r>
          </w:p>
        </w:tc>
        <w:tc>
          <w:tcPr>
            <w:tcW w:w="8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14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980" w:type="dxa"/>
            <w:vAlign w:val="bottom"/>
          </w:tcPr>
          <w:p>
            <w:pPr>
              <w:jc w:val="right"/>
              <w:spacing w:after="0"/>
              <w:rPr>
                <w:sz w:val="20"/>
                <w:szCs w:val="20"/>
                <w:color w:val="auto"/>
              </w:rPr>
            </w:pPr>
            <w:r>
              <w:rPr>
                <w:rFonts w:ascii="Arial" w:cs="Arial" w:eastAsia="Arial" w:hAnsi="Arial"/>
                <w:sz w:val="14"/>
                <w:szCs w:val="14"/>
                <w:color w:val="auto"/>
              </w:rPr>
              <w:t>(0.59)</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(0.59)</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Certain interest adjustments (J)</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6"/>
        </w:trPr>
        <w:tc>
          <w:tcPr>
            <w:tcW w:w="2980" w:type="dxa"/>
            <w:vAlign w:val="bottom"/>
          </w:tcPr>
          <w:p>
            <w:pPr>
              <w:ind w:left="180"/>
              <w:spacing w:after="0"/>
              <w:rPr>
                <w:sz w:val="20"/>
                <w:szCs w:val="20"/>
                <w:color w:val="auto"/>
              </w:rPr>
            </w:pPr>
            <w:r>
              <w:rPr>
                <w:rFonts w:ascii="Arial" w:cs="Arial" w:eastAsia="Arial" w:hAnsi="Arial"/>
                <w:sz w:val="14"/>
                <w:szCs w:val="14"/>
                <w:color w:val="auto"/>
              </w:rPr>
              <w:t>Certain tax adjustments (K)</w:t>
            </w:r>
          </w:p>
        </w:tc>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0.77</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(0.06)</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0.71</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Adjusted financial 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$1,012.3</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$664.8</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$218.7</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$160.5</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$171.8</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$0.23</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r>
      <w:tr>
        <w:trPr>
          <w:trHeight w:val="20"/>
        </w:trPr>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GAAP results for the year ended December 31, 2017 include:</w:t>
      </w:r>
    </w:p>
    <w:p>
      <w:pPr>
        <w:spacing w:after="0" w:line="82" w:lineRule="exact"/>
        <w:rPr>
          <w:sz w:val="20"/>
          <w:szCs w:val="20"/>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Continuing operations includes $0.5m related to COGS, $16.1m related to SG&amp;A and $1.1m for R&amp;D.</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CRM business franchise impairment of $93.6m and $7.3m of expenses associated with divestiture</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$13.0m of impairments to an equity method investment, $8.6m of impairments to cost-method investments and $1.0m of tangible asset impairments</w:t>
      </w:r>
    </w:p>
    <w:p>
      <w:pPr>
        <w:spacing w:after="0" w:line="55" w:lineRule="exact"/>
        <w:rPr>
          <w:rFonts w:ascii="Arial" w:cs="Arial" w:eastAsia="Arial" w:hAnsi="Arial"/>
          <w:sz w:val="14"/>
          <w:szCs w:val="14"/>
          <w:color w:val="auto"/>
        </w:rPr>
      </w:pPr>
    </w:p>
    <w:p>
      <w:pPr>
        <w:ind w:left="500" w:right="240" w:hanging="465"/>
        <w:spacing w:after="0" w:line="258"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acquisitions. Includes $16.5m in acquisitions costs associated with the acquisitions of ImThera, TandemLife and Caisson and a $39.4m gain upon acquisition of Caisson.</w:t>
      </w:r>
    </w:p>
    <w:p>
      <w:pPr>
        <w:spacing w:after="0" w:line="32" w:lineRule="exact"/>
        <w:rPr>
          <w:rFonts w:ascii="Arial" w:cs="Arial" w:eastAsia="Arial" w:hAnsi="Arial"/>
          <w:sz w:val="14"/>
          <w:szCs w:val="14"/>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related to intellectual property migration and other non-recurring impacts to interest expense</w:t>
      </w:r>
    </w:p>
    <w:p>
      <w:pPr>
        <w:spacing w:after="0" w:line="55" w:lineRule="exact"/>
        <w:rPr>
          <w:rFonts w:ascii="Arial" w:cs="Arial" w:eastAsia="Arial" w:hAnsi="Arial"/>
          <w:sz w:val="14"/>
          <w:szCs w:val="14"/>
          <w:color w:val="auto"/>
        </w:rPr>
      </w:pPr>
    </w:p>
    <w:p>
      <w:pPr>
        <w:ind w:left="500" w:right="220" w:hanging="465"/>
        <w:spacing w:after="0" w:line="258"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 of which $27.5m related to a net, non-cash charge incurred as a result of the U.S. enacted Tax Cuts and Jobs Act on December 22, 2017.</w:t>
      </w:r>
    </w:p>
    <w:p>
      <w:pPr>
        <w:spacing w:after="0" w:line="221"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RECONCILIATION OF GAAP TO NON-GAAP FINANCIAL MEASURES - UNAUDITED</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Operating</w:t>
            </w:r>
          </w:p>
        </w:tc>
        <w:tc>
          <w:tcPr>
            <w:tcW w:w="10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Diluted EPS</w:t>
            </w: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income from</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Income from</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Diluted EPS from</w:t>
            </w:r>
          </w:p>
        </w:tc>
        <w:tc>
          <w:tcPr>
            <w:tcW w:w="640" w:type="dxa"/>
            <w:vAlign w:val="bottom"/>
          </w:tcPr>
          <w:p>
            <w:pPr>
              <w:spacing w:after="0"/>
              <w:rPr>
                <w:sz w:val="14"/>
                <w:szCs w:val="14"/>
                <w:color w:val="auto"/>
              </w:rPr>
            </w:pPr>
          </w:p>
        </w:tc>
      </w:tr>
      <w:tr>
        <w:trPr>
          <w:trHeight w:val="162"/>
        </w:trPr>
        <w:tc>
          <w:tcPr>
            <w:tcW w:w="2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Gross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continuing</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discontinued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discontinued</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Diluted</w:t>
            </w:r>
          </w:p>
        </w:tc>
      </w:tr>
      <w:tr>
        <w:trPr>
          <w:trHeight w:val="196"/>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Sales</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profit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operations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EPS</w:t>
            </w: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GAAP Financial Measures</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$964.9</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$559.5</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($64.7)</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$0.04</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218"/>
        </w:trPr>
        <w:tc>
          <w:tcPr>
            <w:tcW w:w="2980" w:type="dxa"/>
            <w:vAlign w:val="bottom"/>
          </w:tcPr>
          <w:p>
            <w:pPr>
              <w:ind w:left="40"/>
              <w:spacing w:after="0"/>
              <w:rPr>
                <w:sz w:val="20"/>
                <w:szCs w:val="20"/>
                <w:color w:val="auto"/>
              </w:rPr>
            </w:pPr>
            <w:r>
              <w:rPr>
                <w:rFonts w:ascii="Arial" w:cs="Arial" w:eastAsia="Arial" w:hAnsi="Arial"/>
                <w:sz w:val="14"/>
                <w:szCs w:val="14"/>
                <w:color w:val="auto"/>
              </w:rPr>
              <w:t>Specified Items</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11"/>
        </w:trPr>
        <w:tc>
          <w:tcPr>
            <w:tcW w:w="2980" w:type="dxa"/>
            <w:vAlign w:val="bottom"/>
          </w:tcPr>
          <w:p>
            <w:pPr>
              <w:ind w:left="180"/>
              <w:spacing w:after="0"/>
              <w:rPr>
                <w:sz w:val="20"/>
                <w:szCs w:val="20"/>
                <w:color w:val="auto"/>
              </w:rPr>
            </w:pPr>
            <w:r>
              <w:rPr>
                <w:rFonts w:ascii="Arial" w:cs="Arial" w:eastAsia="Arial" w:hAnsi="Arial"/>
                <w:sz w:val="14"/>
                <w:szCs w:val="14"/>
                <w:color w:val="auto"/>
              </w:rPr>
              <w:t>Merger and integration expenses (A)</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0.30</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Restructuring expenses (B)</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0.56</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0.37</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0.93</w:t>
            </w:r>
          </w:p>
        </w:tc>
      </w:tr>
      <w:tr>
        <w:trPr>
          <w:trHeight w:val="206"/>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Amortization &amp; Inventory</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72"/>
        </w:trPr>
        <w:tc>
          <w:tcPr>
            <w:tcW w:w="2980" w:type="dxa"/>
            <w:vAlign w:val="bottom"/>
          </w:tcPr>
          <w:p>
            <w:pPr>
              <w:ind w:left="180"/>
              <w:spacing w:after="0"/>
              <w:rPr>
                <w:sz w:val="20"/>
                <w:szCs w:val="20"/>
                <w:color w:val="auto"/>
              </w:rPr>
            </w:pPr>
            <w:r>
              <w:rPr>
                <w:rFonts w:ascii="Arial" w:cs="Arial" w:eastAsia="Arial" w:hAnsi="Arial"/>
                <w:sz w:val="14"/>
                <w:szCs w:val="14"/>
                <w:color w:val="auto"/>
              </w:rPr>
              <w:t>Step-Up (C)</w:t>
            </w:r>
          </w:p>
        </w:tc>
        <w:tc>
          <w:tcPr>
            <w:tcW w:w="8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68.8</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0.86</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0.54</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Impairment of goodwill (D)</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0.37</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0.37</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Product remediation (E)</w:t>
            </w:r>
          </w:p>
        </w:tc>
        <w:tc>
          <w:tcPr>
            <w:tcW w:w="8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1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0.51</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0.51</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Other income/(expenses) &amp; litigations (F)</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0.10</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Write-off of investment in minorities (G)</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0.19</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Equity compensation (H)</w:t>
            </w:r>
          </w:p>
        </w:tc>
        <w:tc>
          <w:tcPr>
            <w:tcW w:w="8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0.25</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0.30</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Certain interest adjustments (I)</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6"/>
        </w:trPr>
        <w:tc>
          <w:tcPr>
            <w:tcW w:w="2980" w:type="dxa"/>
            <w:vAlign w:val="bottom"/>
          </w:tcPr>
          <w:p>
            <w:pPr>
              <w:ind w:left="180"/>
              <w:spacing w:after="0"/>
              <w:rPr>
                <w:sz w:val="20"/>
                <w:szCs w:val="20"/>
                <w:color w:val="auto"/>
              </w:rPr>
            </w:pPr>
            <w:r>
              <w:rPr>
                <w:rFonts w:ascii="Arial" w:cs="Arial" w:eastAsia="Arial" w:hAnsi="Arial"/>
                <w:sz w:val="14"/>
                <w:szCs w:val="14"/>
                <w:color w:val="auto"/>
              </w:rPr>
              <w:t>Certain tax adjustments (J)</w:t>
            </w:r>
          </w:p>
        </w:tc>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0.21</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0.21</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Adjusted financial measures</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$964.9</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$628.0</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$211.9</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$148.5</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$149.3</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r>
      <w:tr>
        <w:trPr>
          <w:trHeight w:val="20"/>
        </w:trPr>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GAAP results for the year ended December 31, 2016 include:</w:t>
      </w:r>
    </w:p>
    <w:p>
      <w:pPr>
        <w:spacing w:after="0" w:line="82" w:lineRule="exact"/>
        <w:rPr>
          <w:sz w:val="20"/>
          <w:szCs w:val="20"/>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Impairment of CRM segment goodwill</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 gain recognized for the reimbursement of $4.7m of earthquake damages incurred in Mirandola (Italy) in 2012; $5.0m for the reserve of certain receivables from</w:t>
      </w:r>
    </w:p>
    <w:p>
      <w:pPr>
        <w:sectPr>
          <w:pgSz w:w="11900" w:h="16838" w:orient="portrait"/>
          <w:cols w:equalWidth="0" w:num="1">
            <w:col w:w="11420"/>
          </w:cols>
          <w:pgMar w:left="240" w:top="783" w:right="239" w:bottom="0" w:gutter="0" w:footer="0" w:header="0"/>
        </w:sectPr>
      </w:pPr>
    </w:p>
    <w:bookmarkStart w:id="21" w:name="page22"/>
    <w:bookmarkEnd w:id="21"/>
    <w:p>
      <w:pPr>
        <w:ind w:left="465"/>
        <w:spacing w:after="0" w:line="258" w:lineRule="auto"/>
        <w:rPr>
          <w:sz w:val="20"/>
          <w:szCs w:val="20"/>
          <w:color w:val="auto"/>
        </w:rPr>
      </w:pPr>
      <w:r>
        <w:rPr>
          <w:rFonts w:ascii="Arial" w:cs="Arial" w:eastAsia="Arial" w:hAnsi="Arial"/>
          <w:sz w:val="14"/>
          <w:szCs w:val="14"/>
          <w:color w:val="auto"/>
        </w:rPr>
        <w:t>a Greece distributor; $2.6m related to the reassessment of earn-out provisions for two legacy distributor acquisitions; $0.8m related litigation settlements with two independent sales agent; $0.7m related to accruals for tax penalties related to previous years; $2.5m related to other litigation</w:t>
      </w:r>
    </w:p>
    <w:p>
      <w:pPr>
        <w:spacing w:after="0" w:line="32" w:lineRule="exact"/>
        <w:rPr>
          <w:sz w:val="20"/>
          <w:szCs w:val="20"/>
          <w:color w:val="auto"/>
        </w:rPr>
      </w:pPr>
    </w:p>
    <w:p>
      <w:pPr>
        <w:ind w:left="465" w:hanging="465"/>
        <w:spacing w:after="0"/>
        <w:tabs>
          <w:tab w:leader="none" w:pos="465" w:val="left"/>
        </w:tabs>
        <w:numPr>
          <w:ilvl w:val="0"/>
          <w:numId w:val="15"/>
        </w:numPr>
        <w:rPr>
          <w:rFonts w:ascii="Arial" w:cs="Arial" w:eastAsia="Arial" w:hAnsi="Arial"/>
          <w:sz w:val="14"/>
          <w:szCs w:val="14"/>
          <w:color w:val="auto"/>
        </w:rPr>
      </w:pPr>
      <w:r>
        <w:rPr>
          <w:rFonts w:ascii="Arial" w:cs="Arial" w:eastAsia="Arial" w:hAnsi="Arial"/>
          <w:sz w:val="14"/>
          <w:szCs w:val="14"/>
          <w:color w:val="auto"/>
        </w:rPr>
        <w:t>$9.2m related to the impairment of a purchase option for Respicardia</w:t>
      </w:r>
    </w:p>
    <w:p>
      <w:pPr>
        <w:spacing w:after="0" w:line="55" w:lineRule="exact"/>
        <w:rPr>
          <w:rFonts w:ascii="Arial" w:cs="Arial" w:eastAsia="Arial" w:hAnsi="Arial"/>
          <w:sz w:val="14"/>
          <w:szCs w:val="14"/>
          <w:color w:val="auto"/>
        </w:rPr>
      </w:pPr>
    </w:p>
    <w:p>
      <w:pPr>
        <w:ind w:left="465" w:hanging="465"/>
        <w:spacing w:after="0"/>
        <w:tabs>
          <w:tab w:leader="none" w:pos="465"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Continuing operations includes $15.6m related to SG&amp;A, $0.9m related to R&amp;D, and $0.7m related to COGS</w:t>
      </w:r>
    </w:p>
    <w:p>
      <w:pPr>
        <w:spacing w:after="0" w:line="55" w:lineRule="exact"/>
        <w:rPr>
          <w:rFonts w:ascii="Arial" w:cs="Arial" w:eastAsia="Arial" w:hAnsi="Arial"/>
          <w:sz w:val="14"/>
          <w:szCs w:val="14"/>
          <w:color w:val="auto"/>
        </w:rPr>
      </w:pPr>
    </w:p>
    <w:p>
      <w:pPr>
        <w:ind w:left="465" w:hanging="465"/>
        <w:spacing w:after="0"/>
        <w:tabs>
          <w:tab w:leader="none" w:pos="465"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interest related to intellectual property migration and other non-recurring impacts to interest expense</w:t>
      </w:r>
    </w:p>
    <w:p>
      <w:pPr>
        <w:spacing w:after="0" w:line="55" w:lineRule="exact"/>
        <w:rPr>
          <w:rFonts w:ascii="Arial" w:cs="Arial" w:eastAsia="Arial" w:hAnsi="Arial"/>
          <w:sz w:val="14"/>
          <w:szCs w:val="14"/>
          <w:color w:val="auto"/>
        </w:rPr>
      </w:pPr>
    </w:p>
    <w:p>
      <w:pPr>
        <w:ind w:left="345" w:right="4800" w:hanging="345"/>
        <w:spacing w:after="0" w:line="413" w:lineRule="auto"/>
        <w:tabs>
          <w:tab w:leader="none" w:pos="469"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Primarily relates to discrete tax items and the tax impact of intercompany transactions </w:t>
      </w:r>
      <w:r>
        <w:rPr>
          <w:rFonts w:ascii="Arial" w:cs="Arial" w:eastAsia="Arial" w:hAnsi="Arial"/>
          <w:sz w:val="18"/>
          <w:szCs w:val="18"/>
          <w:color w:val="auto"/>
        </w:rPr>
        <w:t xml:space="preserve">* </w:t>
      </w:r>
      <w:r>
        <w:rPr>
          <w:rFonts w:ascii="Arial" w:cs="Arial" w:eastAsia="Arial" w:hAnsi="Arial"/>
          <w:sz w:val="14"/>
          <w:szCs w:val="14"/>
          <w:color w:val="auto"/>
        </w:rPr>
        <w:t>Numbers may not add up precisely due to rounding.</w:t>
      </w:r>
    </w:p>
    <w:p>
      <w:pPr>
        <w:spacing w:after="0" w:line="330" w:lineRule="exact"/>
        <w:rPr>
          <w:sz w:val="20"/>
          <w:szCs w:val="20"/>
          <w:color w:val="auto"/>
        </w:rPr>
      </w:pPr>
    </w:p>
    <w:p>
      <w:pPr>
        <w:ind w:left="5565"/>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05"/>
          </w:cols>
          <w:pgMar w:left="275" w:top="144" w:right="91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RECONCILIATION OF GAAP TO NON-GAAP FINANCIAL MEASURES - UNAUDITED</w:t>
      </w:r>
    </w:p>
    <w:p>
      <w:pPr>
        <w:spacing w:after="0" w:line="59" w:lineRule="exact"/>
        <w:rPr>
          <w:sz w:val="20"/>
          <w:szCs w:val="20"/>
          <w:color w:val="auto"/>
        </w:rPr>
      </w:pPr>
    </w:p>
    <w:p>
      <w:pPr>
        <w:ind w:left="40" w:right="3340"/>
        <w:spacing w:after="0" w:line="402" w:lineRule="auto"/>
        <w:rPr>
          <w:sz w:val="20"/>
          <w:szCs w:val="20"/>
          <w:color w:val="auto"/>
        </w:rPr>
      </w:pPr>
      <w:r>
        <w:rPr>
          <w:rFonts w:ascii="Arial" w:cs="Arial" w:eastAsia="Arial" w:hAnsi="Arial"/>
          <w:sz w:val="16"/>
          <w:szCs w:val="16"/>
          <w:b w:val="1"/>
          <w:bCs w:val="1"/>
          <w:color w:val="auto"/>
        </w:rPr>
        <w:t xml:space="preserve">SUPPORTING SCHEDULE TO COMBINE CONTINUING OPERATIONS AND DISCONTINUED OPERATIONS </w:t>
      </w: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Operating</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income from</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Income from</w:t>
            </w: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rPr>
              <w:t>Loss from</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continuing</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continuing</w:t>
            </w: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rPr>
              <w:t>discontinued</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spacing w:after="0"/>
              <w:rPr>
                <w:sz w:val="14"/>
                <w:szCs w:val="14"/>
                <w:color w:val="auto"/>
              </w:rPr>
            </w:pPr>
          </w:p>
        </w:tc>
      </w:tr>
      <w:tr>
        <w:trPr>
          <w:trHeight w:val="196"/>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Sales</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Gross profit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operations</w:t>
            </w: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operations</w:t>
            </w: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(loss)</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Diluted EPS</w:t>
            </w:r>
          </w:p>
        </w:tc>
      </w:tr>
      <w:tr>
        <w:trPr>
          <w:trHeight w:val="258"/>
        </w:trPr>
        <w:tc>
          <w:tcPr>
            <w:tcW w:w="3460" w:type="dxa"/>
            <w:vAlign w:val="bottom"/>
          </w:tcPr>
          <w:p>
            <w:pPr>
              <w:ind w:left="40"/>
              <w:spacing w:after="0"/>
              <w:rPr>
                <w:sz w:val="20"/>
                <w:szCs w:val="20"/>
                <w:color w:val="auto"/>
              </w:rPr>
            </w:pPr>
            <w:r>
              <w:rPr>
                <w:rFonts w:ascii="Arial" w:cs="Arial" w:eastAsia="Arial" w:hAnsi="Arial"/>
                <w:sz w:val="14"/>
                <w:szCs w:val="14"/>
                <w:color w:val="auto"/>
              </w:rPr>
              <w:t>GAAP Financial Measures</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$1,012.3</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$651.6</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$95.7</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$54.5</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($79.6)</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080" w:type="dxa"/>
            <w:vAlign w:val="bottom"/>
          </w:tcPr>
          <w:p>
            <w:pPr>
              <w:jc w:val="right"/>
              <w:spacing w:after="0"/>
              <w:rPr>
                <w:sz w:val="20"/>
                <w:szCs w:val="20"/>
                <w:color w:val="auto"/>
              </w:rPr>
            </w:pPr>
            <w:r>
              <w:rPr>
                <w:rFonts w:ascii="Arial" w:cs="Arial" w:eastAsia="Arial" w:hAnsi="Arial"/>
                <w:sz w:val="14"/>
                <w:szCs w:val="14"/>
                <w:color w:val="auto"/>
              </w:rPr>
              <w:t>($0.52)</w:t>
            </w:r>
          </w:p>
        </w:tc>
      </w:tr>
      <w:tr>
        <w:trPr>
          <w:trHeight w:val="222"/>
        </w:trPr>
        <w:tc>
          <w:tcPr>
            <w:tcW w:w="3460" w:type="dxa"/>
            <w:vAlign w:val="bottom"/>
          </w:tcPr>
          <w:p>
            <w:pPr>
              <w:ind w:left="40"/>
              <w:spacing w:after="0"/>
              <w:rPr>
                <w:sz w:val="20"/>
                <w:szCs w:val="20"/>
                <w:color w:val="auto"/>
              </w:rPr>
            </w:pPr>
            <w:r>
              <w:rPr>
                <w:rFonts w:ascii="Arial" w:cs="Arial" w:eastAsia="Arial" w:hAnsi="Arial"/>
                <w:sz w:val="14"/>
                <w:szCs w:val="14"/>
                <w:color w:val="auto"/>
              </w:rPr>
              <w:t>Add: Discontinued Operations (A)</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245.2</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152.6</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(79.6)</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79.6</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460" w:type="dxa"/>
            <w:vAlign w:val="bottom"/>
          </w:tcPr>
          <w:p>
            <w:pPr>
              <w:spacing w:after="0"/>
              <w:rPr>
                <w:sz w:val="21"/>
                <w:szCs w:val="21"/>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1,257.4</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804.2</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(0.52)</w:t>
            </w:r>
          </w:p>
        </w:tc>
      </w:tr>
      <w:tr>
        <w:trPr>
          <w:trHeight w:val="218"/>
        </w:trPr>
        <w:tc>
          <w:tcPr>
            <w:tcW w:w="3460" w:type="dxa"/>
            <w:vAlign w:val="bottom"/>
          </w:tcPr>
          <w:p>
            <w:pPr>
              <w:ind w:left="40"/>
              <w:spacing w:after="0"/>
              <w:rPr>
                <w:sz w:val="20"/>
                <w:szCs w:val="20"/>
                <w:color w:val="auto"/>
              </w:rPr>
            </w:pPr>
            <w:r>
              <w:rPr>
                <w:rFonts w:ascii="Arial" w:cs="Arial" w:eastAsia="Arial" w:hAnsi="Arial"/>
                <w:sz w:val="14"/>
                <w:szCs w:val="14"/>
                <w:color w:val="auto"/>
              </w:rPr>
              <w:t>Specified Items</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11"/>
        </w:trPr>
        <w:tc>
          <w:tcPr>
            <w:tcW w:w="3460" w:type="dxa"/>
            <w:vAlign w:val="bottom"/>
          </w:tcPr>
          <w:p>
            <w:pPr>
              <w:ind w:left="180"/>
              <w:spacing w:after="0"/>
              <w:rPr>
                <w:sz w:val="20"/>
                <w:szCs w:val="20"/>
                <w:color w:val="auto"/>
              </w:rPr>
            </w:pPr>
            <w:r>
              <w:rPr>
                <w:rFonts w:ascii="Arial" w:cs="Arial" w:eastAsia="Arial" w:hAnsi="Arial"/>
                <w:sz w:val="14"/>
                <w:szCs w:val="14"/>
                <w:color w:val="auto"/>
              </w:rPr>
              <w:t>Merger and integration expenses (B)</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14.8</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11.6</w:t>
            </w:r>
          </w:p>
        </w:tc>
        <w:tc>
          <w:tcPr>
            <w:tcW w:w="116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11.6</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0.24</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Restructuring expenses (C)</w:t>
            </w:r>
          </w:p>
        </w:tc>
        <w:tc>
          <w:tcPr>
            <w:tcW w:w="1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15.4</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1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0.27</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Depreciation and Amortization (D)</w:t>
            </w:r>
          </w:p>
        </w:tc>
        <w:tc>
          <w:tcPr>
            <w:tcW w:w="118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52.4</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1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0.77</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Product remediation (E)</w:t>
            </w:r>
          </w:p>
        </w:tc>
        <w:tc>
          <w:tcPr>
            <w:tcW w:w="118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0.10</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Other income/(expenses) &amp; litigations (F)</w:t>
            </w:r>
          </w:p>
        </w:tc>
        <w:tc>
          <w:tcPr>
            <w:tcW w:w="118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0.08</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Equity compensation (G)</w:t>
            </w:r>
          </w:p>
        </w:tc>
        <w:tc>
          <w:tcPr>
            <w:tcW w:w="118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14.8</w:t>
            </w:r>
          </w:p>
        </w:tc>
        <w:tc>
          <w:tcPr>
            <w:tcW w:w="1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14.8</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0.31</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CRM business franchise divestiture (H)</w:t>
            </w:r>
          </w:p>
        </w:tc>
        <w:tc>
          <w:tcPr>
            <w:tcW w:w="118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100.9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83.7</w:t>
            </w:r>
          </w:p>
        </w:tc>
        <w:tc>
          <w:tcPr>
            <w:tcW w:w="1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83.7</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Other impairments (I)</w:t>
            </w:r>
          </w:p>
        </w:tc>
        <w:tc>
          <w:tcPr>
            <w:tcW w:w="118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0.43</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Acquisition costs (J)</w:t>
            </w:r>
          </w:p>
        </w:tc>
        <w:tc>
          <w:tcPr>
            <w:tcW w:w="118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16.5</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1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1080" w:type="dxa"/>
            <w:vAlign w:val="bottom"/>
          </w:tcPr>
          <w:p>
            <w:pPr>
              <w:jc w:val="right"/>
              <w:spacing w:after="0"/>
              <w:rPr>
                <w:sz w:val="20"/>
                <w:szCs w:val="20"/>
                <w:color w:val="auto"/>
              </w:rPr>
            </w:pPr>
            <w:r>
              <w:rPr>
                <w:rFonts w:ascii="Arial" w:cs="Arial" w:eastAsia="Arial" w:hAnsi="Arial"/>
                <w:sz w:val="14"/>
                <w:szCs w:val="14"/>
                <w:color w:val="auto"/>
              </w:rPr>
              <w:t>(0.59)</w:t>
            </w:r>
          </w:p>
        </w:tc>
      </w:tr>
      <w:tr>
        <w:trPr>
          <w:trHeight w:val="270"/>
        </w:trPr>
        <w:tc>
          <w:tcPr>
            <w:tcW w:w="3460" w:type="dxa"/>
            <w:vAlign w:val="bottom"/>
          </w:tcPr>
          <w:p>
            <w:pPr>
              <w:ind w:left="180"/>
              <w:spacing w:after="0"/>
              <w:rPr>
                <w:sz w:val="20"/>
                <w:szCs w:val="20"/>
                <w:color w:val="auto"/>
              </w:rPr>
            </w:pPr>
            <w:r>
              <w:rPr>
                <w:rFonts w:ascii="Arial" w:cs="Arial" w:eastAsia="Arial" w:hAnsi="Arial"/>
                <w:sz w:val="14"/>
                <w:szCs w:val="14"/>
                <w:color w:val="auto"/>
              </w:rPr>
              <w:t>Certain interest adjustments (K)</w:t>
            </w:r>
          </w:p>
        </w:tc>
        <w:tc>
          <w:tcPr>
            <w:tcW w:w="1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16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6"/>
        </w:trPr>
        <w:tc>
          <w:tcPr>
            <w:tcW w:w="3460" w:type="dxa"/>
            <w:vAlign w:val="bottom"/>
          </w:tcPr>
          <w:p>
            <w:pPr>
              <w:ind w:left="180"/>
              <w:spacing w:after="0"/>
              <w:rPr>
                <w:sz w:val="20"/>
                <w:szCs w:val="20"/>
                <w:color w:val="auto"/>
              </w:rPr>
            </w:pPr>
            <w:r>
              <w:rPr>
                <w:rFonts w:ascii="Arial" w:cs="Arial" w:eastAsia="Arial" w:hAnsi="Arial"/>
                <w:sz w:val="14"/>
                <w:szCs w:val="14"/>
                <w:color w:val="auto"/>
              </w:rPr>
              <w:t>Certain tax adjustments (L)</w:t>
            </w:r>
          </w:p>
        </w:tc>
        <w:tc>
          <w:tcPr>
            <w:tcW w:w="1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34.3</w:t>
            </w:r>
          </w:p>
        </w:tc>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0.71</w:t>
            </w:r>
          </w:p>
        </w:tc>
      </w:tr>
      <w:tr>
        <w:trPr>
          <w:trHeight w:val="270"/>
        </w:trPr>
        <w:tc>
          <w:tcPr>
            <w:tcW w:w="3460" w:type="dxa"/>
            <w:vAlign w:val="bottom"/>
          </w:tcPr>
          <w:p>
            <w:pPr>
              <w:ind w:left="40"/>
              <w:spacing w:after="0"/>
              <w:rPr>
                <w:sz w:val="20"/>
                <w:szCs w:val="20"/>
                <w:color w:val="auto"/>
              </w:rPr>
            </w:pPr>
            <w:r>
              <w:rPr>
                <w:rFonts w:ascii="Arial" w:cs="Arial" w:eastAsia="Arial" w:hAnsi="Arial"/>
                <w:sz w:val="14"/>
                <w:szCs w:val="14"/>
                <w:color w:val="auto"/>
              </w:rPr>
              <w:t>Adjusted financial measures</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$1,257.4</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$818.6</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$237.2</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$171.8</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$171.8</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r>
      <w:tr>
        <w:trPr>
          <w:trHeight w:val="20"/>
        </w:trPr>
        <w:tc>
          <w:tcPr>
            <w:tcW w:w="3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GAAP results for the year ended December 31, 2017 include:</w:t>
      </w:r>
    </w:p>
    <w:p>
      <w:pPr>
        <w:spacing w:after="0" w:line="82" w:lineRule="exact"/>
        <w:rPr>
          <w:sz w:val="20"/>
          <w:szCs w:val="20"/>
          <w:color w:val="auto"/>
        </w:rPr>
      </w:pPr>
    </w:p>
    <w:p>
      <w:pPr>
        <w:ind w:left="520" w:hanging="48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Adjustment to combine the results of the CRM Business Franchise with continuing operations</w:t>
      </w:r>
    </w:p>
    <w:p>
      <w:pPr>
        <w:spacing w:after="0" w:line="55" w:lineRule="exact"/>
        <w:rPr>
          <w:rFonts w:ascii="Arial" w:cs="Arial" w:eastAsia="Arial" w:hAnsi="Arial"/>
          <w:sz w:val="14"/>
          <w:szCs w:val="14"/>
          <w:color w:val="auto"/>
        </w:rPr>
      </w:pPr>
    </w:p>
    <w:p>
      <w:pPr>
        <w:ind w:left="520" w:hanging="48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w:t>
      </w:r>
    </w:p>
    <w:p>
      <w:pPr>
        <w:spacing w:after="0" w:line="55" w:lineRule="exact"/>
        <w:rPr>
          <w:rFonts w:ascii="Arial" w:cs="Arial" w:eastAsia="Arial" w:hAnsi="Arial"/>
          <w:sz w:val="14"/>
          <w:szCs w:val="14"/>
          <w:color w:val="auto"/>
        </w:rPr>
      </w:pPr>
    </w:p>
    <w:p>
      <w:pPr>
        <w:ind w:left="520" w:hanging="48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520" w:hanging="48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 ($5.4m COGS, $0.7m SG&amp;A, $0.4m R&amp;D and $45.9m amortization of intangible assets)</w:t>
      </w:r>
    </w:p>
    <w:p>
      <w:pPr>
        <w:spacing w:after="0" w:line="55" w:lineRule="exact"/>
        <w:rPr>
          <w:rFonts w:ascii="Arial" w:cs="Arial" w:eastAsia="Arial" w:hAnsi="Arial"/>
          <w:sz w:val="14"/>
          <w:szCs w:val="14"/>
          <w:color w:val="auto"/>
        </w:rPr>
      </w:pPr>
    </w:p>
    <w:p>
      <w:pPr>
        <w:ind w:left="520" w:hanging="48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520" w:right="500" w:hanging="485"/>
        <w:spacing w:after="0" w:line="25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 ($0.1m COGS, $10.5m SG&amp;A, ($0.3m) R&amp;D, ($0.2m) M&amp;I and $3.2m interest expense)</w:t>
      </w:r>
    </w:p>
    <w:p>
      <w:pPr>
        <w:spacing w:after="0" w:line="32" w:lineRule="exact"/>
        <w:rPr>
          <w:rFonts w:ascii="Arial" w:cs="Arial" w:eastAsia="Arial" w:hAnsi="Arial"/>
          <w:sz w:val="14"/>
          <w:szCs w:val="14"/>
          <w:color w:val="auto"/>
        </w:rPr>
      </w:pPr>
    </w:p>
    <w:p>
      <w:pPr>
        <w:ind w:left="520" w:hanging="48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$0.6m related to COGS, $16.9m related to SG&amp;A and $1.6m for R&amp;D</w:t>
      </w:r>
    </w:p>
    <w:p>
      <w:pPr>
        <w:spacing w:after="0" w:line="55" w:lineRule="exact"/>
        <w:rPr>
          <w:rFonts w:ascii="Arial" w:cs="Arial" w:eastAsia="Arial" w:hAnsi="Arial"/>
          <w:sz w:val="14"/>
          <w:szCs w:val="14"/>
          <w:color w:val="auto"/>
        </w:rPr>
      </w:pPr>
    </w:p>
    <w:p>
      <w:pPr>
        <w:ind w:left="520" w:right="80" w:hanging="485"/>
        <w:spacing w:after="0" w:line="25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CRM business franchise impairment of $93.6m and $7.3m of expenses associated with divestiture ($0.1m COGS, $7.0m SG&amp;A, $93.6m Impairment of CRM and $0.2m R&amp;D)</w:t>
      </w:r>
    </w:p>
    <w:p>
      <w:pPr>
        <w:spacing w:after="0" w:line="32" w:lineRule="exact"/>
        <w:rPr>
          <w:rFonts w:ascii="Arial" w:cs="Arial" w:eastAsia="Arial" w:hAnsi="Arial"/>
          <w:sz w:val="14"/>
          <w:szCs w:val="14"/>
          <w:color w:val="auto"/>
        </w:rPr>
      </w:pPr>
    </w:p>
    <w:p>
      <w:pPr>
        <w:ind w:left="520" w:hanging="48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$13.0m of impairments to an equity method investment, $8.6m of impairments to cost-method investments and $1.0m of tangible asset impairments</w:t>
      </w:r>
    </w:p>
    <w:p>
      <w:pPr>
        <w:spacing w:after="0" w:line="55" w:lineRule="exact"/>
        <w:rPr>
          <w:rFonts w:ascii="Arial" w:cs="Arial" w:eastAsia="Arial" w:hAnsi="Arial"/>
          <w:sz w:val="14"/>
          <w:szCs w:val="14"/>
          <w:color w:val="auto"/>
        </w:rPr>
      </w:pPr>
    </w:p>
    <w:p>
      <w:pPr>
        <w:ind w:left="520" w:right="120" w:hanging="485"/>
        <w:spacing w:after="0" w:line="25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associated with the acquisitions of ImThera, TandemLife and Caisson. Includes $16.5m in acquisitions costs ($0.2m COGS, $2.3m SG&amp;A, $13.0m R&amp;D and $1.0m M&amp;I) and a $39.4m gain upon acquisition of Caisson.</w:t>
      </w:r>
    </w:p>
    <w:p>
      <w:pPr>
        <w:spacing w:after="0" w:line="32" w:lineRule="exact"/>
        <w:rPr>
          <w:rFonts w:ascii="Arial" w:cs="Arial" w:eastAsia="Arial" w:hAnsi="Arial"/>
          <w:sz w:val="14"/>
          <w:szCs w:val="14"/>
          <w:color w:val="auto"/>
        </w:rPr>
      </w:pPr>
    </w:p>
    <w:p>
      <w:pPr>
        <w:ind w:left="520" w:hanging="48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related to intellectual property migration and other non-recurring impacts to interest expense</w:t>
      </w:r>
    </w:p>
    <w:p>
      <w:pPr>
        <w:spacing w:after="0" w:line="55" w:lineRule="exact"/>
        <w:rPr>
          <w:rFonts w:ascii="Arial" w:cs="Arial" w:eastAsia="Arial" w:hAnsi="Arial"/>
          <w:sz w:val="14"/>
          <w:szCs w:val="14"/>
          <w:color w:val="auto"/>
        </w:rPr>
      </w:pPr>
    </w:p>
    <w:p>
      <w:pPr>
        <w:ind w:left="520" w:right="180" w:hanging="485"/>
        <w:spacing w:after="0" w:line="25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 of which $27.5m related to a net, non-cash charge incurred as a result of the U.S. enacted Tax Cuts and Jobs Act on December 22, 2017.</w:t>
      </w:r>
    </w:p>
    <w:p>
      <w:pPr>
        <w:spacing w:after="0" w:line="221" w:lineRule="exact"/>
        <w:rPr>
          <w:sz w:val="20"/>
          <w:szCs w:val="20"/>
          <w:color w:val="auto"/>
        </w:rPr>
      </w:pPr>
    </w:p>
    <w:p>
      <w:pPr>
        <w:ind w:left="380" w:hanging="34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783"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RECONCILIATION OF GAAP TO NON-GAAP FINANCIAL MEASURES - UNAUDITED</w:t>
      </w:r>
    </w:p>
    <w:p>
      <w:pPr>
        <w:spacing w:after="0" w:line="59" w:lineRule="exact"/>
        <w:rPr>
          <w:sz w:val="20"/>
          <w:szCs w:val="20"/>
          <w:color w:val="auto"/>
        </w:rPr>
      </w:pPr>
    </w:p>
    <w:p>
      <w:pPr>
        <w:ind w:right="2120"/>
        <w:spacing w:after="0" w:line="357" w:lineRule="auto"/>
        <w:rPr>
          <w:sz w:val="20"/>
          <w:szCs w:val="20"/>
          <w:color w:val="auto"/>
        </w:rPr>
      </w:pPr>
      <w:r>
        <w:rPr>
          <w:rFonts w:ascii="Arial" w:cs="Arial" w:eastAsia="Arial" w:hAnsi="Arial"/>
          <w:sz w:val="16"/>
          <w:szCs w:val="16"/>
          <w:b w:val="1"/>
          <w:bCs w:val="1"/>
          <w:color w:val="auto"/>
        </w:rPr>
        <w:t>SUPPORTING SCHEDULE TO COMBINE NET SALES OF CONTINUING OPERATIONS AND DISCONTINUED OPERATIONS (U.S. dollars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Twelve Months Ended December 31,</w:t>
            </w:r>
          </w:p>
        </w:tc>
        <w:tc>
          <w:tcPr>
            <w:tcW w:w="1900" w:type="dxa"/>
            <w:vAlign w:val="bottom"/>
            <w:tcBorders>
              <w:bottom w:val="single" w:sz="8" w:color="auto"/>
            </w:tcBorders>
          </w:tcPr>
          <w:p>
            <w:pPr>
              <w:spacing w:after="0"/>
              <w:rPr>
                <w:sz w:val="17"/>
                <w:szCs w:val="17"/>
                <w:color w:val="auto"/>
              </w:rPr>
            </w:pPr>
          </w:p>
        </w:tc>
      </w:tr>
      <w:tr>
        <w:trPr>
          <w:trHeight w:val="297"/>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 at Actual</w:t>
            </w:r>
          </w:p>
        </w:tc>
        <w:tc>
          <w:tcPr>
            <w:tcW w:w="19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 at Constant</w:t>
            </w:r>
          </w:p>
        </w:tc>
      </w:tr>
      <w:tr>
        <w:trPr>
          <w:trHeight w:val="196"/>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Currency Rates</w:t>
            </w:r>
          </w:p>
        </w:tc>
        <w:tc>
          <w:tcPr>
            <w:tcW w:w="120" w:type="dxa"/>
            <w:vAlign w:val="bottom"/>
          </w:tcPr>
          <w:p>
            <w:pPr>
              <w:spacing w:after="0"/>
              <w:rPr>
                <w:sz w:val="17"/>
                <w:szCs w:val="17"/>
                <w:color w:val="auto"/>
              </w:rPr>
            </w:pPr>
          </w:p>
        </w:tc>
        <w:tc>
          <w:tcPr>
            <w:tcW w:w="1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Currency Rates</w:t>
            </w:r>
          </w:p>
        </w:tc>
      </w:tr>
      <w:tr>
        <w:trPr>
          <w:trHeight w:val="258"/>
        </w:trPr>
        <w:tc>
          <w:tcPr>
            <w:tcW w:w="4540" w:type="dxa"/>
            <w:vAlign w:val="bottom"/>
            <w:gridSpan w:val="2"/>
          </w:tcPr>
          <w:p>
            <w:pPr>
              <w:spacing w:after="0"/>
              <w:rPr>
                <w:sz w:val="20"/>
                <w:szCs w:val="20"/>
                <w:color w:val="auto"/>
              </w:rPr>
            </w:pPr>
            <w:r>
              <w:rPr>
                <w:rFonts w:ascii="Arial" w:cs="Arial" w:eastAsia="Arial" w:hAnsi="Arial"/>
                <w:sz w:val="14"/>
                <w:szCs w:val="14"/>
                <w:color w:val="auto"/>
              </w:rPr>
              <w:t>US GAAP net sales</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$1,012.3</w:t>
            </w:r>
          </w:p>
        </w:tc>
        <w:tc>
          <w:tcPr>
            <w:tcW w:w="10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$964.9</w:t>
            </w:r>
          </w:p>
        </w:tc>
        <w:tc>
          <w:tcPr>
            <w:tcW w:w="2000" w:type="dxa"/>
            <w:vAlign w:val="bottom"/>
            <w:gridSpan w:val="2"/>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4.1%</w:t>
            </w:r>
          </w:p>
        </w:tc>
      </w:tr>
      <w:tr>
        <w:trPr>
          <w:trHeight w:val="276"/>
        </w:trPr>
        <w:tc>
          <w:tcPr>
            <w:tcW w:w="4540" w:type="dxa"/>
            <w:vAlign w:val="bottom"/>
            <w:gridSpan w:val="2"/>
          </w:tcPr>
          <w:p>
            <w:pPr>
              <w:spacing w:after="0"/>
              <w:rPr>
                <w:sz w:val="20"/>
                <w:szCs w:val="20"/>
                <w:color w:val="auto"/>
              </w:rPr>
            </w:pPr>
            <w:r>
              <w:rPr>
                <w:rFonts w:ascii="Arial" w:cs="Arial" w:eastAsia="Arial" w:hAnsi="Arial"/>
                <w:sz w:val="14"/>
                <w:szCs w:val="14"/>
                <w:color w:val="auto"/>
              </w:rPr>
              <w:t>Add: Net sales of discontinued operations</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249.1</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0"/>
        </w:trPr>
        <w:tc>
          <w:tcPr>
            <w:tcW w:w="4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$1,257.4</w:t>
            </w:r>
          </w:p>
        </w:tc>
        <w:tc>
          <w:tcPr>
            <w:tcW w:w="100" w:type="dxa"/>
            <w:vAlign w:val="bottom"/>
          </w:tcPr>
          <w:p>
            <w:pPr>
              <w:spacing w:after="0"/>
              <w:rPr>
                <w:sz w:val="23"/>
                <w:szCs w:val="23"/>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$1,213.9</w:t>
            </w:r>
          </w:p>
        </w:tc>
        <w:tc>
          <w:tcPr>
            <w:tcW w:w="2000" w:type="dxa"/>
            <w:vAlign w:val="bottom"/>
            <w:gridSpan w:val="2"/>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2.8%</w:t>
            </w: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 The sales results presented are unaudited. 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80"/>
          </w:cols>
          <w:pgMar w:left="280" w:top="783"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 dollars in millions)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228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December 31, 2017</w:t>
            </w:r>
          </w:p>
        </w:tc>
        <w:tc>
          <w:tcPr>
            <w:tcW w:w="214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 2016</w:t>
            </w:r>
          </w:p>
        </w:tc>
        <w:tc>
          <w:tcPr>
            <w:tcW w:w="0" w:type="dxa"/>
            <w:vAlign w:val="bottom"/>
          </w:tcPr>
          <w:p>
            <w:pPr>
              <w:spacing w:after="0"/>
              <w:rPr>
                <w:sz w:val="1"/>
                <w:szCs w:val="1"/>
                <w:color w:val="auto"/>
              </w:rPr>
            </w:pPr>
          </w:p>
        </w:tc>
      </w:tr>
      <w:tr>
        <w:trPr>
          <w:trHeight w:val="251"/>
        </w:trPr>
        <w:tc>
          <w:tcPr>
            <w:tcW w:w="6960" w:type="dxa"/>
            <w:vAlign w:val="bottom"/>
          </w:tcPr>
          <w:p>
            <w:pPr>
              <w:ind w:left="120"/>
              <w:spacing w:after="0"/>
              <w:rPr>
                <w:sz w:val="20"/>
                <w:szCs w:val="20"/>
                <w:color w:val="auto"/>
              </w:rPr>
            </w:pPr>
            <w:r>
              <w:rPr>
                <w:rFonts w:ascii="Arial" w:cs="Arial" w:eastAsia="Arial" w:hAnsi="Arial"/>
                <w:sz w:val="16"/>
                <w:szCs w:val="16"/>
                <w:b w:val="1"/>
                <w:bCs w:val="1"/>
                <w:color w:val="auto"/>
              </w:rPr>
              <w:t>ASSETS</w:t>
            </w:r>
          </w:p>
        </w:tc>
        <w:tc>
          <w:tcPr>
            <w:tcW w:w="2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6960" w:type="dxa"/>
            <w:vAlign w:val="bottom"/>
          </w:tcPr>
          <w:p>
            <w:pPr>
              <w:spacing w:after="0"/>
              <w:rPr>
                <w:sz w:val="20"/>
                <w:szCs w:val="20"/>
                <w:color w:val="auto"/>
              </w:rPr>
            </w:pPr>
            <w:r>
              <w:rPr>
                <w:rFonts w:ascii="Arial" w:cs="Arial" w:eastAsia="Arial" w:hAnsi="Arial"/>
                <w:sz w:val="16"/>
                <w:szCs w:val="16"/>
                <w:color w:val="auto"/>
              </w:rPr>
              <w:t>Current Assets:</w:t>
            </w: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282.1</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Assets of discontinued operations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250.7</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Current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869.9</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812.7</w:t>
            </w:r>
          </w:p>
        </w:tc>
        <w:tc>
          <w:tcPr>
            <w:tcW w:w="0" w:type="dxa"/>
            <w:vAlign w:val="bottom"/>
          </w:tcPr>
          <w:p>
            <w:pPr>
              <w:spacing w:after="0"/>
              <w:rPr>
                <w:sz w:val="1"/>
                <w:szCs w:val="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784.2</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691.7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535.4</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Deferred tax assets, net</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64"/>
        </w:trPr>
        <w:tc>
          <w:tcPr>
            <w:tcW w:w="6960" w:type="dxa"/>
            <w:vAlign w:val="bottom"/>
          </w:tcPr>
          <w:p>
            <w:pPr>
              <w:spacing w:after="0"/>
              <w:rPr>
                <w:sz w:val="20"/>
                <w:szCs w:val="20"/>
                <w:color w:val="auto"/>
              </w:rPr>
            </w:pPr>
            <w:r>
              <w:rPr>
                <w:rFonts w:ascii="Arial" w:cs="Arial" w:eastAsia="Arial" w:hAnsi="Arial"/>
                <w:sz w:val="16"/>
                <w:szCs w:val="16"/>
                <w:color w:val="auto"/>
              </w:rPr>
              <w:t>Total Assets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$2,503.9</w:t>
            </w:r>
          </w:p>
        </w:tc>
        <w:tc>
          <w:tcPr>
            <w:tcW w:w="120" w:type="dxa"/>
            <w:vAlign w:val="bottom"/>
          </w:tcPr>
          <w:p>
            <w:pPr>
              <w:spacing w:after="0"/>
              <w:rPr>
                <w:sz w:val="22"/>
                <w:szCs w:val="22"/>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$2,342.6</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9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6"/>
                <w:szCs w:val="16"/>
                <w:color w:val="auto"/>
              </w:rPr>
              <w:t>Current Liabilities: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Current debt obligations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Accrued liabilities and other</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Accrued employee compensation and related benefits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Liabilities of discontinued operations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406.0</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349.9</w:t>
            </w:r>
          </w:p>
        </w:tc>
        <w:tc>
          <w:tcPr>
            <w:tcW w:w="0" w:type="dxa"/>
            <w:vAlign w:val="bottom"/>
          </w:tcPr>
          <w:p>
            <w:pPr>
              <w:spacing w:after="0"/>
              <w:rPr>
                <w:sz w:val="1"/>
                <w:szCs w:val="1"/>
                <w:color w:val="auto"/>
              </w:rPr>
            </w:pPr>
          </w:p>
        </w:tc>
      </w:tr>
      <w:tr>
        <w:trPr>
          <w:trHeight w:val="237"/>
        </w:trPr>
        <w:tc>
          <w:tcPr>
            <w:tcW w:w="6960" w:type="dxa"/>
            <w:vAlign w:val="bottom"/>
          </w:tcPr>
          <w:p>
            <w:pPr>
              <w:ind w:left="120"/>
              <w:spacing w:after="0"/>
              <w:rPr>
                <w:sz w:val="20"/>
                <w:szCs w:val="20"/>
                <w:color w:val="auto"/>
              </w:rPr>
            </w:pPr>
            <w:r>
              <w:rPr>
                <w:rFonts w:ascii="Arial" w:cs="Arial" w:eastAsia="Arial" w:hAnsi="Arial"/>
                <w:sz w:val="16"/>
                <w:szCs w:val="16"/>
                <w:color w:val="auto"/>
              </w:rPr>
              <w:t>Long-term debt obligations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0"/>
                <w:szCs w:val="20"/>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Deferred income taxes liability</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270"/>
        </w:trPr>
        <w:tc>
          <w:tcPr>
            <w:tcW w:w="6960" w:type="dxa"/>
            <w:vAlign w:val="bottom"/>
          </w:tcPr>
          <w:p>
            <w:pPr>
              <w:ind w:left="120"/>
              <w:spacing w:after="0"/>
              <w:rPr>
                <w:sz w:val="20"/>
                <w:szCs w:val="20"/>
                <w:color w:val="auto"/>
              </w:rPr>
            </w:pPr>
            <w:r>
              <w:rPr>
                <w:rFonts w:ascii="Arial" w:cs="Arial" w:eastAsia="Arial" w:hAnsi="Arial"/>
                <w:sz w:val="16"/>
                <w:szCs w:val="16"/>
                <w:color w:val="auto"/>
              </w:rPr>
              <w:t>Long-term employee compensation and related benefits</w:t>
            </w: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83"/>
        </w:trPr>
        <w:tc>
          <w:tcPr>
            <w:tcW w:w="6960" w:type="dxa"/>
            <w:vAlign w:val="bottom"/>
          </w:tcPr>
          <w:p>
            <w:pPr>
              <w:ind w:left="120"/>
              <w:spacing w:after="0"/>
              <w:rPr>
                <w:sz w:val="20"/>
                <w:szCs w:val="20"/>
                <w:color w:val="auto"/>
              </w:rPr>
            </w:pPr>
            <w:r>
              <w:rPr>
                <w:rFonts w:ascii="Arial" w:cs="Arial" w:eastAsia="Arial" w:hAnsi="Arial"/>
                <w:sz w:val="16"/>
                <w:szCs w:val="16"/>
                <w:color w:val="auto"/>
              </w:rPr>
              <w:t>Other long-term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Liabilities</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688.6</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635.7</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1,815.3</w:t>
            </w:r>
          </w:p>
        </w:tc>
        <w:tc>
          <w:tcPr>
            <w:tcW w:w="12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1,706.9</w:t>
            </w:r>
          </w:p>
        </w:tc>
        <w:tc>
          <w:tcPr>
            <w:tcW w:w="0" w:type="dxa"/>
            <w:vAlign w:val="bottom"/>
          </w:tcPr>
          <w:p>
            <w:pPr>
              <w:spacing w:after="0"/>
              <w:rPr>
                <w:sz w:val="1"/>
                <w:szCs w:val="1"/>
                <w:color w:val="auto"/>
              </w:rPr>
            </w:pPr>
          </w:p>
        </w:tc>
      </w:tr>
      <w:tr>
        <w:trPr>
          <w:trHeight w:val="267"/>
        </w:trPr>
        <w:tc>
          <w:tcPr>
            <w:tcW w:w="69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$2,503.9</w:t>
            </w:r>
          </w:p>
        </w:tc>
        <w:tc>
          <w:tcPr>
            <w:tcW w:w="120" w:type="dxa"/>
            <w:vAlign w:val="bottom"/>
          </w:tcPr>
          <w:p>
            <w:pPr>
              <w:spacing w:after="0"/>
              <w:rPr>
                <w:sz w:val="23"/>
                <w:szCs w:val="23"/>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$2,342.6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783"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LIVANOVA PLC AND SUBSIDIARIES</w:t>
      </w:r>
    </w:p>
    <w:p>
      <w:pPr>
        <w:spacing w:after="0" w:line="40" w:lineRule="exact"/>
        <w:rPr>
          <w:sz w:val="20"/>
          <w:szCs w:val="20"/>
          <w:color w:val="auto"/>
        </w:rPr>
      </w:pPr>
    </w:p>
    <w:p>
      <w:pPr>
        <w:ind w:right="4520"/>
        <w:spacing w:after="0" w:line="300" w:lineRule="auto"/>
        <w:rPr>
          <w:sz w:val="20"/>
          <w:szCs w:val="20"/>
          <w:color w:val="auto"/>
        </w:rPr>
      </w:pPr>
      <w:r>
        <w:rPr>
          <w:rFonts w:ascii="Arial" w:cs="Arial" w:eastAsia="Arial" w:hAnsi="Arial"/>
          <w:sz w:val="20"/>
          <w:szCs w:val="20"/>
          <w:b w:val="1"/>
          <w:bCs w:val="1"/>
          <w:color w:val="auto"/>
        </w:rPr>
        <w:t>CONDENSED CONSOLIDATED STATEMENTS OF CASH FLOW (U.S.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60" w:type="dxa"/>
            <w:vAlign w:val="bottom"/>
          </w:tcPr>
          <w:p>
            <w:pPr>
              <w:spacing w:after="0"/>
              <w:rPr>
                <w:sz w:val="19"/>
                <w:szCs w:val="19"/>
                <w:color w:val="auto"/>
              </w:rPr>
            </w:pPr>
          </w:p>
        </w:tc>
        <w:tc>
          <w:tcPr>
            <w:tcW w:w="33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Twelve Months Ended December 31,</w:t>
            </w:r>
          </w:p>
        </w:tc>
      </w:tr>
      <w:tr>
        <w:trPr>
          <w:trHeight w:val="264"/>
        </w:trPr>
        <w:tc>
          <w:tcPr>
            <w:tcW w:w="706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2"/>
                <w:szCs w:val="22"/>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51"/>
        </w:trPr>
        <w:tc>
          <w:tcPr>
            <w:tcW w:w="70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560" w:type="dxa"/>
            <w:vAlign w:val="bottom"/>
          </w:tcPr>
          <w:p>
            <w:pPr>
              <w:jc w:val="right"/>
              <w:spacing w:after="0"/>
              <w:rPr>
                <w:sz w:val="20"/>
                <w:szCs w:val="20"/>
                <w:color w:val="auto"/>
              </w:rPr>
            </w:pPr>
            <w:r>
              <w:rPr>
                <w:rFonts w:ascii="Arial" w:cs="Arial" w:eastAsia="Arial" w:hAnsi="Arial"/>
                <w:sz w:val="16"/>
                <w:szCs w:val="16"/>
                <w:color w:val="auto"/>
              </w:rPr>
              <w:t>($25.1)</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70"/>
        </w:trPr>
        <w:tc>
          <w:tcPr>
            <w:tcW w:w="7060" w:type="dxa"/>
            <w:vAlign w:val="bottom"/>
          </w:tcPr>
          <w:p>
            <w:pPr>
              <w:spacing w:after="0"/>
              <w:rPr>
                <w:sz w:val="20"/>
                <w:szCs w:val="20"/>
                <w:color w:val="auto"/>
              </w:rPr>
            </w:pPr>
            <w:r>
              <w:rPr>
                <w:rFonts w:ascii="Arial" w:cs="Arial" w:eastAsia="Arial" w:hAnsi="Arial"/>
                <w:sz w:val="16"/>
                <w:szCs w:val="16"/>
                <w:color w:val="auto"/>
              </w:rPr>
              <w:t>Non-cash items included in net loss:</w:t>
            </w: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Depreciation</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Amortization</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Stock-based compensation</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Deferred income tax benefit</w:t>
            </w:r>
          </w:p>
        </w:tc>
        <w:tc>
          <w:tcPr>
            <w:tcW w:w="1560" w:type="dxa"/>
            <w:vAlign w:val="bottom"/>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Losses from equity method investments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Gain on acquisition of Caisson Interventional, LLC</w:t>
            </w:r>
          </w:p>
        </w:tc>
        <w:tc>
          <w:tcPr>
            <w:tcW w:w="1560" w:type="dxa"/>
            <w:vAlign w:val="bottom"/>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Impairment of discontinued operations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Impairment of cost-method investments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Impairment of property, plant and equipment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Amortization of income taxes from inter-company transfers of property</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Other</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70"/>
        </w:trPr>
        <w:tc>
          <w:tcPr>
            <w:tcW w:w="706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Accounts receivable, net</w:t>
            </w:r>
          </w:p>
        </w:tc>
        <w:tc>
          <w:tcPr>
            <w:tcW w:w="1560" w:type="dxa"/>
            <w:vAlign w:val="bottom"/>
          </w:tcPr>
          <w:p>
            <w:pPr>
              <w:jc w:val="right"/>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Inventories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Other current and non-current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Restructuring reserve</w:t>
            </w:r>
          </w:p>
        </w:tc>
        <w:tc>
          <w:tcPr>
            <w:tcW w:w="1560" w:type="dxa"/>
            <w:vAlign w:val="bottom"/>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83"/>
        </w:trPr>
        <w:tc>
          <w:tcPr>
            <w:tcW w:w="7060" w:type="dxa"/>
            <w:vAlign w:val="bottom"/>
          </w:tcPr>
          <w:p>
            <w:pPr>
              <w:ind w:left="540"/>
              <w:spacing w:after="0"/>
              <w:rPr>
                <w:sz w:val="20"/>
                <w:szCs w:val="20"/>
                <w:color w:val="auto"/>
              </w:rPr>
            </w:pPr>
            <w:r>
              <w:rPr>
                <w:rFonts w:ascii="Arial" w:cs="Arial" w:eastAsia="Arial" w:hAnsi="Arial"/>
                <w:sz w:val="16"/>
                <w:szCs w:val="16"/>
                <w:color w:val="auto"/>
              </w:rPr>
              <w:t>Accounts payable and accrued current and non-current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50"/>
        </w:trPr>
        <w:tc>
          <w:tcPr>
            <w:tcW w:w="7060" w:type="dxa"/>
            <w:vAlign w:val="bottom"/>
          </w:tcPr>
          <w:p>
            <w:pPr>
              <w:ind w:left="680"/>
              <w:spacing w:after="0"/>
              <w:rPr>
                <w:sz w:val="20"/>
                <w:szCs w:val="20"/>
                <w:color w:val="auto"/>
              </w:rPr>
            </w:pPr>
            <w:r>
              <w:rPr>
                <w:rFonts w:ascii="Arial" w:cs="Arial" w:eastAsia="Arial" w:hAnsi="Arial"/>
                <w:sz w:val="16"/>
                <w:szCs w:val="16"/>
                <w:b w:val="1"/>
                <w:bCs w:val="1"/>
                <w:color w:val="auto"/>
              </w:rPr>
              <w:t>Net cash provided by operating activities</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91.3</w:t>
            </w:r>
          </w:p>
        </w:tc>
        <w:tc>
          <w:tcPr>
            <w:tcW w:w="2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90.2</w:t>
            </w:r>
          </w:p>
        </w:tc>
      </w:tr>
      <w:tr>
        <w:trPr>
          <w:trHeight w:val="386"/>
        </w:trPr>
        <w:tc>
          <w:tcPr>
            <w:tcW w:w="70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Purchases of property, plant, equipment and other</w:t>
            </w:r>
          </w:p>
        </w:tc>
        <w:tc>
          <w:tcPr>
            <w:tcW w:w="1560" w:type="dxa"/>
            <w:vAlign w:val="bottom"/>
          </w:tcPr>
          <w:p>
            <w:pPr>
              <w:jc w:val="right"/>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Acquisition of Caisson Interventional, LLC, net of cash acquired</w:t>
            </w:r>
          </w:p>
        </w:tc>
        <w:tc>
          <w:tcPr>
            <w:tcW w:w="156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Proceeds from sale of cost-method investment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Proceeds from asset sales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Purchases of cost and equity method investments</w:t>
            </w:r>
          </w:p>
        </w:tc>
        <w:tc>
          <w:tcPr>
            <w:tcW w:w="156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Loans to cost and equity method investees</w:t>
            </w:r>
          </w:p>
        </w:tc>
        <w:tc>
          <w:tcPr>
            <w:tcW w:w="156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Purchases of short-term investments</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83"/>
        </w:trPr>
        <w:tc>
          <w:tcPr>
            <w:tcW w:w="7060" w:type="dxa"/>
            <w:vAlign w:val="bottom"/>
          </w:tcPr>
          <w:p>
            <w:pPr>
              <w:ind w:left="540"/>
              <w:spacing w:after="0"/>
              <w:rPr>
                <w:sz w:val="20"/>
                <w:szCs w:val="20"/>
                <w:color w:val="auto"/>
              </w:rPr>
            </w:pPr>
            <w:r>
              <w:rPr>
                <w:rFonts w:ascii="Arial" w:cs="Arial" w:eastAsia="Arial" w:hAnsi="Arial"/>
                <w:sz w:val="16"/>
                <w:szCs w:val="16"/>
                <w:color w:val="auto"/>
              </w:rPr>
              <w:t>Maturities of short-term investments</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50"/>
        </w:trPr>
        <w:tc>
          <w:tcPr>
            <w:tcW w:w="7060" w:type="dxa"/>
            <w:vAlign w:val="bottom"/>
          </w:tcPr>
          <w:p>
            <w:pPr>
              <w:ind w:left="680"/>
              <w:spacing w:after="0"/>
              <w:rPr>
                <w:sz w:val="20"/>
                <w:szCs w:val="20"/>
                <w:color w:val="auto"/>
              </w:rPr>
            </w:pPr>
            <w:r>
              <w:rPr>
                <w:rFonts w:ascii="Arial" w:cs="Arial" w:eastAsia="Arial" w:hAnsi="Arial"/>
                <w:sz w:val="16"/>
                <w:szCs w:val="16"/>
                <w:b w:val="1"/>
                <w:bCs w:val="1"/>
                <w:color w:val="auto"/>
              </w:rPr>
              <w:t>Net cash used in investing activities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w:t>
            </w:r>
          </w:p>
        </w:tc>
        <w:tc>
          <w:tcPr>
            <w:tcW w:w="22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w:t>
            </w:r>
          </w:p>
        </w:tc>
      </w:tr>
      <w:tr>
        <w:trPr>
          <w:trHeight w:val="386"/>
        </w:trPr>
        <w:tc>
          <w:tcPr>
            <w:tcW w:w="70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Change in short-term borrowing, net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Proceeds from short-term borrowing (maturities greater than 90 days)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Proceeds from long-term debt obligations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Repayment of long-term debt obligations</w:t>
            </w:r>
          </w:p>
        </w:tc>
        <w:tc>
          <w:tcPr>
            <w:tcW w:w="156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Proceeds from exercise of stock options</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Repayment of trade receivable advances</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70"/>
        </w:trPr>
        <w:tc>
          <w:tcPr>
            <w:tcW w:w="7060" w:type="dxa"/>
            <w:vAlign w:val="bottom"/>
          </w:tcPr>
          <w:p>
            <w:pPr>
              <w:ind w:left="540"/>
              <w:spacing w:after="0"/>
              <w:rPr>
                <w:sz w:val="20"/>
                <w:szCs w:val="20"/>
                <w:color w:val="auto"/>
              </w:rPr>
            </w:pPr>
            <w:r>
              <w:rPr>
                <w:rFonts w:ascii="Arial" w:cs="Arial" w:eastAsia="Arial" w:hAnsi="Arial"/>
                <w:sz w:val="16"/>
                <w:szCs w:val="16"/>
                <w:color w:val="auto"/>
              </w:rPr>
              <w:t>Share repurchases</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83"/>
        </w:trPr>
        <w:tc>
          <w:tcPr>
            <w:tcW w:w="7060" w:type="dxa"/>
            <w:vAlign w:val="bottom"/>
          </w:tcPr>
          <w:p>
            <w:pPr>
              <w:ind w:left="540"/>
              <w:spacing w:after="0"/>
              <w:rPr>
                <w:sz w:val="20"/>
                <w:szCs w:val="20"/>
                <w:color w:val="auto"/>
              </w:rPr>
            </w:pPr>
            <w:r>
              <w:rPr>
                <w:rFonts w:ascii="Arial" w:cs="Arial" w:eastAsia="Arial" w:hAnsi="Arial"/>
                <w:sz w:val="16"/>
                <w:szCs w:val="16"/>
                <w:color w:val="auto"/>
              </w:rPr>
              <w:t>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50"/>
        </w:trPr>
        <w:tc>
          <w:tcPr>
            <w:tcW w:w="7060" w:type="dxa"/>
            <w:vAlign w:val="bottom"/>
          </w:tcPr>
          <w:p>
            <w:pPr>
              <w:ind w:left="6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11.3</w:t>
            </w:r>
          </w:p>
        </w:tc>
        <w:tc>
          <w:tcPr>
            <w:tcW w:w="2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(118.0)</w:t>
            </w:r>
          </w:p>
        </w:tc>
      </w:tr>
      <w:tr>
        <w:trPr>
          <w:trHeight w:val="385"/>
        </w:trPr>
        <w:tc>
          <w:tcPr>
            <w:tcW w:w="70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060" w:type="dxa"/>
            <w:vAlign w:val="bottom"/>
          </w:tcPr>
          <w:p>
            <w:pPr>
              <w:ind w:left="68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53.8</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(72.8)</w:t>
            </w:r>
          </w:p>
        </w:tc>
      </w:tr>
      <w:tr>
        <w:trPr>
          <w:trHeight w:val="405"/>
        </w:trPr>
        <w:tc>
          <w:tcPr>
            <w:tcW w:w="70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w:t>
            </w:r>
          </w:p>
        </w:tc>
      </w:tr>
      <w:tr>
        <w:trPr>
          <w:trHeight w:val="267"/>
        </w:trPr>
        <w:tc>
          <w:tcPr>
            <w:tcW w:w="706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$93.6</w:t>
            </w:r>
          </w:p>
        </w:tc>
        <w:tc>
          <w:tcPr>
            <w:tcW w:w="220" w:type="dxa"/>
            <w:vAlign w:val="bottom"/>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w:t>
            </w:r>
          </w:p>
        </w:tc>
      </w:tr>
      <w:tr>
        <w:trPr>
          <w:trHeight w:val="20"/>
        </w:trPr>
        <w:tc>
          <w:tcPr>
            <w:tcW w:w="7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Numbers may not add up precisely due to rounding.</w:t>
      </w:r>
    </w:p>
    <w:p>
      <w:pPr>
        <w:sectPr>
          <w:pgSz w:w="11900" w:h="16838" w:orient="portrait"/>
          <w:cols w:equalWidth="0" w:num="1">
            <w:col w:w="10360"/>
          </w:cols>
          <w:pgMar w:left="780" w:top="774" w:right="759" w:bottom="746"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sectPr>
      <w:pgSz w:w="11900" w:h="16838" w:orient="portrait"/>
      <w:cols w:equalWidth="0" w:num="1">
        <w:col w:w="10360"/>
      </w:cols>
      <w:pgMar w:left="780" w:top="774" w:right="759" w:bottom="7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1)"/>
      <w:numFmt w:val="upperLetter"/>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upperLetter"/>
      <w:start w:val="1"/>
    </w:lvl>
    <w:lvl w:ilvl="1">
      <w:lvlJc w:val="left"/>
      <w:lvlText w:val="*"/>
      <w:numFmt w:val="bullet"/>
      <w:start w:val="1"/>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upperLetter"/>
      <w:start w:val="1"/>
    </w:lvl>
  </w:abstractNum>
  <w:abstractNum w:abstractNumId="14">
    <w:nsid w:val="4E6AFB66"/>
    <w:multiLevelType w:val="hybridMultilevel"/>
    <w:lvl w:ilvl="0">
      <w:lvlJc w:val="left"/>
      <w:lvlText w:val="(%1)"/>
      <w:numFmt w:val="upperLetter"/>
      <w:start w:val="7"/>
    </w:lvl>
    <w:lvl w:ilvl="1">
      <w:lvlJc w:val="left"/>
      <w:lvlText w:val="*"/>
      <w:numFmt w:val="bullet"/>
      <w:start w:val="1"/>
    </w:lvl>
  </w:abstractNum>
  <w:abstractNum w:abstractNumId="15">
    <w:nsid w:val="25E45D32"/>
    <w:multiLevelType w:val="hybridMultilevel"/>
    <w:lvl w:ilvl="0">
      <w:lvlJc w:val="left"/>
      <w:lvlText w:val="(%1)"/>
      <w:numFmt w:val="upperLetter"/>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2019-12-29T01:13:31Z</dcterms:created>
  <dcterms:modified xsi:type="dcterms:W3CDTF">2019-12-29T01:13:31Z</dcterms:modified>
</cp:coreProperties>
</file>