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428625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166370</wp:posOffset>
            </wp:positionV>
            <wp:extent cx="1460500" cy="458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0" cy="458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7" w:lineRule="exact"/>
        <w:rPr>
          <w:sz w:val="24"/>
          <w:szCs w:val="24"/>
          <w:color w:val="auto"/>
        </w:rPr>
      </w:pPr>
    </w:p>
    <w:tbl>
      <w:tblPr>
        <w:tblLayout w:type="fixed"/>
        <w:tblInd w:w="1320" w:type="dxa"/>
        <w:tblCellMar>
          <w:top w:w="0" w:type="dxa"/>
          <w:left w:w="0" w:type="dxa"/>
          <w:bottom w:w="0" w:type="dxa"/>
          <w:right w:w="0" w:type="dxa"/>
        </w:tblCellMar>
      </w:tblPr>
      <w:tr>
        <w:trPr>
          <w:trHeight w:val="231"/>
        </w:trPr>
        <w:tc>
          <w:tcPr>
            <w:tcW w:w="214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001-37599</w:t>
            </w:r>
          </w:p>
        </w:tc>
        <w:tc>
          <w:tcPr>
            <w:tcW w:w="1660" w:type="dxa"/>
            <w:vAlign w:val="bottom"/>
          </w:tcPr>
          <w:p>
            <w:pPr>
              <w:jc w:val="center"/>
              <w:ind w:left="231"/>
              <w:spacing w:after="0"/>
              <w:rPr>
                <w:sz w:val="20"/>
                <w:szCs w:val="20"/>
                <w:color w:val="auto"/>
              </w:rPr>
            </w:pPr>
            <w:r>
              <w:rPr>
                <w:rFonts w:ascii="Arial" w:cs="Arial" w:eastAsia="Arial" w:hAnsi="Arial"/>
                <w:sz w:val="18"/>
                <w:szCs w:val="18"/>
                <w:b w:val="1"/>
                <w:bCs w:val="1"/>
                <w:color w:val="auto"/>
                <w:w w:val="89"/>
              </w:rPr>
              <w:t>98-1268150</w:t>
            </w:r>
          </w:p>
        </w:tc>
      </w:tr>
      <w:tr>
        <w:trPr>
          <w:trHeight w:val="255"/>
        </w:trPr>
        <w:tc>
          <w:tcPr>
            <w:tcW w:w="2140" w:type="dxa"/>
            <w:vAlign w:val="bottom"/>
          </w:tcPr>
          <w:p>
            <w:pPr>
              <w:jc w:val="center"/>
              <w:ind w:right="111"/>
              <w:spacing w:after="0"/>
              <w:rPr>
                <w:sz w:val="20"/>
                <w:szCs w:val="20"/>
                <w:color w:val="auto"/>
              </w:rPr>
            </w:pPr>
            <w:r>
              <w:rPr>
                <w:rFonts w:ascii="Arial" w:cs="Arial" w:eastAsia="Arial" w:hAnsi="Arial"/>
                <w:sz w:val="18"/>
                <w:szCs w:val="18"/>
                <w:color w:val="auto"/>
                <w:w w:val="90"/>
              </w:rPr>
              <w:t>(State or Other Jurisdiction</w:t>
            </w:r>
          </w:p>
        </w:tc>
        <w:tc>
          <w:tcPr>
            <w:tcW w:w="4480" w:type="dxa"/>
            <w:vAlign w:val="bottom"/>
          </w:tcPr>
          <w:p>
            <w:pPr>
              <w:jc w:val="center"/>
              <w:ind w:right="151"/>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171"/>
              <w:spacing w:after="0"/>
              <w:rPr>
                <w:sz w:val="20"/>
                <w:szCs w:val="20"/>
                <w:color w:val="auto"/>
              </w:rPr>
            </w:pPr>
            <w:r>
              <w:rPr>
                <w:rFonts w:ascii="Arial" w:cs="Arial" w:eastAsia="Arial" w:hAnsi="Arial"/>
                <w:sz w:val="18"/>
                <w:szCs w:val="18"/>
                <w:color w:val="auto"/>
                <w:w w:val="92"/>
              </w:rPr>
              <w:t>(IRS Employer</w:t>
            </w:r>
          </w:p>
        </w:tc>
      </w:tr>
      <w:tr>
        <w:trPr>
          <w:trHeight w:val="227"/>
        </w:trPr>
        <w:tc>
          <w:tcPr>
            <w:tcW w:w="2140" w:type="dxa"/>
            <w:vAlign w:val="bottom"/>
          </w:tcPr>
          <w:p>
            <w:pPr>
              <w:jc w:val="center"/>
              <w:ind w:right="71"/>
              <w:spacing w:after="0"/>
              <w:rPr>
                <w:sz w:val="20"/>
                <w:szCs w:val="20"/>
                <w:color w:val="auto"/>
              </w:rPr>
            </w:pPr>
            <w:r>
              <w:rPr>
                <w:rFonts w:ascii="Arial" w:cs="Arial" w:eastAsia="Arial" w:hAnsi="Arial"/>
                <w:sz w:val="18"/>
                <w:szCs w:val="18"/>
                <w:color w:val="auto"/>
                <w:w w:val="93"/>
              </w:rPr>
              <w:t>of Incorporation)</w:t>
            </w:r>
          </w:p>
        </w:tc>
        <w:tc>
          <w:tcPr>
            <w:tcW w:w="4480" w:type="dxa"/>
            <w:vAlign w:val="bottom"/>
          </w:tcPr>
          <w:p>
            <w:pPr>
              <w:jc w:val="center"/>
              <w:ind w:right="111"/>
              <w:spacing w:after="0"/>
              <w:rPr>
                <w:sz w:val="20"/>
                <w:szCs w:val="20"/>
                <w:color w:val="auto"/>
              </w:rPr>
            </w:pPr>
            <w:r>
              <w:rPr>
                <w:rFonts w:ascii="Arial" w:cs="Arial" w:eastAsia="Arial" w:hAnsi="Arial"/>
                <w:sz w:val="18"/>
                <w:szCs w:val="18"/>
                <w:color w:val="auto"/>
                <w:w w:val="92"/>
              </w:rPr>
              <w:t>File Number)</w:t>
            </w:r>
          </w:p>
        </w:tc>
        <w:tc>
          <w:tcPr>
            <w:tcW w:w="1660" w:type="dxa"/>
            <w:vAlign w:val="bottom"/>
          </w:tcPr>
          <w:p>
            <w:pPr>
              <w:jc w:val="center"/>
              <w:ind w:left="231"/>
              <w:spacing w:after="0"/>
              <w:rPr>
                <w:sz w:val="20"/>
                <w:szCs w:val="20"/>
                <w:color w:val="auto"/>
              </w:rPr>
            </w:pPr>
            <w:r>
              <w:rPr>
                <w:rFonts w:ascii="Arial" w:cs="Arial" w:eastAsia="Arial" w:hAnsi="Arial"/>
                <w:sz w:val="18"/>
                <w:szCs w:val="18"/>
                <w:color w:val="auto"/>
                <w:w w:val="95"/>
              </w:rPr>
              <w:t>Identification No.)</w:t>
            </w:r>
          </w:p>
        </w:tc>
      </w:tr>
      <w:tr>
        <w:trPr>
          <w:trHeight w:val="558"/>
        </w:trPr>
        <w:tc>
          <w:tcPr>
            <w:tcW w:w="2140" w:type="dxa"/>
            <w:vAlign w:val="bottom"/>
          </w:tcPr>
          <w:p>
            <w:pPr>
              <w:spacing w:after="0"/>
              <w:rPr>
                <w:sz w:val="24"/>
                <w:szCs w:val="24"/>
                <w:color w:val="auto"/>
              </w:rPr>
            </w:pPr>
          </w:p>
        </w:tc>
        <w:tc>
          <w:tcPr>
            <w:tcW w:w="448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 Eastbourne Terrace</w:t>
            </w:r>
          </w:p>
        </w:tc>
        <w:tc>
          <w:tcPr>
            <w:tcW w:w="1660" w:type="dxa"/>
            <w:vAlign w:val="bottom"/>
          </w:tcPr>
          <w:p>
            <w:pPr>
              <w:spacing w:after="0"/>
              <w:rPr>
                <w:sz w:val="24"/>
                <w:szCs w:val="24"/>
                <w:color w:val="auto"/>
              </w:rPr>
            </w:pPr>
          </w:p>
        </w:tc>
      </w:tr>
      <w:tr>
        <w:trPr>
          <w:trHeight w:val="214"/>
        </w:trPr>
        <w:tc>
          <w:tcPr>
            <w:tcW w:w="2140" w:type="dxa"/>
            <w:vAlign w:val="bottom"/>
          </w:tcPr>
          <w:p>
            <w:pPr>
              <w:spacing w:after="0"/>
              <w:rPr>
                <w:sz w:val="18"/>
                <w:szCs w:val="18"/>
                <w:color w:val="auto"/>
              </w:rPr>
            </w:pPr>
          </w:p>
        </w:tc>
        <w:tc>
          <w:tcPr>
            <w:tcW w:w="4480" w:type="dxa"/>
            <w:vAlign w:val="bottom"/>
          </w:tcPr>
          <w:p>
            <w:pPr>
              <w:jc w:val="center"/>
              <w:ind w:right="51"/>
              <w:spacing w:after="0"/>
              <w:rPr>
                <w:sz w:val="20"/>
                <w:szCs w:val="20"/>
                <w:color w:val="auto"/>
              </w:rPr>
            </w:pPr>
            <w:r>
              <w:rPr>
                <w:rFonts w:ascii="Arial" w:cs="Arial" w:eastAsia="Arial" w:hAnsi="Arial"/>
                <w:sz w:val="18"/>
                <w:szCs w:val="18"/>
                <w:b w:val="1"/>
                <w:bCs w:val="1"/>
                <w:color w:val="auto"/>
                <w:w w:val="93"/>
              </w:rPr>
              <w:t>London, W2 6LG</w:t>
            </w:r>
          </w:p>
        </w:tc>
        <w:tc>
          <w:tcPr>
            <w:tcW w:w="1660" w:type="dxa"/>
            <w:vAlign w:val="bottom"/>
          </w:tcPr>
          <w:p>
            <w:pPr>
              <w:spacing w:after="0"/>
              <w:rPr>
                <w:sz w:val="18"/>
                <w:szCs w:val="18"/>
                <w:color w:val="auto"/>
              </w:rPr>
            </w:pPr>
          </w:p>
        </w:tc>
      </w:tr>
      <w:tr>
        <w:trPr>
          <w:trHeight w:val="218"/>
        </w:trPr>
        <w:tc>
          <w:tcPr>
            <w:tcW w:w="2140" w:type="dxa"/>
            <w:vAlign w:val="bottom"/>
          </w:tcPr>
          <w:p>
            <w:pPr>
              <w:spacing w:after="0"/>
              <w:rPr>
                <w:sz w:val="18"/>
                <w:szCs w:val="18"/>
                <w:color w:val="auto"/>
              </w:rPr>
            </w:pPr>
          </w:p>
        </w:tc>
        <w:tc>
          <w:tcPr>
            <w:tcW w:w="4480" w:type="dxa"/>
            <w:vAlign w:val="bottom"/>
          </w:tcPr>
          <w:p>
            <w:pPr>
              <w:jc w:val="center"/>
              <w:ind w:right="71"/>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8"/>
                <w:szCs w:val="18"/>
                <w:color w:val="auto"/>
              </w:rPr>
            </w:pPr>
          </w:p>
        </w:tc>
      </w:tr>
      <w:tr>
        <w:trPr>
          <w:trHeight w:val="227"/>
        </w:trPr>
        <w:tc>
          <w:tcPr>
            <w:tcW w:w="2140" w:type="dxa"/>
            <w:vAlign w:val="bottom"/>
          </w:tcPr>
          <w:p>
            <w:pPr>
              <w:spacing w:after="0"/>
              <w:rPr>
                <w:sz w:val="19"/>
                <w:szCs w:val="19"/>
                <w:color w:val="auto"/>
              </w:rPr>
            </w:pPr>
          </w:p>
        </w:tc>
        <w:tc>
          <w:tcPr>
            <w:tcW w:w="4480" w:type="dxa"/>
            <w:vAlign w:val="bottom"/>
          </w:tcPr>
          <w:p>
            <w:pPr>
              <w:jc w:val="center"/>
              <w:ind w:right="51"/>
              <w:spacing w:after="0"/>
              <w:rPr>
                <w:sz w:val="20"/>
                <w:szCs w:val="20"/>
                <w:color w:val="auto"/>
              </w:rPr>
            </w:pPr>
            <w:r>
              <w:rPr>
                <w:rFonts w:ascii="Arial" w:cs="Arial" w:eastAsia="Arial" w:hAnsi="Arial"/>
                <w:sz w:val="18"/>
                <w:szCs w:val="18"/>
                <w:color w:val="auto"/>
                <w:w w:val="91"/>
              </w:rPr>
              <w:t>(Address of Principal Executive Offices)</w:t>
            </w:r>
          </w:p>
        </w:tc>
        <w:tc>
          <w:tcPr>
            <w:tcW w:w="1660" w:type="dxa"/>
            <w:vAlign w:val="bottom"/>
          </w:tcPr>
          <w:p>
            <w:pPr>
              <w:spacing w:after="0"/>
              <w:rPr>
                <w:sz w:val="19"/>
                <w:szCs w:val="19"/>
                <w:color w:val="auto"/>
              </w:rPr>
            </w:pPr>
          </w:p>
        </w:tc>
      </w:tr>
      <w:tr>
        <w:trPr>
          <w:trHeight w:val="442"/>
        </w:trPr>
        <w:tc>
          <w:tcPr>
            <w:tcW w:w="2140" w:type="dxa"/>
            <w:vAlign w:val="bottom"/>
          </w:tcPr>
          <w:p>
            <w:pPr>
              <w:spacing w:after="0"/>
              <w:rPr>
                <w:sz w:val="24"/>
                <w:szCs w:val="24"/>
                <w:color w:val="auto"/>
              </w:rPr>
            </w:pPr>
          </w:p>
        </w:tc>
        <w:tc>
          <w:tcPr>
            <w:tcW w:w="448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+44 20 33250660</w:t>
            </w:r>
          </w:p>
        </w:tc>
        <w:tc>
          <w:tcPr>
            <w:tcW w:w="1660" w:type="dxa"/>
            <w:vAlign w:val="bottom"/>
          </w:tcPr>
          <w:p>
            <w:pPr>
              <w:spacing w:after="0"/>
              <w:rPr>
                <w:sz w:val="24"/>
                <w:szCs w:val="24"/>
                <w:color w:val="auto"/>
              </w:rPr>
            </w:pPr>
          </w:p>
        </w:tc>
      </w:tr>
      <w:tr>
        <w:trPr>
          <w:trHeight w:val="227"/>
        </w:trPr>
        <w:tc>
          <w:tcPr>
            <w:tcW w:w="2140" w:type="dxa"/>
            <w:vAlign w:val="bottom"/>
          </w:tcPr>
          <w:p>
            <w:pPr>
              <w:spacing w:after="0"/>
              <w:rPr>
                <w:sz w:val="19"/>
                <w:szCs w:val="19"/>
                <w:color w:val="auto"/>
              </w:rPr>
            </w:pPr>
          </w:p>
        </w:tc>
        <w:tc>
          <w:tcPr>
            <w:tcW w:w="4480" w:type="dxa"/>
            <w:vAlign w:val="bottom"/>
          </w:tcPr>
          <w:p>
            <w:pPr>
              <w:jc w:val="center"/>
              <w:ind w:right="71"/>
              <w:spacing w:after="0"/>
              <w:rPr>
                <w:sz w:val="20"/>
                <w:szCs w:val="20"/>
                <w:color w:val="auto"/>
              </w:rPr>
            </w:pPr>
            <w:r>
              <w:rPr>
                <w:rFonts w:ascii="Arial" w:cs="Arial" w:eastAsia="Arial" w:hAnsi="Arial"/>
                <w:sz w:val="18"/>
                <w:szCs w:val="18"/>
                <w:color w:val="auto"/>
                <w:w w:val="90"/>
              </w:rPr>
              <w:t>(Registrant’s Telephone Number, Including Area Code)</w:t>
            </w:r>
          </w:p>
        </w:tc>
        <w:tc>
          <w:tcPr>
            <w:tcW w:w="1660" w:type="dxa"/>
            <w:vAlign w:val="bottom"/>
          </w:tcPr>
          <w:p>
            <w:pPr>
              <w:spacing w:after="0"/>
              <w:rPr>
                <w:sz w:val="19"/>
                <w:szCs w:val="19"/>
                <w:color w:val="auto"/>
              </w:rPr>
            </w:pPr>
          </w:p>
        </w:tc>
      </w:tr>
    </w:tbl>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41"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76"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6"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6" w:lineRule="exact"/>
        <w:rPr>
          <w:rFonts w:ascii="MS PGothic" w:cs="MS PGothic" w:eastAsia="MS PGothic" w:hAnsi="MS PGothic"/>
          <w:sz w:val="21"/>
          <w:szCs w:val="21"/>
          <w:color w:val="auto"/>
        </w:rPr>
      </w:pPr>
    </w:p>
    <w:p>
      <w:pPr>
        <w:ind w:right="3040" w:firstLine="7"/>
        <w:spacing w:after="0" w:line="400" w:lineRule="auto"/>
        <w:tabs>
          <w:tab w:leader="none" w:pos="232"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1"/>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on each exchange on which registered</w:t>
            </w:r>
          </w:p>
        </w:tc>
      </w:tr>
      <w:tr>
        <w:trPr>
          <w:trHeight w:val="221"/>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Market</w:t>
            </w:r>
          </w:p>
        </w:tc>
      </w:tr>
    </w:tbl>
    <w:p>
      <w:pPr>
        <w:spacing w:after="0" w:line="307" w:lineRule="exact"/>
        <w:rPr>
          <w:sz w:val="24"/>
          <w:szCs w:val="24"/>
          <w:color w:val="auto"/>
        </w:rPr>
      </w:pPr>
    </w:p>
    <w:p>
      <w:pPr>
        <w:ind w:right="2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ind w:left="780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8"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6" w:right="339" w:bottom="1440" w:gutter="0" w:footer="0" w:header="0"/>
        </w:sectPr>
      </w:pPr>
    </w:p>
    <w:p>
      <w:pPr>
        <w:spacing w:after="0" w:line="34"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497840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213360</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w:t>
      </w:r>
    </w:p>
    <w:p>
      <w:pPr>
        <w:spacing w:after="0" w:line="233" w:lineRule="exact"/>
        <w:rPr>
          <w:sz w:val="20"/>
          <w:szCs w:val="20"/>
          <w:color w:val="auto"/>
        </w:rPr>
      </w:pPr>
    </w:p>
    <w:p>
      <w:pPr>
        <w:spacing w:after="0" w:line="224" w:lineRule="auto"/>
        <w:rPr>
          <w:sz w:val="20"/>
          <w:szCs w:val="20"/>
          <w:color w:val="auto"/>
        </w:rPr>
      </w:pPr>
      <w:r>
        <w:rPr>
          <w:rFonts w:ascii="Arial" w:cs="Arial" w:eastAsia="Arial" w:hAnsi="Arial"/>
          <w:sz w:val="21"/>
          <w:szCs w:val="21"/>
          <w:color w:val="auto"/>
        </w:rPr>
        <w:t>On July 28, 2021, LivaNova PLC (the "Company") issued a press release announcing financial results for the second quarter ended June 30, 2021. The Company will host a business update conference call and webcast today, July 28, 2021, at 1 p.m. London time (8 a.m. Eastern Daylight Time), during which the Company will discuss the financial results. The conference call will be available to interested parties through a live audio webcast and accessible through the Investors section of the LivaNova website at www.livanova.com.</w:t>
      </w:r>
    </w:p>
    <w:p>
      <w:pPr>
        <w:spacing w:after="0" w:line="210" w:lineRule="exact"/>
        <w:rPr>
          <w:sz w:val="20"/>
          <w:szCs w:val="20"/>
          <w:color w:val="auto"/>
        </w:rPr>
      </w:pPr>
    </w:p>
    <w:p>
      <w:pPr>
        <w:ind w:right="260"/>
        <w:spacing w:after="0" w:line="260" w:lineRule="auto"/>
        <w:rPr>
          <w:sz w:val="20"/>
          <w:szCs w:val="20"/>
          <w:color w:val="auto"/>
        </w:rPr>
      </w:pPr>
      <w:r>
        <w:rPr>
          <w:rFonts w:ascii="Arial" w:cs="Arial" w:eastAsia="Arial" w:hAnsi="Arial"/>
          <w:sz w:val="21"/>
          <w:szCs w:val="21"/>
          <w:color w:val="auto"/>
        </w:rPr>
        <w:t>A copy of the Company’s press release related to the foregoing matters is attached hereto as Exhibit 99.1. The information in Exhibit 99.1 is being furnished and shall not be deemed “filed” for the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59" w:lineRule="exact"/>
        <w:rPr>
          <w:sz w:val="20"/>
          <w:szCs w:val="20"/>
          <w:color w:val="auto"/>
        </w:rPr>
      </w:pPr>
    </w:p>
    <w:p>
      <w:pPr>
        <w:ind w:left="480" w:hanging="473"/>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Exhibits.</w:t>
      </w:r>
    </w:p>
    <w:p>
      <w:pPr>
        <w:spacing w:after="0" w:line="33"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1"/>
          <w:szCs w:val="21"/>
          <w:b w:val="1"/>
          <w:bCs w:val="1"/>
          <w:u w:val="single" w:color="auto"/>
          <w:color w:val="auto"/>
        </w:rPr>
        <w:t>Exhibit</w:t>
      </w:r>
      <w:r>
        <w:rPr>
          <w:sz w:val="20"/>
          <w:szCs w:val="20"/>
          <w:color w:val="auto"/>
        </w:rPr>
        <w:tab/>
      </w:r>
      <w:r>
        <w:rPr>
          <w:rFonts w:ascii="Arial" w:cs="Arial" w:eastAsia="Arial" w:hAnsi="Arial"/>
          <w:sz w:val="21"/>
          <w:szCs w:val="21"/>
          <w:b w:val="1"/>
          <w:bCs w:val="1"/>
          <w:u w:val="single" w:color="auto"/>
          <w:color w:val="auto"/>
        </w:rPr>
        <w:t>Description</w:t>
      </w:r>
    </w:p>
    <w:p>
      <w:pPr>
        <w:spacing w:after="0" w:line="286" w:lineRule="exact"/>
        <w:rPr>
          <w:sz w:val="20"/>
          <w:szCs w:val="20"/>
          <w:color w:val="auto"/>
        </w:rPr>
      </w:pPr>
    </w:p>
    <w:p>
      <w:pPr>
        <w:ind w:left="20"/>
        <w:spacing w:after="0"/>
        <w:tabs>
          <w:tab w:leader="none" w:pos="1520" w:val="left"/>
        </w:tabs>
        <w:rPr>
          <w:rFonts w:ascii="Arial" w:cs="Arial" w:eastAsia="Arial" w:hAnsi="Arial"/>
          <w:sz w:val="19"/>
          <w:szCs w:val="19"/>
          <w:u w:val="single" w:color="auto"/>
          <w:color w:val="0000FF"/>
        </w:rPr>
      </w:pPr>
      <w:r>
        <w:rPr>
          <w:rFonts w:ascii="Arial" w:cs="Arial" w:eastAsia="Arial" w:hAnsi="Arial"/>
          <w:sz w:val="21"/>
          <w:szCs w:val="21"/>
          <w:color w:val="auto"/>
        </w:rPr>
        <w:t>99.1</w:t>
      </w:r>
      <w:r>
        <w:rPr>
          <w:sz w:val="20"/>
          <w:szCs w:val="20"/>
          <w:color w:val="auto"/>
        </w:rPr>
        <w:tab/>
      </w:r>
      <w:hyperlink w:anchor="page4">
        <w:r>
          <w:rPr>
            <w:rFonts w:ascii="Arial" w:cs="Arial" w:eastAsia="Arial" w:hAnsi="Arial"/>
            <w:sz w:val="19"/>
            <w:szCs w:val="19"/>
            <w:u w:val="single" w:color="auto"/>
            <w:color w:val="0000FF"/>
          </w:rPr>
          <w:t>Press Release of LivaNova PLC dated July 28, 2021</w:t>
        </w:r>
      </w:hyperlink>
    </w:p>
    <w:p>
      <w:pPr>
        <w:spacing w:after="0" w:line="31" w:lineRule="exact"/>
        <w:rPr>
          <w:sz w:val="20"/>
          <w:szCs w:val="20"/>
          <w:color w:val="auto"/>
        </w:rPr>
      </w:pPr>
    </w:p>
    <w:p>
      <w:pPr>
        <w:ind w:left="1540" w:hanging="1515"/>
        <w:spacing w:after="0"/>
        <w:tabs>
          <w:tab w:leader="none" w:pos="1540" w:val="left"/>
        </w:tabs>
        <w:numPr>
          <w:ilvl w:val="0"/>
          <w:numId w:val="3"/>
        </w:numPr>
        <w:rPr>
          <w:rFonts w:ascii="Arial" w:cs="Arial" w:eastAsia="Arial" w:hAnsi="Arial"/>
          <w:sz w:val="21"/>
          <w:szCs w:val="21"/>
          <w:color w:val="auto"/>
        </w:rPr>
      </w:pPr>
      <w:r>
        <w:rPr>
          <w:rFonts w:ascii="Arial" w:cs="Arial" w:eastAsia="Arial" w:hAnsi="Arial"/>
          <w:sz w:val="21"/>
          <w:szCs w:val="21"/>
          <w:color w:val="auto"/>
        </w:rPr>
        <w:t>Cover Page Interactive Data File (embedded within the Inline XBRL document)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70" w:lineRule="exact"/>
        <w:rPr>
          <w:rFonts w:ascii="Arial" w:cs="Arial" w:eastAsia="Arial" w:hAnsi="Arial"/>
          <w:sz w:val="21"/>
          <w:szCs w:val="21"/>
          <w:color w:val="auto"/>
        </w:rPr>
      </w:pPr>
    </w:p>
    <w:p>
      <w:pPr>
        <w:ind w:left="5580"/>
        <w:spacing w:after="0"/>
        <w:rPr>
          <w:rFonts w:ascii="Arial" w:cs="Arial" w:eastAsia="Arial" w:hAnsi="Arial"/>
          <w:sz w:val="21"/>
          <w:szCs w:val="21"/>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204470</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21"/>
          <w:szCs w:val="21"/>
          <w:b w:val="1"/>
          <w:bCs w:val="1"/>
          <w:color w:val="auto"/>
        </w:rPr>
        <w:t>SIGNATURE</w:t>
      </w:r>
    </w:p>
    <w:p>
      <w:pPr>
        <w:spacing w:after="0" w:line="259" w:lineRule="exact"/>
        <w:rPr>
          <w:sz w:val="20"/>
          <w:szCs w:val="20"/>
          <w:color w:val="auto"/>
        </w:rPr>
      </w:pPr>
    </w:p>
    <w:p>
      <w:pPr>
        <w:ind w:firstLine="642"/>
        <w:spacing w:after="0" w:line="28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660" w:type="dxa"/>
            <w:vAlign w:val="bottom"/>
          </w:tcPr>
          <w:p>
            <w:pPr>
              <w:spacing w:after="0"/>
              <w:rPr>
                <w:sz w:val="23"/>
                <w:szCs w:val="23"/>
                <w:color w:val="auto"/>
              </w:rPr>
            </w:pPr>
          </w:p>
        </w:tc>
        <w:tc>
          <w:tcPr>
            <w:tcW w:w="6060" w:type="dxa"/>
            <w:vAlign w:val="bottom"/>
            <w:gridSpan w:val="3"/>
          </w:tcPr>
          <w:p>
            <w:pPr>
              <w:ind w:left="1980"/>
              <w:spacing w:after="0"/>
              <w:rPr>
                <w:sz w:val="20"/>
                <w:szCs w:val="20"/>
                <w:color w:val="auto"/>
              </w:rPr>
            </w:pPr>
            <w:r>
              <w:rPr>
                <w:rFonts w:ascii="Arial" w:cs="Arial" w:eastAsia="Arial" w:hAnsi="Arial"/>
                <w:sz w:val="21"/>
                <w:szCs w:val="21"/>
                <w:color w:val="auto"/>
              </w:rPr>
              <w:t>LivaNova PLC</w:t>
            </w:r>
          </w:p>
        </w:tc>
      </w:tr>
      <w:tr>
        <w:trPr>
          <w:trHeight w:val="752"/>
        </w:trPr>
        <w:tc>
          <w:tcPr>
            <w:tcW w:w="3660" w:type="dxa"/>
            <w:vAlign w:val="bottom"/>
          </w:tcPr>
          <w:p>
            <w:pPr>
              <w:spacing w:after="0"/>
              <w:rPr>
                <w:sz w:val="20"/>
                <w:szCs w:val="20"/>
                <w:color w:val="auto"/>
              </w:rPr>
            </w:pPr>
            <w:r>
              <w:rPr>
                <w:rFonts w:ascii="Arial" w:cs="Arial" w:eastAsia="Arial" w:hAnsi="Arial"/>
                <w:sz w:val="21"/>
                <w:szCs w:val="21"/>
                <w:color w:val="auto"/>
              </w:rPr>
              <w:t>Date: July 28, 2021</w:t>
            </w:r>
          </w:p>
        </w:tc>
        <w:tc>
          <w:tcPr>
            <w:tcW w:w="6060" w:type="dxa"/>
            <w:vAlign w:val="bottom"/>
            <w:gridSpan w:val="3"/>
          </w:tcPr>
          <w:p>
            <w:pPr>
              <w:ind w:left="1980"/>
              <w:spacing w:after="0"/>
              <w:rPr>
                <w:sz w:val="20"/>
                <w:szCs w:val="20"/>
                <w:color w:val="auto"/>
              </w:rPr>
            </w:pPr>
            <w:r>
              <w:rPr>
                <w:rFonts w:ascii="Arial" w:cs="Arial" w:eastAsia="Arial" w:hAnsi="Arial"/>
                <w:sz w:val="21"/>
                <w:szCs w:val="21"/>
                <w:color w:val="auto"/>
              </w:rPr>
              <w:t>By:/s/ Keyna Skeffington</w:t>
            </w:r>
          </w:p>
        </w:tc>
      </w:tr>
      <w:tr>
        <w:trPr>
          <w:trHeight w:val="20"/>
        </w:trPr>
        <w:tc>
          <w:tcPr>
            <w:tcW w:w="3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06"/>
        </w:trPr>
        <w:tc>
          <w:tcPr>
            <w:tcW w:w="3660" w:type="dxa"/>
            <w:vAlign w:val="bottom"/>
          </w:tcPr>
          <w:p>
            <w:pPr>
              <w:spacing w:after="0"/>
              <w:rPr>
                <w:sz w:val="24"/>
                <w:szCs w:val="24"/>
                <w:color w:val="auto"/>
              </w:rPr>
            </w:pPr>
          </w:p>
        </w:tc>
        <w:tc>
          <w:tcPr>
            <w:tcW w:w="6060" w:type="dxa"/>
            <w:vAlign w:val="bottom"/>
            <w:gridSpan w:val="3"/>
          </w:tcPr>
          <w:p>
            <w:pPr>
              <w:ind w:left="1980"/>
              <w:spacing w:after="0"/>
              <w:rPr>
                <w:sz w:val="20"/>
                <w:szCs w:val="20"/>
                <w:color w:val="auto"/>
              </w:rPr>
            </w:pPr>
            <w:r>
              <w:rPr>
                <w:rFonts w:ascii="Arial" w:cs="Arial" w:eastAsia="Arial" w:hAnsi="Arial"/>
                <w:sz w:val="21"/>
                <w:szCs w:val="21"/>
                <w:color w:val="auto"/>
              </w:rPr>
              <w:t>Name: Keyna Skeffington</w:t>
            </w:r>
          </w:p>
        </w:tc>
      </w:tr>
      <w:tr>
        <w:trPr>
          <w:trHeight w:val="273"/>
        </w:trPr>
        <w:tc>
          <w:tcPr>
            <w:tcW w:w="3660" w:type="dxa"/>
            <w:vAlign w:val="bottom"/>
          </w:tcPr>
          <w:p>
            <w:pPr>
              <w:spacing w:after="0"/>
              <w:rPr>
                <w:sz w:val="23"/>
                <w:szCs w:val="23"/>
                <w:color w:val="auto"/>
              </w:rPr>
            </w:pPr>
          </w:p>
        </w:tc>
        <w:tc>
          <w:tcPr>
            <w:tcW w:w="6060" w:type="dxa"/>
            <w:vAlign w:val="bottom"/>
            <w:gridSpan w:val="3"/>
          </w:tcPr>
          <w:p>
            <w:pPr>
              <w:ind w:left="1980"/>
              <w:spacing w:after="0"/>
              <w:rPr>
                <w:sz w:val="20"/>
                <w:szCs w:val="20"/>
                <w:color w:val="auto"/>
              </w:rPr>
            </w:pPr>
            <w:r>
              <w:rPr>
                <w:rFonts w:ascii="Arial" w:cs="Arial" w:eastAsia="Arial" w:hAnsi="Arial"/>
                <w:sz w:val="21"/>
                <w:szCs w:val="21"/>
                <w:color w:val="auto"/>
                <w:w w:val="93"/>
              </w:rPr>
              <w:t>Title: Senior Vice President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40"/>
          </w:cols>
          <w:pgMar w:left="320" w:top="1409" w:right="939" w:bottom="1440" w:gutter="0" w:footer="0" w:header="0"/>
        </w:sectPr>
      </w:pPr>
    </w:p>
    <w:bookmarkStart w:id="3" w:name="page4"/>
    <w:bookmarkEnd w:id="3"/>
    <w:p>
      <w:pPr>
        <w:spacing w:after="0" w:line="19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1664335" cy="47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4335" cy="475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300"/>
        <w:spacing w:after="0"/>
        <w:rPr>
          <w:sz w:val="20"/>
          <w:szCs w:val="20"/>
          <w:color w:val="auto"/>
        </w:rPr>
      </w:pPr>
      <w:r>
        <w:rPr>
          <w:rFonts w:ascii="Arial" w:cs="Arial" w:eastAsia="Arial" w:hAnsi="Arial"/>
          <w:sz w:val="29"/>
          <w:szCs w:val="29"/>
          <w:color w:val="6D2077"/>
        </w:rPr>
        <w:t>LivaNova Reports Second Quarter 2021 Results and</w:t>
      </w:r>
    </w:p>
    <w:p>
      <w:pPr>
        <w:ind w:left="2320"/>
        <w:spacing w:after="0"/>
        <w:rPr>
          <w:sz w:val="20"/>
          <w:szCs w:val="20"/>
          <w:color w:val="auto"/>
        </w:rPr>
      </w:pPr>
      <w:r>
        <w:rPr>
          <w:rFonts w:ascii="Arial" w:cs="Arial" w:eastAsia="Arial" w:hAnsi="Arial"/>
          <w:sz w:val="29"/>
          <w:szCs w:val="29"/>
          <w:color w:val="6D2077"/>
        </w:rPr>
        <w:t>Appoints Alex Shvartsburg as Chief Financial Officer</w:t>
      </w:r>
    </w:p>
    <w:p>
      <w:pPr>
        <w:spacing w:after="0" w:line="352" w:lineRule="exact"/>
        <w:rPr>
          <w:sz w:val="20"/>
          <w:szCs w:val="20"/>
          <w:color w:val="auto"/>
        </w:rPr>
      </w:pPr>
    </w:p>
    <w:p>
      <w:pPr>
        <w:jc w:val="both"/>
        <w:spacing w:after="0" w:line="379" w:lineRule="auto"/>
        <w:rPr>
          <w:sz w:val="20"/>
          <w:szCs w:val="20"/>
          <w:color w:val="auto"/>
        </w:rPr>
      </w:pPr>
      <w:r>
        <w:rPr>
          <w:rFonts w:ascii="Arial" w:cs="Arial" w:eastAsia="Arial" w:hAnsi="Arial"/>
          <w:sz w:val="20"/>
          <w:szCs w:val="20"/>
          <w:b w:val="1"/>
          <w:bCs w:val="1"/>
          <w:color w:val="auto"/>
        </w:rPr>
        <w:t xml:space="preserve">London, July 28, 2021 – </w:t>
      </w:r>
      <w:r>
        <w:rPr>
          <w:rFonts w:ascii="Arial" w:cs="Arial" w:eastAsia="Arial" w:hAnsi="Arial"/>
          <w:sz w:val="20"/>
          <w:szCs w:val="20"/>
          <w:color w:val="auto"/>
        </w:rPr>
        <w:t>LivaNova PLC (NASDAQ: LIVN), a market-leading medical technology and innovation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results for the quarter ended June 30, 2021.</w:t>
      </w:r>
    </w:p>
    <w:p>
      <w:pPr>
        <w:spacing w:after="0" w:line="180" w:lineRule="exact"/>
        <w:rPr>
          <w:sz w:val="20"/>
          <w:szCs w:val="20"/>
          <w:color w:val="auto"/>
        </w:rPr>
      </w:pPr>
    </w:p>
    <w:p>
      <w:pPr>
        <w:jc w:val="both"/>
        <w:spacing w:after="0" w:line="322" w:lineRule="auto"/>
        <w:rPr>
          <w:sz w:val="20"/>
          <w:szCs w:val="20"/>
          <w:color w:val="auto"/>
        </w:rPr>
      </w:pPr>
      <w:r>
        <w:rPr>
          <w:rFonts w:ascii="Arial" w:cs="Arial" w:eastAsia="Arial" w:hAnsi="Arial"/>
          <w:sz w:val="20"/>
          <w:szCs w:val="20"/>
          <w:color w:val="auto"/>
        </w:rPr>
        <w:t>For the second quarter of 2021, worldwide sales from continuing operations were $264.5 million, an increase of 45.2 percent on a reported basis and 41.0 percent on a constant-currency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 as compared to the same quarter of the previous year. Worldwide sales from continuing operations for the second quarter of 2021, excluding sales related to the Heart Valves business that was divested effective June 1 as part of the initial closing, were $249.8 million, an increase of 51.6 percent on a reported basis and 47.6 percent on a constant-currency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 as compared to the same quarter of the previous year. On the basis of U.S. Generally Accepted Accounting Principles (GAAP), second quarter 2021 diluted loss per share from continuing operations was $1.13. Second quarter 2021 adjusted diluted earnings per share from continuing operations was $0.52.</w:t>
      </w:r>
    </w:p>
    <w:p>
      <w:pPr>
        <w:spacing w:after="0" w:line="240"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“As we navigate shifting market dynamics resulting from the pandemic, we continue to gain momentum in Epilepsy sales growth across all regions,” said Damien McDonald, Chief Executive Officer of LivaNova. “Procedure volumes in Neuromodulation continue to recover, especially replacement implant volumes. Across our businesses, certain countries in our Europe and Rest of World regions remain challenged by COVID-19. Looking ahead, we are focused on delivering critical medical devices and therapies to significant patient populations, while managing our core businesses to drive profitability and cash generation. We also remain committed to investing in our pipeline and taking the appropriate actions to position our business for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vertAlign w:val="superscript"/>
        </w:rPr>
        <w:t>1</w:t>
      </w:r>
      <w:r>
        <w:rPr>
          <w:rFonts w:ascii="Arial" w:cs="Arial" w:eastAsia="Arial" w:hAnsi="Arial"/>
          <w:sz w:val="11"/>
          <w:szCs w:val="11"/>
          <w:color w:val="auto"/>
        </w:rPr>
        <w:t>Constant-currency percent change is a non-GAAP metric. For an explanation of this and other non-GAAP metrics used in this release, please see the section entitled "Use of Non-GAAP Financial Measures." For reconciliations of certain non-GAAP metrics, please see the tables that accompany the press release.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2021 Results</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worldwide sales for the second quarter of 2021 by business: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Borders>
              <w:top w:val="single" w:sz="8" w:color="auto"/>
            </w:tcBorders>
            <w:shd w:val="clear" w:color="auto" w:fill="000000"/>
          </w:tcPr>
          <w:p>
            <w:pPr>
              <w:spacing w:after="0"/>
              <w:rPr>
                <w:sz w:val="22"/>
                <w:szCs w:val="22"/>
                <w:color w:val="auto"/>
              </w:rPr>
            </w:pPr>
          </w:p>
        </w:tc>
        <w:tc>
          <w:tcPr>
            <w:tcW w:w="39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 in millions</w:t>
            </w:r>
          </w:p>
        </w:tc>
        <w:tc>
          <w:tcPr>
            <w:tcW w:w="318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Borders>
              <w:top w:val="single" w:sz="8" w:color="auto"/>
              <w:right w:val="single" w:sz="8" w:color="auto"/>
            </w:tcBorders>
          </w:tcPr>
          <w:p>
            <w:pPr>
              <w:spacing w:after="0"/>
              <w:rPr>
                <w:sz w:val="22"/>
                <w:szCs w:val="22"/>
                <w:color w:val="auto"/>
              </w:rPr>
            </w:pPr>
          </w:p>
        </w:tc>
        <w:tc>
          <w:tcPr>
            <w:tcW w:w="40" w:type="dxa"/>
            <w:vAlign w:val="bottom"/>
            <w:tcBorders>
              <w:top w:val="single" w:sz="8" w:color="auto"/>
              <w:left w:val="single" w:sz="8" w:color="auto"/>
            </w:tcBorders>
          </w:tcPr>
          <w:p>
            <w:pPr>
              <w:spacing w:after="0"/>
              <w:rPr>
                <w:sz w:val="22"/>
                <w:szCs w:val="22"/>
                <w:color w:val="auto"/>
              </w:rPr>
            </w:pPr>
          </w:p>
        </w:tc>
        <w:tc>
          <w:tcPr>
            <w:tcW w:w="1720" w:type="dxa"/>
            <w:vAlign w:val="bottom"/>
            <w:tcBorders>
              <w:top w:val="single" w:sz="8" w:color="auto"/>
              <w:right w:val="single" w:sz="8" w:color="auto"/>
            </w:tcBorders>
          </w:tcPr>
          <w:p>
            <w:pPr>
              <w:spacing w:after="0"/>
              <w:rPr>
                <w:sz w:val="22"/>
                <w:szCs w:val="22"/>
                <w:color w:val="auto"/>
              </w:rPr>
            </w:pPr>
          </w:p>
        </w:tc>
        <w:tc>
          <w:tcPr>
            <w:tcW w:w="40" w:type="dxa"/>
            <w:vAlign w:val="bottom"/>
            <w:tcBorders>
              <w:top w:val="single" w:sz="8" w:color="auto"/>
              <w:left w:val="single" w:sz="8" w:color="auto"/>
            </w:tcBorders>
          </w:tcPr>
          <w:p>
            <w:pPr>
              <w:spacing w:after="0"/>
              <w:rPr>
                <w:sz w:val="22"/>
                <w:szCs w:val="22"/>
                <w:color w:val="auto"/>
              </w:rPr>
            </w:pPr>
          </w:p>
        </w:tc>
        <w:tc>
          <w:tcPr>
            <w:tcW w:w="1720" w:type="dxa"/>
            <w:vAlign w:val="bottom"/>
            <w:tcBorders>
              <w:top w:val="single" w:sz="8" w:color="auto"/>
            </w:tcBorders>
          </w:tcPr>
          <w:p>
            <w:pPr>
              <w:ind w:left="400"/>
              <w:spacing w:after="0"/>
              <w:rPr>
                <w:sz w:val="20"/>
                <w:szCs w:val="20"/>
                <w:color w:val="auto"/>
              </w:rPr>
            </w:pPr>
            <w:r>
              <w:rPr>
                <w:rFonts w:ascii="Arial" w:cs="Arial" w:eastAsia="Arial" w:hAnsi="Arial"/>
                <w:sz w:val="20"/>
                <w:szCs w:val="20"/>
                <w:b w:val="1"/>
                <w:bCs w:val="1"/>
                <w:color w:val="auto"/>
              </w:rPr>
              <w:t>Constant-</w:t>
            </w:r>
          </w:p>
        </w:tc>
        <w:tc>
          <w:tcPr>
            <w:tcW w:w="40" w:type="dxa"/>
            <w:vAlign w:val="bottom"/>
            <w:tcBorders>
              <w:top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auto"/>
            </w:tcBorders>
            <w:shd w:val="clear" w:color="auto" w:fill="000000"/>
          </w:tcPr>
          <w:p>
            <w:pPr>
              <w:spacing w:after="0"/>
              <w:rPr>
                <w:sz w:val="14"/>
                <w:szCs w:val="14"/>
                <w:color w:val="auto"/>
              </w:rPr>
            </w:pPr>
          </w:p>
        </w:tc>
        <w:tc>
          <w:tcPr>
            <w:tcW w:w="386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318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40" w:type="dxa"/>
            <w:vAlign w:val="bottom"/>
            <w:tcBorders>
              <w:left w:val="single" w:sz="8" w:color="auto"/>
            </w:tcBorders>
          </w:tcPr>
          <w:p>
            <w:pPr>
              <w:spacing w:after="0"/>
              <w:rPr>
                <w:sz w:val="14"/>
                <w:szCs w:val="14"/>
                <w:color w:val="auto"/>
              </w:rPr>
            </w:pPr>
          </w:p>
        </w:tc>
        <w:tc>
          <w:tcPr>
            <w:tcW w:w="1720" w:type="dxa"/>
            <w:vAlign w:val="bottom"/>
          </w:tcPr>
          <w:p>
            <w:pPr>
              <w:ind w:left="400"/>
              <w:spacing w:after="0" w:line="167" w:lineRule="exact"/>
              <w:rPr>
                <w:sz w:val="20"/>
                <w:szCs w:val="20"/>
                <w:color w:val="auto"/>
              </w:rPr>
            </w:pPr>
            <w:r>
              <w:rPr>
                <w:rFonts w:ascii="Arial" w:cs="Arial" w:eastAsia="Arial" w:hAnsi="Arial"/>
                <w:sz w:val="19"/>
                <w:szCs w:val="19"/>
                <w:b w:val="1"/>
                <w:bCs w:val="1"/>
                <w:color w:val="auto"/>
              </w:rPr>
              <w:t>Currency</w:t>
            </w:r>
          </w:p>
        </w:tc>
        <w:tc>
          <w:tcPr>
            <w:tcW w:w="4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auto"/>
            </w:tcBorders>
            <w:shd w:val="clear" w:color="auto" w:fill="000000"/>
          </w:tcPr>
          <w:p>
            <w:pPr>
              <w:spacing w:after="0"/>
              <w:rPr>
                <w:sz w:val="21"/>
                <w:szCs w:val="21"/>
                <w:color w:val="auto"/>
              </w:rPr>
            </w:pPr>
          </w:p>
        </w:tc>
        <w:tc>
          <w:tcPr>
            <w:tcW w:w="39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Business / Product Line:</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1"/>
                <w:szCs w:val="21"/>
                <w:color w:val="auto"/>
              </w:rPr>
            </w:pPr>
          </w:p>
        </w:tc>
        <w:tc>
          <w:tcPr>
            <w:tcW w:w="1320" w:type="dxa"/>
            <w:vAlign w:val="bottom"/>
            <w:tcBorders>
              <w:left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right w:val="single" w:sz="8" w:color="auto"/>
            </w:tcBorders>
          </w:tcPr>
          <w:p>
            <w:pPr>
              <w:spacing w:after="0"/>
              <w:rPr>
                <w:sz w:val="21"/>
                <w:szCs w:val="21"/>
                <w:color w:val="auto"/>
              </w:rPr>
            </w:pPr>
          </w:p>
        </w:tc>
        <w:tc>
          <w:tcPr>
            <w:tcW w:w="40" w:type="dxa"/>
            <w:vAlign w:val="bottom"/>
            <w:tcBorders>
              <w:left w:val="single" w:sz="8" w:color="auto"/>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right"/>
              <w:ind w:right="306"/>
              <w:spacing w:after="0"/>
              <w:rPr>
                <w:sz w:val="20"/>
                <w:szCs w:val="20"/>
                <w:color w:val="auto"/>
              </w:rPr>
            </w:pPr>
            <w:r>
              <w:rPr>
                <w:rFonts w:ascii="Arial" w:cs="Arial" w:eastAsia="Arial" w:hAnsi="Arial"/>
                <w:sz w:val="20"/>
                <w:szCs w:val="20"/>
                <w:b w:val="1"/>
                <w:bCs w:val="1"/>
                <w:color w:val="auto"/>
              </w:rPr>
              <w:t>% Change</w:t>
            </w:r>
          </w:p>
        </w:tc>
        <w:tc>
          <w:tcPr>
            <w:tcW w:w="40" w:type="dxa"/>
            <w:vAlign w:val="bottom"/>
            <w:tcBorders>
              <w:left w:val="single" w:sz="8" w:color="auto"/>
              <w:bottom w:val="single" w:sz="8" w:color="auto"/>
            </w:tcBorders>
          </w:tcPr>
          <w:p>
            <w:pPr>
              <w:spacing w:after="0"/>
              <w:rPr>
                <w:sz w:val="21"/>
                <w:szCs w:val="21"/>
                <w:color w:val="auto"/>
              </w:rPr>
            </w:pPr>
          </w:p>
        </w:tc>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 Change</w:t>
            </w:r>
          </w:p>
        </w:tc>
        <w:tc>
          <w:tcPr>
            <w:tcW w:w="4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auto"/>
            </w:tcBorders>
            <w:shd w:val="clear" w:color="auto" w:fill="000000"/>
          </w:tcPr>
          <w:p>
            <w:pPr>
              <w:spacing w:after="0"/>
              <w:rPr>
                <w:sz w:val="19"/>
                <w:szCs w:val="19"/>
                <w:color w:val="auto"/>
              </w:rPr>
            </w:pPr>
          </w:p>
        </w:tc>
        <w:tc>
          <w:tcPr>
            <w:tcW w:w="390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Cardiopulmonary</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$117.9</w:t>
            </w:r>
          </w:p>
        </w:tc>
        <w:tc>
          <w:tcPr>
            <w:tcW w:w="132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$101.1</w:t>
            </w:r>
          </w:p>
        </w:tc>
        <w:tc>
          <w:tcPr>
            <w:tcW w:w="176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16.6 %</w:t>
            </w:r>
          </w:p>
        </w:tc>
        <w:tc>
          <w:tcPr>
            <w:tcW w:w="1760" w:type="dxa"/>
            <w:vAlign w:val="bottom"/>
            <w:tcBorders>
              <w:left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12.1 %</w:t>
            </w:r>
          </w:p>
        </w:tc>
        <w:tc>
          <w:tcPr>
            <w:tcW w:w="4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auto"/>
            </w:tcBorders>
            <w:shd w:val="clear" w:color="auto" w:fill="000000"/>
          </w:tcPr>
          <w:p>
            <w:pPr>
              <w:spacing w:after="0"/>
              <w:rPr>
                <w:sz w:val="19"/>
                <w:szCs w:val="19"/>
                <w:color w:val="auto"/>
              </w:rPr>
            </w:pPr>
          </w:p>
        </w:tc>
        <w:tc>
          <w:tcPr>
            <w:tcW w:w="390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Heart Valves</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14.7</w:t>
            </w:r>
          </w:p>
        </w:tc>
        <w:tc>
          <w:tcPr>
            <w:tcW w:w="132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i w:val="1"/>
                <w:iCs w:val="1"/>
                <w:color w:val="auto"/>
              </w:rPr>
              <w:t>17.5</w:t>
            </w:r>
          </w:p>
        </w:tc>
        <w:tc>
          <w:tcPr>
            <w:tcW w:w="176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(15.7)%</w:t>
            </w:r>
          </w:p>
        </w:tc>
        <w:tc>
          <w:tcPr>
            <w:tcW w:w="1760" w:type="dxa"/>
            <w:vAlign w:val="bottom"/>
            <w:tcBorders>
              <w:left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(21.5)%</w:t>
            </w:r>
          </w:p>
        </w:tc>
        <w:tc>
          <w:tcPr>
            <w:tcW w:w="4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auto"/>
            </w:tcBorders>
            <w:shd w:val="clear" w:color="auto" w:fill="000000"/>
          </w:tcPr>
          <w:p>
            <w:pPr>
              <w:spacing w:after="0"/>
              <w:rPr>
                <w:sz w:val="19"/>
                <w:szCs w:val="19"/>
                <w:color w:val="auto"/>
              </w:rPr>
            </w:pPr>
          </w:p>
        </w:tc>
        <w:tc>
          <w:tcPr>
            <w:tcW w:w="390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Advanced Circulatory Support</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13.3</w:t>
            </w:r>
          </w:p>
        </w:tc>
        <w:tc>
          <w:tcPr>
            <w:tcW w:w="132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i w:val="1"/>
                <w:iCs w:val="1"/>
                <w:color w:val="auto"/>
              </w:rPr>
              <w:t>6.0</w:t>
            </w:r>
          </w:p>
        </w:tc>
        <w:tc>
          <w:tcPr>
            <w:tcW w:w="176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120.8 %</w:t>
            </w:r>
          </w:p>
        </w:tc>
        <w:tc>
          <w:tcPr>
            <w:tcW w:w="1760" w:type="dxa"/>
            <w:vAlign w:val="bottom"/>
            <w:tcBorders>
              <w:left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120.3 %</w:t>
            </w:r>
          </w:p>
        </w:tc>
        <w:tc>
          <w:tcPr>
            <w:tcW w:w="4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000000"/>
          </w:tcPr>
          <w:p>
            <w:pPr>
              <w:spacing w:after="0"/>
              <w:rPr>
                <w:sz w:val="19"/>
                <w:szCs w:val="19"/>
                <w:color w:val="auto"/>
              </w:rPr>
            </w:pPr>
          </w:p>
        </w:tc>
        <w:tc>
          <w:tcPr>
            <w:tcW w:w="39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Cardiovascular</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32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124.5</w:t>
            </w:r>
          </w:p>
        </w:tc>
        <w:tc>
          <w:tcPr>
            <w:tcW w:w="176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17.1 %</w:t>
            </w:r>
          </w:p>
        </w:tc>
        <w:tc>
          <w:tcPr>
            <w:tcW w:w="1760" w:type="dxa"/>
            <w:vAlign w:val="bottom"/>
            <w:tcBorders>
              <w:left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12.6 %</w:t>
            </w:r>
          </w:p>
        </w:tc>
        <w:tc>
          <w:tcPr>
            <w:tcW w:w="4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auto"/>
            </w:tcBorders>
            <w:shd w:val="clear" w:color="auto" w:fill="000000"/>
          </w:tcPr>
          <w:p>
            <w:pPr>
              <w:spacing w:after="0"/>
              <w:rPr>
                <w:sz w:val="19"/>
                <w:szCs w:val="19"/>
                <w:color w:val="auto"/>
              </w:rPr>
            </w:pPr>
          </w:p>
        </w:tc>
        <w:tc>
          <w:tcPr>
            <w:tcW w:w="39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Neuromodulation</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32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57.2</w:t>
            </w:r>
          </w:p>
        </w:tc>
        <w:tc>
          <w:tcPr>
            <w:tcW w:w="176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105.6 %</w:t>
            </w:r>
          </w:p>
        </w:tc>
        <w:tc>
          <w:tcPr>
            <w:tcW w:w="1760" w:type="dxa"/>
            <w:vAlign w:val="bottom"/>
            <w:tcBorders>
              <w:left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102.4 %</w:t>
            </w:r>
          </w:p>
        </w:tc>
        <w:tc>
          <w:tcPr>
            <w:tcW w:w="4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auto"/>
            </w:tcBorders>
            <w:shd w:val="clear" w:color="auto" w:fill="000000"/>
          </w:tcPr>
          <w:p>
            <w:pPr>
              <w:spacing w:after="0"/>
              <w:rPr>
                <w:sz w:val="19"/>
                <w:szCs w:val="19"/>
                <w:color w:val="auto"/>
              </w:rPr>
            </w:pPr>
          </w:p>
        </w:tc>
        <w:tc>
          <w:tcPr>
            <w:tcW w:w="39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32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c>
          <w:tcPr>
            <w:tcW w:w="176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111.8 %</w:t>
            </w:r>
          </w:p>
        </w:tc>
        <w:tc>
          <w:tcPr>
            <w:tcW w:w="40" w:type="dxa"/>
            <w:vAlign w:val="bottom"/>
            <w:tcBorders>
              <w:left w:val="single" w:sz="8" w:color="auto"/>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4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auto"/>
            </w:tcBorders>
            <w:shd w:val="clear" w:color="auto" w:fill="000000"/>
          </w:tcPr>
          <w:p>
            <w:pPr>
              <w:spacing w:after="0"/>
              <w:rPr>
                <w:sz w:val="19"/>
                <w:szCs w:val="19"/>
                <w:color w:val="auto"/>
              </w:rPr>
            </w:pPr>
          </w:p>
        </w:tc>
        <w:tc>
          <w:tcPr>
            <w:tcW w:w="39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Total Net Sales</w:t>
            </w: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132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$182.2</w:t>
            </w:r>
          </w:p>
        </w:tc>
        <w:tc>
          <w:tcPr>
            <w:tcW w:w="176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45.2 %</w:t>
            </w:r>
          </w:p>
        </w:tc>
        <w:tc>
          <w:tcPr>
            <w:tcW w:w="1760" w:type="dxa"/>
            <w:vAlign w:val="bottom"/>
            <w:tcBorders>
              <w:left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41.0 %</w:t>
            </w:r>
          </w:p>
        </w:tc>
        <w:tc>
          <w:tcPr>
            <w:tcW w:w="4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Total Net Sales, Excluding Heart Valves</w:t>
            </w: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$249.8</w:t>
            </w:r>
          </w:p>
        </w:tc>
        <w:tc>
          <w:tcPr>
            <w:tcW w:w="13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$164.7</w:t>
            </w:r>
          </w:p>
        </w:tc>
        <w:tc>
          <w:tcPr>
            <w:tcW w:w="40" w:type="dxa"/>
            <w:vAlign w:val="bottom"/>
          </w:tcPr>
          <w:p>
            <w:pPr>
              <w:spacing w:after="0"/>
              <w:rPr>
                <w:sz w:val="9"/>
                <w:szCs w:val="9"/>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51.6 %</w:t>
            </w:r>
          </w:p>
        </w:tc>
        <w:tc>
          <w:tcPr>
            <w:tcW w:w="40" w:type="dxa"/>
            <w:vAlign w:val="bottom"/>
          </w:tcPr>
          <w:p>
            <w:pPr>
              <w:spacing w:after="0"/>
              <w:rPr>
                <w:sz w:val="9"/>
                <w:szCs w:val="9"/>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47.6 %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auto"/>
            </w:tcBorders>
            <w:shd w:val="clear" w:color="auto" w:fill="000000"/>
          </w:tcPr>
          <w:p>
            <w:pPr>
              <w:spacing w:after="0"/>
              <w:rPr>
                <w:sz w:val="19"/>
                <w:szCs w:val="19"/>
                <w:color w:val="auto"/>
              </w:rPr>
            </w:pPr>
          </w:p>
        </w:tc>
        <w:tc>
          <w:tcPr>
            <w:tcW w:w="38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320" w:type="dxa"/>
            <w:vAlign w:val="bottom"/>
            <w:tcBorders>
              <w:left w:val="single" w:sz="8" w:color="auto"/>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40" w:type="dxa"/>
            <w:vAlign w:val="bottom"/>
            <w:tcBorders>
              <w:left w:val="single" w:sz="8" w:color="auto"/>
              <w:bottom w:val="single" w:sz="8" w:color="auto"/>
            </w:tcBorders>
            <w:shd w:val="clear" w:color="auto" w:fill="000000"/>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40" w:type="dxa"/>
            <w:vAlign w:val="bottom"/>
            <w:tcBorders>
              <w:left w:val="single" w:sz="8" w:color="auto"/>
              <w:bottom w:val="single" w:sz="8" w:color="auto"/>
            </w:tcBorders>
            <w:shd w:val="clear" w:color="auto" w:fill="000000"/>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240" w:right="20" w:hanging="233"/>
        <w:spacing w:after="0" w:line="250" w:lineRule="auto"/>
        <w:tabs>
          <w:tab w:leader="none" w:pos="189" w:val="left"/>
        </w:tabs>
        <w:numPr>
          <w:ilvl w:val="0"/>
          <w:numId w:val="4"/>
        </w:numPr>
        <w:rPr>
          <w:rFonts w:ascii="Arial" w:cs="Arial" w:eastAsia="Arial" w:hAnsi="Arial"/>
          <w:sz w:val="16"/>
          <w:szCs w:val="16"/>
          <w:color w:val="auto"/>
        </w:rPr>
      </w:pPr>
      <w:r>
        <w:rPr>
          <w:rFonts w:ascii="Arial" w:cs="Arial" w:eastAsia="Arial" w:hAnsi="Arial"/>
          <w:sz w:val="16"/>
          <w:szCs w:val="16"/>
          <w:color w:val="auto"/>
        </w:rPr>
        <w:t>Note: Numbers may not add precisely due to rounding. Constant-currency percent change and Total Net Sales, Excluding Heart Valves are non-GAAP metrics. For an explanation of these and other non-GAAP metrics used in this release, please see the section entitled "Use of Non-GAAP Financial Measures." For reconciliations of certain non-GAAP metrics, please see the tables that accompany the press release.</w:t>
      </w:r>
    </w:p>
    <w:p>
      <w:pPr>
        <w:spacing w:after="0" w:line="383" w:lineRule="exact"/>
        <w:rPr>
          <w:sz w:val="20"/>
          <w:szCs w:val="20"/>
          <w:color w:val="auto"/>
        </w:rPr>
      </w:pPr>
    </w:p>
    <w:p>
      <w:pPr>
        <w:jc w:val="both"/>
        <w:ind w:right="20"/>
        <w:spacing w:after="0" w:line="354" w:lineRule="auto"/>
        <w:rPr>
          <w:sz w:val="20"/>
          <w:szCs w:val="20"/>
          <w:color w:val="auto"/>
        </w:rPr>
      </w:pPr>
      <w:r>
        <w:rPr>
          <w:rFonts w:ascii="Arial" w:cs="Arial" w:eastAsia="Arial" w:hAnsi="Arial"/>
          <w:sz w:val="20"/>
          <w:szCs w:val="20"/>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Cardiovascular</w:t>
      </w:r>
    </w:p>
    <w:p>
      <w:pPr>
        <w:spacing w:after="0" w:line="342" w:lineRule="exact"/>
        <w:rPr>
          <w:sz w:val="20"/>
          <w:szCs w:val="20"/>
          <w:color w:val="auto"/>
        </w:rPr>
      </w:pPr>
    </w:p>
    <w:p>
      <w:pPr>
        <w:jc w:val="both"/>
        <w:ind w:right="20"/>
        <w:spacing w:after="0" w:line="354" w:lineRule="auto"/>
        <w:rPr>
          <w:sz w:val="20"/>
          <w:szCs w:val="20"/>
          <w:color w:val="auto"/>
        </w:rPr>
      </w:pPr>
      <w:r>
        <w:rPr>
          <w:rFonts w:ascii="Arial" w:cs="Arial" w:eastAsia="Arial" w:hAnsi="Arial"/>
          <w:sz w:val="20"/>
          <w:szCs w:val="20"/>
          <w:color w:val="auto"/>
        </w:rPr>
        <w:t>Cardiovascular sales, which include Cardiopulmonary, Heart Valves and Advanced Circulatory Support (ACS) products, were $145.9 million, representing a 12.6 percent increase versus the second quarter of 2020.</w:t>
      </w:r>
    </w:p>
    <w:p>
      <w:pPr>
        <w:spacing w:after="0" w:line="204" w:lineRule="exact"/>
        <w:rPr>
          <w:sz w:val="20"/>
          <w:szCs w:val="20"/>
          <w:color w:val="auto"/>
        </w:rPr>
      </w:pPr>
    </w:p>
    <w:p>
      <w:pPr>
        <w:jc w:val="both"/>
        <w:ind w:right="20"/>
        <w:spacing w:after="0" w:line="351" w:lineRule="auto"/>
        <w:rPr>
          <w:sz w:val="20"/>
          <w:szCs w:val="20"/>
          <w:color w:val="auto"/>
        </w:rPr>
      </w:pPr>
      <w:r>
        <w:rPr>
          <w:rFonts w:ascii="Arial" w:cs="Arial" w:eastAsia="Arial" w:hAnsi="Arial"/>
          <w:sz w:val="20"/>
          <w:szCs w:val="20"/>
          <w:color w:val="auto"/>
        </w:rPr>
        <w:t>Sales in Cardiopulmonary products were $117.9 million, representing a 12.1 percent increase versus the second quarter of 2020. The sales increase was primarily related to growth in oxygenators, largely in the Europe and U.S. regions, partially offset by a reduction in capital equipment purchases in the Rest of World region.</w:t>
      </w:r>
    </w:p>
    <w:p>
      <w:pPr>
        <w:spacing w:after="0" w:line="208" w:lineRule="exact"/>
        <w:rPr>
          <w:sz w:val="20"/>
          <w:szCs w:val="20"/>
          <w:color w:val="auto"/>
        </w:rPr>
      </w:pPr>
    </w:p>
    <w:p>
      <w:pPr>
        <w:jc w:val="both"/>
        <w:ind w:right="20"/>
        <w:spacing w:after="0" w:line="351" w:lineRule="auto"/>
        <w:rPr>
          <w:sz w:val="20"/>
          <w:szCs w:val="20"/>
          <w:color w:val="auto"/>
        </w:rPr>
      </w:pPr>
      <w:r>
        <w:rPr>
          <w:rFonts w:ascii="Arial" w:cs="Arial" w:eastAsia="Arial" w:hAnsi="Arial"/>
          <w:sz w:val="20"/>
          <w:szCs w:val="20"/>
          <w:color w:val="auto"/>
        </w:rPr>
        <w:t>Heart Valve sales were $14.7 million, a decrease of 21.5 percent compared to sales of $17.5 million in the second quarter of 2020, representing a full quarter of sales. This decrease is related to the impact of the Heart Valves business divestiture that was effective June 1 as part of the initial closing.</w:t>
      </w:r>
    </w:p>
    <w:p>
      <w:pPr>
        <w:spacing w:after="0" w:line="208" w:lineRule="exact"/>
        <w:rPr>
          <w:sz w:val="20"/>
          <w:szCs w:val="20"/>
          <w:color w:val="auto"/>
        </w:rPr>
      </w:pPr>
    </w:p>
    <w:p>
      <w:pPr>
        <w:jc w:val="both"/>
        <w:ind w:right="20"/>
        <w:spacing w:after="0" w:line="355" w:lineRule="auto"/>
        <w:rPr>
          <w:sz w:val="20"/>
          <w:szCs w:val="20"/>
          <w:color w:val="auto"/>
        </w:rPr>
      </w:pPr>
      <w:r>
        <w:rPr>
          <w:rFonts w:ascii="Arial" w:cs="Arial" w:eastAsia="Arial" w:hAnsi="Arial"/>
          <w:sz w:val="20"/>
          <w:szCs w:val="20"/>
          <w:color w:val="auto"/>
        </w:rPr>
        <w:t>ACS sales were $13.3 million in the quarter, an increase of 120.3 percent compared to the second quarter of 2020, due to the continued adoption of LifeSPARC</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 the U.S. and an increase in procedure volumes.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60"/>
          </w:cols>
          <w:pgMar w:left="320" w:top="1440" w:right="319" w:bottom="1440" w:gutter="0" w:footer="0" w:header="0"/>
        </w:sectPr>
      </w:pPr>
    </w:p>
    <w:bookmarkStart w:id="5" w:name="page6"/>
    <w:bookmarkEnd w:id="5"/>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34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Neuromodulation sales were $117.6 million in the second quarter, representing a 102.4 percent increase versus the second quarter of 2020. This increase reflects improving market dynamics across all regions, particularly in the U.S.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342"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On a U.S. GAAP basis, second quarter 2021 operating loss from continuing operations was $34.9 million. Adjusted operating income from continuing operations for the second quarter of 2021 was $39.3 million, as compared to an adjusted operating loss from continuing operations for the second quarter of 2020 of $4.2 million. This increase was primarily driven by favorable sales results and margin improvements.</w:t>
      </w:r>
    </w:p>
    <w:p>
      <w:pPr>
        <w:spacing w:after="0" w:line="210" w:lineRule="exact"/>
        <w:rPr>
          <w:sz w:val="20"/>
          <w:szCs w:val="20"/>
          <w:color w:val="auto"/>
        </w:rPr>
      </w:pPr>
    </w:p>
    <w:p>
      <w:pPr>
        <w:jc w:val="both"/>
        <w:spacing w:after="0" w:line="351" w:lineRule="auto"/>
        <w:rPr>
          <w:sz w:val="20"/>
          <w:szCs w:val="20"/>
          <w:color w:val="auto"/>
        </w:rPr>
      </w:pPr>
      <w:r>
        <w:rPr>
          <w:rFonts w:ascii="Arial" w:cs="Arial" w:eastAsia="Arial" w:hAnsi="Arial"/>
          <w:sz w:val="20"/>
          <w:szCs w:val="20"/>
          <w:color w:val="auto"/>
        </w:rPr>
        <w:t>On a U.S. GAAP basis, second quarter 2021 effective tax rate was a negative 8.1 percent, as compared to a negative 306.0 percent in the second quarter of 2020. The adjusted effective tax rate in the quarter was 14.7 percent, as compared to 2.8 percent in the second quarter of 2020, related to changes in the geographic income mix.</w:t>
      </w:r>
    </w:p>
    <w:p>
      <w:pPr>
        <w:spacing w:after="0" w:line="208" w:lineRule="exact"/>
        <w:rPr>
          <w:sz w:val="20"/>
          <w:szCs w:val="20"/>
          <w:color w:val="auto"/>
        </w:rPr>
      </w:pPr>
    </w:p>
    <w:p>
      <w:pPr>
        <w:jc w:val="both"/>
        <w:ind w:right="20"/>
        <w:spacing w:after="0" w:line="351" w:lineRule="auto"/>
        <w:rPr>
          <w:sz w:val="20"/>
          <w:szCs w:val="20"/>
          <w:color w:val="auto"/>
        </w:rPr>
      </w:pPr>
      <w:r>
        <w:rPr>
          <w:rFonts w:ascii="Arial" w:cs="Arial" w:eastAsia="Arial" w:hAnsi="Arial"/>
          <w:sz w:val="20"/>
          <w:szCs w:val="20"/>
          <w:color w:val="auto"/>
        </w:rPr>
        <w:t>On a U.S. GAAP basis, second quarter 2021 diluted loss per share from continuing operations was $1.13. Second quarter 2021 adjusted diluted earnings per share from continuing operations was $0.52, as compared to a loss of $0.15 per share in the second quarter of 2020.</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2021 Updated Guidance</w:t>
      </w:r>
    </w:p>
    <w:p>
      <w:pPr>
        <w:spacing w:after="0" w:line="342"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Based upon our performance in the first half of 2021, LivaNova worldwide net sales from continuing operations for full-year 2021 are expected to grow between 5 and 10 percent on a constant-currency basis. Adjusted diluted earnings per share from continuing operations for 2021 are expected to be in the range of $1.60 to $1.90. In 2021, the Company estimates that adjusted free cash flow will be in the range of $35 to $55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Appointment of Chief Financial Officer</w:t>
      </w:r>
    </w:p>
    <w:p>
      <w:pPr>
        <w:spacing w:after="0" w:line="342" w:lineRule="exact"/>
        <w:rPr>
          <w:sz w:val="20"/>
          <w:szCs w:val="20"/>
          <w:color w:val="auto"/>
        </w:rPr>
      </w:pPr>
    </w:p>
    <w:p>
      <w:pPr>
        <w:jc w:val="both"/>
        <w:spacing w:after="0" w:line="373" w:lineRule="auto"/>
        <w:rPr>
          <w:sz w:val="20"/>
          <w:szCs w:val="20"/>
          <w:color w:val="auto"/>
        </w:rPr>
      </w:pPr>
      <w:r>
        <w:rPr>
          <w:rFonts w:ascii="Arial" w:cs="Arial" w:eastAsia="Arial" w:hAnsi="Arial"/>
          <w:sz w:val="19"/>
          <w:szCs w:val="19"/>
          <w:color w:val="auto"/>
        </w:rPr>
        <w:t>LivaNova announced today that it has appointed Alex Shvartsburg to the role of Chief Financial Officer (CFO) effective August 1. Shvartsburg has served as interim CFO of LivaNova since October 31, 2020 and brings over 25 years of relevant industry experience, serving in roles across global corporate finance, planning and analysis, mergers and acquisitions and treasury. The appointment follows a formal search that was led by Egon Zehnder, an internationally recognized global leadership advisory firm.</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382"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“On behalf of the Board of Directors and executive leadership team at LivaNova, we are pleased to officially welcome Alex as the CFO,” said McDonald. “Alex is deeply familiar with our company’s strategy and business and has been instrumental in effecting cost-containment measures, strategically allocating resources, driving margin expansion and improving cash generation. We look forward to his continued contribution and perspective as a part of our leadership team.”</w:t>
      </w:r>
    </w:p>
    <w:p>
      <w:pPr>
        <w:spacing w:after="0" w:line="210"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“I believe LivaNova is poised to realize its full potential with its leading Cardiovascular and Neuromodulation platforms. I am eager to play a leadership role in creating value for all of our stakeholders,” said Shvartsburg.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342"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 xml:space="preserve">The Company will host a live audio webcast for interested parties commencing at 1 p.m. London time (8 a.m. Eastern Daylight Time) on Wednesday, July 28 that will be accessible through the Investors section of the LivaNova website at </w:t>
      </w:r>
      <w:r>
        <w:rPr>
          <w:rFonts w:ascii="Arial" w:cs="Arial" w:eastAsia="Arial" w:hAnsi="Arial"/>
          <w:sz w:val="20"/>
          <w:szCs w:val="20"/>
          <w:u w:val="single" w:color="auto"/>
          <w:color w:val="0E32E1"/>
        </w:rPr>
        <w:t>www.livanova.com</w:t>
      </w:r>
      <w:r>
        <w:rPr>
          <w:rFonts w:ascii="Arial" w:cs="Arial" w:eastAsia="Arial" w:hAnsi="Arial"/>
          <w:sz w:val="20"/>
          <w:szCs w:val="20"/>
          <w:color w:val="0E32E1"/>
        </w:rPr>
        <w:t>.</w:t>
      </w:r>
      <w:r>
        <w:rPr>
          <w:rFonts w:ascii="Arial" w:cs="Arial" w:eastAsia="Arial" w:hAnsi="Arial"/>
          <w:sz w:val="20"/>
          <w:szCs w:val="20"/>
          <w:color w:val="auto"/>
        </w:rPr>
        <w:t xml:space="preserve"> Listeners should log on approximately 10 minutes in advance to ensure proper setup to receive the audiocast. To listen to the conference call by telephone, dial 844-558-0159 (if dialing from within the U.S. or Canada) or 236-714-3182 (if dialing from outside the U.S. or Canada). The conference ID is 3308297. Within 24 hours of the webcast, a replay will be available under the </w:t>
      </w:r>
      <w:r>
        <w:rPr>
          <w:rFonts w:ascii="Arial" w:cs="Arial" w:eastAsia="Arial" w:hAnsi="Arial"/>
          <w:sz w:val="20"/>
          <w:szCs w:val="20"/>
          <w:b w:val="1"/>
          <w:bCs w:val="1"/>
          <w:color w:val="auto"/>
        </w:rPr>
        <w:t xml:space="preserve">"News / Events &amp; Presentations" </w:t>
      </w:r>
      <w:r>
        <w:rPr>
          <w:rFonts w:ascii="Arial" w:cs="Arial" w:eastAsia="Arial" w:hAnsi="Arial"/>
          <w:sz w:val="20"/>
          <w:szCs w:val="20"/>
          <w:color w:val="auto"/>
        </w:rPr>
        <w:t>section of the Investors portion of the LivaNova website, where it will be archived and</w:t>
      </w:r>
      <w:r>
        <w:rPr>
          <w:rFonts w:ascii="Arial" w:cs="Arial" w:eastAsia="Arial" w:hAnsi="Arial"/>
          <w:sz w:val="20"/>
          <w:szCs w:val="20"/>
          <w:b w:val="1"/>
          <w:bCs w:val="1"/>
          <w:color w:val="auto"/>
        </w:rPr>
        <w:t xml:space="preserve"> </w:t>
      </w:r>
      <w:r>
        <w:rPr>
          <w:rFonts w:ascii="Arial" w:cs="Arial" w:eastAsia="Arial" w:hAnsi="Arial"/>
          <w:sz w:val="20"/>
          <w:szCs w:val="20"/>
          <w:color w:val="auto"/>
        </w:rPr>
        <w:t>accessible for approximately 90 days.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18"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18"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08"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9"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41"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continuing operations, adjusted segment operating income, adjusted income tax expense, adjusted net income from continuing operations, and adjusted diluted earnings per share from continuing operations,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18"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appointments,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2021,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the severity and duration of the COVID-19 pandemic and its impact on our business, financial condition and results 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41"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operations; (ii) reductions in customer spending, a slowdown in customer payments and changes in customer demand for products and services; (iii) unanticipated changes relating to competitive factors in the industries in which LivaNova operates; (iv) the ability to hire and retain key personnel; (v) the ability to attract new customers and retain existing customers in the manner anticipated; (vi) changes in legislation or governmental regulations affecting LivaNova; (vii) international, national or local economic, social or political conditions that could adversely affect LivaNova, its partners or its customers; (viii) conditions in the credit markets; (ix) business and other financial risks inherent to the industries in which LivaNova operates; (x) risks associated with assumptions made in connection with critical accounting estimates and legal proceedings; (xi) LivaNova’s international operations, which are subject to the risks of currency fluctuations and foreign exchange controls; (xii) the potential for international unrest, economic downturn or effects of currencies, tax assessments, tax adjustments, anticipated tax rates, raw material costs or availability, benefit or retirement plan costs, or other regulatory compliance costs; (xiii) the inability of LivaNova to meet expectations regarding the timing, completion and accounting of tax treatments; and (xiv) organizational and governance structure.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13" w:lineRule="exact"/>
        <w:rPr>
          <w:sz w:val="20"/>
          <w:szCs w:val="20"/>
          <w:color w:val="auto"/>
        </w:rPr>
      </w:pPr>
    </w:p>
    <w:p>
      <w:pPr>
        <w:jc w:val="both"/>
        <w:spacing w:after="0" w:line="350"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Lindsey Little</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Senior Director, Investor Relations</w:t>
      </w:r>
    </w:p>
    <w:p>
      <w:pPr>
        <w:ind w:left="60"/>
        <w:spacing w:after="0" w:line="237" w:lineRule="auto"/>
        <w:rPr>
          <w:sz w:val="20"/>
          <w:szCs w:val="20"/>
          <w:color w:val="auto"/>
        </w:rPr>
      </w:pPr>
      <w:r>
        <w:rPr>
          <w:rFonts w:ascii="Arial" w:cs="Arial" w:eastAsia="Arial" w:hAnsi="Arial"/>
          <w:sz w:val="20"/>
          <w:szCs w:val="20"/>
          <w:color w:val="auto"/>
        </w:rPr>
        <w:t>Phone: +1 281-895-2382</w:t>
      </w:r>
    </w:p>
    <w:p>
      <w:pPr>
        <w:ind w:left="60"/>
        <w:spacing w:after="0"/>
        <w:rPr>
          <w:sz w:val="20"/>
          <w:szCs w:val="20"/>
          <w:color w:val="auto"/>
        </w:rPr>
      </w:pPr>
      <w:r>
        <w:rPr>
          <w:rFonts w:ascii="Arial" w:cs="Arial" w:eastAsia="Arial" w:hAnsi="Arial"/>
          <w:sz w:val="20"/>
          <w:szCs w:val="20"/>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4"/>
            <w:vMerge w:val="restart"/>
          </w:tcPr>
          <w:p>
            <w:pPr>
              <w:ind w:left="680"/>
              <w:spacing w:after="0"/>
              <w:rPr>
                <w:sz w:val="20"/>
                <w:szCs w:val="20"/>
                <w:color w:val="auto"/>
              </w:rPr>
            </w:pPr>
            <w:r>
              <w:rPr>
                <w:rFonts w:ascii="Arial" w:cs="Arial" w:eastAsia="Arial" w:hAnsi="Arial"/>
                <w:sz w:val="18"/>
                <w:szCs w:val="18"/>
                <w:b w:val="1"/>
                <w:bCs w:val="1"/>
                <w:color w:val="auto"/>
              </w:rPr>
              <w:t>Three Months Ended June 30,</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 Change at Actual</w:t>
            </w:r>
          </w:p>
        </w:tc>
        <w:tc>
          <w:tcPr>
            <w:tcW w:w="1900" w:type="dxa"/>
            <w:vAlign w:val="bottom"/>
          </w:tcPr>
          <w:p>
            <w:pPr>
              <w:jc w:val="center"/>
              <w:spacing w:after="0" w:line="168" w:lineRule="exact"/>
              <w:rPr>
                <w:sz w:val="20"/>
                <w:szCs w:val="20"/>
                <w:color w:val="auto"/>
              </w:rPr>
            </w:pPr>
            <w:r>
              <w:rPr>
                <w:rFonts w:ascii="Arial" w:cs="Arial" w:eastAsia="Arial" w:hAnsi="Arial"/>
                <w:sz w:val="18"/>
                <w:szCs w:val="18"/>
                <w:b w:val="1"/>
                <w:bCs w:val="1"/>
                <w:color w:val="auto"/>
                <w:w w:val="98"/>
              </w:rPr>
              <w:t>% Change at</w:t>
            </w:r>
          </w:p>
        </w:tc>
        <w:tc>
          <w:tcPr>
            <w:tcW w:w="0" w:type="dxa"/>
            <w:vAlign w:val="bottom"/>
          </w:tcPr>
          <w:p>
            <w:pPr>
              <w:spacing w:after="0"/>
              <w:rPr>
                <w:sz w:val="1"/>
                <w:szCs w:val="1"/>
                <w:color w:val="auto"/>
              </w:rPr>
            </w:pPr>
          </w:p>
        </w:tc>
      </w:tr>
      <w:tr>
        <w:trPr>
          <w:trHeight w:val="174"/>
        </w:trPr>
        <w:tc>
          <w:tcPr>
            <w:tcW w:w="4500" w:type="dxa"/>
            <w:vAlign w:val="bottom"/>
          </w:tcPr>
          <w:p>
            <w:pPr>
              <w:spacing w:after="0"/>
              <w:rPr>
                <w:sz w:val="15"/>
                <w:szCs w:val="15"/>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90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9"/>
              </w:rPr>
              <w:t>Constant-Currency</w:t>
            </w:r>
          </w:p>
        </w:tc>
        <w:tc>
          <w:tcPr>
            <w:tcW w:w="0" w:type="dxa"/>
            <w:vAlign w:val="bottom"/>
          </w:tcPr>
          <w:p>
            <w:pPr>
              <w:spacing w:after="0"/>
              <w:rPr>
                <w:sz w:val="1"/>
                <w:szCs w:val="1"/>
                <w:color w:val="auto"/>
              </w:rPr>
            </w:pPr>
          </w:p>
        </w:tc>
      </w:tr>
      <w:tr>
        <w:trPr>
          <w:trHeight w:val="227"/>
        </w:trPr>
        <w:tc>
          <w:tcPr>
            <w:tcW w:w="45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Currency Rates</w:t>
            </w:r>
          </w:p>
        </w:tc>
        <w:tc>
          <w:tcPr>
            <w:tcW w:w="1900" w:type="dxa"/>
            <w:vAlign w:val="bottom"/>
          </w:tcPr>
          <w:p>
            <w:pPr>
              <w:jc w:val="center"/>
              <w:spacing w:after="0" w:line="228" w:lineRule="exact"/>
              <w:rPr>
                <w:sz w:val="20"/>
                <w:szCs w:val="20"/>
                <w:color w:val="auto"/>
              </w:rPr>
            </w:pPr>
            <w:r>
              <w:rPr>
                <w:rFonts w:ascii="Arial" w:cs="Arial" w:eastAsia="Arial" w:hAnsi="Arial"/>
                <w:sz w:val="18"/>
                <w:szCs w:val="18"/>
                <w:b w:val="1"/>
                <w:bCs w:val="1"/>
                <w:color w:val="auto"/>
                <w:w w:val="90"/>
              </w:rPr>
              <w:t xml:space="preserve">Rates </w:t>
            </w:r>
            <w:r>
              <w:rPr>
                <w:rFonts w:ascii="Arial" w:cs="Arial" w:eastAsia="Arial" w:hAnsi="Arial"/>
                <w:sz w:val="23"/>
                <w:szCs w:val="23"/>
                <w:b w:val="1"/>
                <w:bCs w:val="1"/>
                <w:color w:val="auto"/>
                <w:w w:val="90"/>
                <w:vertAlign w:val="superscript"/>
              </w:rPr>
              <w:t>(1)</w:t>
            </w:r>
          </w:p>
        </w:tc>
        <w:tc>
          <w:tcPr>
            <w:tcW w:w="0" w:type="dxa"/>
            <w:vAlign w:val="bottom"/>
          </w:tcPr>
          <w:p>
            <w:pPr>
              <w:spacing w:after="0"/>
              <w:rPr>
                <w:sz w:val="1"/>
                <w:szCs w:val="1"/>
                <w:color w:val="auto"/>
              </w:rPr>
            </w:pPr>
          </w:p>
        </w:tc>
      </w:tr>
      <w:tr>
        <w:trPr>
          <w:trHeight w:val="206"/>
        </w:trPr>
        <w:tc>
          <w:tcPr>
            <w:tcW w:w="450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44.8 %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27"/>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50.8 %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28"/>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0"/>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15"/>
        </w:trPr>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Heart Valves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7"/>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8"/>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0"/>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5"/>
        </w:trPr>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Advanced Circulatory Support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128.7 %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128.7 %</w:t>
            </w:r>
          </w:p>
        </w:tc>
        <w:tc>
          <w:tcPr>
            <w:tcW w:w="0" w:type="dxa"/>
            <w:vAlign w:val="bottom"/>
          </w:tcPr>
          <w:p>
            <w:pPr>
              <w:spacing w:after="0"/>
              <w:rPr>
                <w:sz w:val="1"/>
                <w:szCs w:val="1"/>
                <w:color w:val="auto"/>
              </w:rPr>
            </w:pPr>
          </w:p>
        </w:tc>
      </w:tr>
      <w:tr>
        <w:trPr>
          <w:trHeight w:val="227"/>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19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8"/>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19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0"/>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120.8 %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120.3 %</w:t>
            </w: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b w:val="1"/>
                <w:bCs w:val="1"/>
                <w:color w:val="auto"/>
              </w:rPr>
              <w:t>Cardiovascular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54.7 %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54.7 %</w:t>
            </w:r>
          </w:p>
        </w:tc>
        <w:tc>
          <w:tcPr>
            <w:tcW w:w="0" w:type="dxa"/>
            <w:vAlign w:val="bottom"/>
          </w:tcPr>
          <w:p>
            <w:pPr>
              <w:spacing w:after="0"/>
              <w:rPr>
                <w:sz w:val="1"/>
                <w:szCs w:val="1"/>
                <w:color w:val="auto"/>
              </w:rPr>
            </w:pP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43.1 %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28"/>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0"/>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107.6 %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107.6 %</w:t>
            </w:r>
          </w:p>
        </w:tc>
        <w:tc>
          <w:tcPr>
            <w:tcW w:w="0" w:type="dxa"/>
            <w:vAlign w:val="bottom"/>
          </w:tcPr>
          <w:p>
            <w:pPr>
              <w:spacing w:after="0"/>
              <w:rPr>
                <w:sz w:val="1"/>
                <w:szCs w:val="1"/>
                <w:color w:val="auto"/>
              </w:rPr>
            </w:pP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127.6 %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104.8 %</w:t>
            </w:r>
          </w:p>
        </w:tc>
        <w:tc>
          <w:tcPr>
            <w:tcW w:w="0" w:type="dxa"/>
            <w:vAlign w:val="bottom"/>
          </w:tcPr>
          <w:p>
            <w:pPr>
              <w:spacing w:after="0"/>
              <w:rPr>
                <w:sz w:val="1"/>
                <w:szCs w:val="1"/>
                <w:color w:val="auto"/>
              </w:rPr>
            </w:pPr>
          </w:p>
        </w:tc>
      </w:tr>
      <w:tr>
        <w:trPr>
          <w:trHeight w:val="228"/>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71.0 %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65.1 %</w:t>
            </w:r>
          </w:p>
        </w:tc>
        <w:tc>
          <w:tcPr>
            <w:tcW w:w="0" w:type="dxa"/>
            <w:vAlign w:val="bottom"/>
          </w:tcPr>
          <w:p>
            <w:pPr>
              <w:spacing w:after="0"/>
              <w:rPr>
                <w:sz w:val="1"/>
                <w:szCs w:val="1"/>
                <w:color w:val="auto"/>
              </w:rPr>
            </w:pPr>
          </w:p>
        </w:tc>
      </w:tr>
      <w:tr>
        <w:trPr>
          <w:trHeight w:val="220"/>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105.6 %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102.4 %</w:t>
            </w: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111.8 %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111.8 %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84.6 %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84.6 %</w:t>
            </w:r>
          </w:p>
        </w:tc>
        <w:tc>
          <w:tcPr>
            <w:tcW w:w="0" w:type="dxa"/>
            <w:vAlign w:val="bottom"/>
          </w:tcPr>
          <w:p>
            <w:pPr>
              <w:spacing w:after="0"/>
              <w:rPr>
                <w:sz w:val="1"/>
                <w:szCs w:val="1"/>
                <w:color w:val="auto"/>
              </w:rPr>
            </w:pP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58.5 %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43.9 %</w:t>
            </w:r>
          </w:p>
        </w:tc>
        <w:tc>
          <w:tcPr>
            <w:tcW w:w="0" w:type="dxa"/>
            <w:vAlign w:val="bottom"/>
          </w:tcPr>
          <w:p>
            <w:pPr>
              <w:spacing w:after="0"/>
              <w:rPr>
                <w:sz w:val="1"/>
                <w:szCs w:val="1"/>
                <w:color w:val="auto"/>
              </w:rPr>
            </w:pPr>
          </w:p>
        </w:tc>
      </w:tr>
      <w:tr>
        <w:trPr>
          <w:trHeight w:val="228"/>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1"/>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45.2 %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20" w:right="20" w:hanging="415"/>
        <w:spacing w:after="0" w:line="230"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2" w:lineRule="exact"/>
        <w:rPr>
          <w:sz w:val="20"/>
          <w:szCs w:val="20"/>
          <w:color w:val="auto"/>
        </w:rPr>
      </w:pPr>
    </w:p>
    <w:p>
      <w:pPr>
        <w:ind w:left="420" w:hanging="415"/>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0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4"/>
            <w:vMerge w:val="restart"/>
          </w:tcPr>
          <w:p>
            <w:pPr>
              <w:ind w:left="800"/>
              <w:spacing w:after="0"/>
              <w:rPr>
                <w:sz w:val="20"/>
                <w:szCs w:val="20"/>
                <w:color w:val="auto"/>
              </w:rPr>
            </w:pPr>
            <w:r>
              <w:rPr>
                <w:rFonts w:ascii="Arial" w:cs="Arial" w:eastAsia="Arial" w:hAnsi="Arial"/>
                <w:sz w:val="18"/>
                <w:szCs w:val="18"/>
                <w:b w:val="1"/>
                <w:bCs w:val="1"/>
                <w:color w:val="auto"/>
              </w:rPr>
              <w:t>Six Months Ended June 30,</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 Change at Actual</w:t>
            </w:r>
          </w:p>
        </w:tc>
        <w:tc>
          <w:tcPr>
            <w:tcW w:w="1900" w:type="dxa"/>
            <w:vAlign w:val="bottom"/>
          </w:tcPr>
          <w:p>
            <w:pPr>
              <w:jc w:val="center"/>
              <w:spacing w:after="0" w:line="168" w:lineRule="exact"/>
              <w:rPr>
                <w:sz w:val="20"/>
                <w:szCs w:val="20"/>
                <w:color w:val="auto"/>
              </w:rPr>
            </w:pPr>
            <w:r>
              <w:rPr>
                <w:rFonts w:ascii="Arial" w:cs="Arial" w:eastAsia="Arial" w:hAnsi="Arial"/>
                <w:sz w:val="18"/>
                <w:szCs w:val="18"/>
                <w:b w:val="1"/>
                <w:bCs w:val="1"/>
                <w:color w:val="auto"/>
                <w:w w:val="98"/>
              </w:rPr>
              <w:t>% Change at</w:t>
            </w:r>
          </w:p>
        </w:tc>
        <w:tc>
          <w:tcPr>
            <w:tcW w:w="0" w:type="dxa"/>
            <w:vAlign w:val="bottom"/>
          </w:tcPr>
          <w:p>
            <w:pPr>
              <w:spacing w:after="0"/>
              <w:rPr>
                <w:sz w:val="1"/>
                <w:szCs w:val="1"/>
                <w:color w:val="auto"/>
              </w:rPr>
            </w:pPr>
          </w:p>
        </w:tc>
      </w:tr>
      <w:tr>
        <w:trPr>
          <w:trHeight w:val="174"/>
        </w:trPr>
        <w:tc>
          <w:tcPr>
            <w:tcW w:w="4500" w:type="dxa"/>
            <w:vAlign w:val="bottom"/>
          </w:tcPr>
          <w:p>
            <w:pPr>
              <w:spacing w:after="0"/>
              <w:rPr>
                <w:sz w:val="15"/>
                <w:szCs w:val="15"/>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132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190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9"/>
              </w:rPr>
              <w:t>Constant-Currency</w:t>
            </w:r>
          </w:p>
        </w:tc>
        <w:tc>
          <w:tcPr>
            <w:tcW w:w="0" w:type="dxa"/>
            <w:vAlign w:val="bottom"/>
          </w:tcPr>
          <w:p>
            <w:pPr>
              <w:spacing w:after="0"/>
              <w:rPr>
                <w:sz w:val="1"/>
                <w:szCs w:val="1"/>
                <w:color w:val="auto"/>
              </w:rPr>
            </w:pPr>
          </w:p>
        </w:tc>
      </w:tr>
      <w:tr>
        <w:trPr>
          <w:trHeight w:val="227"/>
        </w:trPr>
        <w:tc>
          <w:tcPr>
            <w:tcW w:w="45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Currency Rates</w:t>
            </w:r>
          </w:p>
        </w:tc>
        <w:tc>
          <w:tcPr>
            <w:tcW w:w="1900" w:type="dxa"/>
            <w:vAlign w:val="bottom"/>
          </w:tcPr>
          <w:p>
            <w:pPr>
              <w:jc w:val="center"/>
              <w:spacing w:after="0" w:line="228" w:lineRule="exact"/>
              <w:rPr>
                <w:sz w:val="20"/>
                <w:szCs w:val="20"/>
                <w:color w:val="auto"/>
              </w:rPr>
            </w:pPr>
            <w:r>
              <w:rPr>
                <w:rFonts w:ascii="Arial" w:cs="Arial" w:eastAsia="Arial" w:hAnsi="Arial"/>
                <w:sz w:val="18"/>
                <w:szCs w:val="18"/>
                <w:b w:val="1"/>
                <w:bCs w:val="1"/>
                <w:color w:val="auto"/>
                <w:w w:val="90"/>
              </w:rPr>
              <w:t xml:space="preserve">Rates </w:t>
            </w:r>
            <w:r>
              <w:rPr>
                <w:rFonts w:ascii="Arial" w:cs="Arial" w:eastAsia="Arial" w:hAnsi="Arial"/>
                <w:sz w:val="23"/>
                <w:szCs w:val="23"/>
                <w:b w:val="1"/>
                <w:bCs w:val="1"/>
                <w:color w:val="auto"/>
                <w:w w:val="90"/>
                <w:vertAlign w:val="superscript"/>
              </w:rPr>
              <w:t>(1)</w:t>
            </w:r>
          </w:p>
        </w:tc>
        <w:tc>
          <w:tcPr>
            <w:tcW w:w="0" w:type="dxa"/>
            <w:vAlign w:val="bottom"/>
          </w:tcPr>
          <w:p>
            <w:pPr>
              <w:spacing w:after="0"/>
              <w:rPr>
                <w:sz w:val="1"/>
                <w:szCs w:val="1"/>
                <w:color w:val="auto"/>
              </w:rPr>
            </w:pPr>
          </w:p>
        </w:tc>
      </w:tr>
      <w:tr>
        <w:trPr>
          <w:trHeight w:val="206"/>
        </w:trPr>
        <w:tc>
          <w:tcPr>
            <w:tcW w:w="450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7"/>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8"/>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0"/>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5"/>
        </w:trPr>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Heart Valves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7"/>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8"/>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0"/>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5"/>
        </w:trPr>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Advanced Circulatory Support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62.1 %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62.1 %</w:t>
            </w:r>
          </w:p>
        </w:tc>
        <w:tc>
          <w:tcPr>
            <w:tcW w:w="0" w:type="dxa"/>
            <w:vAlign w:val="bottom"/>
          </w:tcPr>
          <w:p>
            <w:pPr>
              <w:spacing w:after="0"/>
              <w:rPr>
                <w:sz w:val="1"/>
                <w:szCs w:val="1"/>
                <w:color w:val="auto"/>
              </w:rPr>
            </w:pPr>
          </w:p>
        </w:tc>
      </w:tr>
      <w:tr>
        <w:trPr>
          <w:trHeight w:val="227"/>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rPr>
              <w:t>NM</w:t>
            </w:r>
          </w:p>
        </w:tc>
        <w:tc>
          <w:tcPr>
            <w:tcW w:w="19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8"/>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rPr>
              <w:t>NM</w:t>
            </w:r>
          </w:p>
        </w:tc>
        <w:tc>
          <w:tcPr>
            <w:tcW w:w="19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0"/>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59.2 %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58.8 %</w:t>
            </w: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8"/>
                <w:szCs w:val="18"/>
                <w:b w:val="1"/>
                <w:bCs w:val="1"/>
                <w:color w:val="auto"/>
              </w:rPr>
              <w:t>Cardiovascular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289 0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276 6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4 5 %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0 5 %</w:t>
            </w:r>
          </w:p>
        </w:tc>
        <w:tc>
          <w:tcPr>
            <w:tcW w:w="0" w:type="dxa"/>
            <w:vAlign w:val="bottom"/>
          </w:tcPr>
          <w:p>
            <w:pPr>
              <w:spacing w:after="0"/>
              <w:rPr>
                <w:sz w:val="1"/>
                <w:szCs w:val="1"/>
                <w:color w:val="auto"/>
              </w:rPr>
            </w:pPr>
          </w:p>
        </w:tc>
      </w:tr>
    </w:tbl>
    <w:p>
      <w:pPr>
        <w:sectPr>
          <w:pgSz w:w="11900" w:h="17004" w:orient="portrait"/>
          <w:cols w:equalWidth="0" w:num="1">
            <w:col w:w="11220"/>
          </w:cols>
          <w:pgMar w:left="340" w:top="157"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50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6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3"/>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117.5</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48.2 %</w:t>
            </w:r>
          </w:p>
        </w:tc>
        <w:tc>
          <w:tcPr>
            <w:tcW w:w="1280" w:type="dxa"/>
            <w:vAlign w:val="bottom"/>
          </w:tcPr>
          <w:p>
            <w:pPr>
              <w:jc w:val="right"/>
              <w:spacing w:after="0"/>
              <w:rPr>
                <w:sz w:val="20"/>
                <w:szCs w:val="20"/>
                <w:color w:val="auto"/>
              </w:rPr>
            </w:pPr>
            <w:r>
              <w:rPr>
                <w:rFonts w:ascii="Arial" w:cs="Arial" w:eastAsia="Arial" w:hAnsi="Arial"/>
                <w:sz w:val="18"/>
                <w:szCs w:val="18"/>
                <w:color w:val="auto"/>
              </w:rPr>
              <w:t>48.2 %</w:t>
            </w: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54.6 %</w:t>
            </w:r>
          </w:p>
        </w:tc>
        <w:tc>
          <w:tcPr>
            <w:tcW w:w="1280" w:type="dxa"/>
            <w:vAlign w:val="bottom"/>
          </w:tcPr>
          <w:p>
            <w:pPr>
              <w:jc w:val="right"/>
              <w:spacing w:after="0"/>
              <w:rPr>
                <w:sz w:val="20"/>
                <w:szCs w:val="20"/>
                <w:color w:val="auto"/>
              </w:rPr>
            </w:pPr>
            <w:r>
              <w:rPr>
                <w:rFonts w:ascii="Arial" w:cs="Arial" w:eastAsia="Arial" w:hAnsi="Arial"/>
                <w:sz w:val="18"/>
                <w:szCs w:val="18"/>
                <w:color w:val="auto"/>
              </w:rPr>
              <w:t>40.3 %</w:t>
            </w:r>
          </w:p>
        </w:tc>
      </w:tr>
      <w:tr>
        <w:trPr>
          <w:trHeight w:val="228"/>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69.4 %</w:t>
            </w:r>
          </w:p>
        </w:tc>
        <w:tc>
          <w:tcPr>
            <w:tcW w:w="1280" w:type="dxa"/>
            <w:vAlign w:val="bottom"/>
          </w:tcPr>
          <w:p>
            <w:pPr>
              <w:jc w:val="right"/>
              <w:spacing w:after="0"/>
              <w:rPr>
                <w:sz w:val="20"/>
                <w:szCs w:val="20"/>
                <w:color w:val="auto"/>
              </w:rPr>
            </w:pPr>
            <w:r>
              <w:rPr>
                <w:rFonts w:ascii="Arial" w:cs="Arial" w:eastAsia="Arial" w:hAnsi="Arial"/>
                <w:sz w:val="18"/>
                <w:szCs w:val="18"/>
                <w:color w:val="auto"/>
              </w:rPr>
              <w:t>66.9 %</w:t>
            </w:r>
          </w:p>
        </w:tc>
      </w:tr>
      <w:tr>
        <w:trPr>
          <w:trHeight w:val="220"/>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50.7 %</w:t>
            </w:r>
          </w:p>
        </w:tc>
        <w:tc>
          <w:tcPr>
            <w:tcW w:w="1280" w:type="dxa"/>
            <w:vAlign w:val="bottom"/>
          </w:tcPr>
          <w:p>
            <w:pPr>
              <w:jc w:val="right"/>
              <w:spacing w:after="0"/>
              <w:rPr>
                <w:sz w:val="20"/>
                <w:szCs w:val="20"/>
                <w:color w:val="auto"/>
              </w:rPr>
            </w:pPr>
            <w:r>
              <w:rPr>
                <w:rFonts w:ascii="Arial" w:cs="Arial" w:eastAsia="Arial" w:hAnsi="Arial"/>
                <w:sz w:val="18"/>
                <w:szCs w:val="18"/>
                <w:color w:val="auto"/>
              </w:rPr>
              <w:t>48.8 %</w:t>
            </w:r>
          </w:p>
        </w:tc>
      </w:tr>
      <w:tr>
        <w:trPr>
          <w:trHeight w:val="215"/>
        </w:trPr>
        <w:tc>
          <w:tcPr>
            <w:tcW w:w="45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N/A</w:t>
            </w: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N/A</w:t>
            </w: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8"/>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51.3 %</w:t>
            </w: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0"/>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51.3 %</w:t>
            </w: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5"/>
        </w:trPr>
        <w:tc>
          <w:tcPr>
            <w:tcW w:w="45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201.8</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37.6 %</w:t>
            </w:r>
          </w:p>
        </w:tc>
        <w:tc>
          <w:tcPr>
            <w:tcW w:w="1280" w:type="dxa"/>
            <w:vAlign w:val="bottom"/>
          </w:tcPr>
          <w:p>
            <w:pPr>
              <w:jc w:val="right"/>
              <w:spacing w:after="0"/>
              <w:rPr>
                <w:sz w:val="20"/>
                <w:szCs w:val="20"/>
                <w:color w:val="auto"/>
              </w:rPr>
            </w:pPr>
            <w:r>
              <w:rPr>
                <w:rFonts w:ascii="Arial" w:cs="Arial" w:eastAsia="Arial" w:hAnsi="Arial"/>
                <w:sz w:val="18"/>
                <w:szCs w:val="18"/>
                <w:color w:val="auto"/>
              </w:rPr>
              <w:t>37.6 %</w:t>
            </w:r>
          </w:p>
        </w:tc>
      </w:tr>
      <w:tr>
        <w:trPr>
          <w:trHeight w:val="227"/>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90.1</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18.6 %</w:t>
            </w:r>
          </w:p>
        </w:tc>
        <w:tc>
          <w:tcPr>
            <w:tcW w:w="128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28"/>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(3.9)%</w:t>
            </w: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1"/>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680" w:type="dxa"/>
            <w:vAlign w:val="bottom"/>
          </w:tcPr>
          <w:p>
            <w:pPr>
              <w:jc w:val="right"/>
              <w:ind w:right="631"/>
              <w:spacing w:after="0"/>
              <w:rPr>
                <w:sz w:val="20"/>
                <w:szCs w:val="20"/>
                <w:color w:val="auto"/>
              </w:rPr>
            </w:pPr>
            <w:r>
              <w:rPr>
                <w:rFonts w:ascii="Arial" w:cs="Arial" w:eastAsia="Arial" w:hAnsi="Arial"/>
                <w:sz w:val="18"/>
                <w:szCs w:val="18"/>
                <w:color w:val="auto"/>
              </w:rPr>
              <w:t>20.6 %</w:t>
            </w:r>
          </w:p>
        </w:tc>
        <w:tc>
          <w:tcPr>
            <w:tcW w:w="128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43" w:lineRule="exact"/>
        <w:rPr>
          <w:sz w:val="20"/>
          <w:szCs w:val="20"/>
          <w:color w:val="auto"/>
        </w:rPr>
      </w:pPr>
    </w:p>
    <w:p>
      <w:pPr>
        <w:ind w:left="420" w:hanging="415"/>
        <w:spacing w:after="0" w:line="230"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2" w:lineRule="exact"/>
        <w:rPr>
          <w:sz w:val="20"/>
          <w:szCs w:val="20"/>
          <w:color w:val="auto"/>
        </w:rPr>
      </w:pPr>
    </w:p>
    <w:p>
      <w:pPr>
        <w:ind w:left="420" w:hanging="415"/>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00"/>
          </w:cols>
          <w:pgMar w:left="340" w:top="213" w:right="359" w:bottom="1440" w:gutter="0" w:footer="0" w:header="0"/>
        </w:sectPr>
      </w:pPr>
    </w:p>
    <w:bookmarkStart w:id="13" w:name="page14"/>
    <w:bookmarkEnd w:id="13"/>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8" w:lineRule="exact"/>
        <w:rPr>
          <w:sz w:val="20"/>
          <w:szCs w:val="20"/>
          <w:color w:val="auto"/>
        </w:rPr>
      </w:pPr>
    </w:p>
    <w:p>
      <w:pPr>
        <w:ind w:right="5120"/>
        <w:spacing w:after="0" w:line="287"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2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22"/>
        </w:trPr>
        <w:tc>
          <w:tcPr>
            <w:tcW w:w="54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 Change</w:t>
            </w:r>
          </w:p>
        </w:tc>
      </w:tr>
      <w:tr>
        <w:trPr>
          <w:trHeight w:val="219"/>
        </w:trPr>
        <w:tc>
          <w:tcPr>
            <w:tcW w:w="65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$182.2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49.1 %</w:t>
            </w:r>
          </w:p>
        </w:tc>
      </w:t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542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Operating loss from continuing operations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128.8 %</w:t>
            </w:r>
          </w:p>
        </w:tc>
      </w:tr>
      <w:tr>
        <w:trPr>
          <w:trHeight w:val="220"/>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5420" w:type="dxa"/>
            <w:vAlign w:val="bottom"/>
          </w:tcPr>
          <w:p>
            <w:pPr>
              <w:ind w:left="120"/>
              <w:spacing w:after="0"/>
              <w:rPr>
                <w:sz w:val="20"/>
                <w:szCs w:val="20"/>
                <w:color w:val="auto"/>
              </w:rPr>
            </w:pPr>
            <w:r>
              <w:rPr>
                <w:rFonts w:ascii="Arial" w:cs="Arial" w:eastAsia="Arial" w:hAnsi="Arial"/>
                <w:sz w:val="18"/>
                <w:szCs w:val="18"/>
                <w:color w:val="auto"/>
              </w:rPr>
              <w:t>Foreign exchange and other gains (losses)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Loss from continuing operations before tax</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136.0 %</w:t>
            </w:r>
          </w:p>
        </w:tc>
      </w:tr>
      <w:tr>
        <w:trPr>
          <w:trHeight w:val="221"/>
        </w:trPr>
        <w:tc>
          <w:tcPr>
            <w:tcW w:w="54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Net loss from discontinued operations, net of tax</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65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8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5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407"/>
        </w:trPr>
        <w:tc>
          <w:tcPr>
            <w:tcW w:w="6580" w:type="dxa"/>
            <w:vAlign w:val="bottom"/>
            <w:gridSpan w:val="2"/>
          </w:tcPr>
          <w:p>
            <w:pPr>
              <w:spacing w:after="0"/>
              <w:rPr>
                <w:sz w:val="20"/>
                <w:szCs w:val="20"/>
                <w:color w:val="auto"/>
              </w:rPr>
            </w:pPr>
            <w:r>
              <w:rPr>
                <w:rFonts w:ascii="Arial" w:cs="Arial" w:eastAsia="Arial" w:hAnsi="Arial"/>
                <w:sz w:val="18"/>
                <w:szCs w:val="18"/>
                <w:color w:val="auto"/>
              </w:rPr>
              <w:t>Basic loss per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Continuing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Discontinued operations</w:t>
            </w:r>
          </w:p>
        </w:tc>
        <w:tc>
          <w:tcPr>
            <w:tcW w:w="2020" w:type="dxa"/>
            <w:vAlign w:val="bottom"/>
            <w:gridSpan w:val="3"/>
          </w:tcPr>
          <w:p>
            <w:pPr>
              <w:jc w:val="right"/>
              <w:ind w:right="133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1"/>
        </w:trPr>
        <w:tc>
          <w:tcPr>
            <w:tcW w:w="54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06"/>
        </w:trPr>
        <w:tc>
          <w:tcPr>
            <w:tcW w:w="658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Continuing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Discontinued operations</w:t>
            </w:r>
          </w:p>
        </w:tc>
        <w:tc>
          <w:tcPr>
            <w:tcW w:w="2020" w:type="dxa"/>
            <w:vAlign w:val="bottom"/>
            <w:gridSpan w:val="3"/>
          </w:tcPr>
          <w:p>
            <w:pPr>
              <w:jc w:val="right"/>
              <w:ind w:right="133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1"/>
        </w:trPr>
        <w:tc>
          <w:tcPr>
            <w:tcW w:w="54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06"/>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20"/>
          </w:cols>
          <w:pgMar w:left="340" w:top="144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1"/>
        </w:trPr>
        <w:tc>
          <w:tcPr>
            <w:tcW w:w="6020" w:type="dxa"/>
            <w:vAlign w:val="bottom"/>
          </w:tcPr>
          <w:p>
            <w:pPr>
              <w:spacing w:after="0"/>
              <w:rPr>
                <w:sz w:val="24"/>
                <w:szCs w:val="24"/>
                <w:color w:val="auto"/>
              </w:rPr>
            </w:pPr>
          </w:p>
        </w:tc>
        <w:tc>
          <w:tcPr>
            <w:tcW w:w="364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1560" w:type="dxa"/>
            <w:vAlign w:val="bottom"/>
          </w:tcPr>
          <w:p>
            <w:pPr>
              <w:spacing w:after="0"/>
              <w:rPr>
                <w:sz w:val="24"/>
                <w:szCs w:val="24"/>
                <w:color w:val="auto"/>
              </w:rPr>
            </w:pPr>
          </w:p>
        </w:tc>
      </w:tr>
      <w:tr>
        <w:trPr>
          <w:trHeight w:val="222"/>
        </w:trPr>
        <w:tc>
          <w:tcPr>
            <w:tcW w:w="60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171"/>
              <w:spacing w:after="0" w:line="222"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r>
      <w:tr>
        <w:trPr>
          <w:trHeight w:val="223"/>
        </w:trPr>
        <w:tc>
          <w:tcPr>
            <w:tcW w:w="710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SG&amp;A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$101.5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27.4 %</w:t>
            </w:r>
          </w:p>
        </w:tc>
      </w:tr>
      <w:tr>
        <w:trPr>
          <w:trHeight w:val="227"/>
        </w:trPr>
        <w:tc>
          <w:tcPr>
            <w:tcW w:w="710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Adjusted R&amp;D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23.8 %</w:t>
            </w:r>
          </w:p>
        </w:tc>
      </w:tr>
      <w:tr>
        <w:trPr>
          <w:trHeight w:val="227"/>
        </w:trPr>
        <w:tc>
          <w:tcPr>
            <w:tcW w:w="710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Adjusted operating income (loss)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(1,035.5)%</w:t>
            </w:r>
          </w:p>
        </w:tc>
      </w:tr>
      <w:tr>
        <w:trPr>
          <w:trHeight w:val="227"/>
        </w:trPr>
        <w:tc>
          <w:tcPr>
            <w:tcW w:w="710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Adjusted net income (loss)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(443.5)%</w:t>
            </w:r>
          </w:p>
        </w:tc>
      </w:tr>
      <w:tr>
        <w:trPr>
          <w:trHeight w:val="296"/>
        </w:trPr>
        <w:tc>
          <w:tcPr>
            <w:tcW w:w="7100" w:type="dxa"/>
            <w:vAlign w:val="bottom"/>
            <w:gridSpan w:val="2"/>
          </w:tcPr>
          <w:p>
            <w:pPr>
              <w:spacing w:after="0"/>
              <w:rPr>
                <w:sz w:val="20"/>
                <w:szCs w:val="20"/>
                <w:color w:val="auto"/>
              </w:rPr>
            </w:pPr>
            <w:r>
              <w:rPr>
                <w:rFonts w:ascii="Arial" w:cs="Arial" w:eastAsia="Arial" w:hAnsi="Arial"/>
                <w:sz w:val="18"/>
                <w:szCs w:val="18"/>
                <w:color w:val="auto"/>
              </w:rPr>
              <w:t xml:space="preserve">Adjusted diluted earnings per share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(435.1)%</w:t>
            </w:r>
          </w:p>
        </w:tc>
      </w:tr>
    </w:tbl>
    <w:p>
      <w:pPr>
        <w:spacing w:after="0" w:line="51" w:lineRule="exact"/>
        <w:rPr>
          <w:sz w:val="20"/>
          <w:szCs w:val="20"/>
          <w:color w:val="auto"/>
        </w:rPr>
      </w:pPr>
    </w:p>
    <w:p>
      <w:pPr>
        <w:ind w:left="480" w:right="20" w:hanging="357"/>
        <w:spacing w:after="0" w:line="230"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4340" w:type="dxa"/>
            <w:vAlign w:val="bottom"/>
            <w:gridSpan w:val="5"/>
          </w:tcPr>
          <w:p>
            <w:pPr>
              <w:ind w:left="580"/>
              <w:spacing w:after="0"/>
              <w:rPr>
                <w:sz w:val="20"/>
                <w:szCs w:val="20"/>
                <w:color w:val="auto"/>
              </w:rPr>
            </w:pPr>
            <w:r>
              <w:rPr>
                <w:rFonts w:ascii="Arial" w:cs="Arial" w:eastAsia="Arial" w:hAnsi="Arial"/>
                <w:sz w:val="18"/>
                <w:szCs w:val="18"/>
                <w:b w:val="1"/>
                <w:bCs w:val="1"/>
                <w:color w:val="auto"/>
              </w:rPr>
              <w:t>GAAP Three Months Ended June 30,</w:t>
            </w:r>
          </w:p>
        </w:tc>
        <w:tc>
          <w:tcPr>
            <w:tcW w:w="4700" w:type="dxa"/>
            <w:vAlign w:val="bottom"/>
            <w:gridSpan w:val="3"/>
          </w:tcPr>
          <w:p>
            <w:pPr>
              <w:jc w:val="right"/>
              <w:ind w:right="491"/>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Three Months Ended June 30,</w:t>
            </w:r>
          </w:p>
        </w:tc>
      </w:tr>
      <w:tr>
        <w:trPr>
          <w:trHeight w:val="221"/>
        </w:trPr>
        <w:tc>
          <w:tcPr>
            <w:tcW w:w="21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30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2020</w:t>
            </w:r>
          </w:p>
        </w:tc>
      </w:tr>
      <w:tr>
        <w:trPr>
          <w:trHeight w:val="219"/>
        </w:trPr>
        <w:tc>
          <w:tcPr>
            <w:tcW w:w="3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jc w:val="right"/>
              <w:spacing w:after="0"/>
              <w:rPr>
                <w:sz w:val="20"/>
                <w:szCs w:val="20"/>
                <w:color w:val="auto"/>
              </w:rPr>
            </w:pPr>
            <w:r>
              <w:rPr>
                <w:rFonts w:ascii="Arial" w:cs="Arial" w:eastAsia="Arial" w:hAnsi="Arial"/>
                <w:sz w:val="18"/>
                <w:szCs w:val="18"/>
                <w:color w:val="auto"/>
              </w:rPr>
              <w:t>65.7 %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63.9 %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69.7 %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60.7 %</w:t>
            </w:r>
          </w:p>
        </w:tc>
      </w:tr>
      <w:tr>
        <w:trPr>
          <w:trHeight w:val="227"/>
        </w:trPr>
        <w:tc>
          <w:tcPr>
            <w:tcW w:w="35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40" w:type="dxa"/>
            <w:vAlign w:val="bottom"/>
          </w:tcPr>
          <w:p>
            <w:pPr>
              <w:jc w:val="right"/>
              <w:spacing w:after="0"/>
              <w:rPr>
                <w:sz w:val="20"/>
                <w:szCs w:val="20"/>
                <w:color w:val="auto"/>
              </w:rPr>
            </w:pPr>
            <w:r>
              <w:rPr>
                <w:rFonts w:ascii="Arial" w:cs="Arial" w:eastAsia="Arial" w:hAnsi="Arial"/>
                <w:sz w:val="18"/>
                <w:szCs w:val="18"/>
                <w:color w:val="auto"/>
              </w:rPr>
              <w:t>46.4 %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56.4 %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38.4 %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43.7 %</w:t>
            </w:r>
          </w:p>
        </w:tc>
      </w:tr>
      <w:tr>
        <w:trPr>
          <w:trHeight w:val="227"/>
        </w:trPr>
        <w:tc>
          <w:tcPr>
            <w:tcW w:w="35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40" w:type="dxa"/>
            <w:vAlign w:val="bottom"/>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19.3 %</w:t>
            </w:r>
          </w:p>
        </w:tc>
      </w:tr>
      <w:tr>
        <w:trPr>
          <w:trHeight w:val="188"/>
        </w:trPr>
        <w:tc>
          <w:tcPr>
            <w:tcW w:w="3500" w:type="dxa"/>
            <w:vAlign w:val="bottom"/>
            <w:gridSpan w:val="2"/>
          </w:tcPr>
          <w:p>
            <w:pPr>
              <w:spacing w:after="0" w:line="188" w:lineRule="exact"/>
              <w:rPr>
                <w:sz w:val="20"/>
                <w:szCs w:val="20"/>
                <w:color w:val="auto"/>
              </w:rPr>
            </w:pPr>
            <w:r>
              <w:rPr>
                <w:rFonts w:ascii="Arial" w:cs="Arial" w:eastAsia="Arial" w:hAnsi="Arial"/>
                <w:sz w:val="18"/>
                <w:szCs w:val="18"/>
                <w:color w:val="auto"/>
              </w:rPr>
              <w:t>Operating (loss) income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74"/>
        </w:trPr>
        <w:tc>
          <w:tcPr>
            <w:tcW w:w="3500" w:type="dxa"/>
            <w:vAlign w:val="bottom"/>
            <w:gridSpan w:val="2"/>
          </w:tcPr>
          <w:p>
            <w:pPr>
              <w:spacing w:after="0" w:line="174" w:lineRule="exact"/>
              <w:rPr>
                <w:sz w:val="20"/>
                <w:szCs w:val="20"/>
                <w:color w:val="auto"/>
              </w:rPr>
            </w:pPr>
            <w:r>
              <w:rPr>
                <w:rFonts w:ascii="Arial" w:cs="Arial" w:eastAsia="Arial" w:hAnsi="Arial"/>
                <w:sz w:val="18"/>
                <w:szCs w:val="18"/>
                <w:color w:val="auto"/>
              </w:rPr>
              <w:t>from continuing</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88"/>
        </w:trPr>
        <w:tc>
          <w:tcPr>
            <w:tcW w:w="3500" w:type="dxa"/>
            <w:vAlign w:val="bottom"/>
            <w:gridSpan w:val="2"/>
          </w:tcPr>
          <w:p>
            <w:pPr>
              <w:spacing w:after="0" w:line="188" w:lineRule="exact"/>
              <w:rPr>
                <w:sz w:val="20"/>
                <w:szCs w:val="20"/>
                <w:color w:val="auto"/>
              </w:rPr>
            </w:pPr>
            <w:r>
              <w:rPr>
                <w:rFonts w:ascii="Arial" w:cs="Arial" w:eastAsia="Arial" w:hAnsi="Arial"/>
                <w:sz w:val="18"/>
                <w:szCs w:val="18"/>
                <w:color w:val="auto"/>
              </w:rPr>
              <w:t>Net (loss) income from</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7"/>
        </w:trPr>
        <w:tc>
          <w:tcPr>
            <w:tcW w:w="35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2.8 %</w:t>
            </w:r>
          </w:p>
        </w:tc>
      </w:tr>
    </w:tbl>
    <w:p>
      <w:pPr>
        <w:spacing w:after="0" w:line="124" w:lineRule="exact"/>
        <w:rPr>
          <w:sz w:val="20"/>
          <w:szCs w:val="20"/>
          <w:color w:val="auto"/>
        </w:rPr>
      </w:pPr>
    </w:p>
    <w:p>
      <w:pPr>
        <w:ind w:left="440" w:right="20" w:hanging="330"/>
        <w:spacing w:after="0" w:line="230"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8" w:lineRule="exact"/>
        <w:rPr>
          <w:sz w:val="20"/>
          <w:szCs w:val="20"/>
          <w:color w:val="auto"/>
        </w:rPr>
      </w:pPr>
    </w:p>
    <w:p>
      <w:pPr>
        <w:ind w:right="5120"/>
        <w:spacing w:after="0" w:line="287"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20" w:type="dxa"/>
            <w:vAlign w:val="bottom"/>
          </w:tcPr>
          <w:p>
            <w:pPr>
              <w:spacing w:after="0"/>
              <w:rPr>
                <w:sz w:val="20"/>
                <w:szCs w:val="20"/>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22"/>
        </w:trPr>
        <w:tc>
          <w:tcPr>
            <w:tcW w:w="54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 Change</w:t>
            </w:r>
          </w:p>
        </w:tc>
      </w:tr>
      <w:tr>
        <w:trPr>
          <w:trHeight w:val="219"/>
        </w:trPr>
        <w:tc>
          <w:tcPr>
            <w:tcW w:w="65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542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Operating loss from continuing operations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168.5 %</w:t>
            </w:r>
          </w:p>
        </w:tc>
      </w:tr>
      <w:tr>
        <w:trPr>
          <w:trHeight w:val="220"/>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5420" w:type="dxa"/>
            <w:vAlign w:val="bottom"/>
          </w:tcPr>
          <w:p>
            <w:pPr>
              <w:ind w:left="120"/>
              <w:spacing w:after="0"/>
              <w:rPr>
                <w:sz w:val="20"/>
                <w:szCs w:val="20"/>
                <w:color w:val="auto"/>
              </w:rPr>
            </w:pPr>
            <w:r>
              <w:rPr>
                <w:rFonts w:ascii="Arial" w:cs="Arial" w:eastAsia="Arial" w:hAnsi="Arial"/>
                <w:sz w:val="18"/>
                <w:szCs w:val="18"/>
                <w:color w:val="auto"/>
              </w:rPr>
              <w:t>Foreign exchange and other losses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Loss from continuing operations before tax</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181.7 %</w:t>
            </w:r>
          </w:p>
        </w:tc>
      </w:tr>
      <w:tr>
        <w:trPr>
          <w:trHeight w:val="220"/>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5420" w:type="dxa"/>
            <w:vAlign w:val="bottom"/>
          </w:tcPr>
          <w:p>
            <w:pPr>
              <w:ind w:left="120"/>
              <w:spacing w:after="0"/>
              <w:rPr>
                <w:sz w:val="20"/>
                <w:szCs w:val="20"/>
                <w:color w:val="auto"/>
              </w:rPr>
            </w:pPr>
            <w:r>
              <w:rPr>
                <w:rFonts w:ascii="Arial" w:cs="Arial" w:eastAsia="Arial" w:hAnsi="Arial"/>
                <w:sz w:val="18"/>
                <w:szCs w:val="18"/>
                <w:color w:val="auto"/>
              </w:rPr>
              <w:t>Losses from equity method investments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72.0 %</w:t>
            </w:r>
          </w:p>
        </w:tc>
      </w:tr>
      <w:tr>
        <w:trPr>
          <w:trHeight w:val="221"/>
        </w:trPr>
        <w:tc>
          <w:tcPr>
            <w:tcW w:w="5420" w:type="dxa"/>
            <w:vAlign w:val="bottom"/>
          </w:tcPr>
          <w:p>
            <w:pPr>
              <w:spacing w:after="0"/>
              <w:rPr>
                <w:sz w:val="20"/>
                <w:szCs w:val="20"/>
                <w:color w:val="auto"/>
              </w:rPr>
            </w:pPr>
            <w:r>
              <w:rPr>
                <w:rFonts w:ascii="Arial" w:cs="Arial" w:eastAsia="Arial" w:hAnsi="Arial"/>
                <w:sz w:val="18"/>
                <w:szCs w:val="18"/>
                <w:color w:val="auto"/>
              </w:rPr>
              <w:t>Net loss from discontinued operations, net of tax</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21"/>
        </w:trPr>
        <w:tc>
          <w:tcPr>
            <w:tcW w:w="65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68.6 %</w:t>
            </w:r>
          </w:p>
        </w:tc>
      </w:tr>
      <w:tr>
        <w:trPr>
          <w:trHeight w:val="20"/>
        </w:trPr>
        <w:tc>
          <w:tcPr>
            <w:tcW w:w="5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407"/>
        </w:trPr>
        <w:tc>
          <w:tcPr>
            <w:tcW w:w="6580" w:type="dxa"/>
            <w:vAlign w:val="bottom"/>
            <w:gridSpan w:val="2"/>
          </w:tcPr>
          <w:p>
            <w:pPr>
              <w:spacing w:after="0"/>
              <w:rPr>
                <w:sz w:val="20"/>
                <w:szCs w:val="20"/>
                <w:color w:val="auto"/>
              </w:rPr>
            </w:pPr>
            <w:r>
              <w:rPr>
                <w:rFonts w:ascii="Arial" w:cs="Arial" w:eastAsia="Arial" w:hAnsi="Arial"/>
                <w:sz w:val="18"/>
                <w:szCs w:val="18"/>
                <w:color w:val="auto"/>
              </w:rPr>
              <w:t>Basic loss per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Continuing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Discontinued operations</w:t>
            </w:r>
          </w:p>
        </w:tc>
        <w:tc>
          <w:tcPr>
            <w:tcW w:w="1980" w:type="dxa"/>
            <w:vAlign w:val="bottom"/>
            <w:gridSpan w:val="3"/>
          </w:tcPr>
          <w:p>
            <w:pPr>
              <w:jc w:val="right"/>
              <w:ind w:right="1291"/>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1"/>
        </w:trPr>
        <w:tc>
          <w:tcPr>
            <w:tcW w:w="54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06"/>
        </w:trPr>
        <w:tc>
          <w:tcPr>
            <w:tcW w:w="6580" w:type="dxa"/>
            <w:vAlign w:val="bottom"/>
            <w:gridSpan w:val="2"/>
          </w:tcPr>
          <w:p>
            <w:pPr>
              <w:spacing w:after="0"/>
              <w:rPr>
                <w:sz w:val="20"/>
                <w:szCs w:val="20"/>
                <w:color w:val="auto"/>
              </w:rPr>
            </w:pPr>
            <w:r>
              <w:rPr>
                <w:rFonts w:ascii="Arial" w:cs="Arial" w:eastAsia="Arial" w:hAnsi="Arial"/>
                <w:sz w:val="18"/>
                <w:szCs w:val="18"/>
                <w:color w:val="auto"/>
              </w:rPr>
              <w:t>Diluted loss per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Continuing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8"/>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Discontinued operations</w:t>
            </w:r>
          </w:p>
        </w:tc>
        <w:tc>
          <w:tcPr>
            <w:tcW w:w="1980" w:type="dxa"/>
            <w:vAlign w:val="bottom"/>
            <w:gridSpan w:val="3"/>
          </w:tcPr>
          <w:p>
            <w:pPr>
              <w:jc w:val="right"/>
              <w:ind w:right="1291"/>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1"/>
        </w:trPr>
        <w:tc>
          <w:tcPr>
            <w:tcW w:w="54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
        </w:trPr>
        <w:tc>
          <w:tcPr>
            <w:tcW w:w="5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06"/>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7"/>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124" w:lineRule="exact"/>
        <w:rPr>
          <w:sz w:val="20"/>
          <w:szCs w:val="20"/>
          <w:color w:val="auto"/>
        </w:rPr>
      </w:pPr>
    </w:p>
    <w:p>
      <w:pPr>
        <w:sectPr>
          <w:pgSz w:w="11900" w:h="16838" w:orient="portrait"/>
          <w:cols w:equalWidth="0" w:num="1">
            <w:col w:w="11220"/>
          </w:cols>
          <w:pgMar w:left="340" w:top="1440" w:right="339" w:bottom="47" w:gutter="0" w:footer="0" w:header="0"/>
        </w:sectPr>
      </w:pPr>
    </w:p>
    <w:p>
      <w:pPr>
        <w:spacing w:after="0"/>
        <w:rPr>
          <w:sz w:val="20"/>
          <w:szCs w:val="20"/>
          <w:color w:val="auto"/>
        </w:rPr>
      </w:pPr>
      <w:r>
        <w:rPr>
          <w:rFonts w:ascii="Arial" w:cs="Arial" w:eastAsia="Arial" w:hAnsi="Arial"/>
          <w:sz w:val="16"/>
          <w:szCs w:val="16"/>
          <w:color w:val="auto"/>
        </w:rPr>
        <w:t>* Numbers may not add precisely due to rounding.</w:t>
      </w:r>
    </w:p>
    <w:p>
      <w:pPr>
        <w:sectPr>
          <w:pgSz w:w="11900" w:h="16838" w:orient="portrait"/>
          <w:cols w:equalWidth="0" w:num="1">
            <w:col w:w="11220"/>
          </w:cols>
          <w:pgMar w:left="340" w:top="1440" w:right="339" w:bottom="47"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9019"/>
          </w:cols>
          <w:pgMar w:left="1440" w:top="80"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1"/>
        </w:trPr>
        <w:tc>
          <w:tcPr>
            <w:tcW w:w="6020" w:type="dxa"/>
            <w:vAlign w:val="bottom"/>
          </w:tcPr>
          <w:p>
            <w:pPr>
              <w:spacing w:after="0"/>
              <w:rPr>
                <w:sz w:val="24"/>
                <w:szCs w:val="24"/>
                <w:color w:val="auto"/>
              </w:rPr>
            </w:pPr>
          </w:p>
        </w:tc>
        <w:tc>
          <w:tcPr>
            <w:tcW w:w="3640" w:type="dxa"/>
            <w:vAlign w:val="bottom"/>
            <w:gridSpan w:val="5"/>
          </w:tcPr>
          <w:p>
            <w:pPr>
              <w:ind w:left="620"/>
              <w:spacing w:after="0"/>
              <w:rPr>
                <w:sz w:val="20"/>
                <w:szCs w:val="20"/>
                <w:color w:val="auto"/>
              </w:rPr>
            </w:pPr>
            <w:r>
              <w:rPr>
                <w:rFonts w:ascii="Arial" w:cs="Arial" w:eastAsia="Arial" w:hAnsi="Arial"/>
                <w:sz w:val="18"/>
                <w:szCs w:val="18"/>
                <w:b w:val="1"/>
                <w:bCs w:val="1"/>
                <w:color w:val="auto"/>
              </w:rPr>
              <w:t>Six Months Ended June 30,</w:t>
            </w:r>
          </w:p>
        </w:tc>
        <w:tc>
          <w:tcPr>
            <w:tcW w:w="1560" w:type="dxa"/>
            <w:vAlign w:val="bottom"/>
          </w:tcPr>
          <w:p>
            <w:pPr>
              <w:spacing w:after="0"/>
              <w:rPr>
                <w:sz w:val="24"/>
                <w:szCs w:val="24"/>
                <w:color w:val="auto"/>
              </w:rPr>
            </w:pPr>
          </w:p>
        </w:tc>
      </w:tr>
      <w:tr>
        <w:trPr>
          <w:trHeight w:val="222"/>
        </w:trPr>
        <w:tc>
          <w:tcPr>
            <w:tcW w:w="60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171"/>
              <w:spacing w:after="0" w:line="222"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r>
      <w:tr>
        <w:trPr>
          <w:trHeight w:val="223"/>
        </w:trPr>
        <w:tc>
          <w:tcPr>
            <w:tcW w:w="710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SG&amp;A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$197.8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27"/>
        </w:trPr>
        <w:tc>
          <w:tcPr>
            <w:tcW w:w="710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Adjusted R&amp;D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12.3 %</w:t>
            </w:r>
          </w:p>
        </w:tc>
      </w:tr>
      <w:tr>
        <w:trPr>
          <w:trHeight w:val="227"/>
        </w:trPr>
        <w:tc>
          <w:tcPr>
            <w:tcW w:w="710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Adjusted operating income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321.9 %</w:t>
            </w:r>
          </w:p>
        </w:tc>
      </w:tr>
      <w:tr>
        <w:trPr>
          <w:trHeight w:val="227"/>
        </w:trPr>
        <w:tc>
          <w:tcPr>
            <w:tcW w:w="7100" w:type="dxa"/>
            <w:vAlign w:val="bottom"/>
            <w:gridSpan w:val="2"/>
          </w:tcPr>
          <w:p>
            <w:pPr>
              <w:spacing w:after="0" w:line="228" w:lineRule="exact"/>
              <w:rPr>
                <w:sz w:val="20"/>
                <w:szCs w:val="20"/>
                <w:color w:val="auto"/>
              </w:rPr>
            </w:pPr>
            <w:r>
              <w:rPr>
                <w:rFonts w:ascii="Arial" w:cs="Arial" w:eastAsia="Arial" w:hAnsi="Arial"/>
                <w:sz w:val="18"/>
                <w:szCs w:val="18"/>
                <w:color w:val="auto"/>
              </w:rPr>
              <w:t xml:space="preserve">Adjusted net income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410.1 %</w:t>
            </w:r>
          </w:p>
        </w:tc>
      </w:tr>
      <w:tr>
        <w:trPr>
          <w:trHeight w:val="296"/>
        </w:trPr>
        <w:tc>
          <w:tcPr>
            <w:tcW w:w="7100" w:type="dxa"/>
            <w:vAlign w:val="bottom"/>
            <w:gridSpan w:val="2"/>
          </w:tcPr>
          <w:p>
            <w:pPr>
              <w:spacing w:after="0"/>
              <w:rPr>
                <w:sz w:val="20"/>
                <w:szCs w:val="20"/>
                <w:color w:val="auto"/>
              </w:rPr>
            </w:pPr>
            <w:r>
              <w:rPr>
                <w:rFonts w:ascii="Arial" w:cs="Arial" w:eastAsia="Arial" w:hAnsi="Arial"/>
                <w:sz w:val="18"/>
                <w:szCs w:val="18"/>
                <w:color w:val="auto"/>
              </w:rPr>
              <w:t xml:space="preserve">Adjusted diluted earnings per share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400.6 %</w:t>
            </w:r>
          </w:p>
        </w:tc>
      </w:tr>
    </w:tbl>
    <w:p>
      <w:pPr>
        <w:spacing w:after="0" w:line="51" w:lineRule="exact"/>
        <w:rPr>
          <w:sz w:val="20"/>
          <w:szCs w:val="20"/>
          <w:color w:val="auto"/>
        </w:rPr>
      </w:pPr>
    </w:p>
    <w:p>
      <w:pPr>
        <w:ind w:left="480" w:right="20" w:hanging="357"/>
        <w:spacing w:after="0" w:line="230"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3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GAAP Six Months Ended June 30,</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70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Six Months Ended June 30,</w:t>
            </w:r>
          </w:p>
        </w:tc>
      </w:tr>
      <w:tr>
        <w:trPr>
          <w:trHeight w:val="221"/>
        </w:trPr>
        <w:tc>
          <w:tcPr>
            <w:tcW w:w="2180" w:type="dxa"/>
            <w:vAlign w:val="bottom"/>
          </w:tcPr>
          <w:p>
            <w:pPr>
              <w:spacing w:after="0"/>
              <w:rPr>
                <w:sz w:val="19"/>
                <w:szCs w:val="19"/>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30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2020</w:t>
            </w:r>
          </w:p>
        </w:tc>
      </w:tr>
      <w:tr>
        <w:trPr>
          <w:trHeight w:val="219"/>
        </w:trPr>
        <w:tc>
          <w:tcPr>
            <w:tcW w:w="3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jc w:val="right"/>
              <w:spacing w:after="0"/>
              <w:rPr>
                <w:sz w:val="20"/>
                <w:szCs w:val="20"/>
                <w:color w:val="auto"/>
              </w:rPr>
            </w:pPr>
            <w:r>
              <w:rPr>
                <w:rFonts w:ascii="Arial" w:cs="Arial" w:eastAsia="Arial" w:hAnsi="Arial"/>
                <w:sz w:val="18"/>
                <w:szCs w:val="18"/>
                <w:color w:val="auto"/>
              </w:rPr>
              <w:t>66.1 %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66.6 %</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69.2 %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65.1 %</w:t>
            </w:r>
          </w:p>
        </w:tc>
      </w:tr>
      <w:tr>
        <w:trPr>
          <w:trHeight w:val="227"/>
        </w:trPr>
        <w:tc>
          <w:tcPr>
            <w:tcW w:w="35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40" w:type="dxa"/>
            <w:vAlign w:val="bottom"/>
          </w:tcPr>
          <w:p>
            <w:pPr>
              <w:jc w:val="right"/>
              <w:spacing w:after="0"/>
              <w:rPr>
                <w:sz w:val="20"/>
                <w:szCs w:val="20"/>
                <w:color w:val="auto"/>
              </w:rPr>
            </w:pPr>
            <w:r>
              <w:rPr>
                <w:rFonts w:ascii="Arial" w:cs="Arial" w:eastAsia="Arial" w:hAnsi="Arial"/>
                <w:sz w:val="18"/>
                <w:szCs w:val="18"/>
                <w:color w:val="auto"/>
              </w:rPr>
              <w:t>46.6 %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53.6 %</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43.2 %</w:t>
            </w:r>
          </w:p>
        </w:tc>
      </w:tr>
      <w:tr>
        <w:trPr>
          <w:trHeight w:val="227"/>
        </w:trPr>
        <w:tc>
          <w:tcPr>
            <w:tcW w:w="35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4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17.9 %</w:t>
            </w:r>
          </w:p>
        </w:tc>
      </w:tr>
      <w:tr>
        <w:trPr>
          <w:trHeight w:val="188"/>
        </w:trPr>
        <w:tc>
          <w:tcPr>
            <w:tcW w:w="3500" w:type="dxa"/>
            <w:vAlign w:val="bottom"/>
            <w:gridSpan w:val="2"/>
          </w:tcPr>
          <w:p>
            <w:pPr>
              <w:spacing w:after="0" w:line="188" w:lineRule="exact"/>
              <w:rPr>
                <w:sz w:val="20"/>
                <w:szCs w:val="20"/>
                <w:color w:val="auto"/>
              </w:rPr>
            </w:pPr>
            <w:r>
              <w:rPr>
                <w:rFonts w:ascii="Arial" w:cs="Arial" w:eastAsia="Arial" w:hAnsi="Arial"/>
                <w:sz w:val="18"/>
                <w:szCs w:val="18"/>
                <w:color w:val="auto"/>
              </w:rPr>
              <w:t>Operating (loss) income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74"/>
        </w:trPr>
        <w:tc>
          <w:tcPr>
            <w:tcW w:w="3500" w:type="dxa"/>
            <w:vAlign w:val="bottom"/>
            <w:gridSpan w:val="2"/>
          </w:tcPr>
          <w:p>
            <w:pPr>
              <w:spacing w:after="0" w:line="174" w:lineRule="exact"/>
              <w:rPr>
                <w:sz w:val="20"/>
                <w:szCs w:val="20"/>
                <w:color w:val="auto"/>
              </w:rPr>
            </w:pPr>
            <w:r>
              <w:rPr>
                <w:rFonts w:ascii="Arial" w:cs="Arial" w:eastAsia="Arial" w:hAnsi="Arial"/>
                <w:sz w:val="18"/>
                <w:szCs w:val="18"/>
                <w:color w:val="auto"/>
              </w:rPr>
              <w:t>from continuing</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188"/>
        </w:trPr>
        <w:tc>
          <w:tcPr>
            <w:tcW w:w="3500" w:type="dxa"/>
            <w:vAlign w:val="bottom"/>
            <w:gridSpan w:val="2"/>
          </w:tcPr>
          <w:p>
            <w:pPr>
              <w:spacing w:after="0" w:line="188" w:lineRule="exact"/>
              <w:rPr>
                <w:sz w:val="20"/>
                <w:szCs w:val="20"/>
                <w:color w:val="auto"/>
              </w:rPr>
            </w:pPr>
            <w:r>
              <w:rPr>
                <w:rFonts w:ascii="Arial" w:cs="Arial" w:eastAsia="Arial" w:hAnsi="Arial"/>
                <w:sz w:val="18"/>
                <w:szCs w:val="18"/>
                <w:color w:val="auto"/>
              </w:rPr>
              <w:t>Net (loss) income from</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w:t>
            </w:r>
          </w:p>
        </w:tc>
        <w:tc>
          <w:tcPr>
            <w:tcW w:w="12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7"/>
        </w:trPr>
        <w:tc>
          <w:tcPr>
            <w:tcW w:w="35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(78.0)%</w:t>
            </w: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12.4 %</w:t>
            </w:r>
          </w:p>
        </w:tc>
      </w:tr>
    </w:tbl>
    <w:p>
      <w:pPr>
        <w:spacing w:after="0" w:line="124" w:lineRule="exact"/>
        <w:rPr>
          <w:sz w:val="20"/>
          <w:szCs w:val="20"/>
          <w:color w:val="auto"/>
        </w:rPr>
      </w:pPr>
    </w:p>
    <w:p>
      <w:pPr>
        <w:ind w:left="440" w:right="20" w:hanging="330"/>
        <w:spacing w:after="0" w:line="230"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20"/>
          </w:cols>
          <w:pgMar w:left="340" w:top="1440" w:right="339" w:bottom="1440" w:gutter="0" w:footer="0" w:header="0"/>
        </w:sectPr>
      </w:pPr>
    </w:p>
    <w:bookmarkStart w:id="17" w:name="page18"/>
    <w:bookmarkEnd w:id="17"/>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96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8255"/>
                    </a:xfrm>
                    <a:prstGeom prst="rect">
                      <a:avLst/>
                    </a:prstGeom>
                    <a:noFill/>
                  </pic:spPr>
                </pic:pic>
              </a:graphicData>
            </a:graphic>
          </wp:anchor>
        </w:drawing>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Specified Items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Three</w:t>
            </w:r>
          </w:p>
        </w:tc>
        <w:tc>
          <w:tcPr>
            <w:tcW w:w="620" w:type="dxa"/>
            <w:vAlign w:val="bottom"/>
          </w:tcPr>
          <w:p>
            <w:pPr>
              <w:spacing w:after="0"/>
              <w:rPr>
                <w:sz w:val="14"/>
                <w:szCs w:val="14"/>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Depreciation</w:t>
            </w:r>
          </w:p>
        </w:tc>
        <w:tc>
          <w:tcPr>
            <w:tcW w:w="6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11"/>
              <w:spacing w:after="0"/>
              <w:rPr>
                <w:sz w:val="20"/>
                <w:szCs w:val="20"/>
                <w:color w:val="auto"/>
              </w:rPr>
            </w:pPr>
            <w:r>
              <w:rPr>
                <w:rFonts w:ascii="Arial" w:cs="Arial" w:eastAsia="Arial" w:hAnsi="Arial"/>
                <w:sz w:val="12"/>
                <w:szCs w:val="12"/>
                <w:b w:val="1"/>
                <w:bCs w:val="1"/>
                <w:color w:val="auto"/>
              </w:rPr>
              <w:t>Certain Legal,</w:t>
            </w:r>
          </w:p>
        </w:tc>
        <w:tc>
          <w:tcPr>
            <w:tcW w:w="1020" w:type="dxa"/>
            <w:vAlign w:val="bottom"/>
            <w:tcBorders>
              <w:top w:val="single" w:sz="8" w:color="auto"/>
            </w:tcBorders>
            <w:vMerge w:val="restart"/>
          </w:tcPr>
          <w:p>
            <w:pPr>
              <w:jc w:val="center"/>
              <w:ind w:right="11"/>
              <w:spacing w:after="0"/>
              <w:rPr>
                <w:sz w:val="20"/>
                <w:szCs w:val="20"/>
                <w:color w:val="auto"/>
              </w:rPr>
            </w:pPr>
            <w:r>
              <w:rPr>
                <w:rFonts w:ascii="Arial" w:cs="Arial" w:eastAsia="Arial" w:hAnsi="Arial"/>
                <w:sz w:val="12"/>
                <w:szCs w:val="12"/>
                <w:b w:val="1"/>
                <w:bCs w:val="1"/>
                <w:color w:val="auto"/>
              </w:rPr>
              <w:t>Stock-based</w:t>
            </w:r>
          </w:p>
        </w:tc>
        <w:tc>
          <w:tcPr>
            <w:tcW w:w="9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2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Months</w:t>
            </w: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2"/>
                <w:szCs w:val="12"/>
                <w:b w:val="1"/>
                <w:bCs w:val="1"/>
                <w:color w:val="auto"/>
              </w:rPr>
              <w:t>Restructuring</w:t>
            </w: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and</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Heart</w:t>
            </w:r>
          </w:p>
        </w:tc>
        <w:tc>
          <w:tcPr>
            <w:tcW w:w="920" w:type="dxa"/>
            <w:vAlign w:val="bottom"/>
            <w:vMerge w:val="continue"/>
          </w:tcPr>
          <w:p>
            <w:pPr>
              <w:spacing w:after="0"/>
              <w:rPr>
                <w:sz w:val="10"/>
                <w:szCs w:val="10"/>
                <w:color w:val="auto"/>
              </w:rPr>
            </w:pPr>
          </w:p>
        </w:tc>
        <w:tc>
          <w:tcPr>
            <w:tcW w:w="940" w:type="dxa"/>
            <w:vAlign w:val="bottom"/>
            <w:vMerge w:val="restart"/>
          </w:tcPr>
          <w:p>
            <w:pPr>
              <w:jc w:val="center"/>
              <w:ind w:right="10"/>
              <w:spacing w:after="0"/>
              <w:rPr>
                <w:sz w:val="20"/>
                <w:szCs w:val="20"/>
                <w:color w:val="auto"/>
              </w:rPr>
            </w:pPr>
            <w:r>
              <w:rPr>
                <w:rFonts w:ascii="Arial" w:cs="Arial" w:eastAsia="Arial" w:hAnsi="Arial"/>
                <w:sz w:val="12"/>
                <w:szCs w:val="12"/>
                <w:b w:val="1"/>
                <w:bCs w:val="1"/>
                <w:color w:val="auto"/>
              </w:rPr>
              <w:t>Financing</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Contingent</w:t>
            </w:r>
          </w:p>
        </w:tc>
        <w:tc>
          <w:tcPr>
            <w:tcW w:w="102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900" w:type="dxa"/>
            <w:vAlign w:val="bottom"/>
            <w:vMerge w:val="continue"/>
          </w:tcPr>
          <w:p>
            <w:pPr>
              <w:spacing w:after="0"/>
              <w:rPr>
                <w:sz w:val="10"/>
                <w:szCs w:val="10"/>
                <w:color w:val="auto"/>
              </w:rPr>
            </w:pP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20"/>
        </w:trPr>
        <w:tc>
          <w:tcPr>
            <w:tcW w:w="92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Ended</w:t>
            </w:r>
          </w:p>
        </w:tc>
        <w:tc>
          <w:tcPr>
            <w:tcW w:w="62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Integration</w:t>
            </w:r>
          </w:p>
        </w:tc>
        <w:tc>
          <w:tcPr>
            <w:tcW w:w="98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Amortization</w:t>
            </w:r>
          </w:p>
        </w:tc>
        <w:tc>
          <w:tcPr>
            <w:tcW w:w="640" w:type="dxa"/>
            <w:vAlign w:val="bottom"/>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Remediation</w:t>
            </w:r>
          </w:p>
        </w:tc>
        <w:tc>
          <w:tcPr>
            <w:tcW w:w="940" w:type="dxa"/>
            <w:vAlign w:val="bottom"/>
            <w:vMerge w:val="continue"/>
          </w:tcPr>
          <w:p>
            <w:pPr>
              <w:spacing w:after="0"/>
              <w:rPr>
                <w:sz w:val="10"/>
                <w:szCs w:val="10"/>
                <w:color w:val="auto"/>
              </w:rPr>
            </w:pPr>
          </w:p>
        </w:tc>
        <w:tc>
          <w:tcPr>
            <w:tcW w:w="100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Consideration</w:t>
            </w:r>
          </w:p>
        </w:tc>
        <w:tc>
          <w:tcPr>
            <w:tcW w:w="10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Compensation</w:t>
            </w:r>
          </w:p>
        </w:tc>
        <w:tc>
          <w:tcPr>
            <w:tcW w:w="94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June 30,</w:t>
            </w:r>
          </w:p>
        </w:tc>
        <w:tc>
          <w:tcPr>
            <w:tcW w:w="6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Financial</w:t>
            </w: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Expenses</w:t>
            </w:r>
          </w:p>
        </w:tc>
        <w:tc>
          <w:tcPr>
            <w:tcW w:w="980" w:type="dxa"/>
            <w:vAlign w:val="bottom"/>
          </w:tcPr>
          <w:p>
            <w:pPr>
              <w:jc w:val="center"/>
              <w:ind w:right="50"/>
              <w:spacing w:after="0" w:line="121" w:lineRule="exact"/>
              <w:rPr>
                <w:sz w:val="20"/>
                <w:szCs w:val="20"/>
                <w:color w:val="auto"/>
              </w:rPr>
            </w:pPr>
            <w:r>
              <w:rPr>
                <w:rFonts w:ascii="Arial" w:cs="Arial" w:eastAsia="Arial" w:hAnsi="Arial"/>
                <w:sz w:val="12"/>
                <w:szCs w:val="12"/>
                <w:b w:val="1"/>
                <w:bCs w:val="1"/>
                <w:color w:val="auto"/>
              </w:rPr>
              <w:t>Expenses</w:t>
            </w:r>
          </w:p>
        </w:tc>
        <w:tc>
          <w:tcPr>
            <w:tcW w:w="90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Expenses</w:t>
            </w: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9"/>
              </w:rPr>
              <w:t>Valves</w:t>
            </w:r>
          </w:p>
        </w:tc>
        <w:tc>
          <w:tcPr>
            <w:tcW w:w="92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Expenses</w:t>
            </w:r>
          </w:p>
        </w:tc>
        <w:tc>
          <w:tcPr>
            <w:tcW w:w="940" w:type="dxa"/>
            <w:vAlign w:val="bottom"/>
          </w:tcPr>
          <w:p>
            <w:pPr>
              <w:jc w:val="center"/>
              <w:ind w:right="10"/>
              <w:spacing w:after="0" w:line="12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and Other</w:t>
            </w:r>
          </w:p>
        </w:tc>
        <w:tc>
          <w:tcPr>
            <w:tcW w:w="102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Costs</w:t>
            </w:r>
          </w:p>
        </w:tc>
        <w:tc>
          <w:tcPr>
            <w:tcW w:w="940" w:type="dxa"/>
            <w:vAlign w:val="bottom"/>
          </w:tcPr>
          <w:p>
            <w:pPr>
              <w:jc w:val="center"/>
              <w:ind w:right="30"/>
              <w:spacing w:after="0" w:line="121" w:lineRule="exact"/>
              <w:rPr>
                <w:sz w:val="20"/>
                <w:szCs w:val="20"/>
                <w:color w:val="auto"/>
              </w:rPr>
            </w:pPr>
            <w:r>
              <w:rPr>
                <w:rFonts w:ascii="Arial" w:cs="Arial" w:eastAsia="Arial" w:hAnsi="Arial"/>
                <w:sz w:val="12"/>
                <w:szCs w:val="12"/>
                <w:b w:val="1"/>
                <w:bCs w:val="1"/>
                <w:color w:val="auto"/>
              </w:rPr>
              <w:t>Adjustments</w:t>
            </w: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Adjustments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$90.8</w:t>
            </w: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($3.9)</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($0.4)</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($5.2)</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($1.1)</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Gross profit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65.7 %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69.7 %</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Selling,</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general and</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122.7</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71"/>
              <w:spacing w:after="0"/>
              <w:rPr>
                <w:sz w:val="20"/>
                <w:szCs w:val="20"/>
                <w:color w:val="auto"/>
              </w:rPr>
            </w:pPr>
            <w:r>
              <w:rPr>
                <w:rFonts w:ascii="Arial" w:cs="Arial" w:eastAsia="Arial" w:hAnsi="Arial"/>
                <w:sz w:val="14"/>
                <w:szCs w:val="14"/>
                <w:color w:val="auto"/>
              </w:rPr>
              <w:t>(3.1)</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(12.2)</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(6.0)</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0"/>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Selling,</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general and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administrative</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as a percent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46.4 %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38.4 %</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Research and</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52.6</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(6.3)</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(2.8)</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0"/>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Research and</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development</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as a percent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19.9 %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Other</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operating</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33.2</w:t>
            </w: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(0.1)</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(3.6)</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(29.4)</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Operating</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(loss) income</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from</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0"/>
              <w:spacing w:after="0"/>
              <w:rPr>
                <w:sz w:val="20"/>
                <w:szCs w:val="20"/>
                <w:color w:val="auto"/>
              </w:rPr>
            </w:pPr>
            <w:r>
              <w:rPr>
                <w:rFonts w:ascii="Arial" w:cs="Arial" w:eastAsia="Arial" w:hAnsi="Arial"/>
                <w:sz w:val="14"/>
                <w:szCs w:val="14"/>
                <w:color w:val="auto"/>
              </w:rPr>
              <w:t>(34.9)</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0.1</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3.6</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7.0</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0.4</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color w:val="auto"/>
              </w:rPr>
              <w:t>53.1</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9.9</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0"/>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Operating</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margin</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20.1 %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3.7 %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Income tax</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4.1</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0.2</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0.5</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3.6</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0.1</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(0.6)</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ind w:left="460"/>
              <w:spacing w:after="0"/>
              <w:rPr>
                <w:sz w:val="20"/>
                <w:szCs w:val="20"/>
                <w:color w:val="auto"/>
              </w:rPr>
            </w:pPr>
            <w:r>
              <w:rPr>
                <w:rFonts w:ascii="Arial" w:cs="Arial" w:eastAsia="Arial" w:hAnsi="Arial"/>
                <w:sz w:val="14"/>
                <w:szCs w:val="14"/>
                <w:color w:val="auto"/>
              </w:rPr>
              <w:t>(3.9)</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expense</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income from</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0"/>
              <w:spacing w:after="0"/>
              <w:rPr>
                <w:sz w:val="20"/>
                <w:szCs w:val="20"/>
                <w:color w:val="auto"/>
              </w:rPr>
            </w:pPr>
            <w:r>
              <w:rPr>
                <w:rFonts w:ascii="Arial" w:cs="Arial" w:eastAsia="Arial" w:hAnsi="Arial"/>
                <w:sz w:val="14"/>
                <w:szCs w:val="14"/>
                <w:color w:val="auto"/>
              </w:rPr>
              <w:t>(55.3)</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0.1</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3.4</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6.4</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(3.5)</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5.7</w:t>
            </w: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color w:val="auto"/>
              </w:rPr>
              <w:t>50.5</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9.6</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3.9</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4.6</w:t>
            </w:r>
          </w:p>
        </w:tc>
        <w:tc>
          <w:tcPr>
            <w:tcW w:w="720" w:type="dxa"/>
            <w:vAlign w:val="bottom"/>
            <w:vMerge w:val="restart"/>
          </w:tcPr>
          <w:p>
            <w:pPr>
              <w:jc w:val="right"/>
              <w:ind w:right="11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Diluted EPS -</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0"/>
              <w:spacing w:after="0"/>
              <w:rPr>
                <w:sz w:val="20"/>
                <w:szCs w:val="20"/>
                <w:color w:val="auto"/>
              </w:rPr>
            </w:pPr>
            <w:r>
              <w:rPr>
                <w:rFonts w:ascii="Arial" w:cs="Arial" w:eastAsia="Arial" w:hAnsi="Arial"/>
                <w:sz w:val="14"/>
                <w:szCs w:val="14"/>
                <w:color w:val="auto"/>
              </w:rPr>
              <w:t>($1.13)</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$0.07</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$0.13</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w w:val="99"/>
              </w:rPr>
              <w:t>($0.07)</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$0.01</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$0.11</w:t>
            </w: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color w:val="auto"/>
              </w:rPr>
              <w:t>$1.01</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$0.19</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$0.08</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$0.09</w:t>
            </w:r>
          </w:p>
        </w:tc>
        <w:tc>
          <w:tcPr>
            <w:tcW w:w="720" w:type="dxa"/>
            <w:vAlign w:val="bottom"/>
            <w:vMerge w:val="restart"/>
          </w:tcPr>
          <w:p>
            <w:pPr>
              <w:jc w:val="right"/>
              <w:ind w:right="110"/>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June 30, 2021 include:</w:t>
      </w:r>
    </w:p>
    <w:p>
      <w:pPr>
        <w:spacing w:after="0" w:line="44" w:lineRule="exact"/>
        <w:rPr>
          <w:sz w:val="20"/>
          <w:szCs w:val="20"/>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Loss associated with the sale of Heart Valves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26" w:lineRule="exact"/>
        <w:rPr>
          <w:rFonts w:ascii="Arial" w:cs="Arial" w:eastAsia="Arial" w:hAnsi="Arial"/>
          <w:sz w:val="14"/>
          <w:szCs w:val="14"/>
          <w:color w:val="auto"/>
        </w:rPr>
      </w:pPr>
    </w:p>
    <w:p>
      <w:pPr>
        <w:ind w:left="340" w:right="240" w:hanging="315"/>
        <w:spacing w:after="0" w:line="22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other matters, remeasurement of contingent consideration related to acquisitions and dividend income</w:t>
      </w:r>
    </w:p>
    <w:p>
      <w:pPr>
        <w:spacing w:after="0" w:line="16" w:lineRule="exact"/>
        <w:rPr>
          <w:rFonts w:ascii="Arial" w:cs="Arial" w:eastAsia="Arial" w:hAnsi="Arial"/>
          <w:sz w:val="14"/>
          <w:szCs w:val="14"/>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discrete tax items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340"/>
          </w:cols>
          <w:pgMar w:left="320" w:top="1440" w:right="239" w:bottom="1440" w:gutter="0" w:footer="0" w:header="0"/>
        </w:sectPr>
      </w:pPr>
    </w:p>
    <w:bookmarkStart w:id="18" w:name="page19"/>
    <w:bookmarkEnd w:id="18"/>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Specified Items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1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11"/>
              <w:spacing w:after="0" w:line="114" w:lineRule="exact"/>
              <w:rPr>
                <w:sz w:val="20"/>
                <w:szCs w:val="20"/>
                <w:color w:val="auto"/>
              </w:rPr>
            </w:pPr>
            <w:r>
              <w:rPr>
                <w:rFonts w:ascii="Arial" w:cs="Arial" w:eastAsia="Arial" w:hAnsi="Arial"/>
                <w:sz w:val="12"/>
                <w:szCs w:val="12"/>
                <w:b w:val="1"/>
                <w:bCs w:val="1"/>
                <w:color w:val="auto"/>
              </w:rPr>
              <w:t>Depreciation</w:t>
            </w: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Certain Legal,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4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2"/>
                <w:szCs w:val="12"/>
                <w:b w:val="1"/>
                <w:bCs w:val="1"/>
                <w:color w:val="auto"/>
              </w:rPr>
              <w:t>Restructuring</w:t>
            </w:r>
          </w:p>
        </w:tc>
        <w:tc>
          <w:tcPr>
            <w:tcW w:w="92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and</w:t>
            </w:r>
          </w:p>
        </w:tc>
        <w:tc>
          <w:tcPr>
            <w:tcW w:w="94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Contingent</w:t>
            </w:r>
          </w:p>
        </w:tc>
        <w:tc>
          <w:tcPr>
            <w:tcW w:w="10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900" w:type="dxa"/>
            <w:vAlign w:val="bottom"/>
            <w:vMerge w:val="continue"/>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20"/>
        </w:trPr>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Integration</w:t>
            </w:r>
          </w:p>
        </w:tc>
        <w:tc>
          <w:tcPr>
            <w:tcW w:w="980" w:type="dxa"/>
            <w:vAlign w:val="bottom"/>
            <w:vMerge w:val="continue"/>
          </w:tcPr>
          <w:p>
            <w:pPr>
              <w:spacing w:after="0"/>
              <w:rPr>
                <w:sz w:val="10"/>
                <w:szCs w:val="10"/>
                <w:color w:val="auto"/>
              </w:rPr>
            </w:pPr>
          </w:p>
        </w:tc>
        <w:tc>
          <w:tcPr>
            <w:tcW w:w="92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Amortization</w:t>
            </w:r>
          </w:p>
        </w:tc>
        <w:tc>
          <w:tcPr>
            <w:tcW w:w="9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Remediation</w:t>
            </w:r>
          </w:p>
        </w:tc>
        <w:tc>
          <w:tcPr>
            <w:tcW w:w="940" w:type="dxa"/>
            <w:vAlign w:val="bottom"/>
            <w:vMerge w:val="continue"/>
          </w:tcPr>
          <w:p>
            <w:pPr>
              <w:spacing w:after="0"/>
              <w:rPr>
                <w:sz w:val="10"/>
                <w:szCs w:val="10"/>
                <w:color w:val="auto"/>
              </w:rPr>
            </w:pPr>
          </w:p>
        </w:tc>
        <w:tc>
          <w:tcPr>
            <w:tcW w:w="100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Consideration</w:t>
            </w:r>
          </w:p>
        </w:tc>
        <w:tc>
          <w:tcPr>
            <w:tcW w:w="10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Interest</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80" w:type="dxa"/>
            <w:vAlign w:val="bottom"/>
            <w:vMerge w:val="continue"/>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Financial</w:t>
            </w: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Expenses</w:t>
            </w:r>
          </w:p>
        </w:tc>
        <w:tc>
          <w:tcPr>
            <w:tcW w:w="980" w:type="dxa"/>
            <w:vAlign w:val="bottom"/>
          </w:tcPr>
          <w:p>
            <w:pPr>
              <w:jc w:val="center"/>
              <w:ind w:right="50"/>
              <w:spacing w:after="0" w:line="121"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Expenses</w:t>
            </w:r>
          </w:p>
        </w:tc>
        <w:tc>
          <w:tcPr>
            <w:tcW w:w="94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Expenses</w:t>
            </w:r>
          </w:p>
        </w:tc>
        <w:tc>
          <w:tcPr>
            <w:tcW w:w="9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and Other</w:t>
            </w:r>
          </w:p>
        </w:tc>
        <w:tc>
          <w:tcPr>
            <w:tcW w:w="102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10"/>
              <w:spacing w:after="0" w:line="121" w:lineRule="exact"/>
              <w:rPr>
                <w:sz w:val="20"/>
                <w:szCs w:val="20"/>
                <w:color w:val="auto"/>
              </w:rPr>
            </w:pPr>
            <w:r>
              <w:rPr>
                <w:rFonts w:ascii="Arial" w:cs="Arial" w:eastAsia="Arial" w:hAnsi="Arial"/>
                <w:sz w:val="12"/>
                <w:szCs w:val="12"/>
                <w:b w:val="1"/>
                <w:bCs w:val="1"/>
                <w:color w:val="auto"/>
              </w:rPr>
              <w:t>Adjustments</w:t>
            </w: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Adjustments</w:t>
            </w:r>
          </w:p>
        </w:tc>
        <w:tc>
          <w:tcPr>
            <w:tcW w:w="6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4"/>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2020</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rPr>
              <w:t>(B)</w:t>
            </w: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w w:val="95"/>
              </w:rPr>
              <w:t>(C)</w:t>
            </w:r>
          </w:p>
        </w:tc>
        <w:tc>
          <w:tcPr>
            <w:tcW w:w="94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100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rPr>
              <w:t>(F)</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82"/>
        </w:trPr>
        <w:tc>
          <w:tcPr>
            <w:tcW w:w="14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$65.7</w:t>
            </w: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($5.0)</w:t>
            </w: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($4.3)</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51"/>
              <w:spacing w:after="0"/>
              <w:rPr>
                <w:sz w:val="20"/>
                <w:szCs w:val="20"/>
                <w:color w:val="auto"/>
              </w:rPr>
            </w:pPr>
            <w:r>
              <w:rPr>
                <w:rFonts w:ascii="Arial" w:cs="Arial" w:eastAsia="Arial" w:hAnsi="Arial"/>
                <w:sz w:val="14"/>
                <w:szCs w:val="14"/>
                <w:color w:val="auto"/>
              </w:rPr>
              <w:t>$15.4</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($0.3)</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0"/>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87"/>
        </w:trPr>
        <w:tc>
          <w:tcPr>
            <w:tcW w:w="148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640" w:type="dxa"/>
            <w:vAlign w:val="bottom"/>
          </w:tcPr>
          <w:p>
            <w:pPr>
              <w:jc w:val="right"/>
              <w:spacing w:after="0"/>
              <w:rPr>
                <w:sz w:val="20"/>
                <w:szCs w:val="20"/>
                <w:color w:val="auto"/>
              </w:rPr>
            </w:pPr>
            <w:r>
              <w:rPr>
                <w:rFonts w:ascii="Arial" w:cs="Arial" w:eastAsia="Arial" w:hAnsi="Arial"/>
                <w:sz w:val="14"/>
                <w:szCs w:val="14"/>
                <w:color w:val="auto"/>
              </w:rPr>
              <w:t>63.9 %</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2.7 %</w:t>
            </w:r>
          </w:p>
        </w:tc>
        <w:tc>
          <w:tcPr>
            <w:tcW w:w="940" w:type="dxa"/>
            <w:vAlign w:val="bottom"/>
          </w:tcPr>
          <w:p>
            <w:pPr>
              <w:jc w:val="right"/>
              <w:spacing w:after="0"/>
              <w:rPr>
                <w:sz w:val="20"/>
                <w:szCs w:val="20"/>
                <w:color w:val="auto"/>
              </w:rPr>
            </w:pPr>
            <w:r>
              <w:rPr>
                <w:rFonts w:ascii="Arial" w:cs="Arial" w:eastAsia="Arial" w:hAnsi="Arial"/>
                <w:sz w:val="14"/>
                <w:szCs w:val="14"/>
                <w:color w:val="auto"/>
              </w:rPr>
              <w:t>2.3 %</w:t>
            </w: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(8.5)%</w:t>
            </w:r>
          </w:p>
        </w:tc>
        <w:tc>
          <w:tcPr>
            <w:tcW w:w="1020" w:type="dxa"/>
            <w:vAlign w:val="bottom"/>
          </w:tcPr>
          <w:p>
            <w:pPr>
              <w:jc w:val="right"/>
              <w:spacing w:after="0"/>
              <w:rPr>
                <w:sz w:val="20"/>
                <w:szCs w:val="20"/>
                <w:color w:val="auto"/>
              </w:rPr>
            </w:pPr>
            <w:r>
              <w:rPr>
                <w:rFonts w:ascii="Arial" w:cs="Arial" w:eastAsia="Arial" w:hAnsi="Arial"/>
                <w:sz w:val="14"/>
                <w:szCs w:val="14"/>
                <w:color w:val="auto"/>
              </w:rPr>
              <w:t>0.2 %</w:t>
            </w:r>
          </w:p>
        </w:tc>
        <w:tc>
          <w:tcPr>
            <w:tcW w:w="920" w:type="dxa"/>
            <w:vAlign w:val="bottom"/>
          </w:tcPr>
          <w:p>
            <w:pPr>
              <w:ind w:left="580"/>
              <w:spacing w:after="0"/>
              <w:rPr>
                <w:sz w:val="20"/>
                <w:szCs w:val="20"/>
                <w:color w:val="auto"/>
              </w:rPr>
            </w:pPr>
            <w:r>
              <w:rPr>
                <w:rFonts w:ascii="Arial" w:cs="Arial" w:eastAsia="Arial" w:hAnsi="Arial"/>
                <w:sz w:val="14"/>
                <w:szCs w:val="14"/>
                <w:color w:val="auto"/>
              </w:rPr>
              <w:t>— %</w:t>
            </w:r>
          </w:p>
        </w:tc>
        <w:tc>
          <w:tcPr>
            <w:tcW w:w="900" w:type="dxa"/>
            <w:vAlign w:val="bottom"/>
          </w:tcPr>
          <w:p>
            <w:pPr>
              <w:ind w:left="580"/>
              <w:spacing w:after="0"/>
              <w:rPr>
                <w:sz w:val="20"/>
                <w:szCs w:val="20"/>
                <w:color w:val="auto"/>
              </w:rPr>
            </w:pPr>
            <w:r>
              <w:rPr>
                <w:rFonts w:ascii="Arial" w:cs="Arial" w:eastAsia="Arial" w:hAnsi="Arial"/>
                <w:sz w:val="14"/>
                <w:szCs w:val="14"/>
                <w:color w:val="auto"/>
                <w:w w:val="98"/>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60.7 %</w:t>
            </w: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Selling, general and</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102.7</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(4.8)</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(2.5)</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(6.5)</w:t>
            </w: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color w:val="auto"/>
              </w:rPr>
              <w:t>(9.3)</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Selling, general and</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80" w:type="dxa"/>
            <w:vAlign w:val="bottom"/>
          </w:tcPr>
          <w:p>
            <w:pPr>
              <w:ind w:left="20"/>
              <w:spacing w:after="0" w:line="134" w:lineRule="exact"/>
              <w:rPr>
                <w:sz w:val="20"/>
                <w:szCs w:val="20"/>
                <w:color w:val="auto"/>
              </w:rPr>
            </w:pPr>
            <w:r>
              <w:rPr>
                <w:rFonts w:ascii="Arial" w:cs="Arial" w:eastAsia="Arial" w:hAnsi="Arial"/>
                <w:sz w:val="14"/>
                <w:szCs w:val="14"/>
                <w:color w:val="auto"/>
              </w:rPr>
              <w:t>administrative as 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56.4 %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43.7 %</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Research and</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25.2</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color w:val="auto"/>
              </w:rPr>
              <w:t>10.5</w:t>
            </w: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color w:val="auto"/>
              </w:rPr>
              <w:t>(0.4)</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Research and</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80" w:type="dxa"/>
            <w:vAlign w:val="bottom"/>
          </w:tcPr>
          <w:p>
            <w:pPr>
              <w:ind w:left="20"/>
              <w:spacing w:after="0" w:line="134" w:lineRule="exact"/>
              <w:rPr>
                <w:sz w:val="20"/>
                <w:szCs w:val="20"/>
                <w:color w:val="auto"/>
              </w:rPr>
            </w:pPr>
            <w:r>
              <w:rPr>
                <w:rFonts w:ascii="Arial" w:cs="Arial" w:eastAsia="Arial" w:hAnsi="Arial"/>
                <w:sz w:val="14"/>
                <w:szCs w:val="14"/>
                <w:color w:val="auto"/>
              </w:rPr>
              <w:t>development as 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13.8 %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19.3 %</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Other operating</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3.8</w:t>
            </w: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(2.0)</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(0.8)</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(1.0)</w:t>
            </w: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expenses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Operating loss from</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(15.2)</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2.0</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0.8</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9.8</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4.3</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2.5</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(18.4)</w:t>
            </w: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color w:val="auto"/>
              </w:rPr>
              <w:t>10.0</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Operating margin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5.4 %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5.5 %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Income tax expense</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66.3</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(0.2)</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1.4</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0.5</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color w:val="auto"/>
              </w:rPr>
              <w:t>0.6</w:t>
            </w: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color w:val="auto"/>
              </w:rPr>
              <w:t>(0.4)</w:t>
            </w:r>
          </w:p>
        </w:tc>
        <w:tc>
          <w:tcPr>
            <w:tcW w:w="920" w:type="dxa"/>
            <w:vAlign w:val="bottom"/>
            <w:vMerge w:val="restart"/>
          </w:tcPr>
          <w:p>
            <w:pPr>
              <w:ind w:left="380"/>
              <w:spacing w:after="0"/>
              <w:rPr>
                <w:sz w:val="20"/>
                <w:szCs w:val="20"/>
                <w:color w:val="auto"/>
              </w:rPr>
            </w:pPr>
            <w:r>
              <w:rPr>
                <w:rFonts w:ascii="Arial" w:cs="Arial" w:eastAsia="Arial" w:hAnsi="Arial"/>
                <w:sz w:val="14"/>
                <w:szCs w:val="14"/>
                <w:color w:val="auto"/>
              </w:rPr>
              <w:t>(67.9)</w:t>
            </w:r>
          </w:p>
        </w:tc>
        <w:tc>
          <w:tcPr>
            <w:tcW w:w="900" w:type="dxa"/>
            <w:vAlign w:val="bottom"/>
            <w:vMerge w:val="restart"/>
          </w:tcPr>
          <w:p>
            <w:pPr>
              <w:ind w:left="460"/>
              <w:spacing w:after="0"/>
              <w:rPr>
                <w:sz w:val="20"/>
                <w:szCs w:val="20"/>
                <w:color w:val="auto"/>
              </w:rPr>
            </w:pPr>
            <w:r>
              <w:rPr>
                <w:rFonts w:ascii="Arial" w:cs="Arial" w:eastAsia="Arial" w:hAnsi="Arial"/>
                <w:sz w:val="14"/>
                <w:szCs w:val="14"/>
                <w:color w:val="auto"/>
              </w:rPr>
              <w:t>(0.5)</w:t>
            </w: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(benefit)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Net loss from</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(88.0)</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2.0</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1.0</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8.4</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3.8</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2.7</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(19.0)</w:t>
            </w: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color w:val="auto"/>
              </w:rPr>
              <w:t>10.4</w:t>
            </w:r>
          </w:p>
        </w:tc>
        <w:tc>
          <w:tcPr>
            <w:tcW w:w="920" w:type="dxa"/>
            <w:vAlign w:val="bottom"/>
            <w:vMerge w:val="restart"/>
          </w:tcPr>
          <w:p>
            <w:pPr>
              <w:jc w:val="right"/>
              <w:ind w:right="130"/>
              <w:spacing w:after="0"/>
              <w:rPr>
                <w:sz w:val="20"/>
                <w:szCs w:val="20"/>
                <w:color w:val="auto"/>
              </w:rPr>
            </w:pPr>
            <w:r>
              <w:rPr>
                <w:rFonts w:ascii="Arial" w:cs="Arial" w:eastAsia="Arial" w:hAnsi="Arial"/>
                <w:sz w:val="14"/>
                <w:szCs w:val="14"/>
                <w:color w:val="auto"/>
              </w:rPr>
              <w:t>67.9</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3.3</w:t>
            </w: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80" w:type="dxa"/>
            <w:vAlign w:val="bottom"/>
          </w:tcPr>
          <w:p>
            <w:pPr>
              <w:ind w:left="20"/>
              <w:spacing w:after="0" w:line="150" w:lineRule="exact"/>
              <w:rPr>
                <w:sz w:val="20"/>
                <w:szCs w:val="20"/>
                <w:color w:val="auto"/>
              </w:rPr>
            </w:pPr>
            <w:r>
              <w:rPr>
                <w:rFonts w:ascii="Arial" w:cs="Arial" w:eastAsia="Arial" w:hAnsi="Arial"/>
                <w:sz w:val="14"/>
                <w:szCs w:val="14"/>
                <w:color w:val="auto"/>
              </w:rPr>
              <w:t>Diluted EPS -</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($1.81)</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$0.04</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$0.02</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$0.17</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$0.08</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$0.05</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color w:val="auto"/>
              </w:rPr>
              <w:t>($0.39)</w:t>
            </w: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color w:val="auto"/>
              </w:rPr>
              <w:t>$0.21</w:t>
            </w:r>
          </w:p>
        </w:tc>
        <w:tc>
          <w:tcPr>
            <w:tcW w:w="920" w:type="dxa"/>
            <w:vAlign w:val="bottom"/>
            <w:vMerge w:val="restart"/>
          </w:tcPr>
          <w:p>
            <w:pPr>
              <w:jc w:val="right"/>
              <w:ind w:right="130"/>
              <w:spacing w:after="0"/>
              <w:rPr>
                <w:sz w:val="20"/>
                <w:szCs w:val="20"/>
                <w:color w:val="auto"/>
              </w:rPr>
            </w:pPr>
            <w:r>
              <w:rPr>
                <w:rFonts w:ascii="Arial" w:cs="Arial" w:eastAsia="Arial" w:hAnsi="Arial"/>
                <w:sz w:val="14"/>
                <w:szCs w:val="14"/>
                <w:color w:val="auto"/>
              </w:rPr>
              <w:t>$1.40</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$0.07</w:t>
            </w: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71"/>
        </w:trPr>
        <w:tc>
          <w:tcPr>
            <w:tcW w:w="148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June 30, 2020 include:</w:t>
      </w:r>
    </w:p>
    <w:p>
      <w:pPr>
        <w:spacing w:after="0" w:line="44" w:lineRule="exact"/>
        <w:rPr>
          <w:sz w:val="20"/>
          <w:szCs w:val="20"/>
          <w:color w:val="auto"/>
        </w:rPr>
      </w:pPr>
    </w:p>
    <w:p>
      <w:pPr>
        <w:ind w:left="340" w:hanging="31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26" w:lineRule="exact"/>
        <w:rPr>
          <w:rFonts w:ascii="Arial" w:cs="Arial" w:eastAsia="Arial" w:hAnsi="Arial"/>
          <w:sz w:val="14"/>
          <w:szCs w:val="14"/>
          <w:color w:val="auto"/>
        </w:rPr>
      </w:pPr>
    </w:p>
    <w:p>
      <w:pPr>
        <w:ind w:left="340" w:right="800" w:hanging="315"/>
        <w:spacing w:after="0" w:line="227"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 consideration related to acquisitions</w:t>
      </w:r>
    </w:p>
    <w:p>
      <w:pPr>
        <w:spacing w:after="0" w:line="16" w:lineRule="exact"/>
        <w:rPr>
          <w:rFonts w:ascii="Arial" w:cs="Arial" w:eastAsia="Arial" w:hAnsi="Arial"/>
          <w:sz w:val="14"/>
          <w:szCs w:val="14"/>
          <w:color w:val="auto"/>
        </w:rPr>
      </w:pPr>
    </w:p>
    <w:p>
      <w:pPr>
        <w:ind w:left="340" w:hanging="31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6" w:lineRule="exact"/>
        <w:rPr>
          <w:rFonts w:ascii="Arial" w:cs="Arial" w:eastAsia="Arial" w:hAnsi="Arial"/>
          <w:sz w:val="14"/>
          <w:szCs w:val="14"/>
          <w:color w:val="auto"/>
        </w:rPr>
      </w:pPr>
    </w:p>
    <w:p>
      <w:pPr>
        <w:ind w:left="340" w:right="80" w:hanging="315"/>
        <w:spacing w:after="0" w:line="227"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 interest related to the 3T Heater-Cooler matter and intellectual property migration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41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Specified Items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w:t>
            </w:r>
          </w:p>
        </w:tc>
        <w:tc>
          <w:tcPr>
            <w:tcW w:w="640" w:type="dxa"/>
            <w:vAlign w:val="bottom"/>
          </w:tcPr>
          <w:p>
            <w:pPr>
              <w:spacing w:after="0"/>
              <w:rPr>
                <w:sz w:val="9"/>
                <w:szCs w:val="9"/>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Depreciation</w:t>
            </w:r>
          </w:p>
        </w:tc>
        <w:tc>
          <w:tcPr>
            <w:tcW w:w="6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center"/>
              <w:ind w:right="11"/>
              <w:spacing w:after="0"/>
              <w:rPr>
                <w:sz w:val="20"/>
                <w:szCs w:val="20"/>
                <w:color w:val="auto"/>
              </w:rPr>
            </w:pPr>
            <w:r>
              <w:rPr>
                <w:rFonts w:ascii="Arial" w:cs="Arial" w:eastAsia="Arial" w:hAnsi="Arial"/>
                <w:sz w:val="12"/>
                <w:szCs w:val="12"/>
                <w:b w:val="1"/>
                <w:bCs w:val="1"/>
                <w:color w:val="auto"/>
              </w:rPr>
              <w:t>Product</w:t>
            </w:r>
          </w:p>
        </w:tc>
        <w:tc>
          <w:tcPr>
            <w:tcW w:w="9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Certain Legal,</w:t>
            </w: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2"/>
                <w:szCs w:val="12"/>
                <w:b w:val="1"/>
                <w:bCs w:val="1"/>
                <w:color w:val="auto"/>
              </w:rPr>
              <w:t>Restructuring</w:t>
            </w: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and</w:t>
            </w: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Heart</w:t>
            </w:r>
          </w:p>
        </w:tc>
        <w:tc>
          <w:tcPr>
            <w:tcW w:w="9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Contingent</w:t>
            </w:r>
          </w:p>
        </w:tc>
        <w:tc>
          <w:tcPr>
            <w:tcW w:w="10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900" w:type="dxa"/>
            <w:vAlign w:val="bottom"/>
            <w:vMerge w:val="continue"/>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20"/>
        </w:trPr>
        <w:tc>
          <w:tcPr>
            <w:tcW w:w="92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Ended</w:t>
            </w:r>
          </w:p>
        </w:tc>
        <w:tc>
          <w:tcPr>
            <w:tcW w:w="64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Integration</w:t>
            </w:r>
          </w:p>
        </w:tc>
        <w:tc>
          <w:tcPr>
            <w:tcW w:w="98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Amortization</w:t>
            </w:r>
          </w:p>
        </w:tc>
        <w:tc>
          <w:tcPr>
            <w:tcW w:w="640" w:type="dxa"/>
            <w:vAlign w:val="bottom"/>
            <w:vMerge w:val="continue"/>
          </w:tcPr>
          <w:p>
            <w:pPr>
              <w:spacing w:after="0"/>
              <w:rPr>
                <w:sz w:val="10"/>
                <w:szCs w:val="10"/>
                <w:color w:val="auto"/>
              </w:rPr>
            </w:pPr>
          </w:p>
        </w:tc>
        <w:tc>
          <w:tcPr>
            <w:tcW w:w="92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Remediation</w:t>
            </w:r>
          </w:p>
        </w:tc>
        <w:tc>
          <w:tcPr>
            <w:tcW w:w="920" w:type="dxa"/>
            <w:vAlign w:val="bottom"/>
            <w:vMerge w:val="continue"/>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Consideration</w:t>
            </w:r>
          </w:p>
        </w:tc>
        <w:tc>
          <w:tcPr>
            <w:tcW w:w="10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Interest</w:t>
            </w: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20" w:type="dxa"/>
            <w:vAlign w:val="bottom"/>
          </w:tcPr>
          <w:p>
            <w:pPr>
              <w:ind w:left="20"/>
              <w:spacing w:after="0" w:line="121" w:lineRule="exact"/>
              <w:rPr>
                <w:sz w:val="20"/>
                <w:szCs w:val="20"/>
                <w:color w:val="auto"/>
              </w:rPr>
            </w:pPr>
            <w:r>
              <w:rPr>
                <w:rFonts w:ascii="Arial" w:cs="Arial" w:eastAsia="Arial" w:hAnsi="Arial"/>
                <w:sz w:val="13"/>
                <w:szCs w:val="13"/>
                <w:b w:val="1"/>
                <w:bCs w:val="1"/>
                <w:color w:val="auto"/>
              </w:rPr>
              <w:t>June 30,</w:t>
            </w: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Financial</w:t>
            </w: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Expenses</w:t>
            </w:r>
          </w:p>
        </w:tc>
        <w:tc>
          <w:tcPr>
            <w:tcW w:w="980" w:type="dxa"/>
            <w:vAlign w:val="bottom"/>
          </w:tcPr>
          <w:p>
            <w:pPr>
              <w:jc w:val="center"/>
              <w:ind w:right="50"/>
              <w:spacing w:after="0" w:line="121" w:lineRule="exact"/>
              <w:rPr>
                <w:sz w:val="20"/>
                <w:szCs w:val="20"/>
                <w:color w:val="auto"/>
              </w:rPr>
            </w:pPr>
            <w:r>
              <w:rPr>
                <w:rFonts w:ascii="Arial" w:cs="Arial" w:eastAsia="Arial" w:hAnsi="Arial"/>
                <w:sz w:val="12"/>
                <w:szCs w:val="12"/>
                <w:b w:val="1"/>
                <w:bCs w:val="1"/>
                <w:color w:val="auto"/>
              </w:rPr>
              <w:t>Expenses</w:t>
            </w:r>
          </w:p>
        </w:tc>
        <w:tc>
          <w:tcPr>
            <w:tcW w:w="90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Expenses</w:t>
            </w: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Valves</w:t>
            </w:r>
          </w:p>
        </w:tc>
        <w:tc>
          <w:tcPr>
            <w:tcW w:w="92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and Other</w:t>
            </w:r>
          </w:p>
        </w:tc>
        <w:tc>
          <w:tcPr>
            <w:tcW w:w="104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10"/>
              <w:spacing w:after="0" w:line="121" w:lineRule="exact"/>
              <w:rPr>
                <w:sz w:val="20"/>
                <w:szCs w:val="20"/>
                <w:color w:val="auto"/>
              </w:rPr>
            </w:pPr>
            <w:r>
              <w:rPr>
                <w:rFonts w:ascii="Arial" w:cs="Arial" w:eastAsia="Arial" w:hAnsi="Arial"/>
                <w:sz w:val="12"/>
                <w:szCs w:val="12"/>
                <w:b w:val="1"/>
                <w:bCs w:val="1"/>
                <w:color w:val="auto"/>
              </w:rPr>
              <w:t>Adjustments</w:t>
            </w: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Adjustments</w:t>
            </w:r>
          </w:p>
        </w:tc>
        <w:tc>
          <w:tcPr>
            <w:tcW w:w="64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w w:val="99"/>
              </w:rPr>
              <w:t>(E)</w:t>
            </w: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rPr>
              <w:t>(F)</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$173.7</w:t>
            </w: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($7.9)</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($0.4)</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($5.6)</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($1.8)</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Gross profit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66.1 %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1.1 %</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69.2 %</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Selling,</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general and</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238.4</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1"/>
              <w:spacing w:after="0"/>
              <w:rPr>
                <w:sz w:val="20"/>
                <w:szCs w:val="20"/>
                <w:color w:val="auto"/>
              </w:rPr>
            </w:pPr>
            <w:r>
              <w:rPr>
                <w:rFonts w:ascii="Arial" w:cs="Arial" w:eastAsia="Arial" w:hAnsi="Arial"/>
                <w:sz w:val="14"/>
                <w:szCs w:val="14"/>
                <w:color w:val="auto"/>
              </w:rPr>
              <w:t>(6.1)</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(21.1)</w:t>
            </w: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color w:val="auto"/>
              </w:rPr>
              <w:t>(13.3)</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Selling,</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general and</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administrative</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as a percent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46.6 %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38.6 %</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Research and</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97.2</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0.1</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(7.5)</w:t>
            </w: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color w:val="auto"/>
              </w:rPr>
              <w:t>(4.3)</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Research and</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development</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as a percent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19.0 %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Other</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operating</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42.0</w:t>
            </w: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(0.7)</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(9.7)</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0.8</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(32.4)</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Operating</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(loss) income</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from</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(39.3)</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0.7</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9.7</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14.0</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(0.8)</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0.4</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color w:val="auto"/>
              </w:rPr>
              <w:t>66.6</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19.5</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Operating</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margin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13.0 %</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13.8 %</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Income tax</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7.0</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0.3</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1.1</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3.7</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0.5</w:t>
            </w:r>
          </w:p>
        </w:tc>
        <w:tc>
          <w:tcPr>
            <w:tcW w:w="920" w:type="dxa"/>
            <w:vAlign w:val="bottom"/>
            <w:vMerge w:val="restart"/>
          </w:tcPr>
          <w:p>
            <w:pPr>
              <w:ind w:left="460"/>
              <w:spacing w:after="0"/>
              <w:rPr>
                <w:sz w:val="20"/>
                <w:szCs w:val="20"/>
                <w:color w:val="auto"/>
              </w:rPr>
            </w:pPr>
            <w:r>
              <w:rPr>
                <w:rFonts w:ascii="Arial" w:cs="Arial" w:eastAsia="Arial" w:hAnsi="Arial"/>
                <w:sz w:val="14"/>
                <w:szCs w:val="14"/>
                <w:color w:val="auto"/>
              </w:rPr>
              <w:t>(6.2)</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expense</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income from</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(85.0)</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0.7</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9.4</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12.9</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(4.6)</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0.3</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16.4</w:t>
            </w: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color w:val="auto"/>
              </w:rPr>
              <w:t>58.9</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18.9</w:t>
            </w:r>
          </w:p>
        </w:tc>
        <w:tc>
          <w:tcPr>
            <w:tcW w:w="920" w:type="dxa"/>
            <w:vAlign w:val="bottom"/>
            <w:vMerge w:val="restart"/>
          </w:tcPr>
          <w:p>
            <w:pPr>
              <w:jc w:val="right"/>
              <w:ind w:right="130"/>
              <w:spacing w:after="0"/>
              <w:rPr>
                <w:sz w:val="20"/>
                <w:szCs w:val="20"/>
                <w:color w:val="auto"/>
              </w:rPr>
            </w:pPr>
            <w:r>
              <w:rPr>
                <w:rFonts w:ascii="Arial" w:cs="Arial" w:eastAsia="Arial" w:hAnsi="Arial"/>
                <w:sz w:val="14"/>
                <w:szCs w:val="14"/>
                <w:color w:val="auto"/>
              </w:rPr>
              <w:t>6.2</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9.2</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20" w:type="dxa"/>
            <w:vAlign w:val="bottom"/>
          </w:tcPr>
          <w:p>
            <w:pPr>
              <w:ind w:left="20"/>
              <w:spacing w:after="0" w:line="150" w:lineRule="exact"/>
              <w:rPr>
                <w:sz w:val="20"/>
                <w:szCs w:val="20"/>
                <w:color w:val="auto"/>
              </w:rPr>
            </w:pPr>
            <w:r>
              <w:rPr>
                <w:rFonts w:ascii="Arial" w:cs="Arial" w:eastAsia="Arial" w:hAnsi="Arial"/>
                <w:sz w:val="14"/>
                <w:szCs w:val="14"/>
                <w:color w:val="auto"/>
              </w:rPr>
              <w:t>Diluted EPS -</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($1.74)</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$0.01</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$0.19</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$0.26</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w w:val="99"/>
              </w:rPr>
              <w:t>($0.09)</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$0.01</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$0.33</w:t>
            </w: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color w:val="auto"/>
              </w:rPr>
              <w:t>$1.18</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$0.38</w:t>
            </w:r>
          </w:p>
        </w:tc>
        <w:tc>
          <w:tcPr>
            <w:tcW w:w="920" w:type="dxa"/>
            <w:vAlign w:val="bottom"/>
            <w:vMerge w:val="restart"/>
          </w:tcPr>
          <w:p>
            <w:pPr>
              <w:jc w:val="right"/>
              <w:ind w:right="130"/>
              <w:spacing w:after="0"/>
              <w:rPr>
                <w:sz w:val="20"/>
                <w:szCs w:val="20"/>
                <w:color w:val="auto"/>
              </w:rPr>
            </w:pPr>
            <w:r>
              <w:rPr>
                <w:rFonts w:ascii="Arial" w:cs="Arial" w:eastAsia="Arial" w:hAnsi="Arial"/>
                <w:sz w:val="14"/>
                <w:szCs w:val="14"/>
                <w:color w:val="auto"/>
              </w:rPr>
              <w:t>$0.13</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$0.18</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171"/>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six months ended June 30, 2021 include:</w:t>
      </w:r>
    </w:p>
    <w:p>
      <w:pPr>
        <w:spacing w:after="0" w:line="44" w:lineRule="exact"/>
        <w:rPr>
          <w:sz w:val="20"/>
          <w:szCs w:val="20"/>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Gain associated with the sale of Heart Valves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26" w:lineRule="exact"/>
        <w:rPr>
          <w:rFonts w:ascii="Arial" w:cs="Arial" w:eastAsia="Arial" w:hAnsi="Arial"/>
          <w:sz w:val="14"/>
          <w:szCs w:val="14"/>
          <w:color w:val="auto"/>
        </w:rPr>
      </w:pPr>
    </w:p>
    <w:p>
      <w:pPr>
        <w:ind w:left="340" w:right="160" w:hanging="315"/>
        <w:spacing w:after="0" w:line="227"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other matters, remeasurement of contingent consideration related to acquisitions, gain from remeasurement of an investment and dividend income</w:t>
      </w:r>
    </w:p>
    <w:p>
      <w:pPr>
        <w:spacing w:after="0" w:line="16" w:lineRule="exact"/>
        <w:rPr>
          <w:rFonts w:ascii="Arial" w:cs="Arial" w:eastAsia="Arial" w:hAnsi="Arial"/>
          <w:sz w:val="14"/>
          <w:szCs w:val="14"/>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6" w:lineRule="exact"/>
        <w:rPr>
          <w:rFonts w:ascii="Arial" w:cs="Arial" w:eastAsia="Arial" w:hAnsi="Arial"/>
          <w:sz w:val="14"/>
          <w:szCs w:val="14"/>
          <w:color w:val="auto"/>
        </w:rPr>
      </w:pPr>
    </w:p>
    <w:p>
      <w:pPr>
        <w:ind w:left="340" w:hanging="315"/>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60"/>
          </w:cols>
          <w:pgMar w:left="320" w:top="799" w:right="31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Specified Items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1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11"/>
              <w:spacing w:after="0" w:line="114" w:lineRule="exact"/>
              <w:rPr>
                <w:sz w:val="20"/>
                <w:szCs w:val="20"/>
                <w:color w:val="auto"/>
              </w:rPr>
            </w:pPr>
            <w:r>
              <w:rPr>
                <w:rFonts w:ascii="Arial" w:cs="Arial" w:eastAsia="Arial" w:hAnsi="Arial"/>
                <w:sz w:val="12"/>
                <w:szCs w:val="12"/>
                <w:b w:val="1"/>
                <w:bCs w:val="1"/>
                <w:color w:val="auto"/>
              </w:rPr>
              <w:t>Depreciation</w:t>
            </w:r>
          </w:p>
        </w:tc>
        <w:tc>
          <w:tcPr>
            <w:tcW w:w="920" w:type="dxa"/>
            <w:vAlign w:val="bottom"/>
            <w:tcBorders>
              <w:top w:val="single" w:sz="8" w:color="auto"/>
            </w:tcBorders>
            <w:vMerge w:val="restart"/>
          </w:tcPr>
          <w:p>
            <w:pPr>
              <w:jc w:val="center"/>
              <w:ind w:right="11"/>
              <w:spacing w:after="0"/>
              <w:rPr>
                <w:sz w:val="20"/>
                <w:szCs w:val="20"/>
                <w:color w:val="auto"/>
              </w:rPr>
            </w:pPr>
            <w:r>
              <w:rPr>
                <w:rFonts w:ascii="Arial" w:cs="Arial" w:eastAsia="Arial" w:hAnsi="Arial"/>
                <w:sz w:val="12"/>
                <w:szCs w:val="12"/>
                <w:b w:val="1"/>
                <w:bCs w:val="1"/>
                <w:color w:val="auto"/>
              </w:rPr>
              <w:t>Product</w:t>
            </w:r>
          </w:p>
        </w:tc>
        <w:tc>
          <w:tcPr>
            <w:tcW w:w="9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b w:val="1"/>
                <w:bCs w:val="1"/>
                <w:color w:val="auto"/>
              </w:rPr>
              <w:t>Certain Legal,</w:t>
            </w: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5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2"/>
                <w:szCs w:val="12"/>
                <w:b w:val="1"/>
                <w:bCs w:val="1"/>
                <w:color w:val="auto"/>
              </w:rPr>
              <w:t>Restructuring</w:t>
            </w:r>
          </w:p>
        </w:tc>
        <w:tc>
          <w:tcPr>
            <w:tcW w:w="9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and</w:t>
            </w:r>
          </w:p>
        </w:tc>
        <w:tc>
          <w:tcPr>
            <w:tcW w:w="9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Contingent</w:t>
            </w:r>
          </w:p>
        </w:tc>
        <w:tc>
          <w:tcPr>
            <w:tcW w:w="10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900" w:type="dxa"/>
            <w:vAlign w:val="bottom"/>
            <w:vMerge w:val="continue"/>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20"/>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Integration</w:t>
            </w:r>
          </w:p>
        </w:tc>
        <w:tc>
          <w:tcPr>
            <w:tcW w:w="980" w:type="dxa"/>
            <w:vAlign w:val="bottom"/>
            <w:vMerge w:val="continue"/>
          </w:tcPr>
          <w:p>
            <w:pPr>
              <w:spacing w:after="0"/>
              <w:rPr>
                <w:sz w:val="10"/>
                <w:szCs w:val="10"/>
                <w:color w:val="auto"/>
              </w:rPr>
            </w:pPr>
          </w:p>
        </w:tc>
        <w:tc>
          <w:tcPr>
            <w:tcW w:w="92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Amortization</w:t>
            </w:r>
          </w:p>
        </w:tc>
        <w:tc>
          <w:tcPr>
            <w:tcW w:w="920" w:type="dxa"/>
            <w:vAlign w:val="bottom"/>
          </w:tcPr>
          <w:p>
            <w:pPr>
              <w:jc w:val="center"/>
              <w:ind w:right="11"/>
              <w:spacing w:after="0" w:line="121" w:lineRule="exact"/>
              <w:rPr>
                <w:sz w:val="20"/>
                <w:szCs w:val="20"/>
                <w:color w:val="auto"/>
              </w:rPr>
            </w:pPr>
            <w:r>
              <w:rPr>
                <w:rFonts w:ascii="Arial" w:cs="Arial" w:eastAsia="Arial" w:hAnsi="Arial"/>
                <w:sz w:val="12"/>
                <w:szCs w:val="12"/>
                <w:b w:val="1"/>
                <w:bCs w:val="1"/>
                <w:color w:val="auto"/>
              </w:rPr>
              <w:t>Remediation</w:t>
            </w:r>
          </w:p>
        </w:tc>
        <w:tc>
          <w:tcPr>
            <w:tcW w:w="920" w:type="dxa"/>
            <w:vAlign w:val="bottom"/>
            <w:vMerge w:val="continue"/>
          </w:tcPr>
          <w:p>
            <w:pPr>
              <w:spacing w:after="0"/>
              <w:rPr>
                <w:sz w:val="10"/>
                <w:szCs w:val="10"/>
                <w:color w:val="auto"/>
              </w:rPr>
            </w:pP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Consideration</w:t>
            </w:r>
          </w:p>
        </w:tc>
        <w:tc>
          <w:tcPr>
            <w:tcW w:w="10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Interest</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00" w:type="dxa"/>
            <w:vAlign w:val="bottom"/>
            <w:vMerge w:val="continue"/>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Financial</w:t>
            </w:r>
          </w:p>
        </w:tc>
        <w:tc>
          <w:tcPr>
            <w:tcW w:w="8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Expenses</w:t>
            </w:r>
          </w:p>
        </w:tc>
        <w:tc>
          <w:tcPr>
            <w:tcW w:w="980" w:type="dxa"/>
            <w:vAlign w:val="bottom"/>
          </w:tcPr>
          <w:p>
            <w:pPr>
              <w:jc w:val="center"/>
              <w:ind w:right="30"/>
              <w:spacing w:after="0" w:line="121"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Expenses</w:t>
            </w:r>
          </w:p>
        </w:tc>
        <w:tc>
          <w:tcPr>
            <w:tcW w:w="9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and Other</w:t>
            </w:r>
          </w:p>
        </w:tc>
        <w:tc>
          <w:tcPr>
            <w:tcW w:w="1040" w:type="dxa"/>
            <w:vAlign w:val="bottom"/>
          </w:tcPr>
          <w:p>
            <w:pPr>
              <w:jc w:val="center"/>
              <w:ind w:right="31"/>
              <w:spacing w:after="0" w:line="121"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ind w:right="30"/>
              <w:spacing w:after="0" w:line="121" w:lineRule="exact"/>
              <w:rPr>
                <w:sz w:val="20"/>
                <w:szCs w:val="20"/>
                <w:color w:val="auto"/>
              </w:rPr>
            </w:pPr>
            <w:r>
              <w:rPr>
                <w:rFonts w:ascii="Arial" w:cs="Arial" w:eastAsia="Arial" w:hAnsi="Arial"/>
                <w:sz w:val="12"/>
                <w:szCs w:val="12"/>
                <w:b w:val="1"/>
                <w:bCs w:val="1"/>
                <w:color w:val="auto"/>
              </w:rPr>
              <w:t>Adjustments</w:t>
            </w:r>
          </w:p>
        </w:tc>
        <w:tc>
          <w:tcPr>
            <w:tcW w:w="9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Adjustments</w:t>
            </w:r>
          </w:p>
        </w:tc>
        <w:tc>
          <w:tcPr>
            <w:tcW w:w="6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2020</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2"/>
                <w:szCs w:val="12"/>
                <w:b w:val="1"/>
                <w:bCs w:val="1"/>
                <w:color w:val="auto"/>
                <w:w w:val="95"/>
              </w:rPr>
              <w:t>(D)</w:t>
            </w: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2"/>
                <w:szCs w:val="12"/>
                <w:b w:val="1"/>
                <w:bCs w:val="1"/>
                <w:color w:val="auto"/>
                <w:w w:val="99"/>
              </w:rPr>
              <w: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82"/>
        </w:trPr>
        <w:tc>
          <w:tcPr>
            <w:tcW w:w="15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$141.6</w:t>
            </w: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($10.9)</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($5.7)</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$24.2</w:t>
            </w: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($0.9)</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0"/>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87"/>
        </w:trPr>
        <w:tc>
          <w:tcPr>
            <w:tcW w:w="150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640" w:type="dxa"/>
            <w:vAlign w:val="bottom"/>
          </w:tcPr>
          <w:p>
            <w:pPr>
              <w:jc w:val="right"/>
              <w:spacing w:after="0"/>
              <w:rPr>
                <w:sz w:val="20"/>
                <w:szCs w:val="20"/>
                <w:color w:val="auto"/>
              </w:rPr>
            </w:pPr>
            <w:r>
              <w:rPr>
                <w:rFonts w:ascii="Arial" w:cs="Arial" w:eastAsia="Arial" w:hAnsi="Arial"/>
                <w:sz w:val="14"/>
                <w:szCs w:val="14"/>
                <w:color w:val="auto"/>
              </w:rPr>
              <w:t>66.6 %</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2.6 %</w:t>
            </w:r>
          </w:p>
        </w:tc>
        <w:tc>
          <w:tcPr>
            <w:tcW w:w="920" w:type="dxa"/>
            <w:vAlign w:val="bottom"/>
          </w:tcPr>
          <w:p>
            <w:pPr>
              <w:jc w:val="right"/>
              <w:spacing w:after="0"/>
              <w:rPr>
                <w:sz w:val="20"/>
                <w:szCs w:val="20"/>
                <w:color w:val="auto"/>
              </w:rPr>
            </w:pPr>
            <w:r>
              <w:rPr>
                <w:rFonts w:ascii="Arial" w:cs="Arial" w:eastAsia="Arial" w:hAnsi="Arial"/>
                <w:sz w:val="14"/>
                <w:szCs w:val="14"/>
                <w:color w:val="auto"/>
              </w:rPr>
              <w:t>1.4 %</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c>
          <w:tcPr>
            <w:tcW w:w="1040" w:type="dxa"/>
            <w:vAlign w:val="bottom"/>
          </w:tcPr>
          <w:p>
            <w:pPr>
              <w:jc w:val="right"/>
              <w:spacing w:after="0"/>
              <w:rPr>
                <w:sz w:val="20"/>
                <w:szCs w:val="20"/>
                <w:color w:val="auto"/>
              </w:rPr>
            </w:pPr>
            <w:r>
              <w:rPr>
                <w:rFonts w:ascii="Arial" w:cs="Arial" w:eastAsia="Arial" w:hAnsi="Arial"/>
                <w:sz w:val="14"/>
                <w:szCs w:val="14"/>
                <w:color w:val="auto"/>
              </w:rPr>
              <w:t>0.2 %</w:t>
            </w:r>
          </w:p>
        </w:tc>
        <w:tc>
          <w:tcPr>
            <w:tcW w:w="920" w:type="dxa"/>
            <w:vAlign w:val="bottom"/>
          </w:tcPr>
          <w:p>
            <w:pPr>
              <w:ind w:left="560"/>
              <w:spacing w:after="0"/>
              <w:rPr>
                <w:sz w:val="20"/>
                <w:szCs w:val="20"/>
                <w:color w:val="auto"/>
              </w:rPr>
            </w:pPr>
            <w:r>
              <w:rPr>
                <w:rFonts w:ascii="Arial" w:cs="Arial" w:eastAsia="Arial" w:hAnsi="Arial"/>
                <w:sz w:val="14"/>
                <w:szCs w:val="14"/>
                <w:color w:val="auto"/>
              </w:rPr>
              <w:t>— %</w:t>
            </w:r>
          </w:p>
        </w:tc>
        <w:tc>
          <w:tcPr>
            <w:tcW w:w="900" w:type="dxa"/>
            <w:vAlign w:val="bottom"/>
          </w:tcPr>
          <w:p>
            <w:pPr>
              <w:ind w:left="560"/>
              <w:spacing w:after="0"/>
              <w:rPr>
                <w:sz w:val="20"/>
                <w:szCs w:val="20"/>
                <w:color w:val="auto"/>
              </w:rPr>
            </w:pPr>
            <w:r>
              <w:rPr>
                <w:rFonts w:ascii="Arial" w:cs="Arial" w:eastAsia="Arial" w:hAnsi="Arial"/>
                <w:sz w:val="14"/>
                <w:szCs w:val="1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65.1 %</w:t>
            </w: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Selling, general and</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227.7</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(9.6)</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0"/>
              <w:spacing w:after="0"/>
              <w:rPr>
                <w:sz w:val="20"/>
                <w:szCs w:val="20"/>
                <w:color w:val="auto"/>
              </w:rPr>
            </w:pPr>
            <w:r>
              <w:rPr>
                <w:rFonts w:ascii="Arial" w:cs="Arial" w:eastAsia="Arial" w:hAnsi="Arial"/>
                <w:sz w:val="14"/>
                <w:szCs w:val="14"/>
                <w:color w:val="auto"/>
              </w:rPr>
              <w:t>(2.5)</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(15.6)</w:t>
            </w: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color w:val="auto"/>
              </w:rPr>
              <w:t>(16.6)</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Selling, general and</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4"/>
                <w:szCs w:val="14"/>
                <w:color w:val="auto"/>
              </w:rPr>
              <w:t>administrative as 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53.6 %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43.2 %</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Research and</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61.1</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color w:val="auto"/>
              </w:rPr>
              <w:t>16.6</w:t>
            </w:r>
          </w:p>
        </w:tc>
        <w:tc>
          <w:tcPr>
            <w:tcW w:w="1040" w:type="dxa"/>
            <w:vAlign w:val="bottom"/>
            <w:vMerge w:val="restart"/>
          </w:tcPr>
          <w:p>
            <w:pPr>
              <w:jc w:val="right"/>
              <w:ind w:right="111"/>
              <w:spacing w:after="0"/>
              <w:rPr>
                <w:sz w:val="20"/>
                <w:szCs w:val="20"/>
                <w:color w:val="auto"/>
              </w:rPr>
            </w:pPr>
            <w:r>
              <w:rPr>
                <w:rFonts w:ascii="Arial" w:cs="Arial" w:eastAsia="Arial" w:hAnsi="Arial"/>
                <w:sz w:val="14"/>
                <w:szCs w:val="14"/>
                <w:color w:val="auto"/>
              </w:rPr>
              <w:t>(1.5)</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Research and</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4"/>
                <w:szCs w:val="14"/>
                <w:color w:val="auto"/>
              </w:rPr>
              <w:t>development as 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3.9 %</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Other operating</w:t>
            </w:r>
          </w:p>
        </w:tc>
        <w:tc>
          <w:tcPr>
            <w:tcW w:w="640" w:type="dxa"/>
            <w:vAlign w:val="bottom"/>
            <w:vMerge w:val="restart"/>
          </w:tcPr>
          <w:p>
            <w:pPr>
              <w:jc w:val="right"/>
              <w:ind w:right="110"/>
              <w:spacing w:after="0"/>
              <w:rPr>
                <w:sz w:val="20"/>
                <w:szCs w:val="20"/>
                <w:color w:val="auto"/>
              </w:rPr>
            </w:pPr>
            <w:r>
              <w:rPr>
                <w:rFonts w:ascii="Arial" w:cs="Arial" w:eastAsia="Arial" w:hAnsi="Arial"/>
                <w:sz w:val="14"/>
                <w:szCs w:val="14"/>
                <w:color w:val="auto"/>
              </w:rPr>
              <w:t>8.9</w:t>
            </w:r>
          </w:p>
        </w:tc>
        <w:tc>
          <w:tcPr>
            <w:tcW w:w="840" w:type="dxa"/>
            <w:vAlign w:val="bottom"/>
            <w:vMerge w:val="restart"/>
          </w:tcPr>
          <w:p>
            <w:pPr>
              <w:jc w:val="right"/>
              <w:ind w:right="111"/>
              <w:spacing w:after="0"/>
              <w:rPr>
                <w:sz w:val="20"/>
                <w:szCs w:val="20"/>
                <w:color w:val="auto"/>
              </w:rPr>
            </w:pPr>
            <w:r>
              <w:rPr>
                <w:rFonts w:ascii="Arial" w:cs="Arial" w:eastAsia="Arial" w:hAnsi="Arial"/>
                <w:sz w:val="14"/>
                <w:szCs w:val="14"/>
                <w:color w:val="auto"/>
              </w:rPr>
              <w:t>(5.5)</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(2.4)</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(1.0)</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expenses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Operating (loss)</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line="134" w:lineRule="exact"/>
              <w:rPr>
                <w:sz w:val="20"/>
                <w:szCs w:val="20"/>
                <w:color w:val="auto"/>
              </w:rPr>
            </w:pPr>
            <w:r>
              <w:rPr>
                <w:rFonts w:ascii="Arial" w:cs="Arial" w:eastAsia="Arial" w:hAnsi="Arial"/>
                <w:sz w:val="14"/>
                <w:szCs w:val="14"/>
                <w:color w:val="auto"/>
              </w:rPr>
              <w:t>income from</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(14.6)</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5.5</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2.4</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20.5</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5.7</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2.5</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(24.3)</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19.0</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Operating margin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0.6 %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4.8 %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0.6 %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4.5 %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21.6</w:t>
            </w:r>
          </w:p>
        </w:tc>
        <w:tc>
          <w:tcPr>
            <w:tcW w:w="840" w:type="dxa"/>
            <w:vAlign w:val="bottom"/>
          </w:tcPr>
          <w:p>
            <w:pPr>
              <w:jc w:val="right"/>
              <w:ind w:right="151"/>
              <w:spacing w:after="0"/>
              <w:rPr>
                <w:sz w:val="20"/>
                <w:szCs w:val="20"/>
                <w:color w:val="auto"/>
              </w:rPr>
            </w:pPr>
            <w:r>
              <w:rPr>
                <w:rFonts w:ascii="Arial" w:cs="Arial" w:eastAsia="Arial" w:hAnsi="Arial"/>
                <w:sz w:val="14"/>
                <w:szCs w:val="14"/>
                <w:color w:val="auto"/>
              </w:rPr>
              <w:t>0.3</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1"/>
              <w:spacing w:after="0"/>
              <w:rPr>
                <w:sz w:val="20"/>
                <w:szCs w:val="20"/>
                <w:color w:val="auto"/>
              </w:rPr>
            </w:pPr>
            <w:r>
              <w:rPr>
                <w:rFonts w:ascii="Arial" w:cs="Arial" w:eastAsia="Arial" w:hAnsi="Arial"/>
                <w:sz w:val="14"/>
                <w:szCs w:val="14"/>
                <w:color w:val="auto"/>
              </w:rPr>
              <w:t>2.9</w:t>
            </w:r>
          </w:p>
        </w:tc>
        <w:tc>
          <w:tcPr>
            <w:tcW w:w="920" w:type="dxa"/>
            <w:vAlign w:val="bottom"/>
          </w:tcPr>
          <w:p>
            <w:pPr>
              <w:jc w:val="right"/>
              <w:ind w:right="151"/>
              <w:spacing w:after="0"/>
              <w:rPr>
                <w:sz w:val="20"/>
                <w:szCs w:val="20"/>
                <w:color w:val="auto"/>
              </w:rPr>
            </w:pPr>
            <w:r>
              <w:rPr>
                <w:rFonts w:ascii="Arial" w:cs="Arial" w:eastAsia="Arial" w:hAnsi="Arial"/>
                <w:sz w:val="14"/>
                <w:szCs w:val="14"/>
                <w:color w:val="auto"/>
              </w:rPr>
              <w:t>0.8</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31"/>
              <w:spacing w:after="0"/>
              <w:rPr>
                <w:sz w:val="20"/>
                <w:szCs w:val="20"/>
                <w:color w:val="auto"/>
              </w:rPr>
            </w:pPr>
            <w:r>
              <w:rPr>
                <w:rFonts w:ascii="Arial" w:cs="Arial" w:eastAsia="Arial" w:hAnsi="Arial"/>
                <w:sz w:val="14"/>
                <w:szCs w:val="14"/>
                <w:color w:val="auto"/>
              </w:rPr>
              <w:t>2.0</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0.6</w:t>
            </w:r>
          </w:p>
        </w:tc>
        <w:tc>
          <w:tcPr>
            <w:tcW w:w="920" w:type="dxa"/>
            <w:vAlign w:val="bottom"/>
          </w:tcPr>
          <w:p>
            <w:pPr>
              <w:ind w:left="380"/>
              <w:spacing w:after="0"/>
              <w:rPr>
                <w:sz w:val="20"/>
                <w:szCs w:val="20"/>
                <w:color w:val="auto"/>
              </w:rPr>
            </w:pPr>
            <w:r>
              <w:rPr>
                <w:rFonts w:ascii="Arial" w:cs="Arial" w:eastAsia="Arial" w:hAnsi="Arial"/>
                <w:sz w:val="14"/>
                <w:szCs w:val="14"/>
                <w:color w:val="auto"/>
              </w:rPr>
              <w:t>(27.0)</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Net (loss) income from</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(49.4)</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5.2</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2.4</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17.6</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5.0</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2.7</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(26.3)</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18.4</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27.0</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6.0</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00" w:type="dxa"/>
            <w:vAlign w:val="bottom"/>
          </w:tcPr>
          <w:p>
            <w:pPr>
              <w:ind w:left="20"/>
              <w:spacing w:after="0" w:line="150" w:lineRule="exact"/>
              <w:rPr>
                <w:sz w:val="20"/>
                <w:szCs w:val="20"/>
                <w:color w:val="auto"/>
              </w:rPr>
            </w:pPr>
            <w:r>
              <w:rPr>
                <w:rFonts w:ascii="Arial" w:cs="Arial" w:eastAsia="Arial" w:hAnsi="Arial"/>
                <w:sz w:val="14"/>
                <w:szCs w:val="14"/>
                <w:color w:val="auto"/>
              </w:rPr>
              <w:t>Diluted EPS -</w:t>
            </w:r>
          </w:p>
        </w:tc>
        <w:tc>
          <w:tcPr>
            <w:tcW w:w="640" w:type="dxa"/>
            <w:vAlign w:val="bottom"/>
            <w:vMerge w:val="restart"/>
          </w:tcPr>
          <w:p>
            <w:pPr>
              <w:jc w:val="right"/>
              <w:ind w:right="70"/>
              <w:spacing w:after="0"/>
              <w:rPr>
                <w:sz w:val="20"/>
                <w:szCs w:val="20"/>
                <w:color w:val="auto"/>
              </w:rPr>
            </w:pPr>
            <w:r>
              <w:rPr>
                <w:rFonts w:ascii="Arial" w:cs="Arial" w:eastAsia="Arial" w:hAnsi="Arial"/>
                <w:sz w:val="14"/>
                <w:szCs w:val="14"/>
                <w:color w:val="auto"/>
              </w:rPr>
              <w:t>($1.02)</w:t>
            </w: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color w:val="auto"/>
              </w:rPr>
              <w:t>$0.11</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$0.05</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$0.36</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$0.10</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$0.05</w:t>
            </w: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color w:val="auto"/>
              </w:rPr>
              <w:t>($0.54)</w:t>
            </w:r>
          </w:p>
        </w:tc>
        <w:tc>
          <w:tcPr>
            <w:tcW w:w="1040" w:type="dxa"/>
            <w:vAlign w:val="bottom"/>
            <w:vMerge w:val="restart"/>
          </w:tcPr>
          <w:p>
            <w:pPr>
              <w:jc w:val="right"/>
              <w:ind w:right="151"/>
              <w:spacing w:after="0"/>
              <w:rPr>
                <w:sz w:val="20"/>
                <w:szCs w:val="20"/>
                <w:color w:val="auto"/>
              </w:rPr>
            </w:pPr>
            <w:r>
              <w:rPr>
                <w:rFonts w:ascii="Arial" w:cs="Arial" w:eastAsia="Arial" w:hAnsi="Arial"/>
                <w:sz w:val="14"/>
                <w:szCs w:val="14"/>
                <w:color w:val="auto"/>
              </w:rPr>
              <w:t>$0.38</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$0.55</w:t>
            </w: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color w:val="auto"/>
              </w:rPr>
              <w:t>$0.12</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71"/>
        </w:trPr>
        <w:tc>
          <w:tcPr>
            <w:tcW w:w="150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six months ended June 30, 2020 include:</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60" w:type="dxa"/>
            <w:vAlign w:val="bottom"/>
          </w:tcPr>
          <w:p>
            <w:pPr>
              <w:spacing w:after="0"/>
              <w:rPr>
                <w:sz w:val="20"/>
                <w:szCs w:val="20"/>
                <w:color w:val="auto"/>
              </w:rPr>
            </w:pPr>
            <w:r>
              <w:rPr>
                <w:rFonts w:ascii="Arial" w:cs="Arial" w:eastAsia="Arial" w:hAnsi="Arial"/>
                <w:sz w:val="14"/>
                <w:szCs w:val="14"/>
                <w:color w:val="auto"/>
              </w:rPr>
              <w:t>(A)</w:t>
            </w:r>
          </w:p>
        </w:tc>
        <w:tc>
          <w:tcPr>
            <w:tcW w:w="10880" w:type="dxa"/>
            <w:vAlign w:val="bottom"/>
            <w:gridSpan w:val="2"/>
          </w:tcPr>
          <w:p>
            <w:pPr>
              <w:ind w:left="6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c>
          <w:tcPr>
            <w:tcW w:w="0" w:type="dxa"/>
            <w:vAlign w:val="bottom"/>
          </w:tcPr>
          <w:p>
            <w:pPr>
              <w:spacing w:after="0"/>
              <w:rPr>
                <w:sz w:val="1"/>
                <w:szCs w:val="1"/>
                <w:color w:val="auto"/>
              </w:rPr>
            </w:pPr>
          </w:p>
        </w:tc>
      </w:tr>
      <w:tr>
        <w:trPr>
          <w:trHeight w:val="187"/>
        </w:trPr>
        <w:tc>
          <w:tcPr>
            <w:tcW w:w="260" w:type="dxa"/>
            <w:vAlign w:val="bottom"/>
          </w:tcPr>
          <w:p>
            <w:pPr>
              <w:spacing w:after="0"/>
              <w:rPr>
                <w:sz w:val="20"/>
                <w:szCs w:val="20"/>
                <w:color w:val="auto"/>
              </w:rPr>
            </w:pPr>
            <w:r>
              <w:rPr>
                <w:rFonts w:ascii="Arial" w:cs="Arial" w:eastAsia="Arial" w:hAnsi="Arial"/>
                <w:sz w:val="14"/>
                <w:szCs w:val="14"/>
                <w:color w:val="auto"/>
              </w:rPr>
              <w:t>(B)</w:t>
            </w:r>
          </w:p>
        </w:tc>
        <w:tc>
          <w:tcPr>
            <w:tcW w:w="5220" w:type="dxa"/>
            <w:vAlign w:val="bottom"/>
          </w:tcPr>
          <w:p>
            <w:pPr>
              <w:ind w:left="60"/>
              <w:spacing w:after="0"/>
              <w:rPr>
                <w:sz w:val="20"/>
                <w:szCs w:val="20"/>
                <w:color w:val="auto"/>
              </w:rPr>
            </w:pPr>
            <w:r>
              <w:rPr>
                <w:rFonts w:ascii="Arial" w:cs="Arial" w:eastAsia="Arial" w:hAnsi="Arial"/>
                <w:sz w:val="14"/>
                <w:szCs w:val="14"/>
                <w:color w:val="auto"/>
              </w:rPr>
              <w:t>Restructuring expenses related to organizational changes</w:t>
            </w:r>
          </w:p>
        </w:tc>
        <w:tc>
          <w:tcPr>
            <w:tcW w:w="5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20"/>
                <w:szCs w:val="20"/>
                <w:color w:val="auto"/>
              </w:rPr>
            </w:pPr>
            <w:r>
              <w:rPr>
                <w:rFonts w:ascii="Arial" w:cs="Arial" w:eastAsia="Arial" w:hAnsi="Arial"/>
                <w:sz w:val="14"/>
                <w:szCs w:val="14"/>
                <w:color w:val="auto"/>
              </w:rPr>
              <w:t>(C)</w:t>
            </w:r>
          </w:p>
        </w:tc>
        <w:tc>
          <w:tcPr>
            <w:tcW w:w="5220" w:type="dxa"/>
            <w:vAlign w:val="bottom"/>
          </w:tcPr>
          <w:p>
            <w:pPr>
              <w:ind w:left="6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c>
          <w:tcPr>
            <w:tcW w:w="5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20"/>
                <w:szCs w:val="20"/>
                <w:color w:val="auto"/>
              </w:rPr>
            </w:pPr>
            <w:r>
              <w:rPr>
                <w:rFonts w:ascii="Arial" w:cs="Arial" w:eastAsia="Arial" w:hAnsi="Arial"/>
                <w:sz w:val="14"/>
                <w:szCs w:val="14"/>
                <w:color w:val="auto"/>
              </w:rPr>
              <w:t>(D)</w:t>
            </w:r>
          </w:p>
        </w:tc>
        <w:tc>
          <w:tcPr>
            <w:tcW w:w="5220" w:type="dxa"/>
            <w:vAlign w:val="bottom"/>
          </w:tcPr>
          <w:p>
            <w:pPr>
              <w:ind w:left="60"/>
              <w:spacing w:after="0"/>
              <w:rPr>
                <w:sz w:val="20"/>
                <w:szCs w:val="20"/>
                <w:color w:val="auto"/>
              </w:rPr>
            </w:pPr>
            <w:r>
              <w:rPr>
                <w:rFonts w:ascii="Arial" w:cs="Arial" w:eastAsia="Arial" w:hAnsi="Arial"/>
                <w:sz w:val="14"/>
                <w:szCs w:val="14"/>
                <w:color w:val="auto"/>
              </w:rPr>
              <w:t>Costs related to the 3T Heater-Cooler remediation plan</w:t>
            </w:r>
          </w:p>
        </w:tc>
        <w:tc>
          <w:tcPr>
            <w:tcW w:w="5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20"/>
                <w:szCs w:val="20"/>
                <w:color w:val="auto"/>
              </w:rPr>
            </w:pPr>
            <w:r>
              <w:rPr>
                <w:rFonts w:ascii="Arial" w:cs="Arial" w:eastAsia="Arial" w:hAnsi="Arial"/>
                <w:sz w:val="14"/>
                <w:szCs w:val="14"/>
                <w:color w:val="auto"/>
              </w:rPr>
              <w:t>(E)</w:t>
            </w:r>
          </w:p>
        </w:tc>
        <w:tc>
          <w:tcPr>
            <w:tcW w:w="10880" w:type="dxa"/>
            <w:vAlign w:val="bottom"/>
            <w:gridSpan w:val="2"/>
          </w:tcPr>
          <w:p>
            <w:pPr>
              <w:ind w:left="60"/>
              <w:spacing w:after="0"/>
              <w:rPr>
                <w:sz w:val="20"/>
                <w:szCs w:val="20"/>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tc>
        <w:tc>
          <w:tcPr>
            <w:tcW w:w="0" w:type="dxa"/>
            <w:vAlign w:val="bottom"/>
          </w:tcPr>
          <w:p>
            <w:pPr>
              <w:spacing w:after="0"/>
              <w:rPr>
                <w:sz w:val="1"/>
                <w:szCs w:val="1"/>
                <w:color w:val="auto"/>
              </w:rPr>
            </w:pPr>
          </w:p>
        </w:tc>
      </w:tr>
      <w:tr>
        <w:trPr>
          <w:trHeight w:val="150"/>
        </w:trPr>
        <w:tc>
          <w:tcPr>
            <w:tcW w:w="260" w:type="dxa"/>
            <w:vAlign w:val="bottom"/>
          </w:tcPr>
          <w:p>
            <w:pPr>
              <w:spacing w:after="0" w:line="150" w:lineRule="exact"/>
              <w:rPr>
                <w:sz w:val="20"/>
                <w:szCs w:val="20"/>
                <w:color w:val="auto"/>
              </w:rPr>
            </w:pPr>
            <w:r>
              <w:rPr>
                <w:rFonts w:ascii="Arial" w:cs="Arial" w:eastAsia="Arial" w:hAnsi="Arial"/>
                <w:sz w:val="14"/>
                <w:szCs w:val="14"/>
                <w:color w:val="auto"/>
              </w:rPr>
              <w:t>(F)</w:t>
            </w:r>
          </w:p>
        </w:tc>
        <w:tc>
          <w:tcPr>
            <w:tcW w:w="10880" w:type="dxa"/>
            <w:vAlign w:val="bottom"/>
            <w:gridSpan w:val="2"/>
          </w:tcPr>
          <w:p>
            <w:pPr>
              <w:ind w:left="60"/>
              <w:spacing w:after="0" w:line="150" w:lineRule="exact"/>
              <w:rPr>
                <w:sz w:val="20"/>
                <w:szCs w:val="20"/>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220" w:type="dxa"/>
            <w:vAlign w:val="bottom"/>
          </w:tcPr>
          <w:p>
            <w:pPr>
              <w:ind w:left="60"/>
              <w:spacing w:after="0"/>
              <w:rPr>
                <w:sz w:val="20"/>
                <w:szCs w:val="20"/>
                <w:color w:val="auto"/>
              </w:rPr>
            </w:pPr>
            <w:r>
              <w:rPr>
                <w:rFonts w:ascii="Arial" w:cs="Arial" w:eastAsia="Arial" w:hAnsi="Arial"/>
                <w:sz w:val="14"/>
                <w:szCs w:val="14"/>
                <w:color w:val="auto"/>
              </w:rPr>
              <w:t>consideration related to acquisitions</w:t>
            </w:r>
          </w:p>
        </w:tc>
        <w:tc>
          <w:tcPr>
            <w:tcW w:w="5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20"/>
                <w:szCs w:val="20"/>
                <w:color w:val="auto"/>
              </w:rPr>
            </w:pPr>
            <w:r>
              <w:rPr>
                <w:rFonts w:ascii="Arial" w:cs="Arial" w:eastAsia="Arial" w:hAnsi="Arial"/>
                <w:sz w:val="14"/>
                <w:szCs w:val="14"/>
                <w:color w:val="auto"/>
              </w:rPr>
              <w:t>(G)</w:t>
            </w:r>
          </w:p>
        </w:tc>
        <w:tc>
          <w:tcPr>
            <w:tcW w:w="5220" w:type="dxa"/>
            <w:vAlign w:val="bottom"/>
          </w:tcPr>
          <w:p>
            <w:pPr>
              <w:ind w:left="60"/>
              <w:spacing w:after="0"/>
              <w:rPr>
                <w:sz w:val="20"/>
                <w:szCs w:val="20"/>
                <w:color w:val="auto"/>
              </w:rPr>
            </w:pPr>
            <w:r>
              <w:rPr>
                <w:rFonts w:ascii="Arial" w:cs="Arial" w:eastAsia="Arial" w:hAnsi="Arial"/>
                <w:sz w:val="14"/>
                <w:szCs w:val="14"/>
                <w:color w:val="auto"/>
              </w:rPr>
              <w:t>Non-cash expenses associated with stock-based compensation costs</w:t>
            </w:r>
          </w:p>
        </w:tc>
        <w:tc>
          <w:tcPr>
            <w:tcW w:w="5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0" w:type="dxa"/>
            <w:vAlign w:val="bottom"/>
          </w:tcPr>
          <w:p>
            <w:pPr>
              <w:spacing w:after="0"/>
              <w:rPr>
                <w:sz w:val="20"/>
                <w:szCs w:val="20"/>
                <w:color w:val="auto"/>
              </w:rPr>
            </w:pPr>
            <w:r>
              <w:rPr>
                <w:rFonts w:ascii="Arial" w:cs="Arial" w:eastAsia="Arial" w:hAnsi="Arial"/>
                <w:sz w:val="14"/>
                <w:szCs w:val="14"/>
                <w:color w:val="auto"/>
              </w:rPr>
              <w:t>(H)</w:t>
            </w:r>
          </w:p>
        </w:tc>
        <w:tc>
          <w:tcPr>
            <w:tcW w:w="10880" w:type="dxa"/>
            <w:vAlign w:val="bottom"/>
            <w:gridSpan w:val="2"/>
          </w:tcPr>
          <w:p>
            <w:pPr>
              <w:ind w:left="60"/>
              <w:spacing w:after="0"/>
              <w:rPr>
                <w:sz w:val="20"/>
                <w:szCs w:val="20"/>
                <w:color w:val="auto"/>
              </w:rPr>
            </w:pPr>
            <w:r>
              <w:rPr>
                <w:rFonts w:ascii="Arial" w:cs="Arial" w:eastAsia="Arial" w:hAnsi="Arial"/>
                <w:sz w:val="14"/>
                <w:szCs w:val="14"/>
                <w:color w:val="auto"/>
              </w:rPr>
              <w:t>Primarily relates to discrete tax items and the tax impact of intercompany transactions</w:t>
            </w:r>
          </w:p>
        </w:tc>
        <w:tc>
          <w:tcPr>
            <w:tcW w:w="0" w:type="dxa"/>
            <w:vAlign w:val="bottom"/>
          </w:tcPr>
          <w:p>
            <w:pPr>
              <w:spacing w:after="0"/>
              <w:rPr>
                <w:sz w:val="1"/>
                <w:szCs w:val="1"/>
                <w:color w:val="auto"/>
              </w:rPr>
            </w:pPr>
          </w:p>
        </w:tc>
      </w:tr>
      <w:tr>
        <w:trPr>
          <w:trHeight w:val="150"/>
        </w:trPr>
        <w:tc>
          <w:tcPr>
            <w:tcW w:w="260" w:type="dxa"/>
            <w:vAlign w:val="bottom"/>
          </w:tcPr>
          <w:p>
            <w:pPr>
              <w:spacing w:after="0" w:line="150" w:lineRule="exact"/>
              <w:rPr>
                <w:sz w:val="20"/>
                <w:szCs w:val="20"/>
                <w:color w:val="auto"/>
              </w:rPr>
            </w:pPr>
            <w:r>
              <w:rPr>
                <w:rFonts w:ascii="Arial" w:cs="Arial" w:eastAsia="Arial" w:hAnsi="Arial"/>
                <w:sz w:val="14"/>
                <w:szCs w:val="14"/>
                <w:color w:val="auto"/>
              </w:rPr>
              <w:t>(I)</w:t>
            </w:r>
          </w:p>
        </w:tc>
        <w:tc>
          <w:tcPr>
            <w:tcW w:w="10880" w:type="dxa"/>
            <w:vAlign w:val="bottom"/>
            <w:gridSpan w:val="2"/>
          </w:tcPr>
          <w:p>
            <w:pPr>
              <w:ind w:left="60"/>
              <w:spacing w:after="0" w:line="150" w:lineRule="exact"/>
              <w:rPr>
                <w:sz w:val="20"/>
                <w:szCs w:val="20"/>
                <w:color w:val="auto"/>
              </w:rPr>
            </w:pPr>
            <w:r>
              <w:rPr>
                <w:rFonts w:ascii="Arial" w:cs="Arial" w:eastAsia="Arial" w:hAnsi="Arial"/>
                <w:sz w:val="14"/>
                <w:szCs w:val="14"/>
                <w:color w:val="auto"/>
              </w:rPr>
              <w:t>Primarily relates to non-cash interest expense on our Senior Secured Term Loan and Cash Exchangeable Senior Notes, interest related to the 3T Heater-Cooler matter and</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220" w:type="dxa"/>
            <w:vAlign w:val="bottom"/>
          </w:tcPr>
          <w:p>
            <w:pPr>
              <w:ind w:left="60"/>
              <w:spacing w:after="0"/>
              <w:rPr>
                <w:sz w:val="20"/>
                <w:szCs w:val="20"/>
                <w:color w:val="auto"/>
              </w:rPr>
            </w:pPr>
            <w:r>
              <w:rPr>
                <w:rFonts w:ascii="Arial" w:cs="Arial" w:eastAsia="Arial" w:hAnsi="Arial"/>
                <w:sz w:val="14"/>
                <w:szCs w:val="14"/>
                <w:color w:val="auto"/>
              </w:rPr>
              <w:t>intellectual property migration</w:t>
            </w:r>
          </w:p>
        </w:tc>
        <w:tc>
          <w:tcPr>
            <w:tcW w:w="5660" w:type="dxa"/>
            <w:vAlign w:val="bottom"/>
            <w:vMerge w:val="restart"/>
          </w:tcPr>
          <w:p>
            <w:pPr>
              <w:jc w:val="right"/>
              <w:ind w:right="5313"/>
              <w:spacing w:after="0"/>
              <w:rPr>
                <w:sz w:val="20"/>
                <w:szCs w:val="20"/>
                <w:color w:val="auto"/>
              </w:rPr>
            </w:pPr>
            <w:r>
              <w:rPr>
                <w:rFonts w:ascii="Arial" w:cs="Arial" w:eastAsia="Arial" w:hAnsi="Arial"/>
                <w:sz w:val="21"/>
                <w:szCs w:val="21"/>
                <w:color w:val="auto"/>
                <w:w w:val="93"/>
              </w:rPr>
              <w:t>15</w:t>
            </w:r>
          </w:p>
        </w:tc>
        <w:tc>
          <w:tcPr>
            <w:tcW w:w="0" w:type="dxa"/>
            <w:vAlign w:val="bottom"/>
          </w:tcPr>
          <w:p>
            <w:pPr>
              <w:spacing w:after="0"/>
              <w:rPr>
                <w:sz w:val="1"/>
                <w:szCs w:val="1"/>
                <w:color w:val="auto"/>
              </w:rPr>
            </w:pPr>
          </w:p>
        </w:tc>
      </w:tr>
      <w:tr>
        <w:trPr>
          <w:trHeight w:val="196"/>
        </w:trPr>
        <w:tc>
          <w:tcPr>
            <w:tcW w:w="548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860" w:type="dxa"/>
            <w:vAlign w:val="bottom"/>
          </w:tcPr>
          <w:p>
            <w:pPr>
              <w:spacing w:after="0"/>
              <w:rPr>
                <w:sz w:val="18"/>
                <w:szCs w:val="18"/>
                <w:color w:val="auto"/>
              </w:rPr>
            </w:pPr>
          </w:p>
        </w:tc>
        <w:tc>
          <w:tcPr>
            <w:tcW w:w="2240" w:type="dxa"/>
            <w:vAlign w:val="bottom"/>
            <w:gridSpan w:val="2"/>
          </w:tcPr>
          <w:p>
            <w:pPr>
              <w:ind w:left="520"/>
              <w:spacing w:after="0"/>
              <w:rPr>
                <w:sz w:val="20"/>
                <w:szCs w:val="20"/>
                <w:color w:val="auto"/>
              </w:rPr>
            </w:pPr>
            <w:r>
              <w:rPr>
                <w:rFonts w:ascii="Arial" w:cs="Arial" w:eastAsia="Arial" w:hAnsi="Arial"/>
                <w:sz w:val="17"/>
                <w:szCs w:val="17"/>
                <w:b w:val="1"/>
                <w:bCs w:val="1"/>
                <w:color w:val="auto"/>
              </w:rPr>
              <w:t>June 30, 2021</w:t>
            </w:r>
          </w:p>
        </w:tc>
        <w:tc>
          <w:tcPr>
            <w:tcW w:w="2140" w:type="dxa"/>
            <w:vAlign w:val="bottom"/>
          </w:tcPr>
          <w:p>
            <w:pPr>
              <w:jc w:val="right"/>
              <w:ind w:right="215"/>
              <w:spacing w:after="0"/>
              <w:rPr>
                <w:sz w:val="20"/>
                <w:szCs w:val="20"/>
                <w:color w:val="auto"/>
              </w:rPr>
            </w:pPr>
            <w:r>
              <w:rPr>
                <w:rFonts w:ascii="Arial" w:cs="Arial" w:eastAsia="Arial" w:hAnsi="Arial"/>
                <w:sz w:val="17"/>
                <w:szCs w:val="17"/>
                <w:b w:val="1"/>
                <w:bCs w:val="1"/>
                <w:color w:val="auto"/>
              </w:rPr>
              <w:t>December 31, 2020</w:t>
            </w:r>
          </w:p>
        </w:tc>
        <w:tc>
          <w:tcPr>
            <w:tcW w:w="0" w:type="dxa"/>
            <w:vAlign w:val="bottom"/>
          </w:tcPr>
          <w:p>
            <w:pPr>
              <w:spacing w:after="0"/>
              <w:rPr>
                <w:sz w:val="1"/>
                <w:szCs w:val="1"/>
                <w:color w:val="auto"/>
              </w:rPr>
            </w:pPr>
          </w:p>
        </w:tc>
      </w:tr>
      <w:tr>
        <w:trPr>
          <w:trHeight w:val="183"/>
        </w:trPr>
        <w:tc>
          <w:tcPr>
            <w:tcW w:w="494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4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18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$329.4</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Accounts receivable, net of allowance</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182.2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184.4</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127.2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126.7</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Prepaid and refundable taxes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36.2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Assets held for sale</w:t>
            </w:r>
          </w:p>
        </w:tc>
        <w:tc>
          <w:tcPr>
            <w:tcW w:w="18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Current derivative assets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28.8</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Total Current Assets</w:t>
            </w:r>
          </w:p>
        </w:tc>
        <w:tc>
          <w:tcPr>
            <w:tcW w:w="186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809.1</w:t>
            </w:r>
          </w:p>
        </w:tc>
        <w:tc>
          <w:tcPr>
            <w:tcW w:w="8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719.4</w:t>
            </w:r>
          </w:p>
        </w:tc>
        <w:tc>
          <w:tcPr>
            <w:tcW w:w="0" w:type="dxa"/>
            <w:vAlign w:val="bottom"/>
          </w:tcPr>
          <w:p>
            <w:pPr>
              <w:spacing w:after="0"/>
              <w:rPr>
                <w:sz w:val="1"/>
                <w:szCs w:val="1"/>
                <w:color w:val="auto"/>
              </w:rPr>
            </w:pPr>
          </w:p>
        </w:tc>
      </w:tr>
      <w:tr>
        <w:trPr>
          <w:trHeight w:val="204"/>
        </w:trPr>
        <w:tc>
          <w:tcPr>
            <w:tcW w:w="4940" w:type="dxa"/>
            <w:vAlign w:val="bottom"/>
          </w:tcPr>
          <w:p>
            <w:pPr>
              <w:ind w:left="220"/>
              <w:spacing w:after="0"/>
              <w:rPr>
                <w:sz w:val="20"/>
                <w:szCs w:val="20"/>
                <w:color w:val="auto"/>
              </w:rPr>
            </w:pPr>
            <w:r>
              <w:rPr>
                <w:rFonts w:ascii="Arial" w:cs="Arial" w:eastAsia="Arial" w:hAnsi="Arial"/>
                <w:sz w:val="17"/>
                <w:szCs w:val="17"/>
                <w:color w:val="auto"/>
              </w:rPr>
              <w:t>Property, plant and equipment, net</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157.4</w:t>
            </w:r>
          </w:p>
        </w:tc>
        <w:tc>
          <w:tcPr>
            <w:tcW w:w="8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163.8</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Goodwill</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918.3</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922.3</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Intangible assets, net</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419.2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437.6</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Operating lease assets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49.9</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Investments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15.3</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Deferred tax assets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Long-term derivative assets</w:t>
            </w:r>
          </w:p>
        </w:tc>
        <w:tc>
          <w:tcPr>
            <w:tcW w:w="18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7"/>
                <w:szCs w:val="17"/>
                <w:color w:val="auto"/>
              </w:rPr>
              <w:t>Other assets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7"/>
                <w:szCs w:val="17"/>
                <w:color w:val="auto"/>
              </w:rPr>
              <w:t>Total Assets</w:t>
            </w:r>
          </w:p>
        </w:tc>
        <w:tc>
          <w:tcPr>
            <w:tcW w:w="186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$2,396.5</w:t>
            </w:r>
          </w:p>
        </w:tc>
        <w:tc>
          <w:tcPr>
            <w:tcW w:w="8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$2,411.4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8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94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940" w:type="dxa"/>
            <w:vAlign w:val="bottom"/>
          </w:tcPr>
          <w:p>
            <w:pPr>
              <w:spacing w:after="0"/>
              <w:rPr>
                <w:sz w:val="20"/>
                <w:szCs w:val="20"/>
                <w:color w:val="auto"/>
              </w:rPr>
            </w:pPr>
            <w:r>
              <w:rPr>
                <w:rFonts w:ascii="Arial" w:cs="Arial" w:eastAsia="Arial" w:hAnsi="Arial"/>
                <w:sz w:val="17"/>
                <w:szCs w:val="17"/>
                <w:i w:val="1"/>
                <w:iCs w:val="1"/>
                <w:color w:val="auto"/>
              </w:rPr>
              <w:t>Current Liabilities:</w:t>
            </w:r>
          </w:p>
        </w:tc>
        <w:tc>
          <w:tcPr>
            <w:tcW w:w="18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Current debt obligations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$232.0</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61.3</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Accrued liabilities and other</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100.2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88.0</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Current derivative liabilities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174.9</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Current litigation provision liability</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Taxes payable</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18.4</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Accrued employee compensation and related benefits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62.2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Liabilities held for sale</w:t>
            </w:r>
          </w:p>
        </w:tc>
        <w:tc>
          <w:tcPr>
            <w:tcW w:w="1860" w:type="dxa"/>
            <w:vAlign w:val="bottom"/>
          </w:tcPr>
          <w:p>
            <w:pPr>
              <w:spacing w:after="0"/>
              <w:rPr>
                <w:sz w:val="18"/>
                <w:szCs w:val="18"/>
                <w:color w:val="auto"/>
              </w:rPr>
            </w:pPr>
          </w:p>
        </w:tc>
        <w:tc>
          <w:tcPr>
            <w:tcW w:w="2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140" w:type="dxa"/>
            <w:vAlign w:val="bottom"/>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86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702.2</w:t>
            </w:r>
          </w:p>
        </w:tc>
        <w:tc>
          <w:tcPr>
            <w:tcW w:w="8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309.1</w:t>
            </w:r>
          </w:p>
        </w:tc>
        <w:tc>
          <w:tcPr>
            <w:tcW w:w="0" w:type="dxa"/>
            <w:vAlign w:val="bottom"/>
          </w:tcPr>
          <w:p>
            <w:pPr>
              <w:spacing w:after="0"/>
              <w:rPr>
                <w:sz w:val="1"/>
                <w:szCs w:val="1"/>
                <w:color w:val="auto"/>
              </w:rPr>
            </w:pPr>
          </w:p>
        </w:tc>
      </w:tr>
      <w:tr>
        <w:trPr>
          <w:trHeight w:val="204"/>
        </w:trPr>
        <w:tc>
          <w:tcPr>
            <w:tcW w:w="4940" w:type="dxa"/>
            <w:vAlign w:val="bottom"/>
          </w:tcPr>
          <w:p>
            <w:pPr>
              <w:ind w:left="220"/>
              <w:spacing w:after="0"/>
              <w:rPr>
                <w:sz w:val="20"/>
                <w:szCs w:val="20"/>
                <w:color w:val="auto"/>
              </w:rPr>
            </w:pPr>
            <w:r>
              <w:rPr>
                <w:rFonts w:ascii="Arial" w:cs="Arial" w:eastAsia="Arial" w:hAnsi="Arial"/>
                <w:sz w:val="17"/>
                <w:szCs w:val="17"/>
                <w:color w:val="auto"/>
              </w:rPr>
              <w:t>Long-term debt obligations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431.0</w:t>
            </w:r>
          </w:p>
        </w:tc>
        <w:tc>
          <w:tcPr>
            <w:tcW w:w="8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642.3</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Contingent consideration</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97.0</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Litigation provision liability</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Deferred tax liabilities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Long-term operating lease liabilities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Long-term employee compensation and related benefits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18.4</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Long-term derivative liabilities</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14"/>
        </w:trPr>
        <w:tc>
          <w:tcPr>
            <w:tcW w:w="4940" w:type="dxa"/>
            <w:vAlign w:val="bottom"/>
          </w:tcPr>
          <w:p>
            <w:pPr>
              <w:ind w:left="220"/>
              <w:spacing w:after="0"/>
              <w:rPr>
                <w:sz w:val="20"/>
                <w:szCs w:val="20"/>
                <w:color w:val="auto"/>
              </w:rPr>
            </w:pPr>
            <w:r>
              <w:rPr>
                <w:rFonts w:ascii="Arial" w:cs="Arial" w:eastAsia="Arial" w:hAnsi="Arial"/>
                <w:sz w:val="17"/>
                <w:szCs w:val="17"/>
                <w:color w:val="auto"/>
              </w:rPr>
              <w:t>Other long-term liabilities</w:t>
            </w:r>
          </w:p>
        </w:tc>
        <w:tc>
          <w:tcPr>
            <w:tcW w:w="186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w:t>
            </w:r>
          </w:p>
        </w:tc>
        <w:tc>
          <w:tcPr>
            <w:tcW w:w="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Arial" w:cs="Arial" w:eastAsia="Arial" w:hAnsi="Arial"/>
                <w:sz w:val="17"/>
                <w:szCs w:val="17"/>
                <w:color w:val="auto"/>
              </w:rPr>
              <w:t>Total Liabilities</w:t>
            </w:r>
          </w:p>
        </w:tc>
        <w:tc>
          <w:tcPr>
            <w:tcW w:w="186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1,356.1</w:t>
            </w:r>
          </w:p>
        </w:tc>
        <w:tc>
          <w:tcPr>
            <w:tcW w:w="8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1,292.5</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1,040.5</w:t>
            </w:r>
          </w:p>
        </w:tc>
        <w:tc>
          <w:tcPr>
            <w:tcW w:w="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1,118.8</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86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$2,396.5</w:t>
            </w:r>
          </w:p>
        </w:tc>
        <w:tc>
          <w:tcPr>
            <w:tcW w:w="8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$2,411.4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color w:val="auto"/>
              </w:rPr>
              <w:t>* Numbers may not add precisely due to rounding.</w:t>
            </w:r>
          </w:p>
        </w:tc>
        <w:tc>
          <w:tcPr>
            <w:tcW w:w="1860" w:type="dxa"/>
            <w:vAlign w:val="bottom"/>
            <w:vMerge w:val="restart"/>
          </w:tcPr>
          <w:p>
            <w:pPr>
              <w:jc w:val="right"/>
              <w:ind w:right="1015"/>
              <w:spacing w:after="0"/>
              <w:rPr>
                <w:sz w:val="20"/>
                <w:szCs w:val="20"/>
                <w:color w:val="auto"/>
              </w:rPr>
            </w:pPr>
            <w:r>
              <w:rPr>
                <w:rFonts w:ascii="Arial" w:cs="Arial" w:eastAsia="Arial" w:hAnsi="Arial"/>
                <w:sz w:val="21"/>
                <w:szCs w:val="21"/>
                <w:color w:val="auto"/>
              </w:rPr>
              <w:t>16</w:t>
            </w: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49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799"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28" w:lineRule="exact"/>
        <w:rPr>
          <w:sz w:val="20"/>
          <w:szCs w:val="20"/>
          <w:color w:val="auto"/>
        </w:rPr>
      </w:pPr>
    </w:p>
    <w:p>
      <w:pPr>
        <w:ind w:right="1540"/>
        <w:spacing w:after="0" w:line="318" w:lineRule="auto"/>
        <w:rPr>
          <w:sz w:val="20"/>
          <w:szCs w:val="20"/>
          <w:color w:val="auto"/>
        </w:rPr>
      </w:pPr>
      <w:r>
        <w:rPr>
          <w:rFonts w:ascii="Arial" w:cs="Arial" w:eastAsia="Arial" w:hAnsi="Arial"/>
          <w:sz w:val="14"/>
          <w:szCs w:val="14"/>
          <w:b w:val="1"/>
          <w:bCs w:val="1"/>
          <w:color w:val="auto"/>
        </w:rPr>
        <w:t>CONDENSED CONSOLIDATED STATEMENTS OF CASH FLOWS - UNAUDITED (U.S. dollars in millions)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Activities: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loss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Non-cash items included in net loss: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Stock-based compensation</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derivative instruments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Depreciation</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contingent consideration to fair value</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debt issuance costs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operating lease assets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Respicardia investment and loan</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Deferred tax expense</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operating assets and liabilities: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 net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and non-current assets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and accrued current and non-current liabilities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Taxes payable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Litigation provision liability</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(used in) operating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Activities: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Purchases of property, plant and equipment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 of investments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sale of Heart Valves, net of cash disposed</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sale of Respicardia investment and loan</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Loans to investees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(used in) investing activities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42" w:lineRule="exact"/>
        <w:rPr>
          <w:sz w:val="20"/>
          <w:szCs w:val="20"/>
          <w:color w:val="auto"/>
        </w:rPr>
      </w:pPr>
    </w:p>
    <w:p>
      <w:pPr>
        <w:ind w:left="120" w:right="2540" w:firstLine="13"/>
        <w:spacing w:after="0" w:line="279" w:lineRule="auto"/>
        <w:rPr>
          <w:sz w:val="20"/>
          <w:szCs w:val="20"/>
          <w:color w:val="auto"/>
        </w:rPr>
      </w:pPr>
      <w:r>
        <w:rPr>
          <w:rFonts w:ascii="Arial" w:cs="Arial" w:eastAsia="Arial" w:hAnsi="Arial"/>
          <w:sz w:val="14"/>
          <w:szCs w:val="14"/>
          <w:color w:val="auto"/>
        </w:rPr>
        <w:t>Shares repurchased from employees for minimum tax withholding Payment of contingent consideration Proceeds from share issuances under ESPP</w:t>
      </w:r>
    </w:p>
    <w:p>
      <w:pPr>
        <w:ind w:left="120"/>
        <w:spacing w:after="0"/>
        <w:rPr>
          <w:sz w:val="20"/>
          <w:szCs w:val="20"/>
          <w:color w:val="auto"/>
        </w:rPr>
      </w:pPr>
      <w:r>
        <w:rPr>
          <w:rFonts w:ascii="Arial" w:cs="Arial" w:eastAsia="Arial" w:hAnsi="Arial"/>
          <w:sz w:val="14"/>
          <w:szCs w:val="14"/>
          <w:color w:val="auto"/>
        </w:rPr>
        <w:t>Repayment of long-term debt obligations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Debt issuance costs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Change in short-term borrowing, net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long-term debt obligations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short term borrowings (maturities greater than 90 days)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Repayments of short term borrowings (maturities greater than 90 days)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 of capped call</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Closing adjustment payment for sale of CRM business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(used in) provided by financing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Net increase in cash and cash equivalents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320" w:type="dxa"/>
            <w:vAlign w:val="bottom"/>
          </w:tcPr>
          <w:p>
            <w:pPr>
              <w:spacing w:after="0"/>
              <w:rPr>
                <w:sz w:val="20"/>
                <w:szCs w:val="20"/>
                <w:color w:val="auto"/>
              </w:rPr>
            </w:pPr>
            <w:r>
              <w:rPr>
                <w:rFonts w:ascii="Arial" w:cs="Arial" w:eastAsia="Arial" w:hAnsi="Arial"/>
                <w:sz w:val="14"/>
                <w:szCs w:val="14"/>
                <w:color w:val="auto"/>
              </w:rPr>
              <w:t>* Numbers may not add precisely due to rounding.</w:t>
            </w:r>
          </w:p>
        </w:tc>
        <w:tc>
          <w:tcPr>
            <w:tcW w:w="1400" w:type="dxa"/>
            <w:vAlign w:val="bottom"/>
          </w:tcPr>
          <w:p>
            <w:pPr>
              <w:jc w:val="right"/>
              <w:spacing w:after="0"/>
              <w:rPr>
                <w:sz w:val="20"/>
                <w:szCs w:val="20"/>
                <w:color w:val="auto"/>
              </w:rPr>
            </w:pPr>
            <w:r>
              <w:rPr>
                <w:rFonts w:ascii="Arial" w:cs="Arial" w:eastAsia="Arial" w:hAnsi="Arial"/>
                <w:sz w:val="21"/>
                <w:szCs w:val="21"/>
                <w:color w:val="auto"/>
              </w:rPr>
              <w:t>17</w:t>
            </w: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2020</w:t>
            </w:r>
          </w:p>
        </w:tc>
      </w:tr>
      <w:tr>
        <w:trPr>
          <w:trHeight w:val="356"/>
        </w:trPr>
        <w:tc>
          <w:tcPr>
            <w:tcW w:w="180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($50.4)</w:t>
            </w:r>
          </w:p>
        </w:tc>
      </w:tr>
      <w:tr>
        <w:trPr>
          <w:trHeight w:val="374"/>
        </w:trPr>
        <w:tc>
          <w:tcPr>
            <w:tcW w:w="180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46.2</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374"/>
        </w:trPr>
        <w:tc>
          <w:tcPr>
            <w:tcW w:w="18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66.3</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(16.2)</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(48.0)</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(121.2)</w:t>
            </w:r>
          </w:p>
        </w:tc>
      </w:tr>
      <w:tr>
        <w:trPr>
          <w:trHeight w:val="181"/>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w:t>
            </w:r>
          </w:p>
        </w:tc>
      </w:tr>
      <w:tr>
        <w:trPr>
          <w:trHeight w:val="356"/>
        </w:trPr>
        <w:tc>
          <w:tcPr>
            <w:tcW w:w="180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181"/>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r>
      <w:tr>
        <w:trPr>
          <w:trHeight w:val="356"/>
        </w:trPr>
        <w:tc>
          <w:tcPr>
            <w:tcW w:w="180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(481.3)</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87"/>
        </w:trPr>
        <w:tc>
          <w:tcPr>
            <w:tcW w:w="1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7"/>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886.9</w:t>
            </w:r>
          </w:p>
        </w:tc>
      </w:tr>
      <w:tr>
        <w:trPr>
          <w:trHeight w:val="187"/>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46.7</w:t>
            </w:r>
          </w:p>
        </w:tc>
      </w:tr>
      <w:tr>
        <w:trPr>
          <w:trHeight w:val="187"/>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187"/>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187"/>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319.7</w:t>
            </w:r>
          </w:p>
        </w:tc>
      </w:tr>
      <w:tr>
        <w:trPr>
          <w:trHeight w:val="182"/>
        </w:trPr>
        <w:tc>
          <w:tcPr>
            <w:tcW w:w="1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171.4</w:t>
            </w:r>
          </w:p>
        </w:tc>
      </w:tr>
      <w:tr>
        <w:trPr>
          <w:trHeight w:val="181"/>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r>
      <w:tr>
        <w:trPr>
          <w:trHeight w:val="181"/>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$329.4</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00" w:space="720"/>
            <w:col w:w="3700"/>
          </w:cols>
          <w:pgMar w:left="340" w:top="808" w:right="339" w:bottom="1440" w:gutter="0" w:footer="0" w:header="0"/>
        </w:sectPr>
      </w:pPr>
    </w:p>
    <w:bookmarkStart w:id="23" w:name="page24"/>
    <w:bookmarkEnd w:id="23"/>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960" w:type="dxa"/>
            <w:vAlign w:val="bottom"/>
            <w:gridSpan w:val="3"/>
            <w:vMerge w:val="restart"/>
          </w:tcPr>
          <w:p>
            <w:pPr>
              <w:jc w:val="right"/>
              <w:ind w:right="131"/>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 Change at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8"/>
              </w:rPr>
              <w:t>% Change at</w:t>
            </w:r>
          </w:p>
        </w:tc>
        <w:tc>
          <w:tcPr>
            <w:tcW w:w="0" w:type="dxa"/>
            <w:vAlign w:val="bottom"/>
          </w:tcPr>
          <w:p>
            <w:pPr>
              <w:spacing w:after="0"/>
              <w:rPr>
                <w:sz w:val="1"/>
                <w:szCs w:val="1"/>
                <w:color w:val="auto"/>
              </w:rPr>
            </w:pPr>
          </w:p>
        </w:tc>
      </w:tr>
      <w:tr>
        <w:trPr>
          <w:trHeight w:val="151"/>
        </w:trPr>
        <w:tc>
          <w:tcPr>
            <w:tcW w:w="4860" w:type="dxa"/>
            <w:vAlign w:val="bottom"/>
          </w:tcPr>
          <w:p>
            <w:pPr>
              <w:spacing w:after="0"/>
              <w:rPr>
                <w:sz w:val="12"/>
                <w:szCs w:val="12"/>
                <w:color w:val="auto"/>
              </w:rPr>
            </w:pPr>
          </w:p>
        </w:tc>
        <w:tc>
          <w:tcPr>
            <w:tcW w:w="2960" w:type="dxa"/>
            <w:vAlign w:val="bottom"/>
            <w:tcBorders>
              <w:bottom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80"/>
              <w:spacing w:after="0" w:line="146" w:lineRule="exact"/>
              <w:rPr>
                <w:sz w:val="20"/>
                <w:szCs w:val="20"/>
                <w:color w:val="auto"/>
              </w:rPr>
            </w:pPr>
            <w:r>
              <w:rPr>
                <w:rFonts w:ascii="Arial" w:cs="Arial" w:eastAsia="Arial" w:hAnsi="Arial"/>
                <w:sz w:val="16"/>
                <w:szCs w:val="16"/>
                <w:b w:val="1"/>
                <w:bCs w:val="1"/>
                <w:color w:val="auto"/>
              </w:rPr>
              <w:t>Actual Currency</w:t>
            </w:r>
          </w:p>
        </w:tc>
        <w:tc>
          <w:tcPr>
            <w:tcW w:w="1620" w:type="dxa"/>
            <w:vAlign w:val="bottom"/>
          </w:tcPr>
          <w:p>
            <w:pPr>
              <w:jc w:val="center"/>
              <w:spacing w:after="0" w:line="146"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235"/>
        </w:trPr>
        <w:tc>
          <w:tcPr>
            <w:tcW w:w="4860" w:type="dxa"/>
            <w:vAlign w:val="bottom"/>
          </w:tcPr>
          <w:p>
            <w:pPr>
              <w:spacing w:after="0"/>
              <w:rPr>
                <w:sz w:val="20"/>
                <w:szCs w:val="20"/>
                <w:color w:val="auto"/>
              </w:rPr>
            </w:pPr>
          </w:p>
        </w:tc>
        <w:tc>
          <w:tcPr>
            <w:tcW w:w="14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Rates</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center"/>
              <w:spacing w:after="0" w:line="235" w:lineRule="exact"/>
              <w:rPr>
                <w:sz w:val="20"/>
                <w:szCs w:val="20"/>
                <w:color w:val="auto"/>
              </w:rPr>
            </w:pPr>
            <w:r>
              <w:rPr>
                <w:rFonts w:ascii="Arial" w:cs="Arial" w:eastAsia="Arial" w:hAnsi="Arial"/>
                <w:sz w:val="18"/>
                <w:szCs w:val="18"/>
                <w:b w:val="1"/>
                <w:bCs w:val="1"/>
                <w:color w:val="auto"/>
                <w:w w:val="95"/>
              </w:rPr>
              <w:t xml:space="preserve">Currency Rates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19"/>
        </w:trPr>
        <w:tc>
          <w:tcPr>
            <w:tcW w:w="4860" w:type="dxa"/>
            <w:vAlign w:val="bottom"/>
          </w:tcPr>
          <w:p>
            <w:pPr>
              <w:spacing w:after="0"/>
              <w:rPr>
                <w:sz w:val="20"/>
                <w:szCs w:val="20"/>
                <w:color w:val="auto"/>
              </w:rPr>
            </w:pPr>
            <w:r>
              <w:rPr>
                <w:rFonts w:ascii="Arial" w:cs="Arial" w:eastAsia="Arial" w:hAnsi="Arial"/>
                <w:sz w:val="18"/>
                <w:szCs w:val="18"/>
                <w:color w:val="auto"/>
              </w:rPr>
              <w:t>GAAP net sales</w:t>
            </w:r>
          </w:p>
        </w:tc>
        <w:tc>
          <w:tcPr>
            <w:tcW w:w="1440" w:type="dxa"/>
            <w:vAlign w:val="bottom"/>
          </w:tcPr>
          <w:p>
            <w:pPr>
              <w:jc w:val="right"/>
              <w:spacing w:after="0"/>
              <w:rPr>
                <w:sz w:val="20"/>
                <w:szCs w:val="20"/>
                <w:color w:val="auto"/>
              </w:rPr>
            </w:pPr>
            <w:r>
              <w:rPr>
                <w:rFonts w:ascii="Arial" w:cs="Arial" w:eastAsia="Arial" w:hAnsi="Arial"/>
                <w:sz w:val="18"/>
                <w:szCs w:val="18"/>
                <w:color w:val="auto"/>
              </w:rPr>
              <w:t>$264.5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45.2 %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r>
        <w:trPr>
          <w:trHeight w:val="228"/>
        </w:trPr>
        <w:tc>
          <w:tcPr>
            <w:tcW w:w="4860" w:type="dxa"/>
            <w:vAlign w:val="bottom"/>
          </w:tcPr>
          <w:p>
            <w:pPr>
              <w:spacing w:after="0"/>
              <w:rPr>
                <w:sz w:val="20"/>
                <w:szCs w:val="20"/>
                <w:color w:val="auto"/>
              </w:rPr>
            </w:pPr>
            <w:r>
              <w:rPr>
                <w:rFonts w:ascii="Arial" w:cs="Arial" w:eastAsia="Arial" w:hAnsi="Arial"/>
                <w:sz w:val="18"/>
                <w:szCs w:val="18"/>
                <w:color w:val="auto"/>
              </w:rPr>
              <w:t>Less Heart Valves net sales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1"/>
        </w:trPr>
        <w:tc>
          <w:tcPr>
            <w:tcW w:w="4860" w:type="dxa"/>
            <w:vAlign w:val="bottom"/>
          </w:tcPr>
          <w:p>
            <w:pPr>
              <w:spacing w:after="0"/>
              <w:rPr>
                <w:sz w:val="20"/>
                <w:szCs w:val="20"/>
                <w:color w:val="auto"/>
              </w:rPr>
            </w:pPr>
            <w:r>
              <w:rPr>
                <w:rFonts w:ascii="Arial" w:cs="Arial" w:eastAsia="Arial" w:hAnsi="Arial"/>
                <w:sz w:val="18"/>
                <w:szCs w:val="18"/>
                <w:color w:val="auto"/>
              </w:rPr>
              <w:t>Net sales excluding Heart Valves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51.6 %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47.6 %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40" w:right="20" w:hanging="415"/>
        <w:spacing w:after="0" w:line="230"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2" w:lineRule="exact"/>
        <w:rPr>
          <w:sz w:val="20"/>
          <w:szCs w:val="20"/>
          <w:color w:val="auto"/>
        </w:rPr>
      </w:pPr>
    </w:p>
    <w:p>
      <w:pPr>
        <w:ind w:left="440" w:hanging="415"/>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12" w:lineRule="exact"/>
        <w:rPr>
          <w:sz w:val="20"/>
          <w:szCs w:val="20"/>
          <w:color w:val="auto"/>
        </w:rPr>
      </w:pPr>
    </w:p>
    <w:p>
      <w:pPr>
        <w:ind w:right="100"/>
        <w:spacing w:after="0" w:line="368" w:lineRule="auto"/>
        <w:rPr>
          <w:sz w:val="20"/>
          <w:szCs w:val="20"/>
          <w:color w:val="auto"/>
        </w:rPr>
      </w:pPr>
      <w:r>
        <w:rPr>
          <w:rFonts w:ascii="Arial" w:cs="Arial" w:eastAsia="Arial" w:hAnsi="Arial"/>
          <w:sz w:val="19"/>
          <w:szCs w:val="19"/>
          <w:color w:val="auto"/>
        </w:rPr>
        <w:t>The following table presents the reconciliation of GAAP diluted weighted average shares outstanding, used in the computation of GAAP diluted net loss per common share from continuing operations, to adjusted diluted weighted average shares outstanding, used in the computation of adjusted diluted earnings per common share from continuing operations (in millions of shares):</w:t>
      </w:r>
    </w:p>
    <w:p>
      <w:pPr>
        <w:ind w:left="20"/>
        <w:spacing w:after="0" w:line="228" w:lineRule="auto"/>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20" w:right="340"/>
        <w:spacing w:after="0" w:line="297" w:lineRule="auto"/>
        <w:rPr>
          <w:sz w:val="20"/>
          <w:szCs w:val="20"/>
          <w:color w:val="auto"/>
        </w:rPr>
      </w:pPr>
      <w:r>
        <w:rPr>
          <w:rFonts w:ascii="Arial" w:cs="Arial" w:eastAsia="Arial" w:hAnsi="Arial"/>
          <w:sz w:val="17"/>
          <w:szCs w:val="17"/>
          <w:color w:val="auto"/>
        </w:rPr>
        <w:t>GAAP diluted weighted average shares outstanding Add effects of stock-based compensation instruments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Adjusted diluted weighted average shares outstanding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30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2840" w:type="dxa"/>
            <w:vAlign w:val="bottom"/>
            <w:gridSpan w:val="3"/>
          </w:tcPr>
          <w:p>
            <w:pPr>
              <w:jc w:val="right"/>
              <w:ind w:right="171"/>
              <w:spacing w:after="0"/>
              <w:rPr>
                <w:sz w:val="20"/>
                <w:szCs w:val="20"/>
                <w:color w:val="auto"/>
              </w:rPr>
            </w:pPr>
            <w:r>
              <w:rPr>
                <w:rFonts w:ascii="Arial" w:cs="Arial" w:eastAsia="Arial" w:hAnsi="Arial"/>
                <w:sz w:val="18"/>
                <w:szCs w:val="18"/>
                <w:b w:val="1"/>
                <w:bCs w:val="1"/>
                <w:color w:val="auto"/>
              </w:rPr>
              <w:t>Six Months Ended June 30,</w:t>
            </w:r>
          </w:p>
        </w:tc>
      </w:tr>
      <w:tr>
        <w:trPr>
          <w:trHeight w:val="221"/>
        </w:trPr>
        <w:tc>
          <w:tcPr>
            <w:tcW w:w="14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2020</w:t>
            </w:r>
          </w:p>
        </w:tc>
      </w:tr>
      <w:tr>
        <w:trPr>
          <w:trHeight w:val="219"/>
        </w:trPr>
        <w:tc>
          <w:tcPr>
            <w:tcW w:w="1460" w:type="dxa"/>
            <w:vAlign w:val="bottom"/>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8"/>
        </w:trPr>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1"/>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ectPr>
          <w:pgSz w:w="11900" w:h="16838" w:orient="portrait"/>
          <w:cols w:equalWidth="0" w:num="2">
            <w:col w:w="4600" w:space="720"/>
            <w:col w:w="5920"/>
          </w:cols>
          <w:pgMar w:left="320" w:top="1440" w:right="339" w:bottom="1440" w:gutter="0" w:footer="0" w:header="0"/>
          <w:type w:val="continuous"/>
        </w:sectPr>
      </w:pPr>
    </w:p>
    <w:p>
      <w:pPr>
        <w:ind w:left="460" w:right="160" w:hanging="435"/>
        <w:spacing w:after="0" w:line="23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diluted weighted average shares outstanding is a non-GAAP measure and includes the effects of stock-based compensation instruments, as reconciled in the above table.</w:t>
      </w:r>
    </w:p>
    <w:p>
      <w:pPr>
        <w:spacing w:after="0" w:line="22" w:lineRule="exact"/>
        <w:rPr>
          <w:sz w:val="20"/>
          <w:szCs w:val="20"/>
          <w:color w:val="auto"/>
        </w:rPr>
      </w:pPr>
    </w:p>
    <w:p>
      <w:pPr>
        <w:ind w:left="460" w:hanging="435"/>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decimal"/>
      <w:start w:val="104"/>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upperLetter"/>
      <w:start w:val="1"/>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2021-07-28T05:30:21Z</dcterms:created>
  <dcterms:modified xsi:type="dcterms:W3CDTF">2021-07-28T05:30:21Z</dcterms:modified>
</cp:coreProperties>
</file>