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699008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008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 w:name="page2"/>
    <w:bookmarkEnd w:id="1"/>
    <w:p>
      <w:pPr>
        <w:spacing w:after="0"/>
        <w:rPr>
          <w:sz w:val="20"/>
          <w:szCs w:val="20"/>
          <w:color w:val="auto"/>
        </w:rPr>
      </w:pPr>
    </w:p>
    <w:p>
      <w:pPr>
        <w:sectPr>
          <w:pgSz w:w="11880" w:h="15480" w:orient="portrait"/>
          <w:cols w:equalWidth="1" w:num="1" w:space="0"/>
          <w:pgMar w:left="1440" w:top="1440" w:right="1440" w:bottom="875" w:gutter="0" w:footer="0" w:header="0"/>
        </w:sectPr>
      </w:pPr>
    </w:p>
    <w:bookmarkStart w:id="2" w:name="page3"/>
    <w:bookmarkEnd w:id="2"/>
    <w:p>
      <w:pPr>
        <w:jc w:val="center"/>
        <w:ind w:right="20"/>
        <w:spacing w:after="0"/>
        <w:rPr>
          <w:sz w:val="20"/>
          <w:szCs w:val="20"/>
          <w:color w:val="auto"/>
        </w:rPr>
      </w:pPr>
      <w:r>
        <w:rPr>
          <w:rFonts w:ascii="Arial" w:cs="Arial" w:eastAsia="Arial" w:hAnsi="Arial"/>
          <w:sz w:val="22"/>
          <w:szCs w:val="22"/>
          <w:b w:val="1"/>
          <w:bCs w:val="1"/>
          <w:color w:val="auto"/>
        </w:rPr>
        <w:t>UNITED STATES</w:t>
      </w:r>
    </w:p>
    <w:p>
      <w:pPr>
        <w:jc w:val="center"/>
        <w:ind w:right="20"/>
        <w:spacing w:after="0" w:line="204"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1" w:lineRule="exact"/>
        <w:rPr>
          <w:sz w:val="20"/>
          <w:szCs w:val="20"/>
          <w:color w:val="auto"/>
        </w:rPr>
      </w:pPr>
    </w:p>
    <w:p>
      <w:pPr>
        <w:ind w:left="4280"/>
        <w:spacing w:after="0"/>
        <w:rPr>
          <w:sz w:val="20"/>
          <w:szCs w:val="20"/>
          <w:color w:val="auto"/>
        </w:rPr>
      </w:pPr>
      <w:r>
        <w:rPr>
          <w:rFonts w:ascii="Arial" w:cs="Arial" w:eastAsia="Arial" w:hAnsi="Arial"/>
          <w:sz w:val="12"/>
          <w:szCs w:val="12"/>
          <w:color w:val="auto"/>
        </w:rPr>
        <w:t>_________________________</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31"/>
          <w:szCs w:val="31"/>
          <w:b w:val="1"/>
          <w:bCs w:val="1"/>
          <w:color w:val="auto"/>
        </w:rPr>
        <w:t>Form 10-K</w:t>
      </w:r>
    </w:p>
    <w:p>
      <w:pPr>
        <w:spacing w:after="0" w:line="1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(Mark One)</w:t>
      </w:r>
    </w:p>
    <w:p>
      <w:pPr>
        <w:spacing w:after="0" w:line="138" w:lineRule="exact"/>
        <w:rPr>
          <w:sz w:val="20"/>
          <w:szCs w:val="20"/>
          <w:color w:val="auto"/>
        </w:rPr>
      </w:pPr>
    </w:p>
    <w:p>
      <w:pPr>
        <w:ind w:left="3440" w:right="580" w:hanging="2820"/>
        <w:spacing w:after="0" w:line="190" w:lineRule="auto"/>
        <w:tabs>
          <w:tab w:leader="none" w:pos="864" w:val="left"/>
        </w:tabs>
        <w:numPr>
          <w:ilvl w:val="1"/>
          <w:numId w:val="1"/>
        </w:numPr>
        <w:rPr>
          <w:rFonts w:ascii="MS PGothic" w:cs="MS PGothic" w:eastAsia="MS PGothic" w:hAnsi="MS PGothic"/>
          <w:sz w:val="35"/>
          <w:szCs w:val="35"/>
          <w:b w:val="1"/>
          <w:bCs w:val="1"/>
          <w:color w:val="auto"/>
          <w:vertAlign w:val="superscript"/>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December 31, 2024</w:t>
      </w:r>
    </w:p>
    <w:p>
      <w:pPr>
        <w:ind w:left="4940"/>
        <w:spacing w:after="0"/>
        <w:rPr>
          <w:rFonts w:ascii="MS PGothic" w:cs="MS PGothic" w:eastAsia="MS PGothic" w:hAnsi="MS PGothic"/>
          <w:sz w:val="35"/>
          <w:szCs w:val="35"/>
          <w:b w:val="1"/>
          <w:bCs w:val="1"/>
          <w:color w:val="auto"/>
          <w:vertAlign w:val="superscript"/>
        </w:rPr>
      </w:pPr>
      <w:r>
        <w:rPr>
          <w:rFonts w:ascii="Arial" w:cs="Arial" w:eastAsia="Arial" w:hAnsi="Arial"/>
          <w:sz w:val="18"/>
          <w:szCs w:val="18"/>
          <w:b w:val="1"/>
          <w:bCs w:val="1"/>
          <w:color w:val="auto"/>
        </w:rPr>
        <w:t>or</w:t>
      </w:r>
    </w:p>
    <w:p>
      <w:pPr>
        <w:spacing w:after="0" w:line="144" w:lineRule="exact"/>
        <w:rPr>
          <w:rFonts w:ascii="MS PGothic" w:cs="MS PGothic" w:eastAsia="MS PGothic" w:hAnsi="MS PGothic"/>
          <w:sz w:val="35"/>
          <w:szCs w:val="35"/>
          <w:b w:val="1"/>
          <w:bCs w:val="1"/>
          <w:color w:val="auto"/>
          <w:vertAlign w:val="superscript"/>
        </w:rPr>
      </w:pPr>
    </w:p>
    <w:p>
      <w:pPr>
        <w:ind w:left="3300" w:right="400" w:hanging="2861"/>
        <w:spacing w:after="0" w:line="205" w:lineRule="auto"/>
        <w:tabs>
          <w:tab w:leader="none" w:pos="668" w:val="left"/>
        </w:tabs>
        <w:numPr>
          <w:ilvl w:val="0"/>
          <w:numId w:val="1"/>
        </w:numPr>
        <w:rPr>
          <w:rFonts w:ascii="MS PGothic" w:cs="MS PGothic" w:eastAsia="MS PGothic" w:hAnsi="MS PGothic"/>
          <w:sz w:val="34"/>
          <w:szCs w:val="34"/>
          <w:b w:val="1"/>
          <w:bCs w:val="1"/>
          <w:color w:val="auto"/>
          <w:vertAlign w:val="superscript"/>
        </w:rPr>
      </w:pPr>
      <w:r>
        <w:rPr>
          <w:rFonts w:ascii="Arial" w:cs="Arial" w:eastAsia="Arial" w:hAnsi="Arial"/>
          <w:sz w:val="17"/>
          <w:szCs w:val="17"/>
          <w:b w:val="1"/>
          <w:bCs w:val="1"/>
          <w:color w:val="auto"/>
        </w:rPr>
        <w:t xml:space="preserve">TRANSITION REPORT PURSUANT TO SECTION 13 OR 15(d) OF THE SECURITIES EXCHANGE ACT OF 1934 </w:t>
      </w:r>
      <w:r>
        <w:rPr>
          <w:rFonts w:ascii="Arial" w:cs="Arial" w:eastAsia="Arial" w:hAnsi="Arial"/>
          <w:sz w:val="17"/>
          <w:szCs w:val="17"/>
          <w:color w:val="auto"/>
        </w:rPr>
        <w:t>For the transition period from ______ to ______</w:t>
      </w:r>
    </w:p>
    <w:p>
      <w:pPr>
        <w:spacing w:after="0" w:line="10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001-37599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2510790</wp:posOffset>
            </wp:positionH>
            <wp:positionV relativeFrom="paragraph">
              <wp:posOffset>153035</wp:posOffset>
            </wp:positionV>
            <wp:extent cx="1339850" cy="255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39850" cy="255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31"/>
          <w:szCs w:val="31"/>
          <w:b w:val="1"/>
          <w:bCs w:val="1"/>
          <w:color w:val="auto"/>
        </w:rPr>
        <w:t>LivaNova PLC</w:t>
      </w:r>
    </w:p>
    <w:p>
      <w:pPr>
        <w:spacing w:after="0" w:line="9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i w:val="1"/>
          <w:iCs w:val="1"/>
          <w:color w:val="auto"/>
        </w:rPr>
        <w:t>(Exact name of registrant as specified in its charter)</w:t>
      </w:r>
    </w:p>
    <w:p>
      <w:pPr>
        <w:spacing w:after="0" w:line="12" w:lineRule="exact"/>
        <w:rPr>
          <w:sz w:val="20"/>
          <w:szCs w:val="20"/>
          <w:color w:val="auto"/>
        </w:rPr>
      </w:pPr>
    </w:p>
    <w:p>
      <w:pPr>
        <w:ind w:left="3580"/>
        <w:spacing w:after="0"/>
        <w:tabs>
          <w:tab w:leader="none" w:pos="5680" w:val="left"/>
        </w:tabs>
        <w:rPr>
          <w:sz w:val="20"/>
          <w:szCs w:val="20"/>
          <w:color w:val="auto"/>
        </w:rPr>
      </w:pPr>
      <w:r>
        <w:rPr>
          <w:rFonts w:ascii="Arial" w:cs="Arial" w:eastAsia="Arial" w:hAnsi="Arial"/>
          <w:sz w:val="16"/>
          <w:szCs w:val="16"/>
          <w:b w:val="1"/>
          <w:bCs w:val="1"/>
          <w:color w:val="auto"/>
        </w:rPr>
        <w:t>England and Wales</w:t>
      </w:r>
      <w:r>
        <w:rPr>
          <w:sz w:val="20"/>
          <w:szCs w:val="20"/>
          <w:color w:val="auto"/>
        </w:rPr>
        <w:tab/>
      </w:r>
      <w:r>
        <w:rPr>
          <w:rFonts w:ascii="Arial" w:cs="Arial" w:eastAsia="Arial" w:hAnsi="Arial"/>
          <w:sz w:val="13"/>
          <w:szCs w:val="13"/>
          <w:b w:val="1"/>
          <w:bCs w:val="1"/>
          <w:color w:val="auto"/>
        </w:rPr>
        <w:t>98-1268150</w:t>
      </w:r>
    </w:p>
    <w:p>
      <w:pPr>
        <w:spacing w:after="0" w:line="5" w:lineRule="exact"/>
        <w:rPr>
          <w:sz w:val="20"/>
          <w:szCs w:val="20"/>
          <w:color w:val="auto"/>
        </w:rPr>
      </w:pPr>
    </w:p>
    <w:p>
      <w:pPr>
        <w:ind w:left="3340"/>
        <w:spacing w:after="0"/>
        <w:tabs>
          <w:tab w:leader="none" w:pos="5640" w:val="left"/>
        </w:tabs>
        <w:rPr>
          <w:sz w:val="20"/>
          <w:szCs w:val="20"/>
          <w:color w:val="auto"/>
        </w:rPr>
      </w:pPr>
      <w:r>
        <w:rPr>
          <w:rFonts w:ascii="Arial" w:cs="Arial" w:eastAsia="Arial" w:hAnsi="Arial"/>
          <w:sz w:val="16"/>
          <w:szCs w:val="16"/>
          <w:b w:val="1"/>
          <w:bCs w:val="1"/>
          <w:i w:val="1"/>
          <w:iCs w:val="1"/>
          <w:color w:val="auto"/>
        </w:rPr>
        <w:t>(State or other jurisdiction of</w:t>
      </w:r>
      <w:r>
        <w:rPr>
          <w:sz w:val="20"/>
          <w:szCs w:val="20"/>
          <w:color w:val="auto"/>
        </w:rPr>
        <w:tab/>
      </w:r>
      <w:r>
        <w:rPr>
          <w:rFonts w:ascii="Arial" w:cs="Arial" w:eastAsia="Arial" w:hAnsi="Arial"/>
          <w:sz w:val="13"/>
          <w:szCs w:val="13"/>
          <w:b w:val="1"/>
          <w:bCs w:val="1"/>
          <w:i w:val="1"/>
          <w:iCs w:val="1"/>
          <w:color w:val="auto"/>
        </w:rPr>
        <w:t>(I.R.S. Employer</w:t>
      </w:r>
    </w:p>
    <w:p>
      <w:pPr>
        <w:ind w:left="3280"/>
        <w:spacing w:after="0"/>
        <w:tabs>
          <w:tab w:leader="none" w:pos="5580" w:val="left"/>
        </w:tabs>
        <w:rPr>
          <w:sz w:val="20"/>
          <w:szCs w:val="20"/>
          <w:color w:val="auto"/>
        </w:rPr>
      </w:pPr>
      <w:r>
        <w:rPr>
          <w:rFonts w:ascii="Arial" w:cs="Arial" w:eastAsia="Arial" w:hAnsi="Arial"/>
          <w:sz w:val="16"/>
          <w:szCs w:val="16"/>
          <w:b w:val="1"/>
          <w:bCs w:val="1"/>
          <w:i w:val="1"/>
          <w:iCs w:val="1"/>
          <w:color w:val="auto"/>
        </w:rPr>
        <w:t>incorporation or organization)</w:t>
      </w:r>
      <w:r>
        <w:rPr>
          <w:sz w:val="20"/>
          <w:szCs w:val="20"/>
          <w:color w:val="auto"/>
        </w:rPr>
        <w:tab/>
      </w:r>
      <w:r>
        <w:rPr>
          <w:rFonts w:ascii="Arial" w:cs="Arial" w:eastAsia="Arial" w:hAnsi="Arial"/>
          <w:sz w:val="13"/>
          <w:szCs w:val="13"/>
          <w:b w:val="1"/>
          <w:bCs w:val="1"/>
          <w:i w:val="1"/>
          <w:iCs w:val="1"/>
          <w:color w:val="auto"/>
        </w:rPr>
        <w:t>Identification No.)</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20 Eastbourne Terrace, London, United Kingdom</w:t>
      </w:r>
      <w:r>
        <w:rPr>
          <w:rFonts w:ascii="Arial" w:cs="Arial" w:eastAsia="Arial" w:hAnsi="Arial"/>
          <w:sz w:val="19"/>
          <w:szCs w:val="19"/>
          <w:color w:val="auto"/>
        </w:rPr>
        <w:t>,</w:t>
      </w:r>
      <w:r>
        <w:rPr>
          <w:rFonts w:ascii="Arial" w:cs="Arial" w:eastAsia="Arial" w:hAnsi="Arial"/>
          <w:sz w:val="16"/>
          <w:szCs w:val="16"/>
          <w:b w:val="1"/>
          <w:bCs w:val="1"/>
          <w:color w:val="auto"/>
        </w:rPr>
        <w:t xml:space="preserve"> W2 6LG</w:t>
      </w:r>
    </w:p>
    <w:p>
      <w:pPr>
        <w:spacing w:after="0" w:line="27" w:lineRule="exact"/>
        <w:rPr>
          <w:sz w:val="20"/>
          <w:szCs w:val="20"/>
          <w:color w:val="auto"/>
        </w:rPr>
      </w:pPr>
    </w:p>
    <w:p>
      <w:pPr>
        <w:ind w:left="2960"/>
        <w:spacing w:after="0"/>
        <w:tabs>
          <w:tab w:leader="none" w:pos="6380" w:val="left"/>
        </w:tabs>
        <w:rPr>
          <w:sz w:val="20"/>
          <w:szCs w:val="20"/>
          <w:color w:val="auto"/>
        </w:rPr>
      </w:pPr>
      <w:r>
        <w:rPr>
          <w:rFonts w:ascii="Arial" w:cs="Arial" w:eastAsia="Arial" w:hAnsi="Arial"/>
          <w:sz w:val="16"/>
          <w:szCs w:val="16"/>
          <w:b w:val="1"/>
          <w:bCs w:val="1"/>
          <w:i w:val="1"/>
          <w:iCs w:val="1"/>
          <w:color w:val="auto"/>
        </w:rPr>
        <w:t>(Address of principal executive offices)</w:t>
      </w:r>
      <w:r>
        <w:rPr>
          <w:sz w:val="20"/>
          <w:szCs w:val="20"/>
          <w:color w:val="auto"/>
        </w:rPr>
        <w:tab/>
      </w:r>
      <w:r>
        <w:rPr>
          <w:rFonts w:ascii="Arial" w:cs="Arial" w:eastAsia="Arial" w:hAnsi="Arial"/>
          <w:sz w:val="13"/>
          <w:szCs w:val="13"/>
          <w:b w:val="1"/>
          <w:bCs w:val="1"/>
          <w:i w:val="1"/>
          <w:iCs w:val="1"/>
          <w:color w:val="auto"/>
        </w:rPr>
        <w:t>(Zip Code)</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i w:val="1"/>
          <w:iCs w:val="1"/>
          <w:color w:val="auto"/>
        </w:rPr>
        <w:t xml:space="preserve">Registrant’s telephone number, including area code: </w:t>
      </w:r>
      <w:r>
        <w:rPr>
          <w:rFonts w:ascii="Arial" w:cs="Arial" w:eastAsia="Arial" w:hAnsi="Arial"/>
          <w:sz w:val="16"/>
          <w:szCs w:val="16"/>
          <w:b w:val="1"/>
          <w:bCs w:val="1"/>
          <w:color w:val="auto"/>
        </w:rPr>
        <w:t>(44) (0) 203 325-0660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139700</wp:posOffset>
                </wp:positionV>
                <wp:extent cx="638429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24892">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1pt" to="502.35pt,11pt" o:allowincell="f" strokecolor="#000000" strokeweight="1.96pt"/>
            </w:pict>
          </mc:Fallback>
        </mc:AlternateContent>
      </w: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75" w:lineRule="exact"/>
        <w:rPr>
          <w:sz w:val="20"/>
          <w:szCs w:val="20"/>
          <w:color w:val="auto"/>
        </w:rPr>
      </w:pPr>
    </w:p>
    <w:tbl>
      <w:tblPr>
        <w:tblLayout w:type="fixed"/>
        <w:tblInd w:w="1280" w:type="dxa"/>
        <w:tblCellMar>
          <w:top w:w="0" w:type="dxa"/>
          <w:left w:w="0" w:type="dxa"/>
          <w:bottom w:w="0" w:type="dxa"/>
          <w:right w:w="0" w:type="dxa"/>
        </w:tblCellMar>
      </w:tblPr>
      <w:tr>
        <w:trPr>
          <w:trHeight w:val="184"/>
        </w:trPr>
        <w:tc>
          <w:tcPr>
            <w:tcW w:w="800" w:type="dxa"/>
            <w:vAlign w:val="bottom"/>
          </w:tcPr>
          <w:p>
            <w:pPr>
              <w:spacing w:after="0"/>
              <w:rPr>
                <w:sz w:val="16"/>
                <w:szCs w:val="16"/>
                <w:color w:val="auto"/>
              </w:rPr>
            </w:pPr>
          </w:p>
        </w:tc>
        <w:tc>
          <w:tcPr>
            <w:tcW w:w="2340" w:type="dxa"/>
            <w:vAlign w:val="bottom"/>
            <w:gridSpan w:val="2"/>
          </w:tcPr>
          <w:p>
            <w:pPr>
              <w:jc w:val="center"/>
              <w:ind w:right="1200"/>
              <w:spacing w:after="0"/>
              <w:rPr>
                <w:sz w:val="20"/>
                <w:szCs w:val="20"/>
                <w:color w:val="auto"/>
              </w:rPr>
            </w:pPr>
            <w:r>
              <w:rPr>
                <w:rFonts w:ascii="Arial" w:cs="Arial" w:eastAsia="Arial" w:hAnsi="Arial"/>
                <w:sz w:val="16"/>
                <w:szCs w:val="16"/>
                <w:color w:val="auto"/>
                <w:w w:val="88"/>
              </w:rPr>
              <w:t>Title of each class</w:t>
            </w:r>
          </w:p>
        </w:tc>
        <w:tc>
          <w:tcPr>
            <w:tcW w:w="1380" w:type="dxa"/>
            <w:vAlign w:val="bottom"/>
            <w:gridSpan w:val="2"/>
          </w:tcPr>
          <w:p>
            <w:pPr>
              <w:jc w:val="center"/>
              <w:ind w:right="180"/>
              <w:spacing w:after="0"/>
              <w:rPr>
                <w:sz w:val="20"/>
                <w:szCs w:val="20"/>
                <w:color w:val="auto"/>
              </w:rPr>
            </w:pPr>
            <w:r>
              <w:rPr>
                <w:rFonts w:ascii="Arial" w:cs="Arial" w:eastAsia="Arial" w:hAnsi="Arial"/>
                <w:sz w:val="16"/>
                <w:szCs w:val="16"/>
                <w:color w:val="auto"/>
                <w:w w:val="91"/>
              </w:rPr>
              <w:t>Trading Symbol(s)</w:t>
            </w:r>
          </w:p>
        </w:tc>
        <w:tc>
          <w:tcPr>
            <w:tcW w:w="2980" w:type="dxa"/>
            <w:vAlign w:val="bottom"/>
            <w:gridSpan w:val="2"/>
          </w:tcPr>
          <w:p>
            <w:pPr>
              <w:jc w:val="center"/>
              <w:ind w:left="122"/>
              <w:spacing w:after="0"/>
              <w:rPr>
                <w:sz w:val="20"/>
                <w:szCs w:val="20"/>
                <w:color w:val="auto"/>
              </w:rPr>
            </w:pPr>
            <w:r>
              <w:rPr>
                <w:rFonts w:ascii="Arial" w:cs="Arial" w:eastAsia="Arial" w:hAnsi="Arial"/>
                <w:sz w:val="16"/>
                <w:szCs w:val="16"/>
                <w:color w:val="auto"/>
                <w:w w:val="87"/>
              </w:rPr>
              <w:t>Name of each exchange on which registered</w:t>
            </w:r>
          </w:p>
        </w:tc>
      </w:tr>
      <w:tr>
        <w:trPr>
          <w:trHeight w:val="20"/>
        </w:trPr>
        <w:tc>
          <w:tcPr>
            <w:tcW w:w="8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265"/>
        </w:trPr>
        <w:tc>
          <w:tcPr>
            <w:tcW w:w="3140" w:type="dxa"/>
            <w:vAlign w:val="bottom"/>
            <w:gridSpan w:val="3"/>
          </w:tcPr>
          <w:p>
            <w:pPr>
              <w:jc w:val="center"/>
              <w:ind w:right="400"/>
              <w:spacing w:after="0"/>
              <w:rPr>
                <w:sz w:val="20"/>
                <w:szCs w:val="20"/>
                <w:color w:val="auto"/>
              </w:rPr>
            </w:pPr>
            <w:r>
              <w:rPr>
                <w:rFonts w:ascii="Arial" w:cs="Arial" w:eastAsia="Arial" w:hAnsi="Arial"/>
                <w:sz w:val="16"/>
                <w:szCs w:val="16"/>
                <w:color w:val="auto"/>
                <w:w w:val="87"/>
              </w:rPr>
              <w:t>Ordinary Shares - £1.00 par value per share</w:t>
            </w:r>
          </w:p>
        </w:tc>
        <w:tc>
          <w:tcPr>
            <w:tcW w:w="1380" w:type="dxa"/>
            <w:vAlign w:val="bottom"/>
            <w:gridSpan w:val="2"/>
          </w:tcPr>
          <w:p>
            <w:pPr>
              <w:jc w:val="center"/>
              <w:ind w:right="180"/>
              <w:spacing w:after="0"/>
              <w:rPr>
                <w:sz w:val="20"/>
                <w:szCs w:val="20"/>
                <w:color w:val="auto"/>
              </w:rPr>
            </w:pPr>
            <w:r>
              <w:rPr>
                <w:rFonts w:ascii="Arial" w:cs="Arial" w:eastAsia="Arial" w:hAnsi="Arial"/>
                <w:sz w:val="16"/>
                <w:szCs w:val="16"/>
                <w:color w:val="auto"/>
              </w:rPr>
              <w:t>LIVN</w:t>
            </w:r>
          </w:p>
        </w:tc>
        <w:tc>
          <w:tcPr>
            <w:tcW w:w="200" w:type="dxa"/>
            <w:vAlign w:val="bottom"/>
          </w:tcPr>
          <w:p>
            <w:pPr>
              <w:spacing w:after="0"/>
              <w:rPr>
                <w:sz w:val="23"/>
                <w:szCs w:val="23"/>
                <w:color w:val="auto"/>
              </w:rPr>
            </w:pPr>
          </w:p>
        </w:tc>
        <w:tc>
          <w:tcPr>
            <w:tcW w:w="2780" w:type="dxa"/>
            <w:vAlign w:val="bottom"/>
          </w:tcPr>
          <w:p>
            <w:pPr>
              <w:jc w:val="center"/>
              <w:spacing w:after="0"/>
              <w:rPr>
                <w:sz w:val="20"/>
                <w:szCs w:val="20"/>
                <w:color w:val="auto"/>
              </w:rPr>
            </w:pPr>
            <w:r>
              <w:rPr>
                <w:rFonts w:ascii="Arial" w:cs="Arial" w:eastAsia="Arial" w:hAnsi="Arial"/>
                <w:sz w:val="16"/>
                <w:szCs w:val="16"/>
                <w:color w:val="auto"/>
                <w:w w:val="90"/>
              </w:rPr>
              <w:t>The Nasdaq Stock Market LLC</w:t>
            </w:r>
          </w:p>
        </w:tc>
      </w:tr>
    </w:tbl>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Securities registered pursuant to Section 12(g) of the Act: None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1839595</wp:posOffset>
                </wp:positionH>
                <wp:positionV relativeFrom="paragraph">
                  <wp:posOffset>-6350</wp:posOffset>
                </wp:positionV>
                <wp:extent cx="18415"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4763"/>
                        </a:xfrm>
                        <a:prstGeom prst="line">
                          <a:avLst/>
                        </a:prstGeom>
                        <a:solidFill>
                          <a:srgbClr val="FFFFFF"/>
                        </a:solidFill>
                        <a:ln w="3733">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85pt,-0.4999pt" to="146.3pt,-0.4999pt" o:allowincell="f" strokecolor="#000000" strokeweight="0.2939pt"/>
            </w:pict>
          </mc:Fallback>
        </mc:AlternateContent>
      </w:r>
    </w:p>
    <w:p>
      <w:pPr>
        <w:spacing w:after="0" w:line="6" w:lineRule="exact"/>
        <w:rPr>
          <w:sz w:val="20"/>
          <w:szCs w:val="20"/>
          <w:color w:val="auto"/>
        </w:rPr>
      </w:pPr>
    </w:p>
    <w:p>
      <w:pPr>
        <w:ind w:right="1740"/>
        <w:spacing w:after="0" w:line="222"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b w:val="1"/>
          <w:bCs w:val="1"/>
          <w:color w:val="auto"/>
        </w:rPr>
        <w:t>☑</w:t>
      </w:r>
      <w:r>
        <w:rPr>
          <w:rFonts w:ascii="Arial" w:cs="Arial" w:eastAsia="Arial" w:hAnsi="Arial"/>
          <w:sz w:val="13"/>
          <w:szCs w:val="13"/>
          <w:color w:val="auto"/>
        </w:rPr>
        <w:t xml:space="preserve"> No </w:t>
      </w:r>
      <w:r>
        <w:rPr>
          <w:rFonts w:ascii="MS PGothic" w:cs="MS PGothic" w:eastAsia="MS PGothic" w:hAnsi="MS PGothic"/>
          <w:sz w:val="13"/>
          <w:szCs w:val="13"/>
          <w:b w:val="1"/>
          <w:bCs w:val="1"/>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b w:val="1"/>
          <w:bCs w:val="1"/>
          <w:color w:val="auto"/>
        </w:rPr>
        <w:t>☐</w:t>
      </w:r>
      <w:r>
        <w:rPr>
          <w:rFonts w:ascii="Arial" w:cs="Arial" w:eastAsia="Arial" w:hAnsi="Arial"/>
          <w:sz w:val="13"/>
          <w:szCs w:val="13"/>
          <w:color w:val="auto"/>
        </w:rPr>
        <w:t xml:space="preserve"> No </w:t>
      </w:r>
      <w:r>
        <w:rPr>
          <w:rFonts w:ascii="MS PGothic" w:cs="MS PGothic" w:eastAsia="MS PGothic" w:hAnsi="MS PGothic"/>
          <w:sz w:val="13"/>
          <w:szCs w:val="13"/>
          <w:b w:val="1"/>
          <w:bCs w:val="1"/>
          <w:color w:val="auto"/>
        </w:rPr>
        <w:t>☑</w:t>
      </w:r>
    </w:p>
    <w:p>
      <w:pPr>
        <w:jc w:val="both"/>
        <w:spacing w:after="0" w:line="20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b w:val="1"/>
          <w:bCs w:val="1"/>
          <w:color w:val="auto"/>
        </w:rPr>
        <w:t>☑</w:t>
      </w:r>
      <w:r>
        <w:rPr>
          <w:rFonts w:ascii="Arial" w:cs="Arial" w:eastAsia="Arial" w:hAnsi="Arial"/>
          <w:sz w:val="16"/>
          <w:szCs w:val="16"/>
          <w:color w:val="auto"/>
        </w:rPr>
        <w:t xml:space="preserve"> No </w:t>
      </w:r>
      <w:r>
        <w:rPr>
          <w:rFonts w:ascii="MS PGothic" w:cs="MS PGothic" w:eastAsia="MS PGothic" w:hAnsi="MS PGothic"/>
          <w:sz w:val="16"/>
          <w:szCs w:val="16"/>
          <w:b w:val="1"/>
          <w:bCs w:val="1"/>
          <w:color w:val="auto"/>
        </w:rPr>
        <w:t>☐</w:t>
      </w:r>
    </w:p>
    <w:p>
      <w:pPr>
        <w:jc w:val="both"/>
        <w:ind w:right="20"/>
        <w:spacing w:after="0" w:line="203"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b w:val="1"/>
          <w:bCs w:val="1"/>
          <w:color w:val="auto"/>
        </w:rPr>
        <w:t>☑</w:t>
      </w:r>
      <w:r>
        <w:rPr>
          <w:rFonts w:ascii="Arial" w:cs="Arial" w:eastAsia="Arial" w:hAnsi="Arial"/>
          <w:sz w:val="16"/>
          <w:szCs w:val="16"/>
          <w:color w:val="auto"/>
        </w:rPr>
        <w:t xml:space="preserve"> No </w:t>
      </w:r>
      <w:r>
        <w:rPr>
          <w:rFonts w:ascii="MS PGothic" w:cs="MS PGothic" w:eastAsia="MS PGothic" w:hAnsi="MS PGothic"/>
          <w:sz w:val="16"/>
          <w:szCs w:val="16"/>
          <w:b w:val="1"/>
          <w:bCs w:val="1"/>
          <w:color w:val="auto"/>
        </w:rPr>
        <w:t>☐</w:t>
      </w:r>
    </w:p>
    <w:p>
      <w:pPr>
        <w:jc w:val="both"/>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9"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2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640" w:type="dxa"/>
            <w:vAlign w:val="bottom"/>
          </w:tcPr>
          <w:p>
            <w:pPr>
              <w:ind w:left="300"/>
              <w:spacing w:after="0" w:line="161" w:lineRule="exact"/>
              <w:rPr>
                <w:sz w:val="20"/>
                <w:szCs w:val="20"/>
                <w:color w:val="auto"/>
              </w:rPr>
            </w:pPr>
            <w:r>
              <w:rPr>
                <w:rFonts w:ascii="MS PGothic" w:cs="MS PGothic" w:eastAsia="MS PGothic" w:hAnsi="MS PGothic"/>
                <w:sz w:val="16"/>
                <w:szCs w:val="16"/>
                <w:b w:val="1"/>
                <w:bCs w:val="1"/>
                <w:color w:val="auto"/>
              </w:rPr>
              <w:t>☑</w:t>
            </w:r>
          </w:p>
        </w:tc>
        <w:tc>
          <w:tcPr>
            <w:tcW w:w="2400" w:type="dxa"/>
            <w:vAlign w:val="bottom"/>
          </w:tcPr>
          <w:p>
            <w:pPr>
              <w:ind w:left="240"/>
              <w:spacing w:after="0"/>
              <w:rPr>
                <w:sz w:val="20"/>
                <w:szCs w:val="20"/>
                <w:color w:val="auto"/>
              </w:rPr>
            </w:pPr>
            <w:r>
              <w:rPr>
                <w:rFonts w:ascii="Arial" w:cs="Arial" w:eastAsia="Arial" w:hAnsi="Arial"/>
                <w:sz w:val="16"/>
                <w:szCs w:val="16"/>
                <w:color w:val="auto"/>
              </w:rPr>
              <w:t>Accelerated filer</w:t>
            </w:r>
          </w:p>
        </w:tc>
        <w:tc>
          <w:tcPr>
            <w:tcW w:w="560" w:type="dxa"/>
            <w:vAlign w:val="bottom"/>
          </w:tcPr>
          <w:p>
            <w:pPr>
              <w:ind w:left="440"/>
              <w:spacing w:after="0" w:line="131" w:lineRule="exact"/>
              <w:rPr>
                <w:sz w:val="20"/>
                <w:szCs w:val="20"/>
                <w:color w:val="auto"/>
              </w:rPr>
            </w:pPr>
            <w:r>
              <w:rPr>
                <w:rFonts w:ascii="MS PGothic" w:cs="MS PGothic" w:eastAsia="MS PGothic" w:hAnsi="MS PGothic"/>
                <w:sz w:val="13"/>
                <w:szCs w:val="13"/>
                <w:b w:val="1"/>
                <w:bCs w:val="1"/>
                <w:color w:val="auto"/>
                <w:w w:val="76"/>
              </w:rPr>
              <w:t>☐</w:t>
            </w:r>
          </w:p>
        </w:tc>
      </w:tr>
      <w:tr>
        <w:trPr>
          <w:trHeight w:val="241"/>
        </w:trPr>
        <w:tc>
          <w:tcPr>
            <w:tcW w:w="2000" w:type="dxa"/>
            <w:vAlign w:val="bottom"/>
          </w:tcPr>
          <w:p>
            <w:pPr>
              <w:spacing w:after="0"/>
              <w:rPr>
                <w:sz w:val="20"/>
                <w:szCs w:val="20"/>
                <w:color w:val="auto"/>
              </w:rPr>
            </w:pPr>
            <w:r>
              <w:rPr>
                <w:rFonts w:ascii="Arial" w:cs="Arial" w:eastAsia="Arial" w:hAnsi="Arial"/>
                <w:sz w:val="16"/>
                <w:szCs w:val="16"/>
                <w:color w:val="auto"/>
              </w:rPr>
              <w:t>Non-accelerated filer</w:t>
            </w:r>
          </w:p>
        </w:tc>
        <w:tc>
          <w:tcPr>
            <w:tcW w:w="640" w:type="dxa"/>
            <w:vAlign w:val="bottom"/>
          </w:tcPr>
          <w:p>
            <w:pPr>
              <w:ind w:left="300"/>
              <w:spacing w:after="0" w:line="161" w:lineRule="exact"/>
              <w:rPr>
                <w:sz w:val="20"/>
                <w:szCs w:val="20"/>
                <w:color w:val="auto"/>
              </w:rPr>
            </w:pPr>
            <w:r>
              <w:rPr>
                <w:rFonts w:ascii="MS PGothic" w:cs="MS PGothic" w:eastAsia="MS PGothic" w:hAnsi="MS PGothic"/>
                <w:sz w:val="16"/>
                <w:szCs w:val="16"/>
                <w:b w:val="1"/>
                <w:bCs w:val="1"/>
                <w:color w:val="auto"/>
              </w:rPr>
              <w:t>☐</w:t>
            </w:r>
          </w:p>
        </w:tc>
        <w:tc>
          <w:tcPr>
            <w:tcW w:w="2400" w:type="dxa"/>
            <w:vAlign w:val="bottom"/>
          </w:tcPr>
          <w:p>
            <w:pPr>
              <w:ind w:left="240"/>
              <w:spacing w:after="0"/>
              <w:rPr>
                <w:sz w:val="20"/>
                <w:szCs w:val="20"/>
                <w:color w:val="auto"/>
              </w:rPr>
            </w:pPr>
            <w:r>
              <w:rPr>
                <w:rFonts w:ascii="Arial" w:cs="Arial" w:eastAsia="Arial" w:hAnsi="Arial"/>
                <w:sz w:val="16"/>
                <w:szCs w:val="16"/>
                <w:color w:val="auto"/>
              </w:rPr>
              <w:t>Smaller reporting company</w:t>
            </w:r>
          </w:p>
        </w:tc>
        <w:tc>
          <w:tcPr>
            <w:tcW w:w="560" w:type="dxa"/>
            <w:vAlign w:val="bottom"/>
          </w:tcPr>
          <w:p>
            <w:pPr>
              <w:ind w:left="440"/>
              <w:spacing w:after="0" w:line="131" w:lineRule="exact"/>
              <w:rPr>
                <w:sz w:val="20"/>
                <w:szCs w:val="20"/>
                <w:color w:val="auto"/>
              </w:rPr>
            </w:pPr>
            <w:r>
              <w:rPr>
                <w:rFonts w:ascii="MS PGothic" w:cs="MS PGothic" w:eastAsia="MS PGothic" w:hAnsi="MS PGothic"/>
                <w:sz w:val="13"/>
                <w:szCs w:val="13"/>
                <w:b w:val="1"/>
                <w:bCs w:val="1"/>
                <w:color w:val="auto"/>
                <w:w w:val="76"/>
              </w:rPr>
              <w:t>☐</w:t>
            </w:r>
          </w:p>
        </w:tc>
      </w:tr>
      <w:tr>
        <w:trPr>
          <w:trHeight w:val="229"/>
        </w:trPr>
        <w:tc>
          <w:tcPr>
            <w:tcW w:w="20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640" w:type="dxa"/>
            <w:vAlign w:val="bottom"/>
          </w:tcPr>
          <w:p>
            <w:pPr>
              <w:ind w:left="300"/>
              <w:spacing w:after="0" w:line="161" w:lineRule="exact"/>
              <w:rPr>
                <w:sz w:val="20"/>
                <w:szCs w:val="20"/>
                <w:color w:val="auto"/>
              </w:rPr>
            </w:pPr>
            <w:r>
              <w:rPr>
                <w:rFonts w:ascii="MS PGothic" w:cs="MS PGothic" w:eastAsia="MS PGothic" w:hAnsi="MS PGothic"/>
                <w:sz w:val="16"/>
                <w:szCs w:val="16"/>
                <w:b w:val="1"/>
                <w:bCs w:val="1"/>
                <w:color w:val="auto"/>
              </w:rPr>
              <w:t>☐</w:t>
            </w:r>
          </w:p>
        </w:tc>
        <w:tc>
          <w:tcPr>
            <w:tcW w:w="2400" w:type="dxa"/>
            <w:vAlign w:val="bottom"/>
          </w:tcPr>
          <w:p>
            <w:pPr>
              <w:spacing w:after="0"/>
              <w:rPr>
                <w:sz w:val="19"/>
                <w:szCs w:val="19"/>
                <w:color w:val="auto"/>
              </w:rPr>
            </w:pPr>
          </w:p>
        </w:tc>
        <w:tc>
          <w:tcPr>
            <w:tcW w:w="560" w:type="dxa"/>
            <w:vAlign w:val="bottom"/>
          </w:tcPr>
          <w:p>
            <w:pPr>
              <w:spacing w:after="0"/>
              <w:rPr>
                <w:sz w:val="19"/>
                <w:szCs w:val="19"/>
                <w:color w:val="auto"/>
              </w:rPr>
            </w:pPr>
          </w:p>
        </w:tc>
      </w:tr>
    </w:tbl>
    <w:p>
      <w:pPr>
        <w:spacing w:after="0" w:line="83" w:lineRule="exact"/>
        <w:rPr>
          <w:sz w:val="20"/>
          <w:szCs w:val="20"/>
          <w:color w:val="auto"/>
        </w:rPr>
      </w:pPr>
    </w:p>
    <w:p>
      <w:pPr>
        <w:jc w:val="both"/>
        <w:spacing w:after="0" w:line="20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b w:val="1"/>
          <w:bCs w:val="1"/>
          <w:color w:val="auto"/>
        </w:rPr>
        <w:t>☐</w:t>
      </w:r>
    </w:p>
    <w:p>
      <w:pPr>
        <w:spacing w:after="0" w:line="1" w:lineRule="exact"/>
        <w:rPr>
          <w:sz w:val="20"/>
          <w:szCs w:val="20"/>
          <w:color w:val="auto"/>
        </w:rPr>
      </w:pPr>
    </w:p>
    <w:p>
      <w:pPr>
        <w:jc w:val="both"/>
        <w:spacing w:after="0" w:line="203"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b w:val="1"/>
          <w:bCs w:val="1"/>
          <w:color w:val="auto"/>
        </w:rPr>
        <w:t>☑</w:t>
      </w:r>
    </w:p>
    <w:p>
      <w:pPr>
        <w:jc w:val="both"/>
        <w:spacing w:after="0" w:line="206"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b w:val="1"/>
          <w:bCs w:val="1"/>
          <w:color w:val="auto"/>
        </w:rPr>
        <w:t>☐</w:t>
      </w:r>
    </w:p>
    <w:p>
      <w:pPr>
        <w:spacing w:after="0" w:line="1" w:lineRule="exact"/>
        <w:rPr>
          <w:sz w:val="20"/>
          <w:szCs w:val="20"/>
          <w:color w:val="auto"/>
        </w:rPr>
      </w:pPr>
    </w:p>
    <w:p>
      <w:pPr>
        <w:jc w:val="both"/>
        <w:ind w:right="20"/>
        <w:spacing w:after="0" w:line="200"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b w:val="1"/>
          <w:bCs w:val="1"/>
          <w:color w:val="auto"/>
        </w:rPr>
        <w:t>☐</w:t>
      </w:r>
    </w:p>
    <w:p>
      <w:pPr>
        <w:spacing w:after="0" w:line="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b w:val="1"/>
          <w:bCs w:val="1"/>
          <w:color w:val="auto"/>
        </w:rPr>
        <w:t>☐</w:t>
      </w:r>
      <w:r>
        <w:rPr>
          <w:rFonts w:ascii="Arial" w:cs="Arial" w:eastAsia="Arial" w:hAnsi="Arial"/>
          <w:sz w:val="16"/>
          <w:szCs w:val="16"/>
          <w:color w:val="auto"/>
        </w:rPr>
        <w:t xml:space="preserve"> No </w:t>
      </w:r>
      <w:r>
        <w:rPr>
          <w:rFonts w:ascii="MS PGothic" w:cs="MS PGothic" w:eastAsia="MS PGothic" w:hAnsi="MS PGothic"/>
          <w:sz w:val="16"/>
          <w:szCs w:val="16"/>
          <w:b w:val="1"/>
          <w:bCs w:val="1"/>
          <w:color w:val="auto"/>
        </w:rPr>
        <w:t>☑</w:t>
      </w:r>
    </w:p>
    <w:p>
      <w:pPr>
        <w:spacing w:after="0" w:line="43"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The aggregate market value of the voting and non-voting common equity held by non-affiliates of the registrant was approximately $3.0 billion (based on the closing price of these shares on the Nasdaq Global Select Market on June 30, 2024, the last business day of the most recently completed second fiscal quarter). For purposes of this calculation, ordinary shares held by persons who hold more than 5% of the outstanding ordinary shares and shares held by executive officers and directors of the registrant have been excluded as such persons may be deemed to be affiliates.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As of February 18, 2025, 54,351,765 ordinary shares were outstanding.</w:t>
      </w:r>
    </w:p>
    <w:p>
      <w:pPr>
        <w:spacing w:after="0" w:line="26" w:lineRule="exact"/>
        <w:rPr>
          <w:sz w:val="20"/>
          <w:szCs w:val="20"/>
          <w:color w:val="auto"/>
        </w:rPr>
      </w:pPr>
    </w:p>
    <w:p>
      <w:pPr>
        <w:ind w:left="3220"/>
        <w:spacing w:after="0"/>
        <w:rPr>
          <w:sz w:val="20"/>
          <w:szCs w:val="20"/>
          <w:color w:val="auto"/>
        </w:rPr>
      </w:pPr>
      <w:r>
        <w:rPr>
          <w:rFonts w:ascii="Arial" w:cs="Arial" w:eastAsia="Arial" w:hAnsi="Arial"/>
          <w:sz w:val="16"/>
          <w:szCs w:val="16"/>
          <w:b w:val="1"/>
          <w:bCs w:val="1"/>
          <w:color w:val="auto"/>
        </w:rPr>
        <w:t>DOCUMENTS INCORPORATED BY REFERENCE</w:t>
      </w:r>
    </w:p>
    <w:p>
      <w:pPr>
        <w:spacing w:after="0" w:line="37" w:lineRule="exact"/>
        <w:rPr>
          <w:sz w:val="20"/>
          <w:szCs w:val="20"/>
          <w:color w:val="auto"/>
        </w:rPr>
      </w:pPr>
    </w:p>
    <w:p>
      <w:pPr>
        <w:jc w:val="both"/>
        <w:ind w:right="20"/>
        <w:spacing w:after="0" w:line="284" w:lineRule="auto"/>
        <w:rPr>
          <w:sz w:val="20"/>
          <w:szCs w:val="20"/>
          <w:color w:val="auto"/>
        </w:rPr>
      </w:pPr>
      <w:r>
        <w:rPr>
          <w:rFonts w:ascii="Arial" w:cs="Arial" w:eastAsia="Arial" w:hAnsi="Arial"/>
          <w:sz w:val="16"/>
          <w:szCs w:val="16"/>
          <w:color w:val="auto"/>
        </w:rPr>
        <w:t>Portions of the definitive proxy statement of LivaNova PLC for the 2025 Annual General Meeting of Shareholders, which will be filed within 120 days of December 31, 2024, are incorporated by reference into Part III of this Annual Report on Form 10-K.</w:t>
      </w:r>
    </w:p>
    <w:p>
      <w:pPr>
        <w:sectPr>
          <w:pgSz w:w="11880" w:h="15480" w:orient="portrait"/>
          <w:cols w:equalWidth="0" w:num="1">
            <w:col w:w="10060"/>
          </w:cols>
          <w:pgMar w:left="920" w:top="481" w:right="900" w:bottom="0" w:gutter="0" w:footer="0" w:header="0"/>
        </w:sect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w:t>
      </w:r>
    </w:p>
    <w:p>
      <w:pPr>
        <w:sectPr>
          <w:pgSz w:w="11880" w:h="15480" w:orient="portrait"/>
          <w:cols w:equalWidth="0" w:num="1">
            <w:col w:w="10060"/>
          </w:cols>
          <w:pgMar w:left="920" w:top="481" w:right="900" w:bottom="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24"/>
          <w:szCs w:val="24"/>
          <w:b w:val="1"/>
          <w:bCs w:val="1"/>
          <w:color w:val="auto"/>
        </w:rPr>
        <w:t>LIVANOVA PLC</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TABLE OF CONTENTS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760" w:type="dxa"/>
            <w:vAlign w:val="bottom"/>
            <w:tcBorders>
              <w:bottom w:val="single" w:sz="8" w:color="auto"/>
            </w:tcBorders>
          </w:tcPr>
          <w:p>
            <w:pPr>
              <w:ind w:left="180"/>
              <w:spacing w:after="0"/>
              <w:rPr>
                <w:sz w:val="20"/>
                <w:szCs w:val="20"/>
                <w:color w:val="auto"/>
              </w:rPr>
            </w:pPr>
            <w:r>
              <w:rPr>
                <w:rFonts w:ascii="Arial" w:cs="Arial" w:eastAsia="Arial" w:hAnsi="Arial"/>
                <w:sz w:val="20"/>
                <w:szCs w:val="20"/>
                <w:b w:val="1"/>
                <w:bCs w:val="1"/>
                <w:color w:val="auto"/>
              </w:rPr>
              <w:t>Item</w:t>
            </w:r>
          </w:p>
        </w:tc>
        <w:tc>
          <w:tcPr>
            <w:tcW w:w="60" w:type="dxa"/>
            <w:vAlign w:val="bottom"/>
            <w:tcBorders>
              <w:bottom w:val="single" w:sz="8" w:color="E6E6E6"/>
            </w:tcBorders>
          </w:tcPr>
          <w:p>
            <w:pPr>
              <w:spacing w:after="0"/>
              <w:rPr>
                <w:sz w:val="24"/>
                <w:szCs w:val="24"/>
                <w:color w:val="auto"/>
              </w:rPr>
            </w:pPr>
          </w:p>
        </w:tc>
        <w:tc>
          <w:tcPr>
            <w:tcW w:w="794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Description</w:t>
            </w:r>
          </w:p>
        </w:tc>
        <w:tc>
          <w:tcPr>
            <w:tcW w:w="60" w:type="dxa"/>
            <w:vAlign w:val="bottom"/>
            <w:tcBorders>
              <w:bottom w:val="single" w:sz="8" w:color="E6E6E6"/>
            </w:tcBorders>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7"/>
              </w:rPr>
              <w:t>Page</w:t>
            </w:r>
          </w:p>
        </w:tc>
      </w:tr>
      <w:tr>
        <w:trPr>
          <w:trHeight w:val="270"/>
        </w:trPr>
        <w:tc>
          <w:tcPr>
            <w:tcW w:w="76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7940" w:type="dxa"/>
            <w:vAlign w:val="bottom"/>
            <w:shd w:val="clear" w:color="auto" w:fill="E6E6E6"/>
          </w:tcPr>
          <w:p>
            <w:pPr>
              <w:ind w:left="40"/>
              <w:spacing w:after="0"/>
              <w:rPr>
                <w:sz w:val="20"/>
                <w:szCs w:val="20"/>
                <w:color w:val="auto"/>
              </w:rPr>
            </w:pPr>
            <w:r>
              <w:rPr>
                <w:rFonts w:ascii="Arial" w:cs="Arial" w:eastAsia="Arial" w:hAnsi="Arial"/>
                <w:sz w:val="20"/>
                <w:szCs w:val="20"/>
                <w:color w:val="auto"/>
              </w:rPr>
              <w:t>Definitions</w:t>
            </w:r>
          </w:p>
        </w:tc>
        <w:tc>
          <w:tcPr>
            <w:tcW w:w="60" w:type="dxa"/>
            <w:vAlign w:val="bottom"/>
            <w:shd w:val="clear" w:color="auto" w:fill="E6E6E6"/>
          </w:tcPr>
          <w:p>
            <w:pPr>
              <w:spacing w:after="0"/>
              <w:rPr>
                <w:sz w:val="23"/>
                <w:szCs w:val="23"/>
                <w:color w:val="auto"/>
              </w:rPr>
            </w:pPr>
          </w:p>
        </w:tc>
        <w:tc>
          <w:tcPr>
            <w:tcW w:w="1220" w:type="dxa"/>
            <w:vAlign w:val="bottom"/>
            <w:shd w:val="clear" w:color="auto" w:fill="E6E6E6"/>
          </w:tcPr>
          <w:p>
            <w:pPr>
              <w:jc w:val="center"/>
              <w:spacing w:after="0"/>
              <w:rPr>
                <w:sz w:val="20"/>
                <w:szCs w:val="20"/>
                <w:color w:val="auto"/>
              </w:rPr>
            </w:pPr>
            <w:r>
              <w:rPr>
                <w:rFonts w:ascii="Arial" w:cs="Arial" w:eastAsia="Arial" w:hAnsi="Arial"/>
                <w:sz w:val="20"/>
                <w:szCs w:val="20"/>
                <w:color w:val="auto"/>
                <w:w w:val="89"/>
              </w:rPr>
              <w:t>3</w:t>
            </w:r>
          </w:p>
        </w:tc>
      </w:tr>
      <w:tr>
        <w:trPr>
          <w:trHeight w:val="257"/>
        </w:trPr>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940" w:type="dxa"/>
            <w:vAlign w:val="bottom"/>
          </w:tcPr>
          <w:p>
            <w:pPr>
              <w:ind w:left="40"/>
              <w:spacing w:after="0"/>
              <w:rPr>
                <w:sz w:val="20"/>
                <w:szCs w:val="20"/>
                <w:color w:val="auto"/>
              </w:rPr>
            </w:pPr>
            <w:r>
              <w:rPr>
                <w:rFonts w:ascii="Arial" w:cs="Arial" w:eastAsia="Arial" w:hAnsi="Arial"/>
                <w:sz w:val="20"/>
                <w:szCs w:val="20"/>
                <w:color w:val="auto"/>
              </w:rPr>
              <w:t>Intellectual Property, Trademarks, and Trade Names</w:t>
            </w:r>
          </w:p>
        </w:tc>
        <w:tc>
          <w:tcPr>
            <w:tcW w:w="1280" w:type="dxa"/>
            <w:vAlign w:val="bottom"/>
            <w:gridSpan w:val="2"/>
          </w:tcPr>
          <w:p>
            <w:pPr>
              <w:jc w:val="center"/>
              <w:spacing w:after="0"/>
              <w:rPr>
                <w:sz w:val="20"/>
                <w:szCs w:val="20"/>
                <w:color w:val="auto"/>
              </w:rPr>
            </w:pPr>
            <w:r>
              <w:rPr>
                <w:rFonts w:ascii="Arial" w:cs="Arial" w:eastAsia="Arial" w:hAnsi="Arial"/>
                <w:sz w:val="20"/>
                <w:szCs w:val="20"/>
                <w:color w:val="auto"/>
                <w:w w:val="89"/>
              </w:rPr>
              <w:t>7</w:t>
            </w:r>
          </w:p>
        </w:tc>
      </w:tr>
      <w:tr>
        <w:trPr>
          <w:trHeight w:val="22"/>
        </w:trPr>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57"/>
        </w:trPr>
        <w:tc>
          <w:tcPr>
            <w:tcW w:w="76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7940" w:type="dxa"/>
            <w:vAlign w:val="bottom"/>
            <w:shd w:val="clear" w:color="auto" w:fill="E6E6E6"/>
          </w:tcPr>
          <w:p>
            <w:pPr>
              <w:ind w:left="40"/>
              <w:spacing w:after="0"/>
              <w:rPr>
                <w:sz w:val="20"/>
                <w:szCs w:val="20"/>
                <w:color w:val="auto"/>
              </w:rPr>
            </w:pPr>
            <w:r>
              <w:rPr>
                <w:rFonts w:ascii="Arial" w:cs="Arial" w:eastAsia="Arial" w:hAnsi="Arial"/>
                <w:sz w:val="20"/>
                <w:szCs w:val="20"/>
                <w:color w:val="auto"/>
              </w:rPr>
              <w:t>Cautionary Note About Forward-Looking Statements</w:t>
            </w:r>
          </w:p>
        </w:tc>
        <w:tc>
          <w:tcPr>
            <w:tcW w:w="1280" w:type="dxa"/>
            <w:vAlign w:val="bottom"/>
            <w:gridSpan w:val="2"/>
            <w:shd w:val="clear" w:color="auto" w:fill="E6E6E6"/>
          </w:tcPr>
          <w:p>
            <w:pPr>
              <w:jc w:val="center"/>
              <w:spacing w:after="0"/>
              <w:rPr>
                <w:sz w:val="20"/>
                <w:szCs w:val="20"/>
                <w:color w:val="auto"/>
              </w:rPr>
            </w:pPr>
            <w:r>
              <w:rPr>
                <w:rFonts w:ascii="Arial" w:cs="Arial" w:eastAsia="Arial" w:hAnsi="Arial"/>
                <w:sz w:val="20"/>
                <w:szCs w:val="20"/>
                <w:color w:val="auto"/>
                <w:w w:val="89"/>
              </w:rPr>
              <w:t>8</w:t>
            </w:r>
          </w:p>
        </w:tc>
      </w:tr>
      <w:tr>
        <w:trPr>
          <w:trHeight w:val="22"/>
        </w:trPr>
        <w:tc>
          <w:tcPr>
            <w:tcW w:w="760" w:type="dxa"/>
            <w:vAlign w:val="bottom"/>
            <w:shd w:val="clear" w:color="auto" w:fill="E6E6E6"/>
          </w:tcPr>
          <w:p>
            <w:pPr>
              <w:spacing w:after="0" w:line="20" w:lineRule="exact"/>
              <w:rPr>
                <w:sz w:val="1"/>
                <w:szCs w:val="1"/>
                <w:color w:val="auto"/>
              </w:rPr>
            </w:pPr>
          </w:p>
        </w:tc>
        <w:tc>
          <w:tcPr>
            <w:tcW w:w="60" w:type="dxa"/>
            <w:vAlign w:val="bottom"/>
            <w:shd w:val="clear" w:color="auto" w:fill="E6E6E6"/>
          </w:tcPr>
          <w:p>
            <w:pPr>
              <w:spacing w:after="0" w:line="20" w:lineRule="exact"/>
              <w:rPr>
                <w:sz w:val="1"/>
                <w:szCs w:val="1"/>
                <w:color w:val="auto"/>
              </w:rPr>
            </w:pPr>
          </w:p>
        </w:tc>
        <w:tc>
          <w:tcPr>
            <w:tcW w:w="7940" w:type="dxa"/>
            <w:vAlign w:val="bottom"/>
            <w:shd w:val="clear" w:color="auto" w:fill="E6E6E6"/>
          </w:tcPr>
          <w:p>
            <w:pPr>
              <w:spacing w:after="0" w:line="20" w:lineRule="exact"/>
              <w:rPr>
                <w:sz w:val="1"/>
                <w:szCs w:val="1"/>
                <w:color w:val="auto"/>
              </w:rPr>
            </w:pPr>
          </w:p>
        </w:tc>
        <w:tc>
          <w:tcPr>
            <w:tcW w:w="60" w:type="dxa"/>
            <w:vAlign w:val="bottom"/>
            <w:shd w:val="clear" w:color="auto" w:fill="E6E6E6"/>
          </w:tcPr>
          <w:p>
            <w:pPr>
              <w:spacing w:after="0" w:line="20" w:lineRule="exact"/>
              <w:rPr>
                <w:sz w:val="1"/>
                <w:szCs w:val="1"/>
                <w:color w:val="auto"/>
              </w:rPr>
            </w:pPr>
          </w:p>
        </w:tc>
        <w:tc>
          <w:tcPr>
            <w:tcW w:w="1220" w:type="dxa"/>
            <w:vAlign w:val="bottom"/>
            <w:shd w:val="clear" w:color="auto" w:fill="E6E6E6"/>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-544195</wp:posOffset>
            </wp:positionV>
            <wp:extent cx="641032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extLst>
                    </a:blip>
                    <a:srcRect/>
                    <a:stretch>
                      <a:fillRect/>
                    </a:stretch>
                  </pic:blipFill>
                  <pic:spPr bwMode="auto">
                    <a:xfrm>
                      <a:off x="0" y="0"/>
                      <a:ext cx="641032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62"/>
        </w:trPr>
        <w:tc>
          <w:tcPr>
            <w:tcW w:w="820" w:type="dxa"/>
            <w:vAlign w:val="bottom"/>
            <w:tcBorders>
              <w:bottom w:val="single" w:sz="8" w:color="E6E6E6"/>
            </w:tcBorders>
          </w:tcPr>
          <w:p>
            <w:pPr>
              <w:spacing w:after="0"/>
              <w:rPr>
                <w:sz w:val="22"/>
                <w:szCs w:val="22"/>
                <w:color w:val="auto"/>
              </w:rPr>
            </w:pPr>
          </w:p>
        </w:tc>
        <w:tc>
          <w:tcPr>
            <w:tcW w:w="794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PART I</w:t>
            </w:r>
          </w:p>
        </w:tc>
        <w:tc>
          <w:tcPr>
            <w:tcW w:w="1280" w:type="dxa"/>
            <w:vAlign w:val="bottom"/>
            <w:tcBorders>
              <w:bottom w:val="single" w:sz="8" w:color="E6E6E6"/>
            </w:tcBorders>
          </w:tcPr>
          <w:p>
            <w:pPr>
              <w:spacing w:after="0"/>
              <w:rPr>
                <w:sz w:val="22"/>
                <w:szCs w:val="22"/>
                <w:color w:val="auto"/>
              </w:rPr>
            </w:pPr>
          </w:p>
        </w:tc>
      </w:tr>
      <w:tr>
        <w:trPr>
          <w:trHeight w:val="270"/>
        </w:trPr>
        <w:tc>
          <w:tcPr>
            <w:tcW w:w="820" w:type="dxa"/>
            <w:vAlign w:val="bottom"/>
            <w:shd w:val="clear" w:color="auto" w:fill="E6E6E6"/>
          </w:tcPr>
          <w:p>
            <w:pPr>
              <w:jc w:val="center"/>
              <w:spacing w:after="0"/>
              <w:rPr>
                <w:sz w:val="20"/>
                <w:szCs w:val="20"/>
                <w:color w:val="auto"/>
              </w:rPr>
            </w:pPr>
            <w:r>
              <w:rPr>
                <w:rFonts w:ascii="Arial" w:cs="Arial" w:eastAsia="Arial" w:hAnsi="Arial"/>
                <w:sz w:val="20"/>
                <w:szCs w:val="20"/>
                <w:color w:val="auto"/>
                <w:w w:val="83"/>
              </w:rPr>
              <w:t>1.</w:t>
            </w:r>
          </w:p>
        </w:tc>
        <w:tc>
          <w:tcPr>
            <w:tcW w:w="7940" w:type="dxa"/>
            <w:vAlign w:val="bottom"/>
            <w:shd w:val="clear" w:color="auto" w:fill="E6E6E6"/>
          </w:tcPr>
          <w:p>
            <w:pPr>
              <w:ind w:left="40"/>
              <w:spacing w:after="0"/>
              <w:rPr>
                <w:sz w:val="20"/>
                <w:szCs w:val="20"/>
                <w:color w:val="auto"/>
              </w:rPr>
            </w:pPr>
            <w:r>
              <w:rPr>
                <w:rFonts w:ascii="Arial" w:cs="Arial" w:eastAsia="Arial" w:hAnsi="Arial"/>
                <w:sz w:val="20"/>
                <w:szCs w:val="20"/>
                <w:color w:val="auto"/>
              </w:rPr>
              <w:t>Business</w:t>
            </w:r>
          </w:p>
        </w:tc>
        <w:tc>
          <w:tcPr>
            <w:tcW w:w="1280" w:type="dxa"/>
            <w:vAlign w:val="bottom"/>
            <w:shd w:val="clear" w:color="auto" w:fill="E6E6E6"/>
          </w:tcPr>
          <w:p>
            <w:pPr>
              <w:jc w:val="center"/>
              <w:spacing w:after="0"/>
              <w:rPr>
                <w:sz w:val="20"/>
                <w:szCs w:val="20"/>
                <w:color w:val="auto"/>
              </w:rPr>
            </w:pPr>
            <w:r>
              <w:rPr>
                <w:rFonts w:ascii="Arial" w:cs="Arial" w:eastAsia="Arial" w:hAnsi="Arial"/>
                <w:sz w:val="20"/>
                <w:szCs w:val="20"/>
                <w:color w:val="auto"/>
                <w:w w:val="89"/>
              </w:rPr>
              <w:t>9</w:t>
            </w:r>
          </w:p>
        </w:tc>
      </w:tr>
      <w:tr>
        <w:trPr>
          <w:trHeight w:val="257"/>
        </w:trPr>
        <w:tc>
          <w:tcPr>
            <w:tcW w:w="820" w:type="dxa"/>
            <w:vAlign w:val="bottom"/>
          </w:tcPr>
          <w:p>
            <w:pPr>
              <w:jc w:val="center"/>
              <w:spacing w:after="0"/>
              <w:rPr>
                <w:sz w:val="20"/>
                <w:szCs w:val="20"/>
                <w:color w:val="auto"/>
              </w:rPr>
            </w:pPr>
            <w:r>
              <w:rPr>
                <w:rFonts w:ascii="Arial" w:cs="Arial" w:eastAsia="Arial" w:hAnsi="Arial"/>
                <w:sz w:val="20"/>
                <w:szCs w:val="20"/>
                <w:color w:val="auto"/>
                <w:w w:val="93"/>
              </w:rPr>
              <w:t>1A.</w:t>
            </w:r>
          </w:p>
        </w:tc>
        <w:tc>
          <w:tcPr>
            <w:tcW w:w="7940" w:type="dxa"/>
            <w:vAlign w:val="bottom"/>
          </w:tcPr>
          <w:p>
            <w:pPr>
              <w:ind w:left="40"/>
              <w:spacing w:after="0"/>
              <w:rPr>
                <w:sz w:val="20"/>
                <w:szCs w:val="20"/>
                <w:color w:val="auto"/>
              </w:rPr>
            </w:pPr>
            <w:r>
              <w:rPr>
                <w:rFonts w:ascii="Arial" w:cs="Arial" w:eastAsia="Arial" w:hAnsi="Arial"/>
                <w:sz w:val="20"/>
                <w:szCs w:val="20"/>
                <w:color w:val="auto"/>
              </w:rPr>
              <w:t>Risk Factors</w:t>
            </w:r>
          </w:p>
        </w:tc>
        <w:tc>
          <w:tcPr>
            <w:tcW w:w="1280" w:type="dxa"/>
            <w:vAlign w:val="bottom"/>
          </w:tcPr>
          <w:p>
            <w:pPr>
              <w:jc w:val="center"/>
              <w:spacing w:after="0"/>
              <w:rPr>
                <w:sz w:val="20"/>
                <w:szCs w:val="20"/>
                <w:color w:val="auto"/>
              </w:rPr>
            </w:pPr>
            <w:r>
              <w:rPr>
                <w:rFonts w:ascii="Arial" w:cs="Arial" w:eastAsia="Arial" w:hAnsi="Arial"/>
                <w:sz w:val="20"/>
                <w:szCs w:val="20"/>
                <w:color w:val="auto"/>
                <w:w w:val="80"/>
              </w:rPr>
              <w:t>19</w:t>
            </w:r>
          </w:p>
        </w:tc>
      </w:tr>
      <w:tr>
        <w:trPr>
          <w:trHeight w:val="22"/>
        </w:trPr>
        <w:tc>
          <w:tcPr>
            <w:tcW w:w="8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9"/>
        </w:trPr>
        <w:tc>
          <w:tcPr>
            <w:tcW w:w="82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20"/>
                <w:szCs w:val="20"/>
                <w:color w:val="auto"/>
                <w:w w:val="93"/>
              </w:rPr>
              <w:t>1B.</w:t>
            </w:r>
          </w:p>
        </w:tc>
        <w:tc>
          <w:tcPr>
            <w:tcW w:w="79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Unresolved Staff Comments</w:t>
            </w:r>
          </w:p>
        </w:tc>
        <w:tc>
          <w:tcPr>
            <w:tcW w:w="128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20"/>
                <w:szCs w:val="20"/>
                <w:color w:val="auto"/>
                <w:w w:val="80"/>
              </w:rPr>
              <w:t>33</w:t>
            </w:r>
          </w:p>
        </w:tc>
      </w:tr>
      <w:tr>
        <w:trPr>
          <w:trHeight w:val="257"/>
        </w:trPr>
        <w:tc>
          <w:tcPr>
            <w:tcW w:w="820" w:type="dxa"/>
            <w:vAlign w:val="bottom"/>
          </w:tcPr>
          <w:p>
            <w:pPr>
              <w:jc w:val="center"/>
              <w:spacing w:after="0"/>
              <w:rPr>
                <w:sz w:val="20"/>
                <w:szCs w:val="20"/>
                <w:color w:val="auto"/>
              </w:rPr>
            </w:pPr>
            <w:r>
              <w:rPr>
                <w:rFonts w:ascii="Arial" w:cs="Arial" w:eastAsia="Arial" w:hAnsi="Arial"/>
                <w:sz w:val="20"/>
                <w:szCs w:val="20"/>
                <w:color w:val="auto"/>
                <w:w w:val="89"/>
              </w:rPr>
              <w:t>1C.</w:t>
            </w:r>
          </w:p>
        </w:tc>
        <w:tc>
          <w:tcPr>
            <w:tcW w:w="7940" w:type="dxa"/>
            <w:vAlign w:val="bottom"/>
          </w:tcPr>
          <w:p>
            <w:pPr>
              <w:ind w:left="40"/>
              <w:spacing w:after="0"/>
              <w:rPr>
                <w:sz w:val="20"/>
                <w:szCs w:val="20"/>
                <w:color w:val="auto"/>
              </w:rPr>
            </w:pPr>
            <w:r>
              <w:rPr>
                <w:rFonts w:ascii="Arial" w:cs="Arial" w:eastAsia="Arial" w:hAnsi="Arial"/>
                <w:sz w:val="20"/>
                <w:szCs w:val="20"/>
                <w:color w:val="auto"/>
              </w:rPr>
              <w:t>Cybersecurity</w:t>
            </w:r>
          </w:p>
        </w:tc>
        <w:tc>
          <w:tcPr>
            <w:tcW w:w="1280" w:type="dxa"/>
            <w:vAlign w:val="bottom"/>
          </w:tcPr>
          <w:p>
            <w:pPr>
              <w:jc w:val="center"/>
              <w:spacing w:after="0"/>
              <w:rPr>
                <w:sz w:val="20"/>
                <w:szCs w:val="20"/>
                <w:color w:val="auto"/>
              </w:rPr>
            </w:pPr>
            <w:r>
              <w:rPr>
                <w:rFonts w:ascii="Arial" w:cs="Arial" w:eastAsia="Arial" w:hAnsi="Arial"/>
                <w:sz w:val="20"/>
                <w:szCs w:val="20"/>
                <w:color w:val="auto"/>
                <w:w w:val="80"/>
              </w:rPr>
              <w:t>34</w:t>
            </w:r>
          </w:p>
        </w:tc>
      </w:tr>
      <w:tr>
        <w:trPr>
          <w:trHeight w:val="22"/>
        </w:trPr>
        <w:tc>
          <w:tcPr>
            <w:tcW w:w="8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9"/>
        </w:trPr>
        <w:tc>
          <w:tcPr>
            <w:tcW w:w="82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20"/>
                <w:szCs w:val="20"/>
                <w:color w:val="auto"/>
                <w:w w:val="83"/>
              </w:rPr>
              <w:t>2.</w:t>
            </w:r>
          </w:p>
        </w:tc>
        <w:tc>
          <w:tcPr>
            <w:tcW w:w="79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Properties</w:t>
            </w:r>
          </w:p>
        </w:tc>
        <w:tc>
          <w:tcPr>
            <w:tcW w:w="128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20"/>
                <w:szCs w:val="20"/>
                <w:color w:val="auto"/>
                <w:w w:val="80"/>
              </w:rPr>
              <w:t>35</w:t>
            </w:r>
          </w:p>
        </w:tc>
      </w:tr>
      <w:tr>
        <w:trPr>
          <w:trHeight w:val="257"/>
        </w:trPr>
        <w:tc>
          <w:tcPr>
            <w:tcW w:w="820" w:type="dxa"/>
            <w:vAlign w:val="bottom"/>
          </w:tcPr>
          <w:p>
            <w:pPr>
              <w:jc w:val="center"/>
              <w:spacing w:after="0"/>
              <w:rPr>
                <w:sz w:val="20"/>
                <w:szCs w:val="20"/>
                <w:color w:val="auto"/>
              </w:rPr>
            </w:pPr>
            <w:r>
              <w:rPr>
                <w:rFonts w:ascii="Arial" w:cs="Arial" w:eastAsia="Arial" w:hAnsi="Arial"/>
                <w:sz w:val="20"/>
                <w:szCs w:val="20"/>
                <w:color w:val="auto"/>
                <w:w w:val="83"/>
              </w:rPr>
              <w:t>3.</w:t>
            </w:r>
          </w:p>
        </w:tc>
        <w:tc>
          <w:tcPr>
            <w:tcW w:w="7940" w:type="dxa"/>
            <w:vAlign w:val="bottom"/>
          </w:tcPr>
          <w:p>
            <w:pPr>
              <w:ind w:left="40"/>
              <w:spacing w:after="0"/>
              <w:rPr>
                <w:sz w:val="20"/>
                <w:szCs w:val="20"/>
                <w:color w:val="auto"/>
              </w:rPr>
            </w:pPr>
            <w:r>
              <w:rPr>
                <w:rFonts w:ascii="Arial" w:cs="Arial" w:eastAsia="Arial" w:hAnsi="Arial"/>
                <w:sz w:val="20"/>
                <w:szCs w:val="20"/>
                <w:color w:val="auto"/>
              </w:rPr>
              <w:t>Legal Proceedings</w:t>
            </w:r>
          </w:p>
        </w:tc>
        <w:tc>
          <w:tcPr>
            <w:tcW w:w="1280" w:type="dxa"/>
            <w:vAlign w:val="bottom"/>
          </w:tcPr>
          <w:p>
            <w:pPr>
              <w:jc w:val="center"/>
              <w:spacing w:after="0"/>
              <w:rPr>
                <w:sz w:val="20"/>
                <w:szCs w:val="20"/>
                <w:color w:val="auto"/>
              </w:rPr>
            </w:pPr>
            <w:r>
              <w:rPr>
                <w:rFonts w:ascii="Arial" w:cs="Arial" w:eastAsia="Arial" w:hAnsi="Arial"/>
                <w:sz w:val="20"/>
                <w:szCs w:val="20"/>
                <w:color w:val="auto"/>
                <w:w w:val="80"/>
              </w:rPr>
              <w:t>35</w:t>
            </w:r>
          </w:p>
        </w:tc>
      </w:tr>
      <w:tr>
        <w:trPr>
          <w:trHeight w:val="22"/>
        </w:trPr>
        <w:tc>
          <w:tcPr>
            <w:tcW w:w="8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7"/>
        </w:trPr>
        <w:tc>
          <w:tcPr>
            <w:tcW w:w="820" w:type="dxa"/>
            <w:vAlign w:val="bottom"/>
            <w:shd w:val="clear" w:color="auto" w:fill="E6E6E6"/>
          </w:tcPr>
          <w:p>
            <w:pPr>
              <w:jc w:val="center"/>
              <w:spacing w:after="0"/>
              <w:rPr>
                <w:sz w:val="20"/>
                <w:szCs w:val="20"/>
                <w:color w:val="auto"/>
              </w:rPr>
            </w:pPr>
            <w:r>
              <w:rPr>
                <w:rFonts w:ascii="Arial" w:cs="Arial" w:eastAsia="Arial" w:hAnsi="Arial"/>
                <w:sz w:val="20"/>
                <w:szCs w:val="20"/>
                <w:color w:val="auto"/>
                <w:w w:val="83"/>
              </w:rPr>
              <w:t>4.</w:t>
            </w:r>
          </w:p>
        </w:tc>
        <w:tc>
          <w:tcPr>
            <w:tcW w:w="7940" w:type="dxa"/>
            <w:vAlign w:val="bottom"/>
            <w:shd w:val="clear" w:color="auto" w:fill="E6E6E6"/>
          </w:tcPr>
          <w:p>
            <w:pPr>
              <w:ind w:left="40"/>
              <w:spacing w:after="0"/>
              <w:rPr>
                <w:sz w:val="20"/>
                <w:szCs w:val="20"/>
                <w:color w:val="auto"/>
              </w:rPr>
            </w:pPr>
            <w:r>
              <w:rPr>
                <w:rFonts w:ascii="Arial" w:cs="Arial" w:eastAsia="Arial" w:hAnsi="Arial"/>
                <w:sz w:val="20"/>
                <w:szCs w:val="20"/>
                <w:color w:val="auto"/>
              </w:rPr>
              <w:t>Mine Safety Disclosures</w:t>
            </w:r>
          </w:p>
        </w:tc>
        <w:tc>
          <w:tcPr>
            <w:tcW w:w="1280" w:type="dxa"/>
            <w:vAlign w:val="bottom"/>
            <w:shd w:val="clear" w:color="auto" w:fill="E6E6E6"/>
          </w:tcPr>
          <w:p>
            <w:pPr>
              <w:jc w:val="center"/>
              <w:spacing w:after="0"/>
              <w:rPr>
                <w:sz w:val="20"/>
                <w:szCs w:val="20"/>
                <w:color w:val="auto"/>
              </w:rPr>
            </w:pPr>
            <w:r>
              <w:rPr>
                <w:rFonts w:ascii="Arial" w:cs="Arial" w:eastAsia="Arial" w:hAnsi="Arial"/>
                <w:sz w:val="20"/>
                <w:szCs w:val="20"/>
                <w:color w:val="auto"/>
                <w:w w:val="80"/>
              </w:rPr>
              <w:t>35</w:t>
            </w:r>
          </w:p>
        </w:tc>
      </w:tr>
      <w:tr>
        <w:trPr>
          <w:trHeight w:val="22"/>
        </w:trPr>
        <w:tc>
          <w:tcPr>
            <w:tcW w:w="820" w:type="dxa"/>
            <w:vAlign w:val="bottom"/>
            <w:shd w:val="clear" w:color="auto" w:fill="E6E6E6"/>
          </w:tcPr>
          <w:p>
            <w:pPr>
              <w:spacing w:after="0" w:line="20" w:lineRule="exact"/>
              <w:rPr>
                <w:sz w:val="1"/>
                <w:szCs w:val="1"/>
                <w:color w:val="auto"/>
              </w:rPr>
            </w:pPr>
          </w:p>
        </w:tc>
        <w:tc>
          <w:tcPr>
            <w:tcW w:w="7940" w:type="dxa"/>
            <w:vAlign w:val="bottom"/>
            <w:shd w:val="clear" w:color="auto" w:fill="E6E6E6"/>
          </w:tcPr>
          <w:p>
            <w:pPr>
              <w:spacing w:after="0" w:line="20" w:lineRule="exact"/>
              <w:rPr>
                <w:sz w:val="1"/>
                <w:szCs w:val="1"/>
                <w:color w:val="auto"/>
              </w:rPr>
            </w:pPr>
          </w:p>
        </w:tc>
        <w:tc>
          <w:tcPr>
            <w:tcW w:w="1280" w:type="dxa"/>
            <w:vAlign w:val="bottom"/>
            <w:shd w:val="clear" w:color="auto" w:fill="E6E6E6"/>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wp:posOffset>
            </wp:positionH>
            <wp:positionV relativeFrom="paragraph">
              <wp:posOffset>-1253490</wp:posOffset>
            </wp:positionV>
            <wp:extent cx="506603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extLst>
                    </a:blip>
                    <a:srcRect/>
                    <a:stretch>
                      <a:fillRect/>
                    </a:stretch>
                  </pic:blipFill>
                  <pic:spPr bwMode="auto">
                    <a:xfrm>
                      <a:off x="0" y="0"/>
                      <a:ext cx="5066030"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62"/>
        </w:trPr>
        <w:tc>
          <w:tcPr>
            <w:tcW w:w="820" w:type="dxa"/>
            <w:vAlign w:val="bottom"/>
            <w:tcBorders>
              <w:bottom w:val="single" w:sz="8" w:color="E6E6E6"/>
            </w:tcBorders>
          </w:tcPr>
          <w:p>
            <w:pPr>
              <w:spacing w:after="0"/>
              <w:rPr>
                <w:sz w:val="22"/>
                <w:szCs w:val="22"/>
                <w:color w:val="auto"/>
              </w:rPr>
            </w:pPr>
          </w:p>
        </w:tc>
        <w:tc>
          <w:tcPr>
            <w:tcW w:w="794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PART II</w:t>
            </w:r>
          </w:p>
        </w:tc>
        <w:tc>
          <w:tcPr>
            <w:tcW w:w="1280" w:type="dxa"/>
            <w:vAlign w:val="bottom"/>
            <w:tcBorders>
              <w:bottom w:val="single" w:sz="8" w:color="E6E6E6"/>
            </w:tcBorders>
          </w:tcPr>
          <w:p>
            <w:pPr>
              <w:spacing w:after="0"/>
              <w:rPr>
                <w:sz w:val="22"/>
                <w:szCs w:val="22"/>
                <w:color w:val="auto"/>
              </w:rPr>
            </w:pPr>
          </w:p>
        </w:tc>
      </w:tr>
      <w:tr>
        <w:trPr>
          <w:trHeight w:val="178"/>
        </w:trPr>
        <w:tc>
          <w:tcPr>
            <w:tcW w:w="820" w:type="dxa"/>
            <w:vAlign w:val="bottom"/>
            <w:shd w:val="clear" w:color="auto" w:fill="E6E6E6"/>
          </w:tcPr>
          <w:p>
            <w:pPr>
              <w:jc w:val="center"/>
              <w:spacing w:after="0" w:line="178" w:lineRule="exact"/>
              <w:rPr>
                <w:sz w:val="20"/>
                <w:szCs w:val="20"/>
                <w:color w:val="auto"/>
              </w:rPr>
            </w:pPr>
            <w:r>
              <w:rPr>
                <w:rFonts w:ascii="Arial" w:cs="Arial" w:eastAsia="Arial" w:hAnsi="Arial"/>
                <w:sz w:val="20"/>
                <w:szCs w:val="20"/>
                <w:color w:val="auto"/>
                <w:w w:val="83"/>
              </w:rPr>
              <w:t>5.</w:t>
            </w:r>
          </w:p>
        </w:tc>
        <w:tc>
          <w:tcPr>
            <w:tcW w:w="7940" w:type="dxa"/>
            <w:vAlign w:val="bottom"/>
            <w:shd w:val="clear" w:color="auto" w:fill="E6E6E6"/>
          </w:tcPr>
          <w:p>
            <w:pPr>
              <w:ind w:left="40"/>
              <w:spacing w:after="0" w:line="178" w:lineRule="exact"/>
              <w:rPr>
                <w:sz w:val="20"/>
                <w:szCs w:val="20"/>
                <w:color w:val="auto"/>
              </w:rPr>
            </w:pPr>
            <w:r>
              <w:rPr>
                <w:rFonts w:ascii="Arial" w:cs="Arial" w:eastAsia="Arial" w:hAnsi="Arial"/>
                <w:sz w:val="20"/>
                <w:szCs w:val="20"/>
                <w:color w:val="auto"/>
                <w:w w:val="94"/>
              </w:rPr>
              <w:t>Market for Registrant’s Common Equity, Related Stockholder Matters and Issuer Purchases of</w:t>
            </w:r>
          </w:p>
        </w:tc>
        <w:tc>
          <w:tcPr>
            <w:tcW w:w="1280" w:type="dxa"/>
            <w:vAlign w:val="bottom"/>
            <w:shd w:val="clear" w:color="auto" w:fill="E6E6E6"/>
          </w:tcPr>
          <w:p>
            <w:pPr>
              <w:jc w:val="right"/>
              <w:ind w:right="422"/>
              <w:spacing w:after="0" w:line="178" w:lineRule="exact"/>
              <w:rPr>
                <w:sz w:val="20"/>
                <w:szCs w:val="20"/>
                <w:color w:val="auto"/>
              </w:rPr>
            </w:pPr>
            <w:r>
              <w:rPr>
                <w:rFonts w:ascii="Arial" w:cs="Arial" w:eastAsia="Arial" w:hAnsi="Arial"/>
                <w:sz w:val="20"/>
                <w:szCs w:val="20"/>
                <w:color w:val="auto"/>
              </w:rPr>
              <w:t>36</w:t>
            </w:r>
          </w:p>
        </w:tc>
      </w:tr>
      <w:tr>
        <w:trPr>
          <w:trHeight w:val="268"/>
        </w:trPr>
        <w:tc>
          <w:tcPr>
            <w:tcW w:w="820" w:type="dxa"/>
            <w:vAlign w:val="bottom"/>
            <w:shd w:val="clear" w:color="auto" w:fill="E6E6E6"/>
          </w:tcPr>
          <w:p>
            <w:pPr>
              <w:spacing w:after="0"/>
              <w:rPr>
                <w:sz w:val="23"/>
                <w:szCs w:val="23"/>
                <w:color w:val="auto"/>
              </w:rPr>
            </w:pPr>
          </w:p>
        </w:tc>
        <w:tc>
          <w:tcPr>
            <w:tcW w:w="7940" w:type="dxa"/>
            <w:vAlign w:val="bottom"/>
            <w:shd w:val="clear" w:color="auto" w:fill="E6E6E6"/>
          </w:tcPr>
          <w:p>
            <w:pPr>
              <w:ind w:left="40"/>
              <w:spacing w:after="0"/>
              <w:rPr>
                <w:sz w:val="20"/>
                <w:szCs w:val="20"/>
                <w:color w:val="auto"/>
              </w:rPr>
            </w:pPr>
            <w:r>
              <w:rPr>
                <w:rFonts w:ascii="Arial" w:cs="Arial" w:eastAsia="Arial" w:hAnsi="Arial"/>
                <w:sz w:val="20"/>
                <w:szCs w:val="20"/>
                <w:color w:val="auto"/>
              </w:rPr>
              <w:t>Equity Securities</w:t>
            </w:r>
          </w:p>
        </w:tc>
        <w:tc>
          <w:tcPr>
            <w:tcW w:w="1280" w:type="dxa"/>
            <w:vAlign w:val="bottom"/>
            <w:shd w:val="clear" w:color="auto" w:fill="E6E6E6"/>
          </w:tcPr>
          <w:p>
            <w:pPr>
              <w:spacing w:after="0"/>
              <w:rPr>
                <w:sz w:val="23"/>
                <w:szCs w:val="23"/>
                <w:color w:val="auto"/>
              </w:rPr>
            </w:pPr>
          </w:p>
        </w:tc>
      </w:tr>
      <w:tr>
        <w:trPr>
          <w:trHeight w:val="257"/>
        </w:trPr>
        <w:tc>
          <w:tcPr>
            <w:tcW w:w="820" w:type="dxa"/>
            <w:vAlign w:val="bottom"/>
          </w:tcPr>
          <w:p>
            <w:pPr>
              <w:jc w:val="center"/>
              <w:spacing w:after="0"/>
              <w:rPr>
                <w:sz w:val="20"/>
                <w:szCs w:val="20"/>
                <w:color w:val="auto"/>
              </w:rPr>
            </w:pPr>
            <w:r>
              <w:rPr>
                <w:rFonts w:ascii="Arial" w:cs="Arial" w:eastAsia="Arial" w:hAnsi="Arial"/>
                <w:sz w:val="20"/>
                <w:szCs w:val="20"/>
                <w:color w:val="auto"/>
                <w:w w:val="83"/>
              </w:rPr>
              <w:t>6.</w:t>
            </w:r>
          </w:p>
        </w:tc>
        <w:tc>
          <w:tcPr>
            <w:tcW w:w="7940" w:type="dxa"/>
            <w:vAlign w:val="bottom"/>
          </w:tcPr>
          <w:p>
            <w:pPr>
              <w:ind w:left="40"/>
              <w:spacing w:after="0"/>
              <w:rPr>
                <w:sz w:val="20"/>
                <w:szCs w:val="20"/>
                <w:color w:val="auto"/>
              </w:rPr>
            </w:pPr>
            <w:r>
              <w:rPr>
                <w:rFonts w:ascii="Arial" w:cs="Arial" w:eastAsia="Arial" w:hAnsi="Arial"/>
                <w:sz w:val="20"/>
                <w:szCs w:val="20"/>
                <w:color w:val="auto"/>
              </w:rPr>
              <w:t>[Reserved]</w:t>
            </w:r>
          </w:p>
        </w:tc>
        <w:tc>
          <w:tcPr>
            <w:tcW w:w="1280" w:type="dxa"/>
            <w:vAlign w:val="bottom"/>
          </w:tcPr>
          <w:p>
            <w:pPr>
              <w:jc w:val="right"/>
              <w:ind w:right="422"/>
              <w:spacing w:after="0"/>
              <w:rPr>
                <w:sz w:val="20"/>
                <w:szCs w:val="20"/>
                <w:color w:val="auto"/>
              </w:rPr>
            </w:pPr>
            <w:r>
              <w:rPr>
                <w:rFonts w:ascii="Arial" w:cs="Arial" w:eastAsia="Arial" w:hAnsi="Arial"/>
                <w:sz w:val="20"/>
                <w:szCs w:val="20"/>
                <w:color w:val="auto"/>
              </w:rPr>
              <w:t>36</w:t>
            </w:r>
          </w:p>
        </w:tc>
      </w:tr>
      <w:tr>
        <w:trPr>
          <w:trHeight w:val="22"/>
        </w:trPr>
        <w:tc>
          <w:tcPr>
            <w:tcW w:w="8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9"/>
        </w:trPr>
        <w:tc>
          <w:tcPr>
            <w:tcW w:w="82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20"/>
                <w:szCs w:val="20"/>
                <w:color w:val="auto"/>
                <w:w w:val="83"/>
              </w:rPr>
              <w:t>7.</w:t>
            </w:r>
          </w:p>
        </w:tc>
        <w:tc>
          <w:tcPr>
            <w:tcW w:w="79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Management’s Discussion and Analysis of Financial Condition and Results of Operations</w:t>
            </w:r>
          </w:p>
        </w:tc>
        <w:tc>
          <w:tcPr>
            <w:tcW w:w="1280" w:type="dxa"/>
            <w:vAlign w:val="bottom"/>
            <w:tcBorders>
              <w:bottom w:val="single" w:sz="8" w:color="E6E6E6"/>
            </w:tcBorders>
            <w:shd w:val="clear" w:color="auto" w:fill="E6E6E6"/>
          </w:tcPr>
          <w:p>
            <w:pPr>
              <w:jc w:val="right"/>
              <w:ind w:right="422"/>
              <w:spacing w:after="0"/>
              <w:rPr>
                <w:sz w:val="20"/>
                <w:szCs w:val="20"/>
                <w:color w:val="auto"/>
              </w:rPr>
            </w:pPr>
            <w:r>
              <w:rPr>
                <w:rFonts w:ascii="Arial" w:cs="Arial" w:eastAsia="Arial" w:hAnsi="Arial"/>
                <w:sz w:val="20"/>
                <w:szCs w:val="20"/>
                <w:color w:val="auto"/>
              </w:rPr>
              <w:t>37</w:t>
            </w:r>
          </w:p>
        </w:tc>
      </w:tr>
      <w:tr>
        <w:trPr>
          <w:trHeight w:val="257"/>
        </w:trPr>
        <w:tc>
          <w:tcPr>
            <w:tcW w:w="820" w:type="dxa"/>
            <w:vAlign w:val="bottom"/>
          </w:tcPr>
          <w:p>
            <w:pPr>
              <w:jc w:val="center"/>
              <w:spacing w:after="0"/>
              <w:rPr>
                <w:sz w:val="20"/>
                <w:szCs w:val="20"/>
                <w:color w:val="auto"/>
              </w:rPr>
            </w:pPr>
            <w:r>
              <w:rPr>
                <w:rFonts w:ascii="Arial" w:cs="Arial" w:eastAsia="Arial" w:hAnsi="Arial"/>
                <w:sz w:val="20"/>
                <w:szCs w:val="20"/>
                <w:color w:val="auto"/>
                <w:w w:val="93"/>
              </w:rPr>
              <w:t>7A.</w:t>
            </w:r>
          </w:p>
        </w:tc>
        <w:tc>
          <w:tcPr>
            <w:tcW w:w="7940" w:type="dxa"/>
            <w:vAlign w:val="bottom"/>
          </w:tcPr>
          <w:p>
            <w:pPr>
              <w:ind w:left="40"/>
              <w:spacing w:after="0"/>
              <w:rPr>
                <w:sz w:val="20"/>
                <w:szCs w:val="20"/>
                <w:color w:val="auto"/>
              </w:rPr>
            </w:pPr>
            <w:r>
              <w:rPr>
                <w:rFonts w:ascii="Arial" w:cs="Arial" w:eastAsia="Arial" w:hAnsi="Arial"/>
                <w:sz w:val="20"/>
                <w:szCs w:val="20"/>
                <w:color w:val="auto"/>
              </w:rPr>
              <w:t>Quantitative and Qualitative Disclosures About Market Risk</w:t>
            </w:r>
          </w:p>
        </w:tc>
        <w:tc>
          <w:tcPr>
            <w:tcW w:w="1280" w:type="dxa"/>
            <w:vAlign w:val="bottom"/>
          </w:tcPr>
          <w:p>
            <w:pPr>
              <w:jc w:val="right"/>
              <w:ind w:right="422"/>
              <w:spacing w:after="0"/>
              <w:rPr>
                <w:sz w:val="20"/>
                <w:szCs w:val="20"/>
                <w:color w:val="auto"/>
              </w:rPr>
            </w:pPr>
            <w:r>
              <w:rPr>
                <w:rFonts w:ascii="Arial" w:cs="Arial" w:eastAsia="Arial" w:hAnsi="Arial"/>
                <w:sz w:val="20"/>
                <w:szCs w:val="20"/>
                <w:color w:val="auto"/>
              </w:rPr>
              <w:t>47</w:t>
            </w:r>
          </w:p>
        </w:tc>
      </w:tr>
      <w:tr>
        <w:trPr>
          <w:trHeight w:val="22"/>
        </w:trPr>
        <w:tc>
          <w:tcPr>
            <w:tcW w:w="8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9"/>
        </w:trPr>
        <w:tc>
          <w:tcPr>
            <w:tcW w:w="82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20"/>
                <w:szCs w:val="20"/>
                <w:color w:val="auto"/>
                <w:w w:val="83"/>
              </w:rPr>
              <w:t>8.</w:t>
            </w:r>
          </w:p>
        </w:tc>
        <w:tc>
          <w:tcPr>
            <w:tcW w:w="79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Financial Statements and Supplementary Data</w:t>
            </w:r>
          </w:p>
        </w:tc>
        <w:tc>
          <w:tcPr>
            <w:tcW w:w="1280" w:type="dxa"/>
            <w:vAlign w:val="bottom"/>
            <w:tcBorders>
              <w:bottom w:val="single" w:sz="8" w:color="E6E6E6"/>
            </w:tcBorders>
            <w:shd w:val="clear" w:color="auto" w:fill="E6E6E6"/>
          </w:tcPr>
          <w:p>
            <w:pPr>
              <w:jc w:val="right"/>
              <w:ind w:right="422"/>
              <w:spacing w:after="0"/>
              <w:rPr>
                <w:sz w:val="20"/>
                <w:szCs w:val="20"/>
                <w:color w:val="auto"/>
              </w:rPr>
            </w:pPr>
            <w:r>
              <w:rPr>
                <w:rFonts w:ascii="Arial" w:cs="Arial" w:eastAsia="Arial" w:hAnsi="Arial"/>
                <w:sz w:val="20"/>
                <w:szCs w:val="20"/>
                <w:color w:val="auto"/>
              </w:rPr>
              <w:t>47</w:t>
            </w:r>
          </w:p>
        </w:tc>
      </w:tr>
      <w:tr>
        <w:trPr>
          <w:trHeight w:val="257"/>
        </w:trPr>
        <w:tc>
          <w:tcPr>
            <w:tcW w:w="820" w:type="dxa"/>
            <w:vAlign w:val="bottom"/>
          </w:tcPr>
          <w:p>
            <w:pPr>
              <w:jc w:val="center"/>
              <w:spacing w:after="0"/>
              <w:rPr>
                <w:sz w:val="20"/>
                <w:szCs w:val="20"/>
                <w:color w:val="auto"/>
              </w:rPr>
            </w:pPr>
            <w:r>
              <w:rPr>
                <w:rFonts w:ascii="Arial" w:cs="Arial" w:eastAsia="Arial" w:hAnsi="Arial"/>
                <w:sz w:val="20"/>
                <w:szCs w:val="20"/>
                <w:color w:val="auto"/>
                <w:w w:val="83"/>
              </w:rPr>
              <w:t>9.</w:t>
            </w:r>
          </w:p>
        </w:tc>
        <w:tc>
          <w:tcPr>
            <w:tcW w:w="7940" w:type="dxa"/>
            <w:vAlign w:val="bottom"/>
          </w:tcPr>
          <w:p>
            <w:pPr>
              <w:ind w:left="40"/>
              <w:spacing w:after="0"/>
              <w:rPr>
                <w:sz w:val="20"/>
                <w:szCs w:val="20"/>
                <w:color w:val="auto"/>
              </w:rPr>
            </w:pPr>
            <w:r>
              <w:rPr>
                <w:rFonts w:ascii="Arial" w:cs="Arial" w:eastAsia="Arial" w:hAnsi="Arial"/>
                <w:sz w:val="20"/>
                <w:szCs w:val="20"/>
                <w:color w:val="auto"/>
                <w:w w:val="99"/>
              </w:rPr>
              <w:t>Changes in and Disagreements with Accountants on Accounting and Financial Disclosure</w:t>
            </w:r>
          </w:p>
        </w:tc>
        <w:tc>
          <w:tcPr>
            <w:tcW w:w="1280" w:type="dxa"/>
            <w:vAlign w:val="bottom"/>
          </w:tcPr>
          <w:p>
            <w:pPr>
              <w:jc w:val="right"/>
              <w:ind w:right="422"/>
              <w:spacing w:after="0"/>
              <w:rPr>
                <w:sz w:val="20"/>
                <w:szCs w:val="20"/>
                <w:color w:val="auto"/>
              </w:rPr>
            </w:pPr>
            <w:r>
              <w:rPr>
                <w:rFonts w:ascii="Arial" w:cs="Arial" w:eastAsia="Arial" w:hAnsi="Arial"/>
                <w:sz w:val="20"/>
                <w:szCs w:val="20"/>
                <w:color w:val="auto"/>
              </w:rPr>
              <w:t>47</w:t>
            </w:r>
          </w:p>
        </w:tc>
      </w:tr>
      <w:tr>
        <w:trPr>
          <w:trHeight w:val="22"/>
        </w:trPr>
        <w:tc>
          <w:tcPr>
            <w:tcW w:w="8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9"/>
        </w:trPr>
        <w:tc>
          <w:tcPr>
            <w:tcW w:w="82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20"/>
                <w:szCs w:val="20"/>
                <w:color w:val="auto"/>
                <w:w w:val="93"/>
              </w:rPr>
              <w:t>9A.</w:t>
            </w:r>
          </w:p>
        </w:tc>
        <w:tc>
          <w:tcPr>
            <w:tcW w:w="79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Controls and Procedures</w:t>
            </w:r>
          </w:p>
        </w:tc>
        <w:tc>
          <w:tcPr>
            <w:tcW w:w="1280" w:type="dxa"/>
            <w:vAlign w:val="bottom"/>
            <w:tcBorders>
              <w:bottom w:val="single" w:sz="8" w:color="E6E6E6"/>
            </w:tcBorders>
            <w:shd w:val="clear" w:color="auto" w:fill="E6E6E6"/>
          </w:tcPr>
          <w:p>
            <w:pPr>
              <w:jc w:val="right"/>
              <w:ind w:right="422"/>
              <w:spacing w:after="0"/>
              <w:rPr>
                <w:sz w:val="20"/>
                <w:szCs w:val="20"/>
                <w:color w:val="auto"/>
              </w:rPr>
            </w:pPr>
            <w:r>
              <w:rPr>
                <w:rFonts w:ascii="Arial" w:cs="Arial" w:eastAsia="Arial" w:hAnsi="Arial"/>
                <w:sz w:val="20"/>
                <w:szCs w:val="20"/>
                <w:color w:val="auto"/>
              </w:rPr>
              <w:t>47</w:t>
            </w:r>
          </w:p>
        </w:tc>
      </w:tr>
      <w:tr>
        <w:trPr>
          <w:trHeight w:val="257"/>
        </w:trPr>
        <w:tc>
          <w:tcPr>
            <w:tcW w:w="820" w:type="dxa"/>
            <w:vAlign w:val="bottom"/>
          </w:tcPr>
          <w:p>
            <w:pPr>
              <w:jc w:val="center"/>
              <w:spacing w:after="0"/>
              <w:rPr>
                <w:sz w:val="20"/>
                <w:szCs w:val="20"/>
                <w:color w:val="auto"/>
              </w:rPr>
            </w:pPr>
            <w:r>
              <w:rPr>
                <w:rFonts w:ascii="Arial" w:cs="Arial" w:eastAsia="Arial" w:hAnsi="Arial"/>
                <w:sz w:val="20"/>
                <w:szCs w:val="20"/>
                <w:color w:val="auto"/>
                <w:w w:val="93"/>
              </w:rPr>
              <w:t>9B.</w:t>
            </w:r>
          </w:p>
        </w:tc>
        <w:tc>
          <w:tcPr>
            <w:tcW w:w="7940" w:type="dxa"/>
            <w:vAlign w:val="bottom"/>
          </w:tcPr>
          <w:p>
            <w:pPr>
              <w:ind w:left="40"/>
              <w:spacing w:after="0"/>
              <w:rPr>
                <w:sz w:val="20"/>
                <w:szCs w:val="20"/>
                <w:color w:val="auto"/>
              </w:rPr>
            </w:pPr>
            <w:r>
              <w:rPr>
                <w:rFonts w:ascii="Arial" w:cs="Arial" w:eastAsia="Arial" w:hAnsi="Arial"/>
                <w:sz w:val="20"/>
                <w:szCs w:val="20"/>
                <w:color w:val="auto"/>
              </w:rPr>
              <w:t>Other Information</w:t>
            </w:r>
          </w:p>
        </w:tc>
        <w:tc>
          <w:tcPr>
            <w:tcW w:w="1280" w:type="dxa"/>
            <w:vAlign w:val="bottom"/>
          </w:tcPr>
          <w:p>
            <w:pPr>
              <w:jc w:val="right"/>
              <w:ind w:right="422"/>
              <w:spacing w:after="0"/>
              <w:rPr>
                <w:sz w:val="20"/>
                <w:szCs w:val="20"/>
                <w:color w:val="auto"/>
              </w:rPr>
            </w:pPr>
            <w:r>
              <w:rPr>
                <w:rFonts w:ascii="Arial" w:cs="Arial" w:eastAsia="Arial" w:hAnsi="Arial"/>
                <w:sz w:val="20"/>
                <w:szCs w:val="20"/>
                <w:color w:val="auto"/>
              </w:rPr>
              <w:t>48</w:t>
            </w:r>
          </w:p>
        </w:tc>
      </w:tr>
      <w:tr>
        <w:trPr>
          <w:trHeight w:val="22"/>
        </w:trPr>
        <w:tc>
          <w:tcPr>
            <w:tcW w:w="8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7"/>
        </w:trPr>
        <w:tc>
          <w:tcPr>
            <w:tcW w:w="820" w:type="dxa"/>
            <w:vAlign w:val="bottom"/>
            <w:shd w:val="clear" w:color="auto" w:fill="E6E6E6"/>
          </w:tcPr>
          <w:p>
            <w:pPr>
              <w:jc w:val="center"/>
              <w:spacing w:after="0"/>
              <w:rPr>
                <w:sz w:val="20"/>
                <w:szCs w:val="20"/>
                <w:color w:val="auto"/>
              </w:rPr>
            </w:pPr>
            <w:r>
              <w:rPr>
                <w:rFonts w:ascii="Arial" w:cs="Arial" w:eastAsia="Arial" w:hAnsi="Arial"/>
                <w:sz w:val="20"/>
                <w:szCs w:val="20"/>
                <w:color w:val="auto"/>
                <w:w w:val="89"/>
              </w:rPr>
              <w:t>9C.</w:t>
            </w:r>
          </w:p>
        </w:tc>
        <w:tc>
          <w:tcPr>
            <w:tcW w:w="7940" w:type="dxa"/>
            <w:vAlign w:val="bottom"/>
            <w:shd w:val="clear" w:color="auto" w:fill="E6E6E6"/>
          </w:tcPr>
          <w:p>
            <w:pPr>
              <w:ind w:left="40"/>
              <w:spacing w:after="0"/>
              <w:rPr>
                <w:sz w:val="20"/>
                <w:szCs w:val="20"/>
                <w:color w:val="auto"/>
              </w:rPr>
            </w:pPr>
            <w:r>
              <w:rPr>
                <w:rFonts w:ascii="Arial" w:cs="Arial" w:eastAsia="Arial" w:hAnsi="Arial"/>
                <w:sz w:val="20"/>
                <w:szCs w:val="20"/>
                <w:color w:val="auto"/>
              </w:rPr>
              <w:t>Disclosure Regarding Foreign Jurisdictions That Prevent Inspections</w:t>
            </w:r>
          </w:p>
        </w:tc>
        <w:tc>
          <w:tcPr>
            <w:tcW w:w="1280" w:type="dxa"/>
            <w:vAlign w:val="bottom"/>
            <w:shd w:val="clear" w:color="auto" w:fill="E6E6E6"/>
          </w:tcPr>
          <w:p>
            <w:pPr>
              <w:jc w:val="right"/>
              <w:ind w:right="422"/>
              <w:spacing w:after="0"/>
              <w:rPr>
                <w:sz w:val="20"/>
                <w:szCs w:val="20"/>
                <w:color w:val="auto"/>
              </w:rPr>
            </w:pPr>
            <w:r>
              <w:rPr>
                <w:rFonts w:ascii="Arial" w:cs="Arial" w:eastAsia="Arial" w:hAnsi="Arial"/>
                <w:sz w:val="20"/>
                <w:szCs w:val="20"/>
                <w:color w:val="auto"/>
              </w:rPr>
              <w:t>48</w:t>
            </w:r>
          </w:p>
        </w:tc>
      </w:tr>
      <w:tr>
        <w:trPr>
          <w:trHeight w:val="22"/>
        </w:trPr>
        <w:tc>
          <w:tcPr>
            <w:tcW w:w="820" w:type="dxa"/>
            <w:vAlign w:val="bottom"/>
            <w:shd w:val="clear" w:color="auto" w:fill="E6E6E6"/>
          </w:tcPr>
          <w:p>
            <w:pPr>
              <w:spacing w:after="0" w:line="20" w:lineRule="exact"/>
              <w:rPr>
                <w:sz w:val="1"/>
                <w:szCs w:val="1"/>
                <w:color w:val="auto"/>
              </w:rPr>
            </w:pPr>
          </w:p>
        </w:tc>
        <w:tc>
          <w:tcPr>
            <w:tcW w:w="7940" w:type="dxa"/>
            <w:vAlign w:val="bottom"/>
            <w:shd w:val="clear" w:color="auto" w:fill="E6E6E6"/>
          </w:tcPr>
          <w:p>
            <w:pPr>
              <w:spacing w:after="0" w:line="20" w:lineRule="exact"/>
              <w:rPr>
                <w:sz w:val="1"/>
                <w:szCs w:val="1"/>
                <w:color w:val="auto"/>
              </w:rPr>
            </w:pPr>
          </w:p>
        </w:tc>
        <w:tc>
          <w:tcPr>
            <w:tcW w:w="1280" w:type="dxa"/>
            <w:vAlign w:val="bottom"/>
            <w:shd w:val="clear" w:color="auto" w:fill="E6E6E6"/>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wp:posOffset>
            </wp:positionH>
            <wp:positionV relativeFrom="paragraph">
              <wp:posOffset>-1720215</wp:posOffset>
            </wp:positionV>
            <wp:extent cx="506603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extLst>
                    </a:blip>
                    <a:srcRect/>
                    <a:stretch>
                      <a:fillRect/>
                    </a:stretch>
                  </pic:blipFill>
                  <pic:spPr bwMode="auto">
                    <a:xfrm>
                      <a:off x="0" y="0"/>
                      <a:ext cx="5066030"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62"/>
        </w:trPr>
        <w:tc>
          <w:tcPr>
            <w:tcW w:w="820" w:type="dxa"/>
            <w:vAlign w:val="bottom"/>
            <w:tcBorders>
              <w:bottom w:val="single" w:sz="8" w:color="E6E6E6"/>
            </w:tcBorders>
          </w:tcPr>
          <w:p>
            <w:pPr>
              <w:spacing w:after="0"/>
              <w:rPr>
                <w:sz w:val="22"/>
                <w:szCs w:val="22"/>
                <w:color w:val="auto"/>
              </w:rPr>
            </w:pPr>
          </w:p>
        </w:tc>
        <w:tc>
          <w:tcPr>
            <w:tcW w:w="794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PART III</w:t>
            </w:r>
          </w:p>
        </w:tc>
        <w:tc>
          <w:tcPr>
            <w:tcW w:w="1280" w:type="dxa"/>
            <w:vAlign w:val="bottom"/>
            <w:tcBorders>
              <w:bottom w:val="single" w:sz="8" w:color="E6E6E6"/>
            </w:tcBorders>
          </w:tcPr>
          <w:p>
            <w:pPr>
              <w:spacing w:after="0"/>
              <w:rPr>
                <w:sz w:val="22"/>
                <w:szCs w:val="22"/>
                <w:color w:val="auto"/>
              </w:rPr>
            </w:pPr>
          </w:p>
        </w:tc>
      </w:tr>
      <w:tr>
        <w:trPr>
          <w:trHeight w:val="269"/>
        </w:trPr>
        <w:tc>
          <w:tcPr>
            <w:tcW w:w="820" w:type="dxa"/>
            <w:vAlign w:val="bottom"/>
            <w:shd w:val="clear" w:color="auto" w:fill="E6E6E6"/>
          </w:tcPr>
          <w:p>
            <w:pPr>
              <w:jc w:val="right"/>
              <w:ind w:right="222"/>
              <w:spacing w:after="0"/>
              <w:rPr>
                <w:sz w:val="20"/>
                <w:szCs w:val="20"/>
                <w:color w:val="auto"/>
              </w:rPr>
            </w:pPr>
            <w:r>
              <w:rPr>
                <w:rFonts w:ascii="Arial" w:cs="Arial" w:eastAsia="Arial" w:hAnsi="Arial"/>
                <w:sz w:val="20"/>
                <w:szCs w:val="20"/>
                <w:color w:val="auto"/>
              </w:rPr>
              <w:t>10.</w:t>
            </w:r>
          </w:p>
        </w:tc>
        <w:tc>
          <w:tcPr>
            <w:tcW w:w="7940" w:type="dxa"/>
            <w:vAlign w:val="bottom"/>
            <w:shd w:val="clear" w:color="auto" w:fill="E6E6E6"/>
          </w:tcPr>
          <w:p>
            <w:pPr>
              <w:ind w:left="40"/>
              <w:spacing w:after="0"/>
              <w:rPr>
                <w:sz w:val="20"/>
                <w:szCs w:val="20"/>
                <w:color w:val="auto"/>
              </w:rPr>
            </w:pPr>
            <w:r>
              <w:rPr>
                <w:rFonts w:ascii="Arial" w:cs="Arial" w:eastAsia="Arial" w:hAnsi="Arial"/>
                <w:sz w:val="20"/>
                <w:szCs w:val="20"/>
                <w:color w:val="auto"/>
              </w:rPr>
              <w:t>Directors, Executive Officers, and Corporate Governance</w:t>
            </w:r>
          </w:p>
        </w:tc>
        <w:tc>
          <w:tcPr>
            <w:tcW w:w="1280" w:type="dxa"/>
            <w:vAlign w:val="bottom"/>
            <w:shd w:val="clear" w:color="auto" w:fill="E6E6E6"/>
          </w:tcPr>
          <w:p>
            <w:pPr>
              <w:jc w:val="right"/>
              <w:ind w:right="422"/>
              <w:spacing w:after="0"/>
              <w:rPr>
                <w:sz w:val="20"/>
                <w:szCs w:val="20"/>
                <w:color w:val="auto"/>
              </w:rPr>
            </w:pPr>
            <w:r>
              <w:rPr>
                <w:rFonts w:ascii="Arial" w:cs="Arial" w:eastAsia="Arial" w:hAnsi="Arial"/>
                <w:sz w:val="20"/>
                <w:szCs w:val="20"/>
                <w:color w:val="auto"/>
              </w:rPr>
              <w:t>49</w:t>
            </w:r>
          </w:p>
        </w:tc>
      </w:tr>
      <w:tr>
        <w:trPr>
          <w:trHeight w:val="257"/>
        </w:trPr>
        <w:tc>
          <w:tcPr>
            <w:tcW w:w="820" w:type="dxa"/>
            <w:vAlign w:val="bottom"/>
          </w:tcPr>
          <w:p>
            <w:pPr>
              <w:jc w:val="right"/>
              <w:ind w:right="222"/>
              <w:spacing w:after="0"/>
              <w:rPr>
                <w:sz w:val="20"/>
                <w:szCs w:val="20"/>
                <w:color w:val="auto"/>
              </w:rPr>
            </w:pPr>
            <w:r>
              <w:rPr>
                <w:rFonts w:ascii="Arial" w:cs="Arial" w:eastAsia="Arial" w:hAnsi="Arial"/>
                <w:sz w:val="20"/>
                <w:szCs w:val="20"/>
                <w:color w:val="auto"/>
              </w:rPr>
              <w:t>11.</w:t>
            </w:r>
          </w:p>
        </w:tc>
        <w:tc>
          <w:tcPr>
            <w:tcW w:w="7940" w:type="dxa"/>
            <w:vAlign w:val="bottom"/>
          </w:tcPr>
          <w:p>
            <w:pPr>
              <w:ind w:left="40"/>
              <w:spacing w:after="0"/>
              <w:rPr>
                <w:sz w:val="20"/>
                <w:szCs w:val="20"/>
                <w:color w:val="auto"/>
              </w:rPr>
            </w:pPr>
            <w:r>
              <w:rPr>
                <w:rFonts w:ascii="Arial" w:cs="Arial" w:eastAsia="Arial" w:hAnsi="Arial"/>
                <w:sz w:val="20"/>
                <w:szCs w:val="20"/>
                <w:color w:val="auto"/>
              </w:rPr>
              <w:t>Executive Compensation</w:t>
            </w:r>
          </w:p>
        </w:tc>
        <w:tc>
          <w:tcPr>
            <w:tcW w:w="1280" w:type="dxa"/>
            <w:vAlign w:val="bottom"/>
          </w:tcPr>
          <w:p>
            <w:pPr>
              <w:jc w:val="right"/>
              <w:ind w:right="422"/>
              <w:spacing w:after="0"/>
              <w:rPr>
                <w:sz w:val="20"/>
                <w:szCs w:val="20"/>
                <w:color w:val="auto"/>
              </w:rPr>
            </w:pPr>
            <w:r>
              <w:rPr>
                <w:rFonts w:ascii="Arial" w:cs="Arial" w:eastAsia="Arial" w:hAnsi="Arial"/>
                <w:sz w:val="20"/>
                <w:szCs w:val="20"/>
                <w:color w:val="auto"/>
              </w:rPr>
              <w:t>49</w:t>
            </w:r>
          </w:p>
        </w:tc>
      </w:tr>
      <w:tr>
        <w:trPr>
          <w:trHeight w:val="22"/>
        </w:trPr>
        <w:tc>
          <w:tcPr>
            <w:tcW w:w="8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7"/>
        </w:trPr>
        <w:tc>
          <w:tcPr>
            <w:tcW w:w="820" w:type="dxa"/>
            <w:vAlign w:val="bottom"/>
            <w:shd w:val="clear" w:color="auto" w:fill="E6E6E6"/>
          </w:tcPr>
          <w:p>
            <w:pPr>
              <w:jc w:val="right"/>
              <w:ind w:right="222"/>
              <w:spacing w:after="0" w:line="187" w:lineRule="exact"/>
              <w:rPr>
                <w:sz w:val="20"/>
                <w:szCs w:val="20"/>
                <w:color w:val="auto"/>
              </w:rPr>
            </w:pPr>
            <w:r>
              <w:rPr>
                <w:rFonts w:ascii="Arial" w:cs="Arial" w:eastAsia="Arial" w:hAnsi="Arial"/>
                <w:sz w:val="20"/>
                <w:szCs w:val="20"/>
                <w:color w:val="auto"/>
              </w:rPr>
              <w:t>12.</w:t>
            </w:r>
          </w:p>
        </w:tc>
        <w:tc>
          <w:tcPr>
            <w:tcW w:w="7940" w:type="dxa"/>
            <w:vAlign w:val="bottom"/>
            <w:shd w:val="clear" w:color="auto" w:fill="E6E6E6"/>
          </w:tcPr>
          <w:p>
            <w:pPr>
              <w:ind w:left="40"/>
              <w:spacing w:after="0" w:line="187" w:lineRule="exact"/>
              <w:rPr>
                <w:sz w:val="20"/>
                <w:szCs w:val="20"/>
                <w:color w:val="auto"/>
              </w:rPr>
            </w:pPr>
            <w:r>
              <w:rPr>
                <w:rFonts w:ascii="Arial" w:cs="Arial" w:eastAsia="Arial" w:hAnsi="Arial"/>
                <w:sz w:val="20"/>
                <w:szCs w:val="20"/>
                <w:color w:val="auto"/>
                <w:w w:val="96"/>
              </w:rPr>
              <w:t>Security Ownership of Certain Beneficial Owners and Management and Related Stockholder</w:t>
            </w:r>
          </w:p>
        </w:tc>
        <w:tc>
          <w:tcPr>
            <w:tcW w:w="1280" w:type="dxa"/>
            <w:vAlign w:val="bottom"/>
            <w:shd w:val="clear" w:color="auto" w:fill="E6E6E6"/>
          </w:tcPr>
          <w:p>
            <w:pPr>
              <w:jc w:val="right"/>
              <w:ind w:right="422"/>
              <w:spacing w:after="0" w:line="187" w:lineRule="exact"/>
              <w:rPr>
                <w:sz w:val="20"/>
                <w:szCs w:val="20"/>
                <w:color w:val="auto"/>
              </w:rPr>
            </w:pPr>
            <w:r>
              <w:rPr>
                <w:rFonts w:ascii="Arial" w:cs="Arial" w:eastAsia="Arial" w:hAnsi="Arial"/>
                <w:sz w:val="20"/>
                <w:szCs w:val="20"/>
                <w:color w:val="auto"/>
              </w:rPr>
              <w:t>49</w:t>
            </w:r>
          </w:p>
        </w:tc>
      </w:tr>
      <w:tr>
        <w:trPr>
          <w:trHeight w:val="268"/>
        </w:trPr>
        <w:tc>
          <w:tcPr>
            <w:tcW w:w="820" w:type="dxa"/>
            <w:vAlign w:val="bottom"/>
            <w:shd w:val="clear" w:color="auto" w:fill="E6E6E6"/>
          </w:tcPr>
          <w:p>
            <w:pPr>
              <w:spacing w:after="0"/>
              <w:rPr>
                <w:sz w:val="23"/>
                <w:szCs w:val="23"/>
                <w:color w:val="auto"/>
              </w:rPr>
            </w:pPr>
          </w:p>
        </w:tc>
        <w:tc>
          <w:tcPr>
            <w:tcW w:w="7940" w:type="dxa"/>
            <w:vAlign w:val="bottom"/>
            <w:shd w:val="clear" w:color="auto" w:fill="E6E6E6"/>
          </w:tcPr>
          <w:p>
            <w:pPr>
              <w:ind w:left="40"/>
              <w:spacing w:after="0"/>
              <w:rPr>
                <w:sz w:val="20"/>
                <w:szCs w:val="20"/>
                <w:color w:val="auto"/>
              </w:rPr>
            </w:pPr>
            <w:r>
              <w:rPr>
                <w:rFonts w:ascii="Arial" w:cs="Arial" w:eastAsia="Arial" w:hAnsi="Arial"/>
                <w:sz w:val="20"/>
                <w:szCs w:val="20"/>
                <w:color w:val="auto"/>
              </w:rPr>
              <w:t>Matters</w:t>
            </w:r>
          </w:p>
        </w:tc>
        <w:tc>
          <w:tcPr>
            <w:tcW w:w="1280" w:type="dxa"/>
            <w:vAlign w:val="bottom"/>
            <w:shd w:val="clear" w:color="auto" w:fill="E6E6E6"/>
          </w:tcPr>
          <w:p>
            <w:pPr>
              <w:spacing w:after="0"/>
              <w:rPr>
                <w:sz w:val="23"/>
                <w:szCs w:val="23"/>
                <w:color w:val="auto"/>
              </w:rPr>
            </w:pPr>
          </w:p>
        </w:tc>
      </w:tr>
      <w:tr>
        <w:trPr>
          <w:trHeight w:val="257"/>
        </w:trPr>
        <w:tc>
          <w:tcPr>
            <w:tcW w:w="820" w:type="dxa"/>
            <w:vAlign w:val="bottom"/>
          </w:tcPr>
          <w:p>
            <w:pPr>
              <w:jc w:val="right"/>
              <w:ind w:right="222"/>
              <w:spacing w:after="0"/>
              <w:rPr>
                <w:sz w:val="20"/>
                <w:szCs w:val="20"/>
                <w:color w:val="auto"/>
              </w:rPr>
            </w:pPr>
            <w:r>
              <w:rPr>
                <w:rFonts w:ascii="Arial" w:cs="Arial" w:eastAsia="Arial" w:hAnsi="Arial"/>
                <w:sz w:val="20"/>
                <w:szCs w:val="20"/>
                <w:color w:val="auto"/>
              </w:rPr>
              <w:t>13.</w:t>
            </w:r>
          </w:p>
        </w:tc>
        <w:tc>
          <w:tcPr>
            <w:tcW w:w="7940" w:type="dxa"/>
            <w:vAlign w:val="bottom"/>
          </w:tcPr>
          <w:p>
            <w:pPr>
              <w:ind w:left="40"/>
              <w:spacing w:after="0"/>
              <w:rPr>
                <w:sz w:val="20"/>
                <w:szCs w:val="20"/>
                <w:color w:val="auto"/>
              </w:rPr>
            </w:pPr>
            <w:r>
              <w:rPr>
                <w:rFonts w:ascii="Arial" w:cs="Arial" w:eastAsia="Arial" w:hAnsi="Arial"/>
                <w:sz w:val="20"/>
                <w:szCs w:val="20"/>
                <w:color w:val="auto"/>
              </w:rPr>
              <w:t>Certain Relationships and Related Transactions, and Director Independence</w:t>
            </w:r>
          </w:p>
        </w:tc>
        <w:tc>
          <w:tcPr>
            <w:tcW w:w="1280" w:type="dxa"/>
            <w:vAlign w:val="bottom"/>
          </w:tcPr>
          <w:p>
            <w:pPr>
              <w:jc w:val="right"/>
              <w:ind w:right="422"/>
              <w:spacing w:after="0"/>
              <w:rPr>
                <w:sz w:val="20"/>
                <w:szCs w:val="20"/>
                <w:color w:val="auto"/>
              </w:rPr>
            </w:pPr>
            <w:r>
              <w:rPr>
                <w:rFonts w:ascii="Arial" w:cs="Arial" w:eastAsia="Arial" w:hAnsi="Arial"/>
                <w:sz w:val="20"/>
                <w:szCs w:val="20"/>
                <w:color w:val="auto"/>
              </w:rPr>
              <w:t>49</w:t>
            </w:r>
          </w:p>
        </w:tc>
      </w:tr>
      <w:tr>
        <w:trPr>
          <w:trHeight w:val="22"/>
        </w:trPr>
        <w:tc>
          <w:tcPr>
            <w:tcW w:w="8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7"/>
        </w:trPr>
        <w:tc>
          <w:tcPr>
            <w:tcW w:w="820" w:type="dxa"/>
            <w:vAlign w:val="bottom"/>
            <w:shd w:val="clear" w:color="auto" w:fill="E6E6E6"/>
          </w:tcPr>
          <w:p>
            <w:pPr>
              <w:jc w:val="right"/>
              <w:ind w:right="222"/>
              <w:spacing w:after="0"/>
              <w:rPr>
                <w:sz w:val="20"/>
                <w:szCs w:val="20"/>
                <w:color w:val="auto"/>
              </w:rPr>
            </w:pPr>
            <w:r>
              <w:rPr>
                <w:rFonts w:ascii="Arial" w:cs="Arial" w:eastAsia="Arial" w:hAnsi="Arial"/>
                <w:sz w:val="20"/>
                <w:szCs w:val="20"/>
                <w:color w:val="auto"/>
              </w:rPr>
              <w:t>14.</w:t>
            </w:r>
          </w:p>
        </w:tc>
        <w:tc>
          <w:tcPr>
            <w:tcW w:w="7940" w:type="dxa"/>
            <w:vAlign w:val="bottom"/>
            <w:shd w:val="clear" w:color="auto" w:fill="E6E6E6"/>
          </w:tcPr>
          <w:p>
            <w:pPr>
              <w:ind w:left="40"/>
              <w:spacing w:after="0"/>
              <w:rPr>
                <w:sz w:val="20"/>
                <w:szCs w:val="20"/>
                <w:color w:val="auto"/>
              </w:rPr>
            </w:pPr>
            <w:r>
              <w:rPr>
                <w:rFonts w:ascii="Arial" w:cs="Arial" w:eastAsia="Arial" w:hAnsi="Arial"/>
                <w:sz w:val="20"/>
                <w:szCs w:val="20"/>
                <w:color w:val="auto"/>
              </w:rPr>
              <w:t>Principal Accounting Fees and Services</w:t>
            </w:r>
          </w:p>
        </w:tc>
        <w:tc>
          <w:tcPr>
            <w:tcW w:w="1280" w:type="dxa"/>
            <w:vAlign w:val="bottom"/>
            <w:shd w:val="clear" w:color="auto" w:fill="E6E6E6"/>
          </w:tcPr>
          <w:p>
            <w:pPr>
              <w:jc w:val="right"/>
              <w:ind w:right="422"/>
              <w:spacing w:after="0"/>
              <w:rPr>
                <w:sz w:val="20"/>
                <w:szCs w:val="20"/>
                <w:color w:val="auto"/>
              </w:rPr>
            </w:pPr>
            <w:r>
              <w:rPr>
                <w:rFonts w:ascii="Arial" w:cs="Arial" w:eastAsia="Arial" w:hAnsi="Arial"/>
                <w:sz w:val="20"/>
                <w:szCs w:val="20"/>
                <w:color w:val="auto"/>
              </w:rPr>
              <w:t>49</w:t>
            </w:r>
          </w:p>
        </w:tc>
      </w:tr>
      <w:tr>
        <w:trPr>
          <w:trHeight w:val="22"/>
        </w:trPr>
        <w:tc>
          <w:tcPr>
            <w:tcW w:w="820" w:type="dxa"/>
            <w:vAlign w:val="bottom"/>
            <w:shd w:val="clear" w:color="auto" w:fill="E6E6E6"/>
          </w:tcPr>
          <w:p>
            <w:pPr>
              <w:spacing w:after="0" w:line="20" w:lineRule="exact"/>
              <w:rPr>
                <w:sz w:val="1"/>
                <w:szCs w:val="1"/>
                <w:color w:val="auto"/>
              </w:rPr>
            </w:pPr>
          </w:p>
        </w:tc>
        <w:tc>
          <w:tcPr>
            <w:tcW w:w="7940" w:type="dxa"/>
            <w:vAlign w:val="bottom"/>
            <w:shd w:val="clear" w:color="auto" w:fill="E6E6E6"/>
          </w:tcPr>
          <w:p>
            <w:pPr>
              <w:spacing w:after="0" w:line="20" w:lineRule="exact"/>
              <w:rPr>
                <w:sz w:val="1"/>
                <w:szCs w:val="1"/>
                <w:color w:val="auto"/>
              </w:rPr>
            </w:pPr>
          </w:p>
        </w:tc>
        <w:tc>
          <w:tcPr>
            <w:tcW w:w="1280" w:type="dxa"/>
            <w:vAlign w:val="bottom"/>
            <w:shd w:val="clear" w:color="auto" w:fill="E6E6E6"/>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wp:posOffset>
            </wp:positionH>
            <wp:positionV relativeFrom="paragraph">
              <wp:posOffset>-1010920</wp:posOffset>
            </wp:positionV>
            <wp:extent cx="506603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extLst>
                    </a:blip>
                    <a:srcRect/>
                    <a:stretch>
                      <a:fillRect/>
                    </a:stretch>
                  </pic:blipFill>
                  <pic:spPr bwMode="auto">
                    <a:xfrm>
                      <a:off x="0" y="0"/>
                      <a:ext cx="5066030"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62"/>
        </w:trPr>
        <w:tc>
          <w:tcPr>
            <w:tcW w:w="820" w:type="dxa"/>
            <w:vAlign w:val="bottom"/>
            <w:tcBorders>
              <w:bottom w:val="single" w:sz="8" w:color="E6E6E6"/>
            </w:tcBorders>
          </w:tcPr>
          <w:p>
            <w:pPr>
              <w:spacing w:after="0"/>
              <w:rPr>
                <w:sz w:val="22"/>
                <w:szCs w:val="22"/>
                <w:color w:val="auto"/>
              </w:rPr>
            </w:pPr>
          </w:p>
        </w:tc>
        <w:tc>
          <w:tcPr>
            <w:tcW w:w="794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PART IV</w:t>
            </w:r>
          </w:p>
        </w:tc>
        <w:tc>
          <w:tcPr>
            <w:tcW w:w="1280" w:type="dxa"/>
            <w:vAlign w:val="bottom"/>
            <w:tcBorders>
              <w:bottom w:val="single" w:sz="8" w:color="E6E6E6"/>
            </w:tcBorders>
          </w:tcPr>
          <w:p>
            <w:pPr>
              <w:spacing w:after="0"/>
              <w:rPr>
                <w:sz w:val="22"/>
                <w:szCs w:val="22"/>
                <w:color w:val="auto"/>
              </w:rPr>
            </w:pPr>
          </w:p>
        </w:tc>
      </w:tr>
      <w:tr>
        <w:trPr>
          <w:trHeight w:val="270"/>
        </w:trPr>
        <w:tc>
          <w:tcPr>
            <w:tcW w:w="820" w:type="dxa"/>
            <w:vAlign w:val="bottom"/>
            <w:shd w:val="clear" w:color="auto" w:fill="E6E6E6"/>
          </w:tcPr>
          <w:p>
            <w:pPr>
              <w:jc w:val="right"/>
              <w:ind w:right="222"/>
              <w:spacing w:after="0"/>
              <w:rPr>
                <w:sz w:val="20"/>
                <w:szCs w:val="20"/>
                <w:color w:val="auto"/>
              </w:rPr>
            </w:pPr>
            <w:r>
              <w:rPr>
                <w:rFonts w:ascii="Arial" w:cs="Arial" w:eastAsia="Arial" w:hAnsi="Arial"/>
                <w:sz w:val="20"/>
                <w:szCs w:val="20"/>
                <w:color w:val="auto"/>
              </w:rPr>
              <w:t>15.</w:t>
            </w:r>
          </w:p>
        </w:tc>
        <w:tc>
          <w:tcPr>
            <w:tcW w:w="7940" w:type="dxa"/>
            <w:vAlign w:val="bottom"/>
            <w:shd w:val="clear" w:color="auto" w:fill="E6E6E6"/>
          </w:tcPr>
          <w:p>
            <w:pPr>
              <w:ind w:left="40"/>
              <w:spacing w:after="0"/>
              <w:rPr>
                <w:sz w:val="20"/>
                <w:szCs w:val="20"/>
                <w:color w:val="auto"/>
              </w:rPr>
            </w:pPr>
            <w:r>
              <w:rPr>
                <w:rFonts w:ascii="Arial" w:cs="Arial" w:eastAsia="Arial" w:hAnsi="Arial"/>
                <w:sz w:val="20"/>
                <w:szCs w:val="20"/>
                <w:color w:val="auto"/>
              </w:rPr>
              <w:t>Exhibits and Financial Statement Schedules</w:t>
            </w:r>
          </w:p>
        </w:tc>
        <w:tc>
          <w:tcPr>
            <w:tcW w:w="1280" w:type="dxa"/>
            <w:vAlign w:val="bottom"/>
            <w:shd w:val="clear" w:color="auto" w:fill="E6E6E6"/>
          </w:tcPr>
          <w:p>
            <w:pPr>
              <w:jc w:val="right"/>
              <w:ind w:right="422"/>
              <w:spacing w:after="0"/>
              <w:rPr>
                <w:sz w:val="20"/>
                <w:szCs w:val="20"/>
                <w:color w:val="auto"/>
              </w:rPr>
            </w:pPr>
            <w:r>
              <w:rPr>
                <w:rFonts w:ascii="Arial" w:cs="Arial" w:eastAsia="Arial" w:hAnsi="Arial"/>
                <w:sz w:val="20"/>
                <w:szCs w:val="20"/>
                <w:color w:val="auto"/>
              </w:rPr>
              <w:t>50</w:t>
            </w:r>
          </w:p>
        </w:tc>
      </w:tr>
      <w:tr>
        <w:trPr>
          <w:trHeight w:val="257"/>
        </w:trPr>
        <w:tc>
          <w:tcPr>
            <w:tcW w:w="820" w:type="dxa"/>
            <w:vAlign w:val="bottom"/>
          </w:tcPr>
          <w:p>
            <w:pPr>
              <w:jc w:val="right"/>
              <w:ind w:right="222"/>
              <w:spacing w:after="0"/>
              <w:rPr>
                <w:sz w:val="20"/>
                <w:szCs w:val="20"/>
                <w:color w:val="auto"/>
              </w:rPr>
            </w:pPr>
            <w:r>
              <w:rPr>
                <w:rFonts w:ascii="Arial" w:cs="Arial" w:eastAsia="Arial" w:hAnsi="Arial"/>
                <w:sz w:val="20"/>
                <w:szCs w:val="20"/>
                <w:color w:val="auto"/>
              </w:rPr>
              <w:t>16.</w:t>
            </w:r>
          </w:p>
        </w:tc>
        <w:tc>
          <w:tcPr>
            <w:tcW w:w="7940" w:type="dxa"/>
            <w:vAlign w:val="bottom"/>
          </w:tcPr>
          <w:p>
            <w:pPr>
              <w:ind w:left="40"/>
              <w:spacing w:after="0"/>
              <w:rPr>
                <w:sz w:val="20"/>
                <w:szCs w:val="20"/>
                <w:color w:val="auto"/>
              </w:rPr>
            </w:pPr>
            <w:r>
              <w:rPr>
                <w:rFonts w:ascii="Arial" w:cs="Arial" w:eastAsia="Arial" w:hAnsi="Arial"/>
                <w:sz w:val="20"/>
                <w:szCs w:val="20"/>
                <w:color w:val="auto"/>
              </w:rPr>
              <w:t>Form 10-K Summary</w:t>
            </w:r>
          </w:p>
        </w:tc>
        <w:tc>
          <w:tcPr>
            <w:tcW w:w="1280" w:type="dxa"/>
            <w:vAlign w:val="bottom"/>
          </w:tcPr>
          <w:p>
            <w:pPr>
              <w:jc w:val="right"/>
              <w:ind w:right="422"/>
              <w:spacing w:after="0"/>
              <w:rPr>
                <w:sz w:val="20"/>
                <w:szCs w:val="20"/>
                <w:color w:val="auto"/>
              </w:rPr>
            </w:pPr>
            <w:r>
              <w:rPr>
                <w:rFonts w:ascii="Arial" w:cs="Arial" w:eastAsia="Arial" w:hAnsi="Arial"/>
                <w:sz w:val="20"/>
                <w:szCs w:val="20"/>
                <w:color w:val="auto"/>
              </w:rPr>
              <w:t>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wp:posOffset>
            </wp:positionH>
            <wp:positionV relativeFrom="paragraph">
              <wp:posOffset>-353060</wp:posOffset>
            </wp:positionV>
            <wp:extent cx="506603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extLst>
                    </a:blip>
                    <a:srcRect/>
                    <a:stretch>
                      <a:fillRect/>
                    </a:stretch>
                  </pic:blipFill>
                  <pic:spPr bwMode="auto">
                    <a:xfrm>
                      <a:off x="0" y="0"/>
                      <a:ext cx="5066030" cy="25400"/>
                    </a:xfrm>
                    <a:prstGeom prst="rect">
                      <a:avLst/>
                    </a:prstGeom>
                    <a:noFill/>
                  </pic:spPr>
                </pic:pic>
              </a:graphicData>
            </a:graphic>
          </wp:anchor>
        </w:drawing>
      </w:r>
    </w:p>
    <w:p>
      <w:pPr>
        <w:sectPr>
          <w:pgSz w:w="11880" w:h="15480" w:orient="portrait"/>
          <w:cols w:equalWidth="0" w:num="1">
            <w:col w:w="10040"/>
          </w:cols>
          <w:pgMar w:left="920" w:top="64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880" w:h="15480" w:orient="portrait"/>
          <w:cols w:equalWidth="0" w:num="1">
            <w:col w:w="10040"/>
          </w:cols>
          <w:pgMar w:left="920" w:top="644" w:right="920" w:bottom="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24"/>
          <w:szCs w:val="24"/>
          <w:b w:val="1"/>
          <w:bCs w:val="1"/>
          <w:color w:val="auto"/>
        </w:rPr>
        <w:t>DEFINITIONS</w:t>
      </w:r>
    </w:p>
    <w:p>
      <w:pPr>
        <w:spacing w:after="0" w:line="156" w:lineRule="exact"/>
        <w:rPr>
          <w:sz w:val="20"/>
          <w:szCs w:val="20"/>
          <w:color w:val="auto"/>
        </w:rPr>
      </w:pPr>
    </w:p>
    <w:p>
      <w:pPr>
        <w:spacing w:after="0" w:line="311" w:lineRule="auto"/>
        <w:rPr>
          <w:sz w:val="20"/>
          <w:szCs w:val="20"/>
          <w:color w:val="auto"/>
        </w:rPr>
      </w:pPr>
      <w:r>
        <w:rPr>
          <w:rFonts w:ascii="Arial" w:cs="Arial" w:eastAsia="Arial" w:hAnsi="Arial"/>
          <w:sz w:val="19"/>
          <w:szCs w:val="19"/>
          <w:color w:val="auto"/>
        </w:rPr>
        <w:t>In this Annual Report on Form 10-K for the year ended December 31, 2024, the following terms and abbreviations have the meanings listed below. “LivaNova” and “the Company” refer to LivaNova PLC and its consolidated subsidiaries.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040" w:type="dxa"/>
            <w:vAlign w:val="bottom"/>
            <w:tcBorders>
              <w:bottom w:val="single" w:sz="8" w:color="auto"/>
            </w:tcBorders>
            <w:gridSpan w:val="2"/>
          </w:tcPr>
          <w:p>
            <w:pPr>
              <w:ind w:left="40"/>
              <w:spacing w:after="0"/>
              <w:rPr>
                <w:sz w:val="20"/>
                <w:szCs w:val="20"/>
                <w:color w:val="auto"/>
              </w:rPr>
            </w:pPr>
            <w:r>
              <w:rPr>
                <w:rFonts w:ascii="Arial" w:cs="Arial" w:eastAsia="Arial" w:hAnsi="Arial"/>
                <w:sz w:val="20"/>
                <w:szCs w:val="20"/>
                <w:b w:val="1"/>
                <w:bCs w:val="1"/>
                <w:color w:val="auto"/>
              </w:rPr>
              <w:t>Abbreviation</w:t>
            </w:r>
          </w:p>
        </w:tc>
        <w:tc>
          <w:tcPr>
            <w:tcW w:w="100" w:type="dxa"/>
            <w:vAlign w:val="bottom"/>
            <w:tcBorders>
              <w:bottom w:val="single" w:sz="8" w:color="E6E6E6"/>
            </w:tcBorders>
          </w:tcPr>
          <w:p>
            <w:pPr>
              <w:spacing w:after="0"/>
              <w:rPr>
                <w:sz w:val="22"/>
                <w:szCs w:val="22"/>
                <w:color w:val="auto"/>
              </w:rPr>
            </w:pPr>
          </w:p>
        </w:tc>
        <w:tc>
          <w:tcPr>
            <w:tcW w:w="790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color w:val="auto"/>
              </w:rPr>
              <w:t>Definition</w:t>
            </w:r>
          </w:p>
        </w:tc>
      </w:tr>
      <w:tr>
        <w:trPr>
          <w:trHeight w:val="270"/>
        </w:trPr>
        <w:tc>
          <w:tcPr>
            <w:tcW w:w="480" w:type="dxa"/>
            <w:vAlign w:val="bottom"/>
            <w:shd w:val="clear" w:color="auto" w:fill="E6E6E6"/>
          </w:tcPr>
          <w:p>
            <w:pPr>
              <w:ind w:left="40"/>
              <w:spacing w:after="0"/>
              <w:rPr>
                <w:sz w:val="20"/>
                <w:szCs w:val="20"/>
                <w:color w:val="auto"/>
              </w:rPr>
            </w:pPr>
            <w:r>
              <w:rPr>
                <w:rFonts w:ascii="Arial" w:cs="Arial" w:eastAsia="Arial" w:hAnsi="Arial"/>
                <w:sz w:val="20"/>
                <w:szCs w:val="20"/>
                <w:color w:val="auto"/>
                <w:w w:val="94"/>
              </w:rPr>
              <w:t>2015</w:t>
            </w:r>
          </w:p>
        </w:tc>
        <w:tc>
          <w:tcPr>
            <w:tcW w:w="1560" w:type="dxa"/>
            <w:vAlign w:val="bottom"/>
            <w:shd w:val="clear" w:color="auto" w:fill="E6E6E6"/>
          </w:tcPr>
          <w:p>
            <w:pPr>
              <w:spacing w:after="0"/>
              <w:rPr>
                <w:sz w:val="20"/>
                <w:szCs w:val="20"/>
                <w:color w:val="auto"/>
              </w:rPr>
            </w:pPr>
            <w:r>
              <w:rPr>
                <w:rFonts w:ascii="Arial" w:cs="Arial" w:eastAsia="Arial" w:hAnsi="Arial"/>
                <w:sz w:val="20"/>
                <w:szCs w:val="20"/>
                <w:color w:val="auto"/>
              </w:rPr>
              <w:t>Plan</w:t>
            </w:r>
          </w:p>
        </w:tc>
        <w:tc>
          <w:tcPr>
            <w:tcW w:w="100" w:type="dxa"/>
            <w:vAlign w:val="bottom"/>
            <w:shd w:val="clear" w:color="auto" w:fill="E6E6E6"/>
          </w:tcPr>
          <w:p>
            <w:pPr>
              <w:spacing w:after="0"/>
              <w:rPr>
                <w:sz w:val="23"/>
                <w:szCs w:val="23"/>
                <w:color w:val="auto"/>
              </w:rPr>
            </w:pPr>
          </w:p>
        </w:tc>
        <w:tc>
          <w:tcPr>
            <w:tcW w:w="7900" w:type="dxa"/>
            <w:vAlign w:val="bottom"/>
            <w:shd w:val="clear" w:color="auto" w:fill="E6E6E6"/>
          </w:tcPr>
          <w:p>
            <w:pPr>
              <w:ind w:left="60"/>
              <w:spacing w:after="0"/>
              <w:rPr>
                <w:sz w:val="20"/>
                <w:szCs w:val="20"/>
                <w:color w:val="auto"/>
              </w:rPr>
            </w:pPr>
            <w:r>
              <w:rPr>
                <w:rFonts w:ascii="Arial" w:cs="Arial" w:eastAsia="Arial" w:hAnsi="Arial"/>
                <w:sz w:val="20"/>
                <w:szCs w:val="20"/>
                <w:color w:val="auto"/>
              </w:rPr>
              <w:t>LivaNova PLC 2015 Incentive Award Plan</w:t>
            </w:r>
          </w:p>
        </w:tc>
      </w:tr>
      <w:tr>
        <w:trPr>
          <w:trHeight w:val="257"/>
        </w:trPr>
        <w:tc>
          <w:tcPr>
            <w:tcW w:w="480" w:type="dxa"/>
            <w:vAlign w:val="bottom"/>
          </w:tcPr>
          <w:p>
            <w:pPr>
              <w:ind w:left="40"/>
              <w:spacing w:after="0"/>
              <w:rPr>
                <w:sz w:val="20"/>
                <w:szCs w:val="20"/>
                <w:color w:val="auto"/>
              </w:rPr>
            </w:pPr>
            <w:r>
              <w:rPr>
                <w:rFonts w:ascii="Arial" w:cs="Arial" w:eastAsia="Arial" w:hAnsi="Arial"/>
                <w:sz w:val="20"/>
                <w:szCs w:val="20"/>
                <w:color w:val="auto"/>
                <w:w w:val="94"/>
              </w:rPr>
              <w:t>2015</w:t>
            </w:r>
          </w:p>
        </w:tc>
        <w:tc>
          <w:tcPr>
            <w:tcW w:w="1560" w:type="dxa"/>
            <w:vAlign w:val="bottom"/>
          </w:tcPr>
          <w:p>
            <w:pPr>
              <w:spacing w:after="0"/>
              <w:rPr>
                <w:sz w:val="20"/>
                <w:szCs w:val="20"/>
                <w:color w:val="auto"/>
              </w:rPr>
            </w:pPr>
            <w:r>
              <w:rPr>
                <w:rFonts w:ascii="Arial" w:cs="Arial" w:eastAsia="Arial" w:hAnsi="Arial"/>
                <w:sz w:val="20"/>
                <w:szCs w:val="20"/>
                <w:color w:val="auto"/>
              </w:rPr>
              <w:t>Plan Amendment</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Amendment No. 2 to the LivaNova PLC 2015 Incentive Award Plan</w:t>
            </w:r>
          </w:p>
        </w:tc>
      </w:tr>
      <w:tr>
        <w:trPr>
          <w:trHeight w:val="22"/>
        </w:trPr>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187"/>
        </w:trPr>
        <w:tc>
          <w:tcPr>
            <w:tcW w:w="480" w:type="dxa"/>
            <w:vAlign w:val="bottom"/>
            <w:shd w:val="clear" w:color="auto" w:fill="E6E6E6"/>
          </w:tcPr>
          <w:p>
            <w:pPr>
              <w:ind w:left="40"/>
              <w:spacing w:after="0" w:line="187" w:lineRule="exact"/>
              <w:rPr>
                <w:sz w:val="20"/>
                <w:szCs w:val="20"/>
                <w:color w:val="auto"/>
              </w:rPr>
            </w:pPr>
            <w:r>
              <w:rPr>
                <w:rFonts w:ascii="Arial" w:cs="Arial" w:eastAsia="Arial" w:hAnsi="Arial"/>
                <w:sz w:val="20"/>
                <w:szCs w:val="20"/>
                <w:color w:val="auto"/>
                <w:w w:val="94"/>
              </w:rPr>
              <w:t>2021</w:t>
            </w:r>
          </w:p>
        </w:tc>
        <w:tc>
          <w:tcPr>
            <w:tcW w:w="1560" w:type="dxa"/>
            <w:vAlign w:val="bottom"/>
            <w:shd w:val="clear" w:color="auto" w:fill="E6E6E6"/>
          </w:tcPr>
          <w:p>
            <w:pPr>
              <w:spacing w:after="0" w:line="187" w:lineRule="exact"/>
              <w:rPr>
                <w:sz w:val="20"/>
                <w:szCs w:val="20"/>
                <w:color w:val="auto"/>
              </w:rPr>
            </w:pPr>
            <w:r>
              <w:rPr>
                <w:rFonts w:ascii="Arial" w:cs="Arial" w:eastAsia="Arial" w:hAnsi="Arial"/>
                <w:sz w:val="20"/>
                <w:szCs w:val="20"/>
                <w:color w:val="auto"/>
              </w:rPr>
              <w:t>First Lien Credit</w:t>
            </w:r>
          </w:p>
        </w:tc>
        <w:tc>
          <w:tcPr>
            <w:tcW w:w="100" w:type="dxa"/>
            <w:vAlign w:val="bottom"/>
            <w:shd w:val="clear" w:color="auto" w:fill="E6E6E6"/>
          </w:tcPr>
          <w:p>
            <w:pPr>
              <w:spacing w:after="0"/>
              <w:rPr>
                <w:sz w:val="16"/>
                <w:szCs w:val="16"/>
                <w:color w:val="auto"/>
              </w:rPr>
            </w:pPr>
          </w:p>
        </w:tc>
        <w:tc>
          <w:tcPr>
            <w:tcW w:w="7900" w:type="dxa"/>
            <w:vAlign w:val="bottom"/>
            <w:shd w:val="clear" w:color="auto" w:fill="E6E6E6"/>
          </w:tcPr>
          <w:p>
            <w:pPr>
              <w:ind w:left="60"/>
              <w:spacing w:after="0" w:line="187" w:lineRule="exact"/>
              <w:rPr>
                <w:sz w:val="20"/>
                <w:szCs w:val="20"/>
                <w:color w:val="auto"/>
              </w:rPr>
            </w:pPr>
            <w:r>
              <w:rPr>
                <w:rFonts w:ascii="Arial" w:cs="Arial" w:eastAsia="Arial" w:hAnsi="Arial"/>
                <w:sz w:val="20"/>
                <w:szCs w:val="20"/>
                <w:color w:val="auto"/>
                <w:w w:val="93"/>
              </w:rPr>
              <w:t>First Lien Credit Agreement between LivaNova PLC and its wholly-owned subsidiary, LivaNova</w:t>
            </w:r>
          </w:p>
        </w:tc>
      </w:tr>
      <w:tr>
        <w:trPr>
          <w:trHeight w:val="196"/>
        </w:trPr>
        <w:tc>
          <w:tcPr>
            <w:tcW w:w="2040" w:type="dxa"/>
            <w:vAlign w:val="bottom"/>
            <w:gridSpan w:val="2"/>
            <w:shd w:val="clear" w:color="auto" w:fill="E6E6E6"/>
          </w:tcPr>
          <w:p>
            <w:pPr>
              <w:ind w:left="40"/>
              <w:spacing w:after="0" w:line="196" w:lineRule="exact"/>
              <w:rPr>
                <w:sz w:val="20"/>
                <w:szCs w:val="20"/>
                <w:color w:val="auto"/>
              </w:rPr>
            </w:pPr>
            <w:r>
              <w:rPr>
                <w:rFonts w:ascii="Arial" w:cs="Arial" w:eastAsia="Arial" w:hAnsi="Arial"/>
                <w:sz w:val="20"/>
                <w:szCs w:val="20"/>
                <w:color w:val="auto"/>
              </w:rPr>
              <w:t>Agreement</w:t>
            </w:r>
          </w:p>
        </w:tc>
        <w:tc>
          <w:tcPr>
            <w:tcW w:w="100" w:type="dxa"/>
            <w:vAlign w:val="bottom"/>
            <w:shd w:val="clear" w:color="auto" w:fill="E6E6E6"/>
          </w:tcPr>
          <w:p>
            <w:pPr>
              <w:spacing w:after="0"/>
              <w:rPr>
                <w:sz w:val="17"/>
                <w:szCs w:val="17"/>
                <w:color w:val="auto"/>
              </w:rPr>
            </w:pPr>
          </w:p>
        </w:tc>
        <w:tc>
          <w:tcPr>
            <w:tcW w:w="7900" w:type="dxa"/>
            <w:vAlign w:val="bottom"/>
            <w:shd w:val="clear" w:color="auto" w:fill="E6E6E6"/>
          </w:tcPr>
          <w:p>
            <w:pPr>
              <w:ind w:left="60"/>
              <w:spacing w:after="0" w:line="196" w:lineRule="exact"/>
              <w:rPr>
                <w:sz w:val="20"/>
                <w:szCs w:val="20"/>
                <w:color w:val="auto"/>
              </w:rPr>
            </w:pPr>
            <w:r>
              <w:rPr>
                <w:rFonts w:ascii="Arial" w:cs="Arial" w:eastAsia="Arial" w:hAnsi="Arial"/>
                <w:sz w:val="20"/>
                <w:szCs w:val="20"/>
                <w:color w:val="auto"/>
                <w:w w:val="96"/>
              </w:rPr>
              <w:t>USA, Inc., and Goldman Sachs Bank USA, as First Lien Administrative Agent and First Lien</w:t>
            </w:r>
          </w:p>
        </w:tc>
      </w:tr>
      <w:tr>
        <w:trPr>
          <w:trHeight w:val="258"/>
        </w:trPr>
        <w:tc>
          <w:tcPr>
            <w:tcW w:w="480" w:type="dxa"/>
            <w:vAlign w:val="bottom"/>
            <w:tcBorders>
              <w:bottom w:val="single" w:sz="8" w:color="E6E6E6"/>
            </w:tcBorders>
            <w:shd w:val="clear" w:color="auto" w:fill="E6E6E6"/>
          </w:tcPr>
          <w:p>
            <w:pPr>
              <w:spacing w:after="0"/>
              <w:rPr>
                <w:sz w:val="22"/>
                <w:szCs w:val="22"/>
                <w:color w:val="auto"/>
              </w:rPr>
            </w:pPr>
          </w:p>
        </w:tc>
        <w:tc>
          <w:tcPr>
            <w:tcW w:w="1560" w:type="dxa"/>
            <w:vAlign w:val="bottom"/>
            <w:tcBorders>
              <w:bottom w:val="single" w:sz="8" w:color="E6E6E6"/>
            </w:tcBorders>
            <w:shd w:val="clear" w:color="auto" w:fill="E6E6E6"/>
          </w:tcPr>
          <w:p>
            <w:pPr>
              <w:spacing w:after="0"/>
              <w:rPr>
                <w:sz w:val="22"/>
                <w:szCs w:val="22"/>
                <w:color w:val="auto"/>
              </w:rPr>
            </w:pP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Collateral Agent, entered into on August 13, 2021</w:t>
            </w:r>
          </w:p>
        </w:tc>
      </w:tr>
      <w:tr>
        <w:trPr>
          <w:trHeight w:val="257"/>
        </w:trPr>
        <w:tc>
          <w:tcPr>
            <w:tcW w:w="480" w:type="dxa"/>
            <w:vAlign w:val="bottom"/>
          </w:tcPr>
          <w:p>
            <w:pPr>
              <w:ind w:left="40"/>
              <w:spacing w:after="0"/>
              <w:rPr>
                <w:sz w:val="20"/>
                <w:szCs w:val="20"/>
                <w:color w:val="auto"/>
              </w:rPr>
            </w:pPr>
            <w:r>
              <w:rPr>
                <w:rFonts w:ascii="Arial" w:cs="Arial" w:eastAsia="Arial" w:hAnsi="Arial"/>
                <w:sz w:val="20"/>
                <w:szCs w:val="20"/>
                <w:color w:val="auto"/>
                <w:w w:val="94"/>
              </w:rPr>
              <w:t>2022</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The year ended December 31, 2022</w:t>
            </w:r>
          </w:p>
        </w:tc>
      </w:tr>
      <w:tr>
        <w:trPr>
          <w:trHeight w:val="22"/>
        </w:trPr>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48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w w:val="94"/>
              </w:rPr>
              <w:t>2022</w:t>
            </w:r>
          </w:p>
        </w:tc>
        <w:tc>
          <w:tcPr>
            <w:tcW w:w="1560" w:type="dxa"/>
            <w:vAlign w:val="bottom"/>
            <w:tcBorders>
              <w:bottom w:val="single" w:sz="8" w:color="E6E6E6"/>
            </w:tcBorders>
            <w:shd w:val="clear" w:color="auto" w:fill="E6E6E6"/>
          </w:tcPr>
          <w:p>
            <w:pPr>
              <w:spacing w:after="0"/>
              <w:rPr>
                <w:sz w:val="20"/>
                <w:szCs w:val="20"/>
                <w:color w:val="auto"/>
              </w:rPr>
            </w:pPr>
            <w:r>
              <w:rPr>
                <w:rFonts w:ascii="Arial" w:cs="Arial" w:eastAsia="Arial" w:hAnsi="Arial"/>
                <w:sz w:val="20"/>
                <w:szCs w:val="20"/>
                <w:color w:val="auto"/>
              </w:rPr>
              <w:t>Plan</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LivaNova PLC 2022 Incentive Award Plan</w:t>
            </w:r>
          </w:p>
        </w:tc>
      </w:tr>
      <w:tr>
        <w:trPr>
          <w:trHeight w:val="187"/>
        </w:trPr>
        <w:tc>
          <w:tcPr>
            <w:tcW w:w="480" w:type="dxa"/>
            <w:vAlign w:val="bottom"/>
          </w:tcPr>
          <w:p>
            <w:pPr>
              <w:ind w:left="40"/>
              <w:spacing w:after="0" w:line="187" w:lineRule="exact"/>
              <w:rPr>
                <w:sz w:val="20"/>
                <w:szCs w:val="20"/>
                <w:color w:val="auto"/>
              </w:rPr>
            </w:pPr>
            <w:r>
              <w:rPr>
                <w:rFonts w:ascii="Arial" w:cs="Arial" w:eastAsia="Arial" w:hAnsi="Arial"/>
                <w:sz w:val="20"/>
                <w:szCs w:val="20"/>
                <w:color w:val="auto"/>
                <w:w w:val="94"/>
              </w:rPr>
              <w:t>2022</w:t>
            </w:r>
          </w:p>
        </w:tc>
        <w:tc>
          <w:tcPr>
            <w:tcW w:w="1560" w:type="dxa"/>
            <w:vAlign w:val="bottom"/>
          </w:tcPr>
          <w:p>
            <w:pPr>
              <w:spacing w:after="0" w:line="187" w:lineRule="exact"/>
              <w:rPr>
                <w:sz w:val="20"/>
                <w:szCs w:val="20"/>
                <w:color w:val="auto"/>
              </w:rPr>
            </w:pPr>
            <w:r>
              <w:rPr>
                <w:rFonts w:ascii="Arial" w:cs="Arial" w:eastAsia="Arial" w:hAnsi="Arial"/>
                <w:sz w:val="20"/>
                <w:szCs w:val="20"/>
                <w:color w:val="auto"/>
                <w:w w:val="93"/>
              </w:rPr>
              <w:t>Restructuring Plan</w:t>
            </w:r>
          </w:p>
        </w:tc>
        <w:tc>
          <w:tcPr>
            <w:tcW w:w="100" w:type="dxa"/>
            <w:vAlign w:val="bottom"/>
          </w:tcPr>
          <w:p>
            <w:pPr>
              <w:spacing w:after="0"/>
              <w:rPr>
                <w:sz w:val="16"/>
                <w:szCs w:val="16"/>
                <w:color w:val="auto"/>
              </w:rPr>
            </w:pPr>
          </w:p>
        </w:tc>
        <w:tc>
          <w:tcPr>
            <w:tcW w:w="7900" w:type="dxa"/>
            <w:vAlign w:val="bottom"/>
          </w:tcPr>
          <w:p>
            <w:pPr>
              <w:ind w:left="60"/>
              <w:spacing w:after="0" w:line="187" w:lineRule="exact"/>
              <w:rPr>
                <w:sz w:val="20"/>
                <w:szCs w:val="20"/>
                <w:color w:val="auto"/>
              </w:rPr>
            </w:pPr>
            <w:r>
              <w:rPr>
                <w:rFonts w:ascii="Arial" w:cs="Arial" w:eastAsia="Arial" w:hAnsi="Arial"/>
                <w:sz w:val="20"/>
                <w:szCs w:val="20"/>
                <w:color w:val="auto"/>
                <w:w w:val="95"/>
              </w:rPr>
              <w:t>A plan, initiated during the second quarter of 2022, to implement a cost-optimization and cost</w:t>
            </w:r>
          </w:p>
        </w:tc>
      </w:tr>
      <w:tr>
        <w:trPr>
          <w:trHeight w:val="263"/>
        </w:trPr>
        <w:tc>
          <w:tcPr>
            <w:tcW w:w="4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reduction program to adapt to current economic conditions</w:t>
            </w:r>
          </w:p>
        </w:tc>
      </w:tr>
      <w:tr>
        <w:trPr>
          <w:trHeight w:val="265"/>
        </w:trPr>
        <w:tc>
          <w:tcPr>
            <w:tcW w:w="48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w w:val="94"/>
              </w:rPr>
              <w:t>2023</w:t>
            </w:r>
          </w:p>
        </w:tc>
        <w:tc>
          <w:tcPr>
            <w:tcW w:w="1560" w:type="dxa"/>
            <w:vAlign w:val="bottom"/>
            <w:tcBorders>
              <w:bottom w:val="single" w:sz="8" w:color="E6E6E6"/>
            </w:tcBorders>
            <w:shd w:val="clear" w:color="auto" w:fill="E6E6E6"/>
          </w:tcPr>
          <w:p>
            <w:pPr>
              <w:spacing w:after="0"/>
              <w:rPr>
                <w:sz w:val="23"/>
                <w:szCs w:val="23"/>
                <w:color w:val="auto"/>
              </w:rPr>
            </w:pPr>
          </w:p>
        </w:tc>
        <w:tc>
          <w:tcPr>
            <w:tcW w:w="100" w:type="dxa"/>
            <w:vAlign w:val="bottom"/>
            <w:tcBorders>
              <w:bottom w:val="single" w:sz="8" w:color="E6E6E6"/>
            </w:tcBorders>
            <w:shd w:val="clear" w:color="auto" w:fill="E6E6E6"/>
          </w:tcPr>
          <w:p>
            <w:pPr>
              <w:spacing w:after="0"/>
              <w:rPr>
                <w:sz w:val="23"/>
                <w:szCs w:val="23"/>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The year ended December 31, 2023</w:t>
            </w:r>
          </w:p>
        </w:tc>
      </w:tr>
      <w:tr>
        <w:trPr>
          <w:trHeight w:val="257"/>
        </w:trPr>
        <w:tc>
          <w:tcPr>
            <w:tcW w:w="480" w:type="dxa"/>
            <w:vAlign w:val="bottom"/>
          </w:tcPr>
          <w:p>
            <w:pPr>
              <w:ind w:left="40"/>
              <w:spacing w:after="0"/>
              <w:rPr>
                <w:sz w:val="20"/>
                <w:szCs w:val="20"/>
                <w:color w:val="auto"/>
              </w:rPr>
            </w:pPr>
            <w:r>
              <w:rPr>
                <w:rFonts w:ascii="Arial" w:cs="Arial" w:eastAsia="Arial" w:hAnsi="Arial"/>
                <w:sz w:val="20"/>
                <w:szCs w:val="20"/>
                <w:color w:val="auto"/>
                <w:w w:val="94"/>
              </w:rPr>
              <w:t>2024</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The year ended December 31, 2024</w:t>
            </w:r>
          </w:p>
        </w:tc>
      </w:tr>
      <w:tr>
        <w:trPr>
          <w:trHeight w:val="22"/>
        </w:trPr>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187"/>
        </w:trPr>
        <w:tc>
          <w:tcPr>
            <w:tcW w:w="480" w:type="dxa"/>
            <w:vAlign w:val="bottom"/>
            <w:shd w:val="clear" w:color="auto" w:fill="E6E6E6"/>
          </w:tcPr>
          <w:p>
            <w:pPr>
              <w:ind w:left="40"/>
              <w:spacing w:after="0" w:line="187" w:lineRule="exact"/>
              <w:rPr>
                <w:sz w:val="20"/>
                <w:szCs w:val="20"/>
                <w:color w:val="auto"/>
              </w:rPr>
            </w:pPr>
            <w:r>
              <w:rPr>
                <w:rFonts w:ascii="Arial" w:cs="Arial" w:eastAsia="Arial" w:hAnsi="Arial"/>
                <w:sz w:val="20"/>
                <w:szCs w:val="20"/>
                <w:color w:val="auto"/>
                <w:w w:val="94"/>
              </w:rPr>
              <w:t>2024</w:t>
            </w:r>
          </w:p>
        </w:tc>
        <w:tc>
          <w:tcPr>
            <w:tcW w:w="1560" w:type="dxa"/>
            <w:vAlign w:val="bottom"/>
            <w:shd w:val="clear" w:color="auto" w:fill="E6E6E6"/>
          </w:tcPr>
          <w:p>
            <w:pPr>
              <w:spacing w:after="0" w:line="187" w:lineRule="exact"/>
              <w:rPr>
                <w:sz w:val="20"/>
                <w:szCs w:val="20"/>
                <w:color w:val="auto"/>
              </w:rPr>
            </w:pPr>
            <w:r>
              <w:rPr>
                <w:rFonts w:ascii="Arial" w:cs="Arial" w:eastAsia="Arial" w:hAnsi="Arial"/>
                <w:sz w:val="20"/>
                <w:szCs w:val="20"/>
                <w:color w:val="auto"/>
                <w:w w:val="93"/>
              </w:rPr>
              <w:t>Restructuring Plan</w:t>
            </w:r>
          </w:p>
        </w:tc>
        <w:tc>
          <w:tcPr>
            <w:tcW w:w="100" w:type="dxa"/>
            <w:vAlign w:val="bottom"/>
            <w:shd w:val="clear" w:color="auto" w:fill="E6E6E6"/>
          </w:tcPr>
          <w:p>
            <w:pPr>
              <w:spacing w:after="0"/>
              <w:rPr>
                <w:sz w:val="16"/>
                <w:szCs w:val="16"/>
                <w:color w:val="auto"/>
              </w:rPr>
            </w:pPr>
          </w:p>
        </w:tc>
        <w:tc>
          <w:tcPr>
            <w:tcW w:w="7900" w:type="dxa"/>
            <w:vAlign w:val="bottom"/>
            <w:shd w:val="clear" w:color="auto" w:fill="E6E6E6"/>
          </w:tcPr>
          <w:p>
            <w:pPr>
              <w:ind w:left="60"/>
              <w:spacing w:after="0" w:line="187" w:lineRule="exact"/>
              <w:rPr>
                <w:sz w:val="20"/>
                <w:szCs w:val="20"/>
                <w:color w:val="auto"/>
              </w:rPr>
            </w:pPr>
            <w:r>
              <w:rPr>
                <w:rFonts w:ascii="Arial" w:cs="Arial" w:eastAsia="Arial" w:hAnsi="Arial"/>
                <w:sz w:val="20"/>
                <w:szCs w:val="20"/>
                <w:color w:val="auto"/>
              </w:rPr>
              <w:t>A plan, initiated during the first quarter of 2024, to enhance LivaNova’s focus on its core</w:t>
            </w:r>
          </w:p>
        </w:tc>
      </w:tr>
      <w:tr>
        <w:trPr>
          <w:trHeight w:val="268"/>
        </w:trPr>
        <w:tc>
          <w:tcPr>
            <w:tcW w:w="480" w:type="dxa"/>
            <w:vAlign w:val="bottom"/>
            <w:shd w:val="clear" w:color="auto" w:fill="E6E6E6"/>
          </w:tcPr>
          <w:p>
            <w:pPr>
              <w:spacing w:after="0"/>
              <w:rPr>
                <w:sz w:val="23"/>
                <w:szCs w:val="23"/>
                <w:color w:val="auto"/>
              </w:rPr>
            </w:pPr>
          </w:p>
        </w:tc>
        <w:tc>
          <w:tcPr>
            <w:tcW w:w="1560" w:type="dxa"/>
            <w:vAlign w:val="bottom"/>
            <w:shd w:val="clear" w:color="auto" w:fill="E6E6E6"/>
          </w:tcPr>
          <w:p>
            <w:pPr>
              <w:spacing w:after="0"/>
              <w:rPr>
                <w:sz w:val="23"/>
                <w:szCs w:val="23"/>
                <w:color w:val="auto"/>
              </w:rPr>
            </w:pPr>
          </w:p>
        </w:tc>
        <w:tc>
          <w:tcPr>
            <w:tcW w:w="100" w:type="dxa"/>
            <w:vAlign w:val="bottom"/>
            <w:shd w:val="clear" w:color="auto" w:fill="E6E6E6"/>
          </w:tcPr>
          <w:p>
            <w:pPr>
              <w:spacing w:after="0"/>
              <w:rPr>
                <w:sz w:val="23"/>
                <w:szCs w:val="23"/>
                <w:color w:val="auto"/>
              </w:rPr>
            </w:pPr>
          </w:p>
        </w:tc>
        <w:tc>
          <w:tcPr>
            <w:tcW w:w="7900" w:type="dxa"/>
            <w:vAlign w:val="bottom"/>
            <w:shd w:val="clear" w:color="auto" w:fill="E6E6E6"/>
          </w:tcPr>
          <w:p>
            <w:pPr>
              <w:ind w:left="60"/>
              <w:spacing w:after="0"/>
              <w:rPr>
                <w:sz w:val="20"/>
                <w:szCs w:val="20"/>
                <w:color w:val="auto"/>
              </w:rPr>
            </w:pPr>
            <w:r>
              <w:rPr>
                <w:rFonts w:ascii="Arial" w:cs="Arial" w:eastAsia="Arial" w:hAnsi="Arial"/>
                <w:sz w:val="20"/>
                <w:szCs w:val="20"/>
                <w:color w:val="auto"/>
              </w:rPr>
              <w:t>Cardiopulmonary and Neuromodulation segments</w:t>
            </w:r>
          </w:p>
        </w:tc>
      </w:tr>
      <w:tr>
        <w:trPr>
          <w:trHeight w:val="257"/>
        </w:trPr>
        <w:tc>
          <w:tcPr>
            <w:tcW w:w="480" w:type="dxa"/>
            <w:vAlign w:val="bottom"/>
          </w:tcPr>
          <w:p>
            <w:pPr>
              <w:ind w:left="40"/>
              <w:spacing w:after="0"/>
              <w:rPr>
                <w:sz w:val="20"/>
                <w:szCs w:val="20"/>
                <w:color w:val="auto"/>
              </w:rPr>
            </w:pPr>
            <w:r>
              <w:rPr>
                <w:rFonts w:ascii="Arial" w:cs="Arial" w:eastAsia="Arial" w:hAnsi="Arial"/>
                <w:sz w:val="20"/>
                <w:szCs w:val="20"/>
                <w:color w:val="auto"/>
                <w:w w:val="94"/>
              </w:rPr>
              <w:t>2025</w:t>
            </w:r>
          </w:p>
        </w:tc>
        <w:tc>
          <w:tcPr>
            <w:tcW w:w="1560" w:type="dxa"/>
            <w:vAlign w:val="bottom"/>
          </w:tcPr>
          <w:p>
            <w:pPr>
              <w:spacing w:after="0"/>
              <w:rPr>
                <w:sz w:val="20"/>
                <w:szCs w:val="20"/>
                <w:color w:val="auto"/>
              </w:rPr>
            </w:pPr>
            <w:r>
              <w:rPr>
                <w:rFonts w:ascii="Arial" w:cs="Arial" w:eastAsia="Arial" w:hAnsi="Arial"/>
                <w:sz w:val="20"/>
                <w:szCs w:val="20"/>
                <w:color w:val="auto"/>
              </w:rPr>
              <w:t>Capped Calls</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w w:val="98"/>
              </w:rPr>
              <w:t>Privately-negotiated capped call transactions entered into with certain financial institutions</w:t>
            </w:r>
          </w:p>
        </w:tc>
      </w:tr>
      <w:tr>
        <w:trPr>
          <w:trHeight w:val="22"/>
        </w:trPr>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187"/>
        </w:trPr>
        <w:tc>
          <w:tcPr>
            <w:tcW w:w="480" w:type="dxa"/>
            <w:vAlign w:val="bottom"/>
            <w:shd w:val="clear" w:color="auto" w:fill="E6E6E6"/>
          </w:tcPr>
          <w:p>
            <w:pPr>
              <w:ind w:left="40"/>
              <w:spacing w:after="0" w:line="187" w:lineRule="exact"/>
              <w:rPr>
                <w:sz w:val="20"/>
                <w:szCs w:val="20"/>
                <w:color w:val="auto"/>
              </w:rPr>
            </w:pPr>
            <w:r>
              <w:rPr>
                <w:rFonts w:ascii="Arial" w:cs="Arial" w:eastAsia="Arial" w:hAnsi="Arial"/>
                <w:sz w:val="20"/>
                <w:szCs w:val="20"/>
                <w:color w:val="auto"/>
                <w:w w:val="94"/>
              </w:rPr>
              <w:t>2025</w:t>
            </w:r>
          </w:p>
        </w:tc>
        <w:tc>
          <w:tcPr>
            <w:tcW w:w="1560" w:type="dxa"/>
            <w:vAlign w:val="bottom"/>
            <w:shd w:val="clear" w:color="auto" w:fill="E6E6E6"/>
          </w:tcPr>
          <w:p>
            <w:pPr>
              <w:spacing w:after="0" w:line="187" w:lineRule="exact"/>
              <w:rPr>
                <w:sz w:val="20"/>
                <w:szCs w:val="20"/>
                <w:color w:val="auto"/>
              </w:rPr>
            </w:pPr>
            <w:r>
              <w:rPr>
                <w:rFonts w:ascii="Arial" w:cs="Arial" w:eastAsia="Arial" w:hAnsi="Arial"/>
                <w:sz w:val="20"/>
                <w:szCs w:val="20"/>
                <w:color w:val="auto"/>
              </w:rPr>
              <w:t>Notes</w:t>
            </w:r>
          </w:p>
        </w:tc>
        <w:tc>
          <w:tcPr>
            <w:tcW w:w="100" w:type="dxa"/>
            <w:vAlign w:val="bottom"/>
            <w:shd w:val="clear" w:color="auto" w:fill="E6E6E6"/>
          </w:tcPr>
          <w:p>
            <w:pPr>
              <w:spacing w:after="0"/>
              <w:rPr>
                <w:sz w:val="16"/>
                <w:szCs w:val="16"/>
                <w:color w:val="auto"/>
              </w:rPr>
            </w:pPr>
          </w:p>
        </w:tc>
        <w:tc>
          <w:tcPr>
            <w:tcW w:w="7900" w:type="dxa"/>
            <w:vAlign w:val="bottom"/>
            <w:shd w:val="clear" w:color="auto" w:fill="E6E6E6"/>
          </w:tcPr>
          <w:p>
            <w:pPr>
              <w:ind w:left="60"/>
              <w:spacing w:after="0" w:line="187" w:lineRule="exact"/>
              <w:rPr>
                <w:sz w:val="20"/>
                <w:szCs w:val="20"/>
                <w:color w:val="auto"/>
              </w:rPr>
            </w:pPr>
            <w:r>
              <w:rPr>
                <w:rFonts w:ascii="Arial" w:cs="Arial" w:eastAsia="Arial" w:hAnsi="Arial"/>
                <w:sz w:val="20"/>
                <w:szCs w:val="20"/>
                <w:color w:val="auto"/>
                <w:w w:val="90"/>
              </w:rPr>
              <w:t>$287.5 million aggregate principal amount 3.00% unsecured cash exchangeable senior notes due</w:t>
            </w:r>
          </w:p>
        </w:tc>
      </w:tr>
      <w:tr>
        <w:trPr>
          <w:trHeight w:val="196"/>
        </w:trPr>
        <w:tc>
          <w:tcPr>
            <w:tcW w:w="480" w:type="dxa"/>
            <w:vAlign w:val="bottom"/>
            <w:shd w:val="clear" w:color="auto" w:fill="E6E6E6"/>
          </w:tcPr>
          <w:p>
            <w:pPr>
              <w:spacing w:after="0"/>
              <w:rPr>
                <w:sz w:val="17"/>
                <w:szCs w:val="17"/>
                <w:color w:val="auto"/>
              </w:rPr>
            </w:pPr>
          </w:p>
        </w:tc>
        <w:tc>
          <w:tcPr>
            <w:tcW w:w="156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7900" w:type="dxa"/>
            <w:vAlign w:val="bottom"/>
            <w:shd w:val="clear" w:color="auto" w:fill="E6E6E6"/>
          </w:tcPr>
          <w:p>
            <w:pPr>
              <w:ind w:left="60"/>
              <w:spacing w:after="0" w:line="196" w:lineRule="exact"/>
              <w:rPr>
                <w:sz w:val="20"/>
                <w:szCs w:val="20"/>
                <w:color w:val="auto"/>
              </w:rPr>
            </w:pPr>
            <w:r>
              <w:rPr>
                <w:rFonts w:ascii="Arial" w:cs="Arial" w:eastAsia="Arial" w:hAnsi="Arial"/>
                <w:sz w:val="20"/>
                <w:szCs w:val="20"/>
                <w:color w:val="auto"/>
                <w:w w:val="97"/>
              </w:rPr>
              <w:t>2025 by private placement to qualified institutional buyers pursuant to Rule 144A under the</w:t>
            </w:r>
          </w:p>
        </w:tc>
      </w:tr>
      <w:tr>
        <w:trPr>
          <w:trHeight w:val="258"/>
        </w:trPr>
        <w:tc>
          <w:tcPr>
            <w:tcW w:w="480" w:type="dxa"/>
            <w:vAlign w:val="bottom"/>
            <w:tcBorders>
              <w:bottom w:val="single" w:sz="8" w:color="E6E6E6"/>
            </w:tcBorders>
            <w:shd w:val="clear" w:color="auto" w:fill="E6E6E6"/>
          </w:tcPr>
          <w:p>
            <w:pPr>
              <w:spacing w:after="0"/>
              <w:rPr>
                <w:sz w:val="22"/>
                <w:szCs w:val="22"/>
                <w:color w:val="auto"/>
              </w:rPr>
            </w:pPr>
          </w:p>
        </w:tc>
        <w:tc>
          <w:tcPr>
            <w:tcW w:w="1560" w:type="dxa"/>
            <w:vAlign w:val="bottom"/>
            <w:tcBorders>
              <w:bottom w:val="single" w:sz="8" w:color="E6E6E6"/>
            </w:tcBorders>
            <w:shd w:val="clear" w:color="auto" w:fill="E6E6E6"/>
          </w:tcPr>
          <w:p>
            <w:pPr>
              <w:spacing w:after="0"/>
              <w:rPr>
                <w:sz w:val="22"/>
                <w:szCs w:val="22"/>
                <w:color w:val="auto"/>
              </w:rPr>
            </w:pP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Securities Act, issued by LivaNova USA on June 17, 2020</w:t>
            </w:r>
          </w:p>
        </w:tc>
      </w:tr>
      <w:tr>
        <w:trPr>
          <w:trHeight w:val="187"/>
        </w:trPr>
        <w:tc>
          <w:tcPr>
            <w:tcW w:w="480" w:type="dxa"/>
            <w:vAlign w:val="bottom"/>
          </w:tcPr>
          <w:p>
            <w:pPr>
              <w:ind w:left="40"/>
              <w:spacing w:after="0" w:line="187" w:lineRule="exact"/>
              <w:rPr>
                <w:sz w:val="20"/>
                <w:szCs w:val="20"/>
                <w:color w:val="auto"/>
              </w:rPr>
            </w:pPr>
            <w:r>
              <w:rPr>
                <w:rFonts w:ascii="Arial" w:cs="Arial" w:eastAsia="Arial" w:hAnsi="Arial"/>
                <w:sz w:val="20"/>
                <w:szCs w:val="20"/>
                <w:color w:val="auto"/>
                <w:w w:val="94"/>
              </w:rPr>
              <w:t>2025</w:t>
            </w:r>
          </w:p>
        </w:tc>
        <w:tc>
          <w:tcPr>
            <w:tcW w:w="1560" w:type="dxa"/>
            <w:vAlign w:val="bottom"/>
          </w:tcPr>
          <w:p>
            <w:pPr>
              <w:spacing w:after="0" w:line="187" w:lineRule="exact"/>
              <w:rPr>
                <w:sz w:val="20"/>
                <w:szCs w:val="20"/>
                <w:color w:val="auto"/>
              </w:rPr>
            </w:pPr>
            <w:r>
              <w:rPr>
                <w:rFonts w:ascii="Arial" w:cs="Arial" w:eastAsia="Arial" w:hAnsi="Arial"/>
                <w:sz w:val="20"/>
                <w:szCs w:val="20"/>
                <w:color w:val="auto"/>
                <w:w w:val="92"/>
              </w:rPr>
              <w:t>Notes Repurchase</w:t>
            </w:r>
          </w:p>
        </w:tc>
        <w:tc>
          <w:tcPr>
            <w:tcW w:w="100" w:type="dxa"/>
            <w:vAlign w:val="bottom"/>
          </w:tcPr>
          <w:p>
            <w:pPr>
              <w:spacing w:after="0"/>
              <w:rPr>
                <w:sz w:val="16"/>
                <w:szCs w:val="16"/>
                <w:color w:val="auto"/>
              </w:rPr>
            </w:pPr>
          </w:p>
        </w:tc>
        <w:tc>
          <w:tcPr>
            <w:tcW w:w="7900" w:type="dxa"/>
            <w:vAlign w:val="bottom"/>
          </w:tcPr>
          <w:p>
            <w:pPr>
              <w:ind w:left="60"/>
              <w:spacing w:after="0" w:line="187" w:lineRule="exact"/>
              <w:rPr>
                <w:sz w:val="20"/>
                <w:szCs w:val="20"/>
                <w:color w:val="auto"/>
              </w:rPr>
            </w:pPr>
            <w:r>
              <w:rPr>
                <w:rFonts w:ascii="Arial" w:cs="Arial" w:eastAsia="Arial" w:hAnsi="Arial"/>
                <w:sz w:val="20"/>
                <w:szCs w:val="20"/>
                <w:color w:val="auto"/>
                <w:w w:val="89"/>
              </w:rPr>
              <w:t>Repurchase of $230.0 million aggregate principal amount of the 2025 Notes in privately-negotiated</w:t>
            </w:r>
          </w:p>
        </w:tc>
      </w:tr>
      <w:tr>
        <w:trPr>
          <w:trHeight w:val="263"/>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Transaction</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transactions from proceeds from the issuance of the 2029 Notes</w:t>
            </w:r>
          </w:p>
        </w:tc>
      </w:tr>
      <w:tr>
        <w:trPr>
          <w:trHeight w:val="265"/>
        </w:trPr>
        <w:tc>
          <w:tcPr>
            <w:tcW w:w="48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w w:val="94"/>
              </w:rPr>
              <w:t>2025</w:t>
            </w:r>
          </w:p>
        </w:tc>
        <w:tc>
          <w:tcPr>
            <w:tcW w:w="1560" w:type="dxa"/>
            <w:vAlign w:val="bottom"/>
            <w:tcBorders>
              <w:bottom w:val="single" w:sz="8" w:color="E6E6E6"/>
            </w:tcBorders>
            <w:shd w:val="clear" w:color="auto" w:fill="E6E6E6"/>
          </w:tcPr>
          <w:p>
            <w:pPr>
              <w:spacing w:after="0"/>
              <w:rPr>
                <w:sz w:val="20"/>
                <w:szCs w:val="20"/>
                <w:color w:val="auto"/>
              </w:rPr>
            </w:pPr>
            <w:r>
              <w:rPr>
                <w:rFonts w:ascii="Arial" w:cs="Arial" w:eastAsia="Arial" w:hAnsi="Arial"/>
                <w:sz w:val="20"/>
                <w:szCs w:val="20"/>
                <w:color w:val="auto"/>
              </w:rPr>
              <w:t>Proxy Statement</w:t>
            </w:r>
          </w:p>
        </w:tc>
        <w:tc>
          <w:tcPr>
            <w:tcW w:w="100" w:type="dxa"/>
            <w:vAlign w:val="bottom"/>
            <w:tcBorders>
              <w:bottom w:val="single" w:sz="8" w:color="E6E6E6"/>
            </w:tcBorders>
            <w:shd w:val="clear" w:color="auto" w:fill="E6E6E6"/>
          </w:tcPr>
          <w:p>
            <w:pPr>
              <w:spacing w:after="0"/>
              <w:rPr>
                <w:sz w:val="23"/>
                <w:szCs w:val="23"/>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w w:val="92"/>
              </w:rPr>
              <w:t>Definitive Proxy Statement for the annual meeting of shareholders scheduled for June 11, 2025</w:t>
            </w:r>
          </w:p>
        </w:tc>
      </w:tr>
      <w:tr>
        <w:trPr>
          <w:trHeight w:val="257"/>
        </w:trPr>
        <w:tc>
          <w:tcPr>
            <w:tcW w:w="480" w:type="dxa"/>
            <w:vAlign w:val="bottom"/>
          </w:tcPr>
          <w:p>
            <w:pPr>
              <w:ind w:left="40"/>
              <w:spacing w:after="0"/>
              <w:rPr>
                <w:sz w:val="20"/>
                <w:szCs w:val="20"/>
                <w:color w:val="auto"/>
              </w:rPr>
            </w:pPr>
            <w:r>
              <w:rPr>
                <w:rFonts w:ascii="Arial" w:cs="Arial" w:eastAsia="Arial" w:hAnsi="Arial"/>
                <w:sz w:val="20"/>
                <w:szCs w:val="20"/>
                <w:color w:val="auto"/>
                <w:w w:val="94"/>
              </w:rPr>
              <w:t>2029</w:t>
            </w:r>
          </w:p>
        </w:tc>
        <w:tc>
          <w:tcPr>
            <w:tcW w:w="1560" w:type="dxa"/>
            <w:vAlign w:val="bottom"/>
          </w:tcPr>
          <w:p>
            <w:pPr>
              <w:spacing w:after="0"/>
              <w:rPr>
                <w:sz w:val="20"/>
                <w:szCs w:val="20"/>
                <w:color w:val="auto"/>
              </w:rPr>
            </w:pPr>
            <w:r>
              <w:rPr>
                <w:rFonts w:ascii="Arial" w:cs="Arial" w:eastAsia="Arial" w:hAnsi="Arial"/>
                <w:sz w:val="20"/>
                <w:szCs w:val="20"/>
                <w:color w:val="auto"/>
              </w:rPr>
              <w:t>Capped Calls</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w w:val="98"/>
              </w:rPr>
              <w:t>Privately-negotiated capped call transactions entered into with certain financial institutions</w:t>
            </w:r>
          </w:p>
        </w:tc>
      </w:tr>
      <w:tr>
        <w:trPr>
          <w:trHeight w:val="22"/>
        </w:trPr>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187"/>
        </w:trPr>
        <w:tc>
          <w:tcPr>
            <w:tcW w:w="480" w:type="dxa"/>
            <w:vAlign w:val="bottom"/>
            <w:shd w:val="clear" w:color="auto" w:fill="E6E6E6"/>
          </w:tcPr>
          <w:p>
            <w:pPr>
              <w:ind w:left="40"/>
              <w:spacing w:after="0" w:line="187" w:lineRule="exact"/>
              <w:rPr>
                <w:sz w:val="20"/>
                <w:szCs w:val="20"/>
                <w:color w:val="auto"/>
              </w:rPr>
            </w:pPr>
            <w:r>
              <w:rPr>
                <w:rFonts w:ascii="Arial" w:cs="Arial" w:eastAsia="Arial" w:hAnsi="Arial"/>
                <w:sz w:val="20"/>
                <w:szCs w:val="20"/>
                <w:color w:val="auto"/>
                <w:w w:val="94"/>
              </w:rPr>
              <w:t>2029</w:t>
            </w:r>
          </w:p>
        </w:tc>
        <w:tc>
          <w:tcPr>
            <w:tcW w:w="1560" w:type="dxa"/>
            <w:vAlign w:val="bottom"/>
            <w:shd w:val="clear" w:color="auto" w:fill="E6E6E6"/>
          </w:tcPr>
          <w:p>
            <w:pPr>
              <w:spacing w:after="0" w:line="187" w:lineRule="exact"/>
              <w:rPr>
                <w:sz w:val="20"/>
                <w:szCs w:val="20"/>
                <w:color w:val="auto"/>
              </w:rPr>
            </w:pPr>
            <w:r>
              <w:rPr>
                <w:rFonts w:ascii="Arial" w:cs="Arial" w:eastAsia="Arial" w:hAnsi="Arial"/>
                <w:sz w:val="20"/>
                <w:szCs w:val="20"/>
                <w:color w:val="auto"/>
              </w:rPr>
              <w:t>Notes</w:t>
            </w:r>
          </w:p>
        </w:tc>
        <w:tc>
          <w:tcPr>
            <w:tcW w:w="100" w:type="dxa"/>
            <w:vAlign w:val="bottom"/>
            <w:shd w:val="clear" w:color="auto" w:fill="E6E6E6"/>
          </w:tcPr>
          <w:p>
            <w:pPr>
              <w:spacing w:after="0"/>
              <w:rPr>
                <w:sz w:val="16"/>
                <w:szCs w:val="16"/>
                <w:color w:val="auto"/>
              </w:rPr>
            </w:pPr>
          </w:p>
        </w:tc>
        <w:tc>
          <w:tcPr>
            <w:tcW w:w="7900" w:type="dxa"/>
            <w:vAlign w:val="bottom"/>
            <w:shd w:val="clear" w:color="auto" w:fill="E6E6E6"/>
          </w:tcPr>
          <w:p>
            <w:pPr>
              <w:ind w:left="60"/>
              <w:spacing w:after="0" w:line="187" w:lineRule="exact"/>
              <w:rPr>
                <w:sz w:val="20"/>
                <w:szCs w:val="20"/>
                <w:color w:val="auto"/>
              </w:rPr>
            </w:pPr>
            <w:r>
              <w:rPr>
                <w:rFonts w:ascii="Arial" w:cs="Arial" w:eastAsia="Arial" w:hAnsi="Arial"/>
                <w:sz w:val="20"/>
                <w:szCs w:val="20"/>
                <w:color w:val="auto"/>
                <w:w w:val="90"/>
              </w:rPr>
              <w:t>$345.0 million aggregate principal amount 2.50% unsecured convertible senior notes due 2029 by</w:t>
            </w:r>
          </w:p>
        </w:tc>
      </w:tr>
      <w:tr>
        <w:trPr>
          <w:trHeight w:val="196"/>
        </w:trPr>
        <w:tc>
          <w:tcPr>
            <w:tcW w:w="480" w:type="dxa"/>
            <w:vAlign w:val="bottom"/>
            <w:shd w:val="clear" w:color="auto" w:fill="E6E6E6"/>
          </w:tcPr>
          <w:p>
            <w:pPr>
              <w:spacing w:after="0"/>
              <w:rPr>
                <w:sz w:val="17"/>
                <w:szCs w:val="17"/>
                <w:color w:val="auto"/>
              </w:rPr>
            </w:pPr>
          </w:p>
        </w:tc>
        <w:tc>
          <w:tcPr>
            <w:tcW w:w="156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7900" w:type="dxa"/>
            <w:vAlign w:val="bottom"/>
            <w:shd w:val="clear" w:color="auto" w:fill="E6E6E6"/>
          </w:tcPr>
          <w:p>
            <w:pPr>
              <w:ind w:left="60"/>
              <w:spacing w:after="0" w:line="196" w:lineRule="exact"/>
              <w:rPr>
                <w:sz w:val="20"/>
                <w:szCs w:val="20"/>
                <w:color w:val="auto"/>
              </w:rPr>
            </w:pPr>
            <w:r>
              <w:rPr>
                <w:rFonts w:ascii="Arial" w:cs="Arial" w:eastAsia="Arial" w:hAnsi="Arial"/>
                <w:sz w:val="20"/>
                <w:szCs w:val="20"/>
                <w:color w:val="auto"/>
                <w:w w:val="91"/>
              </w:rPr>
              <w:t>private placement to qualified institutional buyers pursuant to Rule 144A under the Securities Act,</w:t>
            </w:r>
          </w:p>
        </w:tc>
      </w:tr>
      <w:tr>
        <w:trPr>
          <w:trHeight w:val="258"/>
        </w:trPr>
        <w:tc>
          <w:tcPr>
            <w:tcW w:w="480" w:type="dxa"/>
            <w:vAlign w:val="bottom"/>
            <w:tcBorders>
              <w:bottom w:val="single" w:sz="8" w:color="E6E6E6"/>
            </w:tcBorders>
            <w:shd w:val="clear" w:color="auto" w:fill="E6E6E6"/>
          </w:tcPr>
          <w:p>
            <w:pPr>
              <w:spacing w:after="0"/>
              <w:rPr>
                <w:sz w:val="22"/>
                <w:szCs w:val="22"/>
                <w:color w:val="auto"/>
              </w:rPr>
            </w:pPr>
          </w:p>
        </w:tc>
        <w:tc>
          <w:tcPr>
            <w:tcW w:w="1560" w:type="dxa"/>
            <w:vAlign w:val="bottom"/>
            <w:tcBorders>
              <w:bottom w:val="single" w:sz="8" w:color="E6E6E6"/>
            </w:tcBorders>
            <w:shd w:val="clear" w:color="auto" w:fill="E6E6E6"/>
          </w:tcPr>
          <w:p>
            <w:pPr>
              <w:spacing w:after="0"/>
              <w:rPr>
                <w:sz w:val="22"/>
                <w:szCs w:val="22"/>
                <w:color w:val="auto"/>
              </w:rPr>
            </w:pP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issued by LivaNova PLC on March 8, 2024</w:t>
            </w:r>
          </w:p>
        </w:tc>
      </w:tr>
      <w:tr>
        <w:trPr>
          <w:trHeight w:val="257"/>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A&amp;R 2022 Plan</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Amended and Restated LivaNova PLC 2022 Incentive Award Plan</w:t>
            </w:r>
          </w:p>
        </w:tc>
      </w:tr>
      <w:tr>
        <w:trPr>
          <w:trHeight w:val="22"/>
        </w:trPr>
        <w:tc>
          <w:tcPr>
            <w:tcW w:w="2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187"/>
        </w:trPr>
        <w:tc>
          <w:tcPr>
            <w:tcW w:w="2040" w:type="dxa"/>
            <w:vAlign w:val="bottom"/>
            <w:gridSpan w:val="2"/>
            <w:shd w:val="clear" w:color="auto" w:fill="E6E6E6"/>
          </w:tcPr>
          <w:p>
            <w:pPr>
              <w:ind w:left="40"/>
              <w:spacing w:after="0" w:line="187" w:lineRule="exact"/>
              <w:rPr>
                <w:sz w:val="20"/>
                <w:szCs w:val="20"/>
                <w:color w:val="auto"/>
              </w:rPr>
            </w:pPr>
            <w:r>
              <w:rPr>
                <w:rFonts w:ascii="Arial" w:cs="Arial" w:eastAsia="Arial" w:hAnsi="Arial"/>
                <w:sz w:val="20"/>
                <w:szCs w:val="20"/>
                <w:color w:val="auto"/>
              </w:rPr>
              <w:t>A&amp;R 2022 Plan</w:t>
            </w:r>
          </w:p>
        </w:tc>
        <w:tc>
          <w:tcPr>
            <w:tcW w:w="100" w:type="dxa"/>
            <w:vAlign w:val="bottom"/>
            <w:shd w:val="clear" w:color="auto" w:fill="E6E6E6"/>
          </w:tcPr>
          <w:p>
            <w:pPr>
              <w:spacing w:after="0"/>
              <w:rPr>
                <w:sz w:val="16"/>
                <w:szCs w:val="16"/>
                <w:color w:val="auto"/>
              </w:rPr>
            </w:pPr>
          </w:p>
        </w:tc>
        <w:tc>
          <w:tcPr>
            <w:tcW w:w="7900" w:type="dxa"/>
            <w:vAlign w:val="bottom"/>
            <w:shd w:val="clear" w:color="auto" w:fill="E6E6E6"/>
          </w:tcPr>
          <w:p>
            <w:pPr>
              <w:ind w:left="60"/>
              <w:spacing w:after="0" w:line="187" w:lineRule="exact"/>
              <w:rPr>
                <w:sz w:val="20"/>
                <w:szCs w:val="20"/>
                <w:color w:val="auto"/>
              </w:rPr>
            </w:pPr>
            <w:r>
              <w:rPr>
                <w:rFonts w:ascii="Arial" w:cs="Arial" w:eastAsia="Arial" w:hAnsi="Arial"/>
                <w:sz w:val="20"/>
                <w:szCs w:val="20"/>
                <w:color w:val="auto"/>
                <w:w w:val="96"/>
              </w:rPr>
              <w:t>Amendment No. 1 to the Amended and Restated LivaNova PLC 2022 Incentive Award Plan</w:t>
            </w:r>
          </w:p>
        </w:tc>
      </w:tr>
      <w:tr>
        <w:trPr>
          <w:trHeight w:val="268"/>
        </w:trPr>
        <w:tc>
          <w:tcPr>
            <w:tcW w:w="2040" w:type="dxa"/>
            <w:vAlign w:val="bottom"/>
            <w:gridSpan w:val="2"/>
            <w:shd w:val="clear" w:color="auto" w:fill="E6E6E6"/>
          </w:tcPr>
          <w:p>
            <w:pPr>
              <w:ind w:left="40"/>
              <w:spacing w:after="0"/>
              <w:rPr>
                <w:sz w:val="20"/>
                <w:szCs w:val="20"/>
                <w:color w:val="auto"/>
              </w:rPr>
            </w:pPr>
            <w:r>
              <w:rPr>
                <w:rFonts w:ascii="Arial" w:cs="Arial" w:eastAsia="Arial" w:hAnsi="Arial"/>
                <w:sz w:val="20"/>
                <w:szCs w:val="20"/>
                <w:color w:val="auto"/>
              </w:rPr>
              <w:t>Amendment</w:t>
            </w:r>
          </w:p>
        </w:tc>
        <w:tc>
          <w:tcPr>
            <w:tcW w:w="100" w:type="dxa"/>
            <w:vAlign w:val="bottom"/>
            <w:shd w:val="clear" w:color="auto" w:fill="E6E6E6"/>
          </w:tcPr>
          <w:p>
            <w:pPr>
              <w:spacing w:after="0"/>
              <w:rPr>
                <w:sz w:val="23"/>
                <w:szCs w:val="23"/>
                <w:color w:val="auto"/>
              </w:rPr>
            </w:pPr>
          </w:p>
        </w:tc>
        <w:tc>
          <w:tcPr>
            <w:tcW w:w="7900" w:type="dxa"/>
            <w:vAlign w:val="bottom"/>
            <w:shd w:val="clear" w:color="auto" w:fill="E6E6E6"/>
          </w:tcPr>
          <w:p>
            <w:pPr>
              <w:spacing w:after="0"/>
              <w:rPr>
                <w:sz w:val="23"/>
                <w:szCs w:val="23"/>
                <w:color w:val="auto"/>
              </w:rPr>
            </w:pPr>
          </w:p>
        </w:tc>
      </w:tr>
      <w:tr>
        <w:trPr>
          <w:trHeight w:val="257"/>
        </w:trPr>
        <w:tc>
          <w:tcPr>
            <w:tcW w:w="480" w:type="dxa"/>
            <w:vAlign w:val="bottom"/>
          </w:tcPr>
          <w:p>
            <w:pPr>
              <w:ind w:left="40"/>
              <w:spacing w:after="0"/>
              <w:rPr>
                <w:sz w:val="20"/>
                <w:szCs w:val="20"/>
                <w:color w:val="auto"/>
              </w:rPr>
            </w:pPr>
            <w:r>
              <w:rPr>
                <w:rFonts w:ascii="Arial" w:cs="Arial" w:eastAsia="Arial" w:hAnsi="Arial"/>
                <w:sz w:val="20"/>
                <w:szCs w:val="20"/>
                <w:color w:val="auto"/>
              </w:rPr>
              <w:t>ACS</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Advanced Circulatory Support</w:t>
            </w:r>
          </w:p>
        </w:tc>
      </w:tr>
      <w:tr>
        <w:trPr>
          <w:trHeight w:val="22"/>
        </w:trPr>
        <w:tc>
          <w:tcPr>
            <w:tcW w:w="2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gridSpan w:val="2"/>
            <w:shd w:val="clear" w:color="auto" w:fill="E6E6E6"/>
          </w:tcPr>
          <w:p>
            <w:pPr>
              <w:ind w:left="40"/>
              <w:spacing w:after="0"/>
              <w:rPr>
                <w:sz w:val="20"/>
                <w:szCs w:val="20"/>
                <w:color w:val="auto"/>
              </w:rPr>
            </w:pPr>
            <w:r>
              <w:rPr>
                <w:rFonts w:ascii="Arial" w:cs="Arial" w:eastAsia="Arial" w:hAnsi="Arial"/>
                <w:sz w:val="20"/>
                <w:szCs w:val="20"/>
                <w:color w:val="auto"/>
              </w:rPr>
              <w:t>ALung</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ALung Technologies, Inc.</w:t>
            </w:r>
          </w:p>
        </w:tc>
      </w:tr>
      <w:tr>
        <w:trPr>
          <w:trHeight w:val="257"/>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AOCI</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Accumulated other comprehensive income (loss)</w:t>
            </w:r>
          </w:p>
        </w:tc>
      </w:tr>
      <w:tr>
        <w:trPr>
          <w:trHeight w:val="22"/>
        </w:trPr>
        <w:tc>
          <w:tcPr>
            <w:tcW w:w="2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gridSpan w:val="2"/>
            <w:shd w:val="clear" w:color="auto" w:fill="E6E6E6"/>
          </w:tcPr>
          <w:p>
            <w:pPr>
              <w:ind w:left="40"/>
              <w:spacing w:after="0"/>
              <w:rPr>
                <w:sz w:val="20"/>
                <w:szCs w:val="20"/>
                <w:color w:val="auto"/>
              </w:rPr>
            </w:pPr>
            <w:r>
              <w:rPr>
                <w:rFonts w:ascii="Arial" w:cs="Arial" w:eastAsia="Arial" w:hAnsi="Arial"/>
                <w:sz w:val="20"/>
                <w:szCs w:val="20"/>
                <w:color w:val="auto"/>
              </w:rPr>
              <w:t>APAC</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Asia-Pacific</w:t>
            </w:r>
          </w:p>
        </w:tc>
      </w:tr>
      <w:tr>
        <w:trPr>
          <w:trHeight w:val="257"/>
        </w:trPr>
        <w:tc>
          <w:tcPr>
            <w:tcW w:w="480" w:type="dxa"/>
            <w:vAlign w:val="bottom"/>
          </w:tcPr>
          <w:p>
            <w:pPr>
              <w:ind w:left="40"/>
              <w:spacing w:after="0"/>
              <w:rPr>
                <w:sz w:val="20"/>
                <w:szCs w:val="20"/>
                <w:color w:val="auto"/>
              </w:rPr>
            </w:pPr>
            <w:r>
              <w:rPr>
                <w:rFonts w:ascii="Arial" w:cs="Arial" w:eastAsia="Arial" w:hAnsi="Arial"/>
                <w:sz w:val="20"/>
                <w:szCs w:val="20"/>
                <w:color w:val="auto"/>
              </w:rPr>
              <w:t>ASC</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Accounting Standards Codification</w:t>
            </w:r>
          </w:p>
        </w:tc>
      </w:tr>
      <w:tr>
        <w:trPr>
          <w:trHeight w:val="22"/>
        </w:trPr>
        <w:tc>
          <w:tcPr>
            <w:tcW w:w="2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gridSpan w:val="2"/>
            <w:shd w:val="clear" w:color="auto" w:fill="E6E6E6"/>
          </w:tcPr>
          <w:p>
            <w:pPr>
              <w:ind w:left="40"/>
              <w:spacing w:after="0"/>
              <w:rPr>
                <w:sz w:val="20"/>
                <w:szCs w:val="20"/>
                <w:color w:val="auto"/>
              </w:rPr>
            </w:pPr>
            <w:r>
              <w:rPr>
                <w:rFonts w:ascii="Arial" w:cs="Arial" w:eastAsia="Arial" w:hAnsi="Arial"/>
                <w:sz w:val="20"/>
                <w:szCs w:val="20"/>
                <w:color w:val="auto"/>
              </w:rPr>
              <w:t>ASMs</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Anti-seizure medications</w:t>
            </w:r>
          </w:p>
        </w:tc>
      </w:tr>
      <w:tr>
        <w:trPr>
          <w:trHeight w:val="257"/>
        </w:trPr>
        <w:tc>
          <w:tcPr>
            <w:tcW w:w="480" w:type="dxa"/>
            <w:vAlign w:val="bottom"/>
          </w:tcPr>
          <w:p>
            <w:pPr>
              <w:ind w:left="40"/>
              <w:spacing w:after="0"/>
              <w:rPr>
                <w:sz w:val="20"/>
                <w:szCs w:val="20"/>
                <w:color w:val="auto"/>
              </w:rPr>
            </w:pPr>
            <w:r>
              <w:rPr>
                <w:rFonts w:ascii="Arial" w:cs="Arial" w:eastAsia="Arial" w:hAnsi="Arial"/>
                <w:sz w:val="20"/>
                <w:szCs w:val="20"/>
                <w:color w:val="auto"/>
              </w:rPr>
              <w:t>ASU</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Accounting Standards Update</w:t>
            </w:r>
          </w:p>
        </w:tc>
      </w:tr>
      <w:tr>
        <w:trPr>
          <w:trHeight w:val="22"/>
        </w:trPr>
        <w:tc>
          <w:tcPr>
            <w:tcW w:w="2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gridSpan w:val="2"/>
            <w:shd w:val="clear" w:color="auto" w:fill="E6E6E6"/>
          </w:tcPr>
          <w:p>
            <w:pPr>
              <w:ind w:left="40"/>
              <w:spacing w:after="0"/>
              <w:rPr>
                <w:sz w:val="20"/>
                <w:szCs w:val="20"/>
                <w:color w:val="auto"/>
              </w:rPr>
            </w:pPr>
            <w:r>
              <w:rPr>
                <w:rFonts w:ascii="Arial" w:cs="Arial" w:eastAsia="Arial" w:hAnsi="Arial"/>
                <w:sz w:val="20"/>
                <w:szCs w:val="20"/>
                <w:color w:val="auto"/>
              </w:rPr>
              <w:t>Audit Committee</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LivaNova’s Audit and Compliance Committee</w:t>
            </w:r>
          </w:p>
        </w:tc>
      </w:tr>
      <w:tr>
        <w:trPr>
          <w:trHeight w:val="257"/>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Barclays</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Barclays Bank Ireland PLC</w:t>
            </w:r>
          </w:p>
        </w:tc>
      </w:tr>
      <w:tr>
        <w:trPr>
          <w:trHeight w:val="22"/>
        </w:trPr>
        <w:tc>
          <w:tcPr>
            <w:tcW w:w="2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187"/>
        </w:trPr>
        <w:tc>
          <w:tcPr>
            <w:tcW w:w="2040" w:type="dxa"/>
            <w:vAlign w:val="bottom"/>
            <w:gridSpan w:val="2"/>
            <w:shd w:val="clear" w:color="auto" w:fill="E6E6E6"/>
          </w:tcPr>
          <w:p>
            <w:pPr>
              <w:ind w:left="40"/>
              <w:spacing w:after="0" w:line="187" w:lineRule="exact"/>
              <w:rPr>
                <w:sz w:val="20"/>
                <w:szCs w:val="20"/>
                <w:color w:val="auto"/>
              </w:rPr>
            </w:pPr>
            <w:r>
              <w:rPr>
                <w:rFonts w:ascii="Arial" w:cs="Arial" w:eastAsia="Arial" w:hAnsi="Arial"/>
                <w:sz w:val="20"/>
                <w:szCs w:val="20"/>
                <w:color w:val="auto"/>
              </w:rPr>
              <w:t>Bridge Loan Facility</w:t>
            </w:r>
          </w:p>
        </w:tc>
        <w:tc>
          <w:tcPr>
            <w:tcW w:w="100" w:type="dxa"/>
            <w:vAlign w:val="bottom"/>
            <w:shd w:val="clear" w:color="auto" w:fill="E6E6E6"/>
          </w:tcPr>
          <w:p>
            <w:pPr>
              <w:spacing w:after="0"/>
              <w:rPr>
                <w:sz w:val="16"/>
                <w:szCs w:val="16"/>
                <w:color w:val="auto"/>
              </w:rPr>
            </w:pPr>
          </w:p>
        </w:tc>
        <w:tc>
          <w:tcPr>
            <w:tcW w:w="7900" w:type="dxa"/>
            <w:vAlign w:val="bottom"/>
            <w:shd w:val="clear" w:color="auto" w:fill="E6E6E6"/>
          </w:tcPr>
          <w:p>
            <w:pPr>
              <w:ind w:left="60"/>
              <w:spacing w:after="0" w:line="187" w:lineRule="exact"/>
              <w:rPr>
                <w:sz w:val="20"/>
                <w:szCs w:val="20"/>
                <w:color w:val="auto"/>
              </w:rPr>
            </w:pPr>
            <w:r>
              <w:rPr>
                <w:rFonts w:ascii="Arial" w:cs="Arial" w:eastAsia="Arial" w:hAnsi="Arial"/>
                <w:sz w:val="20"/>
                <w:szCs w:val="20"/>
                <w:color w:val="auto"/>
                <w:w w:val="90"/>
              </w:rPr>
              <w:t>Incremental Facility Amendment No. 1 to the 2021 First Lien Credit Agreement, relating to a €200</w:t>
            </w:r>
          </w:p>
        </w:tc>
      </w:tr>
      <w:tr>
        <w:trPr>
          <w:trHeight w:val="268"/>
        </w:trPr>
        <w:tc>
          <w:tcPr>
            <w:tcW w:w="480" w:type="dxa"/>
            <w:vAlign w:val="bottom"/>
            <w:shd w:val="clear" w:color="auto" w:fill="E6E6E6"/>
          </w:tcPr>
          <w:p>
            <w:pPr>
              <w:spacing w:after="0"/>
              <w:rPr>
                <w:sz w:val="23"/>
                <w:szCs w:val="23"/>
                <w:color w:val="auto"/>
              </w:rPr>
            </w:pPr>
          </w:p>
        </w:tc>
        <w:tc>
          <w:tcPr>
            <w:tcW w:w="1560" w:type="dxa"/>
            <w:vAlign w:val="bottom"/>
            <w:shd w:val="clear" w:color="auto" w:fill="E6E6E6"/>
          </w:tcPr>
          <w:p>
            <w:pPr>
              <w:spacing w:after="0"/>
              <w:rPr>
                <w:sz w:val="23"/>
                <w:szCs w:val="23"/>
                <w:color w:val="auto"/>
              </w:rPr>
            </w:pPr>
          </w:p>
        </w:tc>
        <w:tc>
          <w:tcPr>
            <w:tcW w:w="100" w:type="dxa"/>
            <w:vAlign w:val="bottom"/>
            <w:shd w:val="clear" w:color="auto" w:fill="E6E6E6"/>
          </w:tcPr>
          <w:p>
            <w:pPr>
              <w:spacing w:after="0"/>
              <w:rPr>
                <w:sz w:val="23"/>
                <w:szCs w:val="23"/>
                <w:color w:val="auto"/>
              </w:rPr>
            </w:pPr>
          </w:p>
        </w:tc>
        <w:tc>
          <w:tcPr>
            <w:tcW w:w="7900" w:type="dxa"/>
            <w:vAlign w:val="bottom"/>
            <w:shd w:val="clear" w:color="auto" w:fill="E6E6E6"/>
          </w:tcPr>
          <w:p>
            <w:pPr>
              <w:ind w:left="60"/>
              <w:spacing w:after="0"/>
              <w:rPr>
                <w:sz w:val="20"/>
                <w:szCs w:val="20"/>
                <w:color w:val="auto"/>
              </w:rPr>
            </w:pPr>
            <w:r>
              <w:rPr>
                <w:rFonts w:ascii="Arial" w:cs="Arial" w:eastAsia="Arial" w:hAnsi="Arial"/>
                <w:sz w:val="20"/>
                <w:szCs w:val="20"/>
                <w:color w:val="auto"/>
              </w:rPr>
              <w:t>million bridge loan facility, dated February 24, 2022, and repaid on July 6, 2022</w:t>
            </w:r>
          </w:p>
        </w:tc>
      </w:tr>
      <w:tr>
        <w:trPr>
          <w:trHeight w:val="187"/>
        </w:trPr>
        <w:tc>
          <w:tcPr>
            <w:tcW w:w="2040" w:type="dxa"/>
            <w:vAlign w:val="bottom"/>
            <w:gridSpan w:val="2"/>
          </w:tcPr>
          <w:p>
            <w:pPr>
              <w:ind w:left="40"/>
              <w:spacing w:after="0" w:line="187" w:lineRule="exact"/>
              <w:rPr>
                <w:sz w:val="20"/>
                <w:szCs w:val="20"/>
                <w:color w:val="auto"/>
              </w:rPr>
            </w:pPr>
            <w:r>
              <w:rPr>
                <w:rFonts w:ascii="Arial" w:cs="Arial" w:eastAsia="Arial" w:hAnsi="Arial"/>
                <w:sz w:val="20"/>
                <w:szCs w:val="20"/>
                <w:color w:val="auto"/>
              </w:rPr>
              <w:t>Capped Call</w:t>
            </w:r>
          </w:p>
        </w:tc>
        <w:tc>
          <w:tcPr>
            <w:tcW w:w="100" w:type="dxa"/>
            <w:vAlign w:val="bottom"/>
          </w:tcPr>
          <w:p>
            <w:pPr>
              <w:spacing w:after="0"/>
              <w:rPr>
                <w:sz w:val="16"/>
                <w:szCs w:val="16"/>
                <w:color w:val="auto"/>
              </w:rPr>
            </w:pPr>
          </w:p>
        </w:tc>
        <w:tc>
          <w:tcPr>
            <w:tcW w:w="7900" w:type="dxa"/>
            <w:vAlign w:val="bottom"/>
          </w:tcPr>
          <w:p>
            <w:pPr>
              <w:ind w:left="60"/>
              <w:spacing w:after="0" w:line="187" w:lineRule="exact"/>
              <w:rPr>
                <w:sz w:val="20"/>
                <w:szCs w:val="20"/>
                <w:color w:val="auto"/>
              </w:rPr>
            </w:pPr>
            <w:r>
              <w:rPr>
                <w:rFonts w:ascii="Arial" w:cs="Arial" w:eastAsia="Arial" w:hAnsi="Arial"/>
                <w:sz w:val="20"/>
                <w:szCs w:val="20"/>
                <w:color w:val="auto"/>
              </w:rPr>
              <w:t>The 2025 Capped Calls and the 2029 Capped Calls</w:t>
            </w:r>
          </w:p>
        </w:tc>
      </w:tr>
      <w:tr>
        <w:trPr>
          <w:trHeight w:val="263"/>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Transactions</w:t>
            </w:r>
          </w:p>
        </w:tc>
        <w:tc>
          <w:tcPr>
            <w:tcW w:w="100" w:type="dxa"/>
            <w:vAlign w:val="bottom"/>
          </w:tcPr>
          <w:p>
            <w:pPr>
              <w:spacing w:after="0"/>
              <w:rPr>
                <w:sz w:val="22"/>
                <w:szCs w:val="22"/>
                <w:color w:val="auto"/>
              </w:rPr>
            </w:pPr>
          </w:p>
        </w:tc>
        <w:tc>
          <w:tcPr>
            <w:tcW w:w="7900" w:type="dxa"/>
            <w:vAlign w:val="bottom"/>
          </w:tcPr>
          <w:p>
            <w:pPr>
              <w:spacing w:after="0"/>
              <w:rPr>
                <w:sz w:val="22"/>
                <w:szCs w:val="22"/>
                <w:color w:val="auto"/>
              </w:rPr>
            </w:pPr>
          </w:p>
        </w:tc>
      </w:tr>
      <w:tr>
        <w:trPr>
          <w:trHeight w:val="265"/>
        </w:trPr>
        <w:tc>
          <w:tcPr>
            <w:tcW w:w="2040" w:type="dxa"/>
            <w:vAlign w:val="bottom"/>
            <w:tcBorders>
              <w:bottom w:val="single" w:sz="8" w:color="E6E6E6"/>
            </w:tcBorders>
            <w:gridSpan w:val="2"/>
            <w:shd w:val="clear" w:color="auto" w:fill="E6E6E6"/>
          </w:tcPr>
          <w:p>
            <w:pPr>
              <w:ind w:left="40"/>
              <w:spacing w:after="0"/>
              <w:rPr>
                <w:sz w:val="20"/>
                <w:szCs w:val="20"/>
                <w:color w:val="auto"/>
              </w:rPr>
            </w:pPr>
            <w:r>
              <w:rPr>
                <w:rFonts w:ascii="Arial" w:cs="Arial" w:eastAsia="Arial" w:hAnsi="Arial"/>
                <w:sz w:val="20"/>
                <w:szCs w:val="20"/>
                <w:color w:val="auto"/>
              </w:rPr>
              <w:t>CCPA</w:t>
            </w:r>
          </w:p>
        </w:tc>
        <w:tc>
          <w:tcPr>
            <w:tcW w:w="100" w:type="dxa"/>
            <w:vAlign w:val="bottom"/>
            <w:tcBorders>
              <w:bottom w:val="single" w:sz="8" w:color="E6E6E6"/>
            </w:tcBorders>
            <w:shd w:val="clear" w:color="auto" w:fill="E6E6E6"/>
          </w:tcPr>
          <w:p>
            <w:pPr>
              <w:spacing w:after="0"/>
              <w:rPr>
                <w:sz w:val="23"/>
                <w:szCs w:val="23"/>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California Consumer Privacy Act</w:t>
            </w:r>
          </w:p>
        </w:tc>
      </w:tr>
      <w:tr>
        <w:trPr>
          <w:trHeight w:val="270"/>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CE Mark</w:t>
            </w:r>
          </w:p>
        </w:tc>
        <w:tc>
          <w:tcPr>
            <w:tcW w:w="100" w:type="dxa"/>
            <w:vAlign w:val="bottom"/>
          </w:tcPr>
          <w:p>
            <w:pPr>
              <w:spacing w:after="0"/>
              <w:rPr>
                <w:sz w:val="23"/>
                <w:szCs w:val="23"/>
                <w:color w:val="auto"/>
              </w:rPr>
            </w:pPr>
          </w:p>
        </w:tc>
        <w:tc>
          <w:tcPr>
            <w:tcW w:w="7900" w:type="dxa"/>
            <w:vAlign w:val="bottom"/>
          </w:tcPr>
          <w:p>
            <w:pPr>
              <w:ind w:left="60"/>
              <w:spacing w:after="0"/>
              <w:rPr>
                <w:sz w:val="20"/>
                <w:szCs w:val="20"/>
                <w:color w:val="auto"/>
              </w:rPr>
            </w:pPr>
            <w:r>
              <w:rPr>
                <w:rFonts w:ascii="Arial" w:cs="Arial" w:eastAsia="Arial" w:hAnsi="Arial"/>
                <w:sz w:val="20"/>
                <w:szCs w:val="20"/>
                <w:b w:val="1"/>
                <w:bCs w:val="1"/>
                <w:i w:val="1"/>
                <w:iCs w:val="1"/>
                <w:color w:val="auto"/>
              </w:rPr>
              <w:t>Conformité Européenne, French for “European Conformity”</w:t>
            </w:r>
          </w:p>
        </w:tc>
      </w:tr>
      <w:tr>
        <w:trPr>
          <w:trHeight w:val="269"/>
        </w:trPr>
        <w:tc>
          <w:tcPr>
            <w:tcW w:w="48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w w:val="99"/>
              </w:rPr>
              <w:t>CED</w:t>
            </w:r>
          </w:p>
        </w:tc>
        <w:tc>
          <w:tcPr>
            <w:tcW w:w="1560" w:type="dxa"/>
            <w:vAlign w:val="bottom"/>
            <w:tcBorders>
              <w:bottom w:val="single" w:sz="8" w:color="E6E6E6"/>
            </w:tcBorders>
            <w:shd w:val="clear" w:color="auto" w:fill="E6E6E6"/>
          </w:tcPr>
          <w:p>
            <w:pPr>
              <w:spacing w:after="0"/>
              <w:rPr>
                <w:sz w:val="23"/>
                <w:szCs w:val="23"/>
                <w:color w:val="auto"/>
              </w:rPr>
            </w:pPr>
          </w:p>
        </w:tc>
        <w:tc>
          <w:tcPr>
            <w:tcW w:w="100" w:type="dxa"/>
            <w:vAlign w:val="bottom"/>
            <w:tcBorders>
              <w:bottom w:val="single" w:sz="8" w:color="E6E6E6"/>
            </w:tcBorders>
            <w:shd w:val="clear" w:color="auto" w:fill="E6E6E6"/>
          </w:tcPr>
          <w:p>
            <w:pPr>
              <w:spacing w:after="0"/>
              <w:rPr>
                <w:sz w:val="23"/>
                <w:szCs w:val="23"/>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Coverage with Evidence Development</w:t>
            </w:r>
          </w:p>
        </w:tc>
      </w:tr>
      <w:tr>
        <w:trPr>
          <w:trHeight w:val="257"/>
        </w:trPr>
        <w:tc>
          <w:tcPr>
            <w:tcW w:w="480" w:type="dxa"/>
            <w:vAlign w:val="bottom"/>
          </w:tcPr>
          <w:p>
            <w:pPr>
              <w:ind w:left="40"/>
              <w:spacing w:after="0"/>
              <w:rPr>
                <w:sz w:val="20"/>
                <w:szCs w:val="20"/>
                <w:color w:val="auto"/>
              </w:rPr>
            </w:pPr>
            <w:r>
              <w:rPr>
                <w:rFonts w:ascii="Arial" w:cs="Arial" w:eastAsia="Arial" w:hAnsi="Arial"/>
                <w:sz w:val="20"/>
                <w:szCs w:val="20"/>
                <w:color w:val="auto"/>
                <w:w w:val="96"/>
              </w:rPr>
              <w:t>CEO</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Chief Executive Officer</w:t>
            </w:r>
          </w:p>
        </w:tc>
      </w:tr>
      <w:tr>
        <w:trPr>
          <w:trHeight w:val="22"/>
        </w:trPr>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48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w w:val="99"/>
              </w:rPr>
              <w:t>CFO</w:t>
            </w:r>
          </w:p>
        </w:tc>
        <w:tc>
          <w:tcPr>
            <w:tcW w:w="1560" w:type="dxa"/>
            <w:vAlign w:val="bottom"/>
            <w:tcBorders>
              <w:bottom w:val="single" w:sz="8" w:color="E6E6E6"/>
            </w:tcBorders>
            <w:shd w:val="clear" w:color="auto" w:fill="E6E6E6"/>
          </w:tcPr>
          <w:p>
            <w:pPr>
              <w:spacing w:after="0"/>
              <w:rPr>
                <w:sz w:val="22"/>
                <w:szCs w:val="22"/>
                <w:color w:val="auto"/>
              </w:rPr>
            </w:pP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Chief Financial Officer</w:t>
            </w:r>
          </w:p>
        </w:tc>
      </w:tr>
      <w:tr>
        <w:trPr>
          <w:trHeight w:val="257"/>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CISO</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Chief Information Security Officer</w:t>
            </w:r>
          </w:p>
        </w:tc>
      </w:tr>
      <w:tr>
        <w:trPr>
          <w:trHeight w:val="22"/>
        </w:trPr>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48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CLO</w:t>
            </w:r>
          </w:p>
        </w:tc>
        <w:tc>
          <w:tcPr>
            <w:tcW w:w="1560" w:type="dxa"/>
            <w:vAlign w:val="bottom"/>
            <w:tcBorders>
              <w:bottom w:val="single" w:sz="8" w:color="E6E6E6"/>
            </w:tcBorders>
            <w:shd w:val="clear" w:color="auto" w:fill="E6E6E6"/>
          </w:tcPr>
          <w:p>
            <w:pPr>
              <w:spacing w:after="0"/>
              <w:rPr>
                <w:sz w:val="22"/>
                <w:szCs w:val="22"/>
                <w:color w:val="auto"/>
              </w:rPr>
            </w:pP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Chief Legal Officer</w:t>
            </w:r>
          </w:p>
        </w:tc>
      </w:tr>
      <w:tr>
        <w:trPr>
          <w:trHeight w:val="257"/>
        </w:trPr>
        <w:tc>
          <w:tcPr>
            <w:tcW w:w="480" w:type="dxa"/>
            <w:vAlign w:val="bottom"/>
          </w:tcPr>
          <w:p>
            <w:pPr>
              <w:ind w:left="40"/>
              <w:spacing w:after="0"/>
              <w:rPr>
                <w:sz w:val="20"/>
                <w:szCs w:val="20"/>
                <w:color w:val="auto"/>
              </w:rPr>
            </w:pPr>
            <w:r>
              <w:rPr>
                <w:rFonts w:ascii="Arial" w:cs="Arial" w:eastAsia="Arial" w:hAnsi="Arial"/>
                <w:sz w:val="20"/>
                <w:szCs w:val="20"/>
                <w:color w:val="auto"/>
                <w:w w:val="94"/>
              </w:rPr>
              <w:t>CMS</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The U.S. Centers for Medicare &amp; Medicaid Services</w:t>
            </w:r>
          </w:p>
        </w:tc>
      </w:tr>
      <w:tr>
        <w:trPr>
          <w:trHeight w:val="22"/>
        </w:trPr>
        <w:tc>
          <w:tcPr>
            <w:tcW w:w="2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7"/>
        </w:trPr>
        <w:tc>
          <w:tcPr>
            <w:tcW w:w="2040" w:type="dxa"/>
            <w:vAlign w:val="bottom"/>
            <w:gridSpan w:val="2"/>
            <w:shd w:val="clear" w:color="auto" w:fill="E6E6E6"/>
          </w:tcPr>
          <w:p>
            <w:pPr>
              <w:ind w:left="40"/>
              <w:spacing w:after="0"/>
              <w:rPr>
                <w:sz w:val="20"/>
                <w:szCs w:val="20"/>
                <w:color w:val="auto"/>
              </w:rPr>
            </w:pPr>
            <w:r>
              <w:rPr>
                <w:rFonts w:ascii="Arial" w:cs="Arial" w:eastAsia="Arial" w:hAnsi="Arial"/>
                <w:sz w:val="20"/>
                <w:szCs w:val="20"/>
                <w:color w:val="auto"/>
              </w:rPr>
              <w:t>Code of Conduct</w:t>
            </w:r>
          </w:p>
        </w:tc>
        <w:tc>
          <w:tcPr>
            <w:tcW w:w="100" w:type="dxa"/>
            <w:vAlign w:val="bottom"/>
            <w:shd w:val="clear" w:color="auto" w:fill="E6E6E6"/>
          </w:tcPr>
          <w:p>
            <w:pPr>
              <w:spacing w:after="0"/>
              <w:rPr>
                <w:sz w:val="22"/>
                <w:szCs w:val="22"/>
                <w:color w:val="auto"/>
              </w:rPr>
            </w:pPr>
          </w:p>
        </w:tc>
        <w:tc>
          <w:tcPr>
            <w:tcW w:w="7900" w:type="dxa"/>
            <w:vAlign w:val="bottom"/>
            <w:shd w:val="clear" w:color="auto" w:fill="E6E6E6"/>
          </w:tcPr>
          <w:p>
            <w:pPr>
              <w:ind w:left="60"/>
              <w:spacing w:after="0"/>
              <w:rPr>
                <w:sz w:val="20"/>
                <w:szCs w:val="20"/>
                <w:color w:val="auto"/>
              </w:rPr>
            </w:pPr>
            <w:r>
              <w:rPr>
                <w:rFonts w:ascii="Arial" w:cs="Arial" w:eastAsia="Arial" w:hAnsi="Arial"/>
                <w:sz w:val="20"/>
                <w:szCs w:val="20"/>
                <w:color w:val="auto"/>
              </w:rPr>
              <w:t>LivaNova PLC’s Code of Ethics and Business Conduct</w:t>
            </w:r>
          </w:p>
        </w:tc>
      </w:tr>
      <w:tr>
        <w:trPr>
          <w:trHeight w:val="22"/>
        </w:trPr>
        <w:tc>
          <w:tcPr>
            <w:tcW w:w="480" w:type="dxa"/>
            <w:vAlign w:val="bottom"/>
            <w:shd w:val="clear" w:color="auto" w:fill="E6E6E6"/>
          </w:tcPr>
          <w:p>
            <w:pPr>
              <w:spacing w:after="0" w:line="20" w:lineRule="exact"/>
              <w:rPr>
                <w:sz w:val="1"/>
                <w:szCs w:val="1"/>
                <w:color w:val="auto"/>
              </w:rPr>
            </w:pPr>
          </w:p>
        </w:tc>
        <w:tc>
          <w:tcPr>
            <w:tcW w:w="1560" w:type="dxa"/>
            <w:vAlign w:val="bottom"/>
            <w:shd w:val="clear" w:color="auto" w:fill="E6E6E6"/>
          </w:tcPr>
          <w:p>
            <w:pPr>
              <w:spacing w:after="0" w:line="20" w:lineRule="exact"/>
              <w:rPr>
                <w:sz w:val="1"/>
                <w:szCs w:val="1"/>
                <w:color w:val="auto"/>
              </w:rPr>
            </w:pPr>
          </w:p>
        </w:tc>
        <w:tc>
          <w:tcPr>
            <w:tcW w:w="100" w:type="dxa"/>
            <w:vAlign w:val="bottom"/>
            <w:shd w:val="clear" w:color="auto" w:fill="E6E6E6"/>
          </w:tcPr>
          <w:p>
            <w:pPr>
              <w:spacing w:after="0" w:line="20" w:lineRule="exact"/>
              <w:rPr>
                <w:sz w:val="1"/>
                <w:szCs w:val="1"/>
                <w:color w:val="auto"/>
              </w:rPr>
            </w:pPr>
          </w:p>
        </w:tc>
        <w:tc>
          <w:tcPr>
            <w:tcW w:w="7900" w:type="dxa"/>
            <w:vAlign w:val="bottom"/>
            <w:shd w:val="clear" w:color="auto" w:fill="E6E6E6"/>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-7974330</wp:posOffset>
            </wp:positionV>
            <wp:extent cx="641032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extLst>
                    </a:blip>
                    <a:srcRect/>
                    <a:stretch>
                      <a:fillRect/>
                    </a:stretch>
                  </pic:blipFill>
                  <pic:spPr bwMode="auto">
                    <a:xfrm>
                      <a:off x="0" y="0"/>
                      <a:ext cx="6410325" cy="25400"/>
                    </a:xfrm>
                    <a:prstGeom prst="rect">
                      <a:avLst/>
                    </a:prstGeom>
                    <a:noFill/>
                  </pic:spPr>
                </pic:pic>
              </a:graphicData>
            </a:graphic>
          </wp:anchor>
        </w:drawing>
      </w:r>
    </w:p>
    <w:p>
      <w:pPr>
        <w:sectPr>
          <w:pgSz w:w="11880" w:h="15480" w:orient="portrait"/>
          <w:cols w:equalWidth="0" w:num="1">
            <w:col w:w="10040"/>
          </w:cols>
          <w:pgMar w:left="920" w:top="644" w:right="920" w:bottom="0" w:gutter="0" w:footer="0" w:header="0"/>
        </w:sect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880" w:h="15480" w:orient="portrait"/>
          <w:cols w:equalWidth="0" w:num="1">
            <w:col w:w="10040"/>
          </w:cols>
          <w:pgMar w:left="920" w:top="644" w:right="920" w:bottom="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62"/>
        </w:trPr>
        <w:tc>
          <w:tcPr>
            <w:tcW w:w="204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Abbreviation</w:t>
            </w:r>
          </w:p>
        </w:tc>
        <w:tc>
          <w:tcPr>
            <w:tcW w:w="100" w:type="dxa"/>
            <w:vAlign w:val="bottom"/>
          </w:tcPr>
          <w:p>
            <w:pPr>
              <w:spacing w:after="0"/>
              <w:rPr>
                <w:sz w:val="22"/>
                <w:szCs w:val="22"/>
                <w:color w:val="auto"/>
              </w:rPr>
            </w:pPr>
          </w:p>
        </w:tc>
        <w:tc>
          <w:tcPr>
            <w:tcW w:w="790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color w:val="auto"/>
              </w:rPr>
              <w:t>Definition</w:t>
            </w:r>
          </w:p>
        </w:tc>
      </w:tr>
      <w:tr>
        <w:trPr>
          <w:trHeight w:val="263"/>
        </w:trPr>
        <w:tc>
          <w:tcPr>
            <w:tcW w:w="2040" w:type="dxa"/>
            <w:vAlign w:val="bottom"/>
          </w:tcPr>
          <w:p>
            <w:pPr>
              <w:ind w:left="40"/>
              <w:spacing w:after="0"/>
              <w:rPr>
                <w:sz w:val="20"/>
                <w:szCs w:val="20"/>
                <w:color w:val="auto"/>
              </w:rPr>
            </w:pPr>
            <w:r>
              <w:rPr>
                <w:rFonts w:ascii="Arial" w:cs="Arial" w:eastAsia="Arial" w:hAnsi="Arial"/>
                <w:sz w:val="20"/>
                <w:szCs w:val="20"/>
                <w:color w:val="auto"/>
              </w:rPr>
              <w:t>CODM</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Chief Operating Decision Maker</w:t>
            </w:r>
          </w:p>
        </w:tc>
      </w:tr>
      <w:tr>
        <w:trPr>
          <w:trHeight w:val="265"/>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Court of Appeal</w:t>
            </w:r>
          </w:p>
        </w:tc>
        <w:tc>
          <w:tcPr>
            <w:tcW w:w="100" w:type="dxa"/>
            <w:vAlign w:val="bottom"/>
            <w:tcBorders>
              <w:bottom w:val="single" w:sz="8" w:color="E6E6E6"/>
            </w:tcBorders>
            <w:shd w:val="clear" w:color="auto" w:fill="E6E6E6"/>
          </w:tcPr>
          <w:p>
            <w:pPr>
              <w:spacing w:after="0"/>
              <w:rPr>
                <w:sz w:val="23"/>
                <w:szCs w:val="23"/>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Court of Appeal in Milan</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CPB</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Cardiopulmonary bypass</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CSRD</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EU Corporate Sustainability Reporting Directive (2022/2464)</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Cyberonics</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Cyberonics, Inc.</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187"/>
        </w:trPr>
        <w:tc>
          <w:tcPr>
            <w:tcW w:w="2040" w:type="dxa"/>
            <w:vAlign w:val="bottom"/>
            <w:shd w:val="clear" w:color="auto" w:fill="E6E6E6"/>
          </w:tcPr>
          <w:p>
            <w:pPr>
              <w:ind w:left="40"/>
              <w:spacing w:after="0" w:line="187" w:lineRule="exact"/>
              <w:rPr>
                <w:sz w:val="20"/>
                <w:szCs w:val="20"/>
                <w:color w:val="auto"/>
              </w:rPr>
            </w:pPr>
            <w:r>
              <w:rPr>
                <w:rFonts w:ascii="Arial" w:cs="Arial" w:eastAsia="Arial" w:hAnsi="Arial"/>
                <w:sz w:val="20"/>
                <w:szCs w:val="20"/>
                <w:color w:val="auto"/>
              </w:rPr>
              <w:t>Delayed Draw Term</w:t>
            </w:r>
          </w:p>
        </w:tc>
        <w:tc>
          <w:tcPr>
            <w:tcW w:w="100" w:type="dxa"/>
            <w:vAlign w:val="bottom"/>
            <w:shd w:val="clear" w:color="auto" w:fill="E6E6E6"/>
          </w:tcPr>
          <w:p>
            <w:pPr>
              <w:spacing w:after="0"/>
              <w:rPr>
                <w:sz w:val="16"/>
                <w:szCs w:val="16"/>
                <w:color w:val="auto"/>
              </w:rPr>
            </w:pPr>
          </w:p>
        </w:tc>
        <w:tc>
          <w:tcPr>
            <w:tcW w:w="7900" w:type="dxa"/>
            <w:vAlign w:val="bottom"/>
            <w:shd w:val="clear" w:color="auto" w:fill="E6E6E6"/>
          </w:tcPr>
          <w:p>
            <w:pPr>
              <w:ind w:left="60"/>
              <w:spacing w:after="0" w:line="187" w:lineRule="exact"/>
              <w:rPr>
                <w:sz w:val="20"/>
                <w:szCs w:val="20"/>
                <w:color w:val="auto"/>
              </w:rPr>
            </w:pPr>
            <w:r>
              <w:rPr>
                <w:rFonts w:ascii="Arial" w:cs="Arial" w:eastAsia="Arial" w:hAnsi="Arial"/>
                <w:sz w:val="20"/>
                <w:szCs w:val="20"/>
                <w:color w:val="auto"/>
                <w:w w:val="95"/>
              </w:rPr>
              <w:t>$50.0 million delayed draw term facility under the 2021 First Lien Credit Agreement resulting</w:t>
            </w:r>
          </w:p>
        </w:tc>
      </w:tr>
      <w:tr>
        <w:trPr>
          <w:trHeight w:val="268"/>
        </w:trPr>
        <w:tc>
          <w:tcPr>
            <w:tcW w:w="2040" w:type="dxa"/>
            <w:vAlign w:val="bottom"/>
            <w:shd w:val="clear" w:color="auto" w:fill="E6E6E6"/>
          </w:tcPr>
          <w:p>
            <w:pPr>
              <w:ind w:left="40"/>
              <w:spacing w:after="0"/>
              <w:rPr>
                <w:sz w:val="20"/>
                <w:szCs w:val="20"/>
                <w:color w:val="auto"/>
              </w:rPr>
            </w:pPr>
            <w:r>
              <w:rPr>
                <w:rFonts w:ascii="Arial" w:cs="Arial" w:eastAsia="Arial" w:hAnsi="Arial"/>
                <w:sz w:val="20"/>
                <w:szCs w:val="20"/>
                <w:color w:val="auto"/>
              </w:rPr>
              <w:t>Facility</w:t>
            </w:r>
          </w:p>
        </w:tc>
        <w:tc>
          <w:tcPr>
            <w:tcW w:w="100" w:type="dxa"/>
            <w:vAlign w:val="bottom"/>
            <w:shd w:val="clear" w:color="auto" w:fill="E6E6E6"/>
          </w:tcPr>
          <w:p>
            <w:pPr>
              <w:spacing w:after="0"/>
              <w:rPr>
                <w:sz w:val="23"/>
                <w:szCs w:val="23"/>
                <w:color w:val="auto"/>
              </w:rPr>
            </w:pPr>
          </w:p>
        </w:tc>
        <w:tc>
          <w:tcPr>
            <w:tcW w:w="7900" w:type="dxa"/>
            <w:vAlign w:val="bottom"/>
            <w:shd w:val="clear" w:color="auto" w:fill="E6E6E6"/>
          </w:tcPr>
          <w:p>
            <w:pPr>
              <w:ind w:left="60"/>
              <w:spacing w:after="0"/>
              <w:rPr>
                <w:sz w:val="20"/>
                <w:szCs w:val="20"/>
                <w:color w:val="auto"/>
              </w:rPr>
            </w:pPr>
            <w:r>
              <w:rPr>
                <w:rFonts w:ascii="Arial" w:cs="Arial" w:eastAsia="Arial" w:hAnsi="Arial"/>
                <w:sz w:val="20"/>
                <w:szCs w:val="20"/>
                <w:color w:val="auto"/>
              </w:rPr>
              <w:t>from the Incremental Facility Amendment No. 2</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DRE</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Drug-resistant epilepsy</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DTC</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Depository Trust Company</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DTD</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Difficult-to-treat depression</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ECJ</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European Court of Justice</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ECMO</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Extracorporeal membrane oxygenation</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w w:val="98"/>
              </w:rPr>
              <w:t>Embedded Derivatives</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w w:val="90"/>
              </w:rPr>
              <w:t>The bifurcated embedded derivatives associated with the 2025 Notes and 2029 Notes, collectively</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EPA</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U.S. Environmental Protection Agency</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ESPP</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Global Employee Share Purchase Plan</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ESRS</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European Sustainability Reporting Standards</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EtO</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Ethylene oxide</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EU</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European Union</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Exchange Act</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U.S. Securities Exchange Act of 1934, as amended</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False Claims Act</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U.S. False Claims Act</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FASB</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Financial Accounting Standards Board</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FCPA</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U.S. Foreign Corrupt Practices Act of 1977</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FDA</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U.S. Food and Drug Administration</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FIFO</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First-in-first-out</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FX</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Foreign currency exchange rate</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GDPR</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General Data Protection Regulation</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Hemolung</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Hemolung Respiratory Assist System</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HHS</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The U.S. Department of Health &amp; Human Services</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HIPAA</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Health Insurance Portability and Accountability Act of 1996</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HITECH</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Health Information Technology and Clinical Health Act</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HLM</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Heart-lung machine</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IBR</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Incremental borrowing rate</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187"/>
        </w:trPr>
        <w:tc>
          <w:tcPr>
            <w:tcW w:w="2040" w:type="dxa"/>
            <w:vAlign w:val="bottom"/>
            <w:shd w:val="clear" w:color="auto" w:fill="E6E6E6"/>
          </w:tcPr>
          <w:p>
            <w:pPr>
              <w:ind w:left="40"/>
              <w:spacing w:after="0" w:line="187" w:lineRule="exact"/>
              <w:rPr>
                <w:sz w:val="20"/>
                <w:szCs w:val="20"/>
                <w:color w:val="auto"/>
              </w:rPr>
            </w:pPr>
            <w:r>
              <w:rPr>
                <w:rFonts w:ascii="Arial" w:cs="Arial" w:eastAsia="Arial" w:hAnsi="Arial"/>
                <w:sz w:val="20"/>
                <w:szCs w:val="20"/>
                <w:color w:val="auto"/>
              </w:rPr>
              <w:t>ImThera</w:t>
            </w:r>
          </w:p>
        </w:tc>
        <w:tc>
          <w:tcPr>
            <w:tcW w:w="100" w:type="dxa"/>
            <w:vAlign w:val="bottom"/>
            <w:shd w:val="clear" w:color="auto" w:fill="E6E6E6"/>
          </w:tcPr>
          <w:p>
            <w:pPr>
              <w:spacing w:after="0"/>
              <w:rPr>
                <w:sz w:val="16"/>
                <w:szCs w:val="16"/>
                <w:color w:val="auto"/>
              </w:rPr>
            </w:pPr>
          </w:p>
        </w:tc>
        <w:tc>
          <w:tcPr>
            <w:tcW w:w="7900" w:type="dxa"/>
            <w:vAlign w:val="bottom"/>
            <w:shd w:val="clear" w:color="auto" w:fill="E6E6E6"/>
          </w:tcPr>
          <w:p>
            <w:pPr>
              <w:ind w:left="60"/>
              <w:spacing w:after="0" w:line="187" w:lineRule="exact"/>
              <w:rPr>
                <w:sz w:val="20"/>
                <w:szCs w:val="20"/>
                <w:color w:val="auto"/>
              </w:rPr>
            </w:pPr>
            <w:r>
              <w:rPr>
                <w:rFonts w:ascii="Arial" w:cs="Arial" w:eastAsia="Arial" w:hAnsi="Arial"/>
                <w:sz w:val="20"/>
                <w:szCs w:val="20"/>
                <w:color w:val="auto"/>
                <w:w w:val="96"/>
              </w:rPr>
              <w:t>ImThera Medical, Inc., acquired by LivaNova in 2018, a company developing an implantable</w:t>
            </w:r>
          </w:p>
        </w:tc>
      </w:tr>
      <w:tr>
        <w:trPr>
          <w:trHeight w:val="268"/>
        </w:trPr>
        <w:tc>
          <w:tcPr>
            <w:tcW w:w="2040" w:type="dxa"/>
            <w:vAlign w:val="bottom"/>
            <w:shd w:val="clear" w:color="auto" w:fill="E6E6E6"/>
          </w:tcPr>
          <w:p>
            <w:pPr>
              <w:spacing w:after="0"/>
              <w:rPr>
                <w:sz w:val="23"/>
                <w:szCs w:val="23"/>
                <w:color w:val="auto"/>
              </w:rPr>
            </w:pPr>
          </w:p>
        </w:tc>
        <w:tc>
          <w:tcPr>
            <w:tcW w:w="100" w:type="dxa"/>
            <w:vAlign w:val="bottom"/>
            <w:shd w:val="clear" w:color="auto" w:fill="E6E6E6"/>
          </w:tcPr>
          <w:p>
            <w:pPr>
              <w:spacing w:after="0"/>
              <w:rPr>
                <w:sz w:val="23"/>
                <w:szCs w:val="23"/>
                <w:color w:val="auto"/>
              </w:rPr>
            </w:pPr>
          </w:p>
        </w:tc>
        <w:tc>
          <w:tcPr>
            <w:tcW w:w="7900" w:type="dxa"/>
            <w:vAlign w:val="bottom"/>
            <w:shd w:val="clear" w:color="auto" w:fill="E6E6E6"/>
          </w:tcPr>
          <w:p>
            <w:pPr>
              <w:ind w:left="60"/>
              <w:spacing w:after="0"/>
              <w:rPr>
                <w:sz w:val="20"/>
                <w:szCs w:val="20"/>
                <w:color w:val="auto"/>
              </w:rPr>
            </w:pPr>
            <w:r>
              <w:rPr>
                <w:rFonts w:ascii="Arial" w:cs="Arial" w:eastAsia="Arial" w:hAnsi="Arial"/>
                <w:sz w:val="20"/>
                <w:szCs w:val="20"/>
                <w:color w:val="auto"/>
              </w:rPr>
              <w:t>neurostimulation device system for the treatment of obstructive sleep apnea</w:t>
            </w:r>
          </w:p>
        </w:tc>
      </w:tr>
      <w:tr>
        <w:trPr>
          <w:trHeight w:val="187"/>
        </w:trPr>
        <w:tc>
          <w:tcPr>
            <w:tcW w:w="2040" w:type="dxa"/>
            <w:vAlign w:val="bottom"/>
          </w:tcPr>
          <w:p>
            <w:pPr>
              <w:ind w:left="40"/>
              <w:spacing w:after="0" w:line="187" w:lineRule="exact"/>
              <w:rPr>
                <w:sz w:val="20"/>
                <w:szCs w:val="20"/>
                <w:color w:val="auto"/>
              </w:rPr>
            </w:pPr>
            <w:r>
              <w:rPr>
                <w:rFonts w:ascii="Arial" w:cs="Arial" w:eastAsia="Arial" w:hAnsi="Arial"/>
                <w:sz w:val="20"/>
                <w:szCs w:val="20"/>
                <w:color w:val="auto"/>
              </w:rPr>
              <w:t>Incremental Facility</w:t>
            </w:r>
          </w:p>
        </w:tc>
        <w:tc>
          <w:tcPr>
            <w:tcW w:w="100" w:type="dxa"/>
            <w:vAlign w:val="bottom"/>
          </w:tcPr>
          <w:p>
            <w:pPr>
              <w:spacing w:after="0"/>
              <w:rPr>
                <w:sz w:val="16"/>
                <w:szCs w:val="16"/>
                <w:color w:val="auto"/>
              </w:rPr>
            </w:pPr>
          </w:p>
        </w:tc>
        <w:tc>
          <w:tcPr>
            <w:tcW w:w="7900" w:type="dxa"/>
            <w:vAlign w:val="bottom"/>
          </w:tcPr>
          <w:p>
            <w:pPr>
              <w:ind w:left="60"/>
              <w:spacing w:after="0" w:line="187" w:lineRule="exact"/>
              <w:rPr>
                <w:sz w:val="20"/>
                <w:szCs w:val="20"/>
                <w:color w:val="auto"/>
              </w:rPr>
            </w:pPr>
            <w:r>
              <w:rPr>
                <w:rFonts w:ascii="Arial" w:cs="Arial" w:eastAsia="Arial" w:hAnsi="Arial"/>
                <w:sz w:val="20"/>
                <w:szCs w:val="20"/>
                <w:color w:val="auto"/>
                <w:w w:val="93"/>
              </w:rPr>
              <w:t>An incremental facility amendment to the 2021 First Lien Credit Agreement, dated July 6, 2022</w:t>
            </w:r>
          </w:p>
        </w:tc>
      </w:tr>
      <w:tr>
        <w:trPr>
          <w:trHeight w:val="263"/>
        </w:trPr>
        <w:tc>
          <w:tcPr>
            <w:tcW w:w="2040" w:type="dxa"/>
            <w:vAlign w:val="bottom"/>
          </w:tcPr>
          <w:p>
            <w:pPr>
              <w:ind w:left="40"/>
              <w:spacing w:after="0"/>
              <w:rPr>
                <w:sz w:val="20"/>
                <w:szCs w:val="20"/>
                <w:color w:val="auto"/>
              </w:rPr>
            </w:pPr>
            <w:r>
              <w:rPr>
                <w:rFonts w:ascii="Arial" w:cs="Arial" w:eastAsia="Arial" w:hAnsi="Arial"/>
                <w:sz w:val="20"/>
                <w:szCs w:val="20"/>
                <w:color w:val="auto"/>
              </w:rPr>
              <w:t>Amendment No. 2</w:t>
            </w:r>
          </w:p>
        </w:tc>
        <w:tc>
          <w:tcPr>
            <w:tcW w:w="100" w:type="dxa"/>
            <w:vAlign w:val="bottom"/>
          </w:tcPr>
          <w:p>
            <w:pPr>
              <w:spacing w:after="0"/>
              <w:rPr>
                <w:sz w:val="22"/>
                <w:szCs w:val="22"/>
                <w:color w:val="auto"/>
              </w:rPr>
            </w:pPr>
          </w:p>
        </w:tc>
        <w:tc>
          <w:tcPr>
            <w:tcW w:w="7900" w:type="dxa"/>
            <w:vAlign w:val="bottom"/>
          </w:tcPr>
          <w:p>
            <w:pPr>
              <w:spacing w:after="0"/>
              <w:rPr>
                <w:sz w:val="22"/>
                <w:szCs w:val="22"/>
                <w:color w:val="auto"/>
              </w:rPr>
            </w:pPr>
          </w:p>
        </w:tc>
      </w:tr>
      <w:tr>
        <w:trPr>
          <w:trHeight w:val="193"/>
        </w:trPr>
        <w:tc>
          <w:tcPr>
            <w:tcW w:w="2040" w:type="dxa"/>
            <w:vAlign w:val="bottom"/>
            <w:shd w:val="clear" w:color="auto" w:fill="E6E6E6"/>
          </w:tcPr>
          <w:p>
            <w:pPr>
              <w:ind w:left="40"/>
              <w:spacing w:after="0" w:line="193" w:lineRule="exact"/>
              <w:rPr>
                <w:sz w:val="20"/>
                <w:szCs w:val="20"/>
                <w:color w:val="auto"/>
              </w:rPr>
            </w:pPr>
            <w:r>
              <w:rPr>
                <w:rFonts w:ascii="Arial" w:cs="Arial" w:eastAsia="Arial" w:hAnsi="Arial"/>
                <w:sz w:val="20"/>
                <w:szCs w:val="20"/>
                <w:color w:val="auto"/>
              </w:rPr>
              <w:t>Incremental Facility</w:t>
            </w:r>
          </w:p>
        </w:tc>
        <w:tc>
          <w:tcPr>
            <w:tcW w:w="100" w:type="dxa"/>
            <w:vAlign w:val="bottom"/>
            <w:shd w:val="clear" w:color="auto" w:fill="E6E6E6"/>
          </w:tcPr>
          <w:p>
            <w:pPr>
              <w:spacing w:after="0"/>
              <w:rPr>
                <w:sz w:val="16"/>
                <w:szCs w:val="16"/>
                <w:color w:val="auto"/>
              </w:rPr>
            </w:pPr>
          </w:p>
        </w:tc>
        <w:tc>
          <w:tcPr>
            <w:tcW w:w="7900" w:type="dxa"/>
            <w:vAlign w:val="bottom"/>
            <w:shd w:val="clear" w:color="auto" w:fill="E6E6E6"/>
          </w:tcPr>
          <w:p>
            <w:pPr>
              <w:ind w:left="60"/>
              <w:spacing w:after="0" w:line="193" w:lineRule="exact"/>
              <w:rPr>
                <w:sz w:val="20"/>
                <w:szCs w:val="20"/>
                <w:color w:val="auto"/>
              </w:rPr>
            </w:pPr>
            <w:r>
              <w:rPr>
                <w:rFonts w:ascii="Arial" w:cs="Arial" w:eastAsia="Arial" w:hAnsi="Arial"/>
                <w:sz w:val="20"/>
                <w:szCs w:val="20"/>
                <w:color w:val="auto"/>
                <w:w w:val="91"/>
              </w:rPr>
              <w:t>An incremental facility amendment to the 2021 First Lien Credit Agreement, dated March 8, 2024</w:t>
            </w:r>
          </w:p>
        </w:tc>
      </w:tr>
      <w:tr>
        <w:trPr>
          <w:trHeight w:val="268"/>
        </w:trPr>
        <w:tc>
          <w:tcPr>
            <w:tcW w:w="2040" w:type="dxa"/>
            <w:vAlign w:val="bottom"/>
            <w:shd w:val="clear" w:color="auto" w:fill="E6E6E6"/>
          </w:tcPr>
          <w:p>
            <w:pPr>
              <w:ind w:left="40"/>
              <w:spacing w:after="0"/>
              <w:rPr>
                <w:sz w:val="20"/>
                <w:szCs w:val="20"/>
                <w:color w:val="auto"/>
              </w:rPr>
            </w:pPr>
            <w:r>
              <w:rPr>
                <w:rFonts w:ascii="Arial" w:cs="Arial" w:eastAsia="Arial" w:hAnsi="Arial"/>
                <w:sz w:val="20"/>
                <w:szCs w:val="20"/>
                <w:color w:val="auto"/>
              </w:rPr>
              <w:t>Amendment No. 3</w:t>
            </w:r>
          </w:p>
        </w:tc>
        <w:tc>
          <w:tcPr>
            <w:tcW w:w="100" w:type="dxa"/>
            <w:vAlign w:val="bottom"/>
            <w:shd w:val="clear" w:color="auto" w:fill="E6E6E6"/>
          </w:tcPr>
          <w:p>
            <w:pPr>
              <w:spacing w:after="0"/>
              <w:rPr>
                <w:sz w:val="23"/>
                <w:szCs w:val="23"/>
                <w:color w:val="auto"/>
              </w:rPr>
            </w:pPr>
          </w:p>
        </w:tc>
        <w:tc>
          <w:tcPr>
            <w:tcW w:w="7900" w:type="dxa"/>
            <w:vAlign w:val="bottom"/>
            <w:shd w:val="clear" w:color="auto" w:fill="E6E6E6"/>
          </w:tcPr>
          <w:p>
            <w:pPr>
              <w:spacing w:after="0"/>
              <w:rPr>
                <w:sz w:val="23"/>
                <w:szCs w:val="23"/>
                <w:color w:val="auto"/>
              </w:rPr>
            </w:pPr>
          </w:p>
        </w:tc>
      </w:tr>
      <w:tr>
        <w:trPr>
          <w:trHeight w:val="187"/>
        </w:trPr>
        <w:tc>
          <w:tcPr>
            <w:tcW w:w="2040" w:type="dxa"/>
            <w:vAlign w:val="bottom"/>
          </w:tcPr>
          <w:p>
            <w:pPr>
              <w:ind w:left="40"/>
              <w:spacing w:after="0" w:line="187" w:lineRule="exact"/>
              <w:rPr>
                <w:sz w:val="20"/>
                <w:szCs w:val="20"/>
                <w:color w:val="auto"/>
              </w:rPr>
            </w:pPr>
            <w:r>
              <w:rPr>
                <w:rFonts w:ascii="Arial" w:cs="Arial" w:eastAsia="Arial" w:hAnsi="Arial"/>
                <w:sz w:val="20"/>
                <w:szCs w:val="20"/>
                <w:color w:val="auto"/>
              </w:rPr>
              <w:t>Initial Term Facility</w:t>
            </w:r>
          </w:p>
        </w:tc>
        <w:tc>
          <w:tcPr>
            <w:tcW w:w="100" w:type="dxa"/>
            <w:vAlign w:val="bottom"/>
          </w:tcPr>
          <w:p>
            <w:pPr>
              <w:spacing w:after="0"/>
              <w:rPr>
                <w:sz w:val="16"/>
                <w:szCs w:val="16"/>
                <w:color w:val="auto"/>
              </w:rPr>
            </w:pPr>
          </w:p>
        </w:tc>
        <w:tc>
          <w:tcPr>
            <w:tcW w:w="7900" w:type="dxa"/>
            <w:vAlign w:val="bottom"/>
          </w:tcPr>
          <w:p>
            <w:pPr>
              <w:ind w:left="60"/>
              <w:spacing w:after="0" w:line="187" w:lineRule="exact"/>
              <w:rPr>
                <w:sz w:val="20"/>
                <w:szCs w:val="20"/>
                <w:color w:val="auto"/>
              </w:rPr>
            </w:pPr>
            <w:r>
              <w:rPr>
                <w:rFonts w:ascii="Arial" w:cs="Arial" w:eastAsia="Arial" w:hAnsi="Arial"/>
                <w:sz w:val="20"/>
                <w:szCs w:val="20"/>
                <w:color w:val="auto"/>
                <w:w w:val="99"/>
              </w:rPr>
              <w:t>$300.0 million term facility under the 2021 First Lien Credit Agreement, resulting from the</w:t>
            </w:r>
          </w:p>
        </w:tc>
      </w:tr>
      <w:tr>
        <w:trPr>
          <w:trHeight w:val="263"/>
        </w:trPr>
        <w:tc>
          <w:tcPr>
            <w:tcW w:w="2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Incremental Facility Amendment No. 2</w:t>
            </w:r>
          </w:p>
        </w:tc>
      </w:tr>
      <w:tr>
        <w:trPr>
          <w:trHeight w:val="265"/>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IPR&amp;D</w:t>
            </w:r>
          </w:p>
        </w:tc>
        <w:tc>
          <w:tcPr>
            <w:tcW w:w="100" w:type="dxa"/>
            <w:vAlign w:val="bottom"/>
            <w:tcBorders>
              <w:bottom w:val="single" w:sz="8" w:color="E6E6E6"/>
            </w:tcBorders>
            <w:shd w:val="clear" w:color="auto" w:fill="E6E6E6"/>
          </w:tcPr>
          <w:p>
            <w:pPr>
              <w:spacing w:after="0"/>
              <w:rPr>
                <w:sz w:val="23"/>
                <w:szCs w:val="23"/>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In-Process Research and Development</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IRC</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U.S. Internal Revenue Code</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IS</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Information security</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ISDA</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International Swaps and Derivatives Association, Inc.</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187"/>
        </w:trPr>
        <w:tc>
          <w:tcPr>
            <w:tcW w:w="2040" w:type="dxa"/>
            <w:vAlign w:val="bottom"/>
            <w:shd w:val="clear" w:color="auto" w:fill="E6E6E6"/>
          </w:tcPr>
          <w:p>
            <w:pPr>
              <w:ind w:left="40"/>
              <w:spacing w:after="0" w:line="187" w:lineRule="exact"/>
              <w:rPr>
                <w:sz w:val="20"/>
                <w:szCs w:val="20"/>
                <w:color w:val="auto"/>
              </w:rPr>
            </w:pPr>
            <w:r>
              <w:rPr>
                <w:rFonts w:ascii="Arial" w:cs="Arial" w:eastAsia="Arial" w:hAnsi="Arial"/>
                <w:sz w:val="20"/>
                <w:szCs w:val="20"/>
                <w:color w:val="auto"/>
              </w:rPr>
              <w:t>ISIN</w:t>
            </w:r>
          </w:p>
        </w:tc>
        <w:tc>
          <w:tcPr>
            <w:tcW w:w="100" w:type="dxa"/>
            <w:vAlign w:val="bottom"/>
            <w:shd w:val="clear" w:color="auto" w:fill="E6E6E6"/>
          </w:tcPr>
          <w:p>
            <w:pPr>
              <w:spacing w:after="0"/>
              <w:rPr>
                <w:sz w:val="16"/>
                <w:szCs w:val="16"/>
                <w:color w:val="auto"/>
              </w:rPr>
            </w:pPr>
          </w:p>
        </w:tc>
        <w:tc>
          <w:tcPr>
            <w:tcW w:w="7900" w:type="dxa"/>
            <w:vAlign w:val="bottom"/>
            <w:shd w:val="clear" w:color="auto" w:fill="E6E6E6"/>
          </w:tcPr>
          <w:p>
            <w:pPr>
              <w:ind w:left="60"/>
              <w:spacing w:after="0" w:line="187" w:lineRule="exact"/>
              <w:rPr>
                <w:sz w:val="20"/>
                <w:szCs w:val="20"/>
                <w:color w:val="auto"/>
              </w:rPr>
            </w:pPr>
            <w:r>
              <w:rPr>
                <w:rFonts w:ascii="Arial" w:cs="Arial" w:eastAsia="Arial" w:hAnsi="Arial"/>
                <w:sz w:val="20"/>
                <w:szCs w:val="20"/>
                <w:color w:val="auto"/>
                <w:w w:val="97"/>
              </w:rPr>
              <w:t>National Inspectorate for Nuclear Safety and Radiation Protection, a sub-body of the Italian</w:t>
            </w:r>
          </w:p>
        </w:tc>
      </w:tr>
      <w:tr>
        <w:trPr>
          <w:trHeight w:val="268"/>
        </w:trPr>
        <w:tc>
          <w:tcPr>
            <w:tcW w:w="2040" w:type="dxa"/>
            <w:vAlign w:val="bottom"/>
            <w:shd w:val="clear" w:color="auto" w:fill="E6E6E6"/>
          </w:tcPr>
          <w:p>
            <w:pPr>
              <w:spacing w:after="0"/>
              <w:rPr>
                <w:sz w:val="23"/>
                <w:szCs w:val="23"/>
                <w:color w:val="auto"/>
              </w:rPr>
            </w:pPr>
          </w:p>
        </w:tc>
        <w:tc>
          <w:tcPr>
            <w:tcW w:w="100" w:type="dxa"/>
            <w:vAlign w:val="bottom"/>
            <w:shd w:val="clear" w:color="auto" w:fill="E6E6E6"/>
          </w:tcPr>
          <w:p>
            <w:pPr>
              <w:spacing w:after="0"/>
              <w:rPr>
                <w:sz w:val="23"/>
                <w:szCs w:val="23"/>
                <w:color w:val="auto"/>
              </w:rPr>
            </w:pPr>
          </w:p>
        </w:tc>
        <w:tc>
          <w:tcPr>
            <w:tcW w:w="7900" w:type="dxa"/>
            <w:vAlign w:val="bottom"/>
            <w:shd w:val="clear" w:color="auto" w:fill="E6E6E6"/>
          </w:tcPr>
          <w:p>
            <w:pPr>
              <w:ind w:left="60"/>
              <w:spacing w:after="0"/>
              <w:rPr>
                <w:sz w:val="20"/>
                <w:szCs w:val="20"/>
                <w:color w:val="auto"/>
              </w:rPr>
            </w:pPr>
            <w:r>
              <w:rPr>
                <w:rFonts w:ascii="Arial" w:cs="Arial" w:eastAsia="Arial" w:hAnsi="Arial"/>
                <w:sz w:val="20"/>
                <w:szCs w:val="20"/>
                <w:color w:val="auto"/>
              </w:rPr>
              <w:t>Ministry of Economic Development</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ISMS</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Information Security Management System</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ISO</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International Organization for Standardization</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IT</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Information technology</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7"/>
        </w:trPr>
        <w:tc>
          <w:tcPr>
            <w:tcW w:w="2040" w:type="dxa"/>
            <w:vAlign w:val="bottom"/>
            <w:shd w:val="clear" w:color="auto" w:fill="E6E6E6"/>
          </w:tcPr>
          <w:p>
            <w:pPr>
              <w:ind w:left="40"/>
              <w:spacing w:after="0"/>
              <w:rPr>
                <w:sz w:val="20"/>
                <w:szCs w:val="20"/>
                <w:color w:val="auto"/>
              </w:rPr>
            </w:pPr>
            <w:r>
              <w:rPr>
                <w:rFonts w:ascii="Arial" w:cs="Arial" w:eastAsia="Arial" w:hAnsi="Arial"/>
                <w:sz w:val="20"/>
                <w:szCs w:val="20"/>
                <w:color w:val="auto"/>
              </w:rPr>
              <w:t>LivaNova PLC</w:t>
            </w:r>
          </w:p>
        </w:tc>
        <w:tc>
          <w:tcPr>
            <w:tcW w:w="100" w:type="dxa"/>
            <w:vAlign w:val="bottom"/>
            <w:shd w:val="clear" w:color="auto" w:fill="E6E6E6"/>
          </w:tcPr>
          <w:p>
            <w:pPr>
              <w:spacing w:after="0"/>
              <w:rPr>
                <w:sz w:val="22"/>
                <w:szCs w:val="22"/>
                <w:color w:val="auto"/>
              </w:rPr>
            </w:pPr>
          </w:p>
        </w:tc>
        <w:tc>
          <w:tcPr>
            <w:tcW w:w="7900" w:type="dxa"/>
            <w:vAlign w:val="bottom"/>
            <w:shd w:val="clear" w:color="auto" w:fill="E6E6E6"/>
          </w:tcPr>
          <w:p>
            <w:pPr>
              <w:ind w:left="60"/>
              <w:spacing w:after="0"/>
              <w:rPr>
                <w:sz w:val="20"/>
                <w:szCs w:val="20"/>
                <w:color w:val="auto"/>
              </w:rPr>
            </w:pPr>
            <w:r>
              <w:rPr>
                <w:rFonts w:ascii="Arial" w:cs="Arial" w:eastAsia="Arial" w:hAnsi="Arial"/>
                <w:sz w:val="20"/>
                <w:szCs w:val="20"/>
                <w:color w:val="auto"/>
                <w:w w:val="92"/>
              </w:rPr>
              <w:t>A public limited company organized under the laws of England and Wales on February 20, 2015</w:t>
            </w:r>
          </w:p>
        </w:tc>
      </w:tr>
      <w:tr>
        <w:trPr>
          <w:trHeight w:val="22"/>
        </w:trPr>
        <w:tc>
          <w:tcPr>
            <w:tcW w:w="2040" w:type="dxa"/>
            <w:vAlign w:val="bottom"/>
            <w:shd w:val="clear" w:color="auto" w:fill="E6E6E6"/>
          </w:tcPr>
          <w:p>
            <w:pPr>
              <w:spacing w:after="0" w:line="20" w:lineRule="exact"/>
              <w:rPr>
                <w:sz w:val="1"/>
                <w:szCs w:val="1"/>
                <w:color w:val="auto"/>
              </w:rPr>
            </w:pPr>
          </w:p>
        </w:tc>
        <w:tc>
          <w:tcPr>
            <w:tcW w:w="100" w:type="dxa"/>
            <w:vAlign w:val="bottom"/>
            <w:shd w:val="clear" w:color="auto" w:fill="E6E6E6"/>
          </w:tcPr>
          <w:p>
            <w:pPr>
              <w:spacing w:after="0" w:line="20" w:lineRule="exact"/>
              <w:rPr>
                <w:sz w:val="1"/>
                <w:szCs w:val="1"/>
                <w:color w:val="auto"/>
              </w:rPr>
            </w:pPr>
          </w:p>
        </w:tc>
        <w:tc>
          <w:tcPr>
            <w:tcW w:w="7900" w:type="dxa"/>
            <w:vAlign w:val="bottom"/>
            <w:shd w:val="clear" w:color="auto" w:fill="E6E6E6"/>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6367145</wp:posOffset>
            </wp:positionH>
            <wp:positionV relativeFrom="paragraph">
              <wp:posOffset>-189230</wp:posOffset>
            </wp:positionV>
            <wp:extent cx="25400" cy="2025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extLst>
                    </a:blip>
                    <a:srcRect/>
                    <a:stretch>
                      <a:fillRect/>
                    </a:stretch>
                  </pic:blipFill>
                  <pic:spPr bwMode="auto">
                    <a:xfrm>
                      <a:off x="0" y="0"/>
                      <a:ext cx="25400" cy="202565"/>
                    </a:xfrm>
                    <a:prstGeom prst="rect">
                      <a:avLst/>
                    </a:prstGeom>
                    <a:noFill/>
                  </pic:spPr>
                </pic:pic>
              </a:graphicData>
            </a:graphic>
          </wp:anchor>
        </w:drawing>
      </w:r>
    </w:p>
    <w:p>
      <w:pPr>
        <w:sectPr>
          <w:pgSz w:w="11880" w:h="15480" w:orient="portrait"/>
          <w:cols w:equalWidth="0" w:num="1">
            <w:col w:w="10040"/>
          </w:cols>
          <w:pgMar w:left="920" w:top="732" w:right="920" w:bottom="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880" w:h="15480" w:orient="portrait"/>
          <w:cols w:equalWidth="0" w:num="1">
            <w:col w:w="10040"/>
          </w:cols>
          <w:pgMar w:left="920" w:top="732" w:right="920" w:bottom="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62"/>
        </w:trPr>
        <w:tc>
          <w:tcPr>
            <w:tcW w:w="204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Abbreviation</w:t>
            </w:r>
          </w:p>
        </w:tc>
        <w:tc>
          <w:tcPr>
            <w:tcW w:w="100" w:type="dxa"/>
            <w:vAlign w:val="bottom"/>
          </w:tcPr>
          <w:p>
            <w:pPr>
              <w:spacing w:after="0"/>
              <w:rPr>
                <w:sz w:val="22"/>
                <w:szCs w:val="22"/>
                <w:color w:val="auto"/>
              </w:rPr>
            </w:pPr>
          </w:p>
        </w:tc>
        <w:tc>
          <w:tcPr>
            <w:tcW w:w="790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color w:val="auto"/>
              </w:rPr>
              <w:t>Definition</w:t>
            </w:r>
          </w:p>
        </w:tc>
      </w:tr>
      <w:tr>
        <w:trPr>
          <w:trHeight w:val="263"/>
        </w:trPr>
        <w:tc>
          <w:tcPr>
            <w:tcW w:w="2040" w:type="dxa"/>
            <w:vAlign w:val="bottom"/>
          </w:tcPr>
          <w:p>
            <w:pPr>
              <w:ind w:left="40"/>
              <w:spacing w:after="0"/>
              <w:rPr>
                <w:sz w:val="20"/>
                <w:szCs w:val="20"/>
                <w:color w:val="auto"/>
              </w:rPr>
            </w:pPr>
            <w:r>
              <w:rPr>
                <w:rFonts w:ascii="Arial" w:cs="Arial" w:eastAsia="Arial" w:hAnsi="Arial"/>
                <w:sz w:val="20"/>
                <w:szCs w:val="20"/>
                <w:color w:val="auto"/>
              </w:rPr>
              <w:t>LivaNova USA</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LivaNova USA, Inc.</w:t>
            </w:r>
          </w:p>
        </w:tc>
      </w:tr>
      <w:tr>
        <w:trPr>
          <w:trHeight w:val="265"/>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LSM</w:t>
            </w:r>
          </w:p>
        </w:tc>
        <w:tc>
          <w:tcPr>
            <w:tcW w:w="100" w:type="dxa"/>
            <w:vAlign w:val="bottom"/>
            <w:tcBorders>
              <w:bottom w:val="single" w:sz="8" w:color="E6E6E6"/>
            </w:tcBorders>
            <w:shd w:val="clear" w:color="auto" w:fill="E6E6E6"/>
          </w:tcPr>
          <w:p>
            <w:pPr>
              <w:spacing w:after="0"/>
              <w:rPr>
                <w:sz w:val="23"/>
                <w:szCs w:val="23"/>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LivaNova Site Management S.r.l.</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MDD</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Medical Device Directive</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MDL</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w w:val="95"/>
              </w:rPr>
              <w:t>Federal multi-district litigation in the U.S. District Court for the Middle District of Pennsylvania</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MDR</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EU Medical Device Regulation</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MedTech</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Medical technology</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Mitral</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Mitral Holdco S.à r.l.</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MRI</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Magnetic resonance imaging</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Nasdaq</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Nasdaq Global Select Market</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NCD</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National coverage determination</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NFRD</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Non-Financial Reporting Directive (2014/95/EU)</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NIST</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National Institute of Standards and Technology</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OCI</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Other comprehensive income (loss)</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OECD</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Organisation for Economic Co-operation and Development</w:t>
            </w:r>
          </w:p>
        </w:tc>
      </w:tr>
      <w:tr>
        <w:trPr>
          <w:trHeight w:val="187"/>
        </w:trPr>
        <w:tc>
          <w:tcPr>
            <w:tcW w:w="2040" w:type="dxa"/>
            <w:vAlign w:val="bottom"/>
          </w:tcPr>
          <w:p>
            <w:pPr>
              <w:ind w:left="40"/>
              <w:spacing w:after="0" w:line="187" w:lineRule="exact"/>
              <w:rPr>
                <w:sz w:val="20"/>
                <w:szCs w:val="20"/>
                <w:color w:val="auto"/>
              </w:rPr>
            </w:pPr>
            <w:r>
              <w:rPr>
                <w:rFonts w:ascii="Arial" w:cs="Arial" w:eastAsia="Arial" w:hAnsi="Arial"/>
                <w:sz w:val="20"/>
                <w:szCs w:val="20"/>
                <w:color w:val="auto"/>
              </w:rPr>
              <w:t>Option Counterparties</w:t>
            </w:r>
          </w:p>
        </w:tc>
        <w:tc>
          <w:tcPr>
            <w:tcW w:w="100" w:type="dxa"/>
            <w:vAlign w:val="bottom"/>
          </w:tcPr>
          <w:p>
            <w:pPr>
              <w:spacing w:after="0"/>
              <w:rPr>
                <w:sz w:val="16"/>
                <w:szCs w:val="16"/>
                <w:color w:val="auto"/>
              </w:rPr>
            </w:pPr>
          </w:p>
        </w:tc>
        <w:tc>
          <w:tcPr>
            <w:tcW w:w="7900" w:type="dxa"/>
            <w:vAlign w:val="bottom"/>
          </w:tcPr>
          <w:p>
            <w:pPr>
              <w:ind w:left="60"/>
              <w:spacing w:after="0" w:line="187" w:lineRule="exact"/>
              <w:rPr>
                <w:sz w:val="20"/>
                <w:szCs w:val="20"/>
                <w:color w:val="auto"/>
              </w:rPr>
            </w:pPr>
            <w:r>
              <w:rPr>
                <w:rFonts w:ascii="Arial" w:cs="Arial" w:eastAsia="Arial" w:hAnsi="Arial"/>
                <w:sz w:val="20"/>
                <w:szCs w:val="20"/>
                <w:color w:val="auto"/>
                <w:w w:val="96"/>
              </w:rPr>
              <w:t>Certain financial institutions with whom LivaNova USA or LivaNova PLC, as applicable, has</w:t>
            </w:r>
          </w:p>
        </w:tc>
      </w:tr>
      <w:tr>
        <w:trPr>
          <w:trHeight w:val="263"/>
        </w:trPr>
        <w:tc>
          <w:tcPr>
            <w:tcW w:w="2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entered into the 2025 Capped Calls and 2029 Capped Calls</w:t>
            </w:r>
          </w:p>
        </w:tc>
      </w:tr>
      <w:tr>
        <w:trPr>
          <w:trHeight w:val="265"/>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OSA</w:t>
            </w:r>
          </w:p>
        </w:tc>
        <w:tc>
          <w:tcPr>
            <w:tcW w:w="100" w:type="dxa"/>
            <w:vAlign w:val="bottom"/>
            <w:tcBorders>
              <w:bottom w:val="single" w:sz="8" w:color="E6E6E6"/>
            </w:tcBorders>
            <w:shd w:val="clear" w:color="auto" w:fill="E6E6E6"/>
          </w:tcPr>
          <w:p>
            <w:pPr>
              <w:spacing w:after="0"/>
              <w:rPr>
                <w:sz w:val="23"/>
                <w:szCs w:val="23"/>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Obstructive sleep apnea</w:t>
            </w:r>
          </w:p>
        </w:tc>
      </w:tr>
      <w:tr>
        <w:trPr>
          <w:trHeight w:val="187"/>
        </w:trPr>
        <w:tc>
          <w:tcPr>
            <w:tcW w:w="2040" w:type="dxa"/>
            <w:vAlign w:val="bottom"/>
          </w:tcPr>
          <w:p>
            <w:pPr>
              <w:ind w:left="40"/>
              <w:spacing w:after="0" w:line="187" w:lineRule="exact"/>
              <w:rPr>
                <w:sz w:val="20"/>
                <w:szCs w:val="20"/>
                <w:color w:val="auto"/>
              </w:rPr>
            </w:pPr>
            <w:r>
              <w:rPr>
                <w:rFonts w:ascii="Arial" w:cs="Arial" w:eastAsia="Arial" w:hAnsi="Arial"/>
                <w:sz w:val="20"/>
                <w:szCs w:val="20"/>
                <w:color w:val="auto"/>
              </w:rPr>
              <w:t>OSPREY clinical trial</w:t>
            </w:r>
          </w:p>
        </w:tc>
        <w:tc>
          <w:tcPr>
            <w:tcW w:w="100" w:type="dxa"/>
            <w:vAlign w:val="bottom"/>
          </w:tcPr>
          <w:p>
            <w:pPr>
              <w:spacing w:after="0"/>
              <w:rPr>
                <w:sz w:val="16"/>
                <w:szCs w:val="16"/>
                <w:color w:val="auto"/>
              </w:rPr>
            </w:pPr>
          </w:p>
        </w:tc>
        <w:tc>
          <w:tcPr>
            <w:tcW w:w="7900" w:type="dxa"/>
            <w:vAlign w:val="bottom"/>
          </w:tcPr>
          <w:p>
            <w:pPr>
              <w:ind w:left="60"/>
              <w:spacing w:after="0" w:line="187" w:lineRule="exact"/>
              <w:rPr>
                <w:sz w:val="20"/>
                <w:szCs w:val="20"/>
                <w:color w:val="auto"/>
              </w:rPr>
            </w:pPr>
            <w:r>
              <w:rPr>
                <w:rFonts w:ascii="Arial" w:cs="Arial" w:eastAsia="Arial" w:hAnsi="Arial"/>
                <w:sz w:val="20"/>
                <w:szCs w:val="20"/>
                <w:color w:val="auto"/>
                <w:w w:val="95"/>
              </w:rPr>
              <w:t>LivaNova’s  clinical  trial,  “Treating  Obstructive  Sleep  Apnea  using  Targeted  Hypoglossal</w:t>
            </w:r>
          </w:p>
        </w:tc>
      </w:tr>
      <w:tr>
        <w:trPr>
          <w:trHeight w:val="263"/>
        </w:trPr>
        <w:tc>
          <w:tcPr>
            <w:tcW w:w="2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Neurostimulation”</w:t>
            </w:r>
          </w:p>
        </w:tc>
      </w:tr>
      <w:tr>
        <w:trPr>
          <w:trHeight w:val="265"/>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PC</w:t>
            </w:r>
          </w:p>
        </w:tc>
        <w:tc>
          <w:tcPr>
            <w:tcW w:w="100" w:type="dxa"/>
            <w:vAlign w:val="bottom"/>
            <w:tcBorders>
              <w:bottom w:val="single" w:sz="8" w:color="E6E6E6"/>
            </w:tcBorders>
            <w:shd w:val="clear" w:color="auto" w:fill="E6E6E6"/>
          </w:tcPr>
          <w:p>
            <w:pPr>
              <w:spacing w:after="0"/>
              <w:rPr>
                <w:sz w:val="23"/>
                <w:szCs w:val="23"/>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Phosphorylcholine</w:t>
            </w:r>
          </w:p>
        </w:tc>
      </w:tr>
      <w:tr>
        <w:trPr>
          <w:trHeight w:val="187"/>
        </w:trPr>
        <w:tc>
          <w:tcPr>
            <w:tcW w:w="2040" w:type="dxa"/>
            <w:vAlign w:val="bottom"/>
          </w:tcPr>
          <w:p>
            <w:pPr>
              <w:ind w:left="40"/>
              <w:spacing w:after="0" w:line="187" w:lineRule="exact"/>
              <w:rPr>
                <w:sz w:val="20"/>
                <w:szCs w:val="20"/>
                <w:color w:val="auto"/>
              </w:rPr>
            </w:pPr>
            <w:r>
              <w:rPr>
                <w:rFonts w:ascii="Arial" w:cs="Arial" w:eastAsia="Arial" w:hAnsi="Arial"/>
                <w:sz w:val="20"/>
                <w:szCs w:val="20"/>
                <w:color w:val="auto"/>
              </w:rPr>
              <w:t>Pillar Two</w:t>
            </w:r>
          </w:p>
        </w:tc>
        <w:tc>
          <w:tcPr>
            <w:tcW w:w="100" w:type="dxa"/>
            <w:vAlign w:val="bottom"/>
          </w:tcPr>
          <w:p>
            <w:pPr>
              <w:spacing w:after="0"/>
              <w:rPr>
                <w:sz w:val="16"/>
                <w:szCs w:val="16"/>
                <w:color w:val="auto"/>
              </w:rPr>
            </w:pPr>
          </w:p>
        </w:tc>
        <w:tc>
          <w:tcPr>
            <w:tcW w:w="7900" w:type="dxa"/>
            <w:vAlign w:val="bottom"/>
          </w:tcPr>
          <w:p>
            <w:pPr>
              <w:ind w:left="60"/>
              <w:spacing w:after="0" w:line="187" w:lineRule="exact"/>
              <w:rPr>
                <w:sz w:val="20"/>
                <w:szCs w:val="20"/>
                <w:color w:val="auto"/>
              </w:rPr>
            </w:pPr>
            <w:r>
              <w:rPr>
                <w:rFonts w:ascii="Arial" w:cs="Arial" w:eastAsia="Arial" w:hAnsi="Arial"/>
                <w:sz w:val="20"/>
                <w:szCs w:val="20"/>
                <w:color w:val="auto"/>
                <w:w w:val="90"/>
              </w:rPr>
              <w:t>Organisation for Economic Co-operation and Development Global Anti-Base Erosion Model Rules</w:t>
            </w:r>
          </w:p>
        </w:tc>
      </w:tr>
      <w:tr>
        <w:trPr>
          <w:trHeight w:val="263"/>
        </w:trPr>
        <w:tc>
          <w:tcPr>
            <w:tcW w:w="2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(Pillar Two)</w:t>
            </w:r>
          </w:p>
        </w:tc>
      </w:tr>
      <w:tr>
        <w:trPr>
          <w:trHeight w:val="265"/>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Plan Committee</w:t>
            </w:r>
          </w:p>
        </w:tc>
        <w:tc>
          <w:tcPr>
            <w:tcW w:w="100" w:type="dxa"/>
            <w:vAlign w:val="bottom"/>
            <w:tcBorders>
              <w:bottom w:val="single" w:sz="8" w:color="E6E6E6"/>
            </w:tcBorders>
            <w:shd w:val="clear" w:color="auto" w:fill="E6E6E6"/>
          </w:tcPr>
          <w:p>
            <w:pPr>
              <w:spacing w:after="0"/>
              <w:rPr>
                <w:sz w:val="23"/>
                <w:szCs w:val="23"/>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Qualified Plan Committee</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PMA</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Pre-market approval</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PMP</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Polymethylpentene</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PP&amp;E</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Property, plant, and equipment</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Public Administrations</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The Italian Ministry of the Environment and other Italian government agencies</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R&amp;D</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Research and development</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187"/>
        </w:trPr>
        <w:tc>
          <w:tcPr>
            <w:tcW w:w="2040" w:type="dxa"/>
            <w:vAlign w:val="bottom"/>
            <w:shd w:val="clear" w:color="auto" w:fill="E6E6E6"/>
          </w:tcPr>
          <w:p>
            <w:pPr>
              <w:ind w:left="40"/>
              <w:spacing w:after="0" w:line="187" w:lineRule="exact"/>
              <w:rPr>
                <w:sz w:val="20"/>
                <w:szCs w:val="20"/>
                <w:color w:val="auto"/>
              </w:rPr>
            </w:pPr>
            <w:r>
              <w:rPr>
                <w:rFonts w:ascii="Arial" w:cs="Arial" w:eastAsia="Arial" w:hAnsi="Arial"/>
                <w:sz w:val="20"/>
                <w:szCs w:val="20"/>
                <w:color w:val="auto"/>
              </w:rPr>
              <w:t>RECOVER clinical</w:t>
            </w:r>
          </w:p>
        </w:tc>
        <w:tc>
          <w:tcPr>
            <w:tcW w:w="100" w:type="dxa"/>
            <w:vAlign w:val="bottom"/>
            <w:shd w:val="clear" w:color="auto" w:fill="E6E6E6"/>
          </w:tcPr>
          <w:p>
            <w:pPr>
              <w:spacing w:after="0"/>
              <w:rPr>
                <w:sz w:val="16"/>
                <w:szCs w:val="16"/>
                <w:color w:val="auto"/>
              </w:rPr>
            </w:pPr>
          </w:p>
        </w:tc>
        <w:tc>
          <w:tcPr>
            <w:tcW w:w="7900" w:type="dxa"/>
            <w:vAlign w:val="bottom"/>
            <w:shd w:val="clear" w:color="auto" w:fill="E6E6E6"/>
          </w:tcPr>
          <w:p>
            <w:pPr>
              <w:ind w:left="60"/>
              <w:spacing w:after="0" w:line="187" w:lineRule="exact"/>
              <w:rPr>
                <w:sz w:val="20"/>
                <w:szCs w:val="20"/>
                <w:color w:val="auto"/>
              </w:rPr>
            </w:pPr>
            <w:r>
              <w:rPr>
                <w:rFonts w:ascii="Arial" w:cs="Arial" w:eastAsia="Arial" w:hAnsi="Arial"/>
                <w:sz w:val="20"/>
                <w:szCs w:val="20"/>
                <w:color w:val="auto"/>
                <w:w w:val="97"/>
              </w:rPr>
              <w:t>LivaNova’s clinical study “A Prospective, Multi-center, Randomized Controlled Blinded Trial</w:t>
            </w:r>
          </w:p>
        </w:tc>
      </w:tr>
      <w:tr>
        <w:trPr>
          <w:trHeight w:val="196"/>
        </w:trPr>
        <w:tc>
          <w:tcPr>
            <w:tcW w:w="2040" w:type="dxa"/>
            <w:vAlign w:val="bottom"/>
            <w:shd w:val="clear" w:color="auto" w:fill="E6E6E6"/>
          </w:tcPr>
          <w:p>
            <w:pPr>
              <w:ind w:left="40"/>
              <w:spacing w:after="0" w:line="196" w:lineRule="exact"/>
              <w:rPr>
                <w:sz w:val="20"/>
                <w:szCs w:val="20"/>
                <w:color w:val="auto"/>
              </w:rPr>
            </w:pPr>
            <w:r>
              <w:rPr>
                <w:rFonts w:ascii="Arial" w:cs="Arial" w:eastAsia="Arial" w:hAnsi="Arial"/>
                <w:sz w:val="20"/>
                <w:szCs w:val="20"/>
                <w:color w:val="auto"/>
              </w:rPr>
              <w:t>study</w:t>
            </w:r>
          </w:p>
        </w:tc>
        <w:tc>
          <w:tcPr>
            <w:tcW w:w="100" w:type="dxa"/>
            <w:vAlign w:val="bottom"/>
            <w:shd w:val="clear" w:color="auto" w:fill="E6E6E6"/>
          </w:tcPr>
          <w:p>
            <w:pPr>
              <w:spacing w:after="0"/>
              <w:rPr>
                <w:sz w:val="17"/>
                <w:szCs w:val="17"/>
                <w:color w:val="auto"/>
              </w:rPr>
            </w:pPr>
          </w:p>
        </w:tc>
        <w:tc>
          <w:tcPr>
            <w:tcW w:w="7900" w:type="dxa"/>
            <w:vAlign w:val="bottom"/>
            <w:shd w:val="clear" w:color="auto" w:fill="E6E6E6"/>
          </w:tcPr>
          <w:p>
            <w:pPr>
              <w:ind w:left="60"/>
              <w:spacing w:after="0" w:line="196" w:lineRule="exact"/>
              <w:rPr>
                <w:sz w:val="20"/>
                <w:szCs w:val="20"/>
                <w:color w:val="auto"/>
              </w:rPr>
            </w:pPr>
            <w:r>
              <w:rPr>
                <w:rFonts w:ascii="Arial" w:cs="Arial" w:eastAsia="Arial" w:hAnsi="Arial"/>
                <w:sz w:val="20"/>
                <w:szCs w:val="20"/>
                <w:color w:val="auto"/>
                <w:w w:val="96"/>
              </w:rPr>
              <w:t>Demonstrating the Safety and Effectiveness of VNS Therapy System as Adjunctive Therapy</w:t>
            </w:r>
          </w:p>
        </w:tc>
      </w:tr>
      <w:tr>
        <w:trPr>
          <w:trHeight w:val="258"/>
        </w:trPr>
        <w:tc>
          <w:tcPr>
            <w:tcW w:w="2040" w:type="dxa"/>
            <w:vAlign w:val="bottom"/>
            <w:tcBorders>
              <w:bottom w:val="single" w:sz="8" w:color="E6E6E6"/>
            </w:tcBorders>
            <w:shd w:val="clear" w:color="auto" w:fill="E6E6E6"/>
          </w:tcPr>
          <w:p>
            <w:pPr>
              <w:spacing w:after="0"/>
              <w:rPr>
                <w:sz w:val="22"/>
                <w:szCs w:val="22"/>
                <w:color w:val="auto"/>
              </w:rPr>
            </w:pP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Versus a No Stimulation Control in Subjects With Treatment-Resistant Depression”</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Report</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This Annual Report on Form 10-K</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RSUs</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Restricted stock units</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S&amp;P</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Standard &amp; Poor’s</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SARs</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Stock appreciation rights</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SDRT</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UK Stamp Duty Reserve Tax</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SEC</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U.S. Securities and Exchange Commission</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Securities Act</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U.S. Securities Act of 1933, as amended</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SG&amp;A</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Selling, general, and administrative expenses</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SNIA</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SNIA S.p.A.</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187"/>
        </w:trPr>
        <w:tc>
          <w:tcPr>
            <w:tcW w:w="2040" w:type="dxa"/>
            <w:vAlign w:val="bottom"/>
            <w:shd w:val="clear" w:color="auto" w:fill="E6E6E6"/>
          </w:tcPr>
          <w:p>
            <w:pPr>
              <w:ind w:left="40"/>
              <w:spacing w:after="0" w:line="187" w:lineRule="exact"/>
              <w:rPr>
                <w:sz w:val="20"/>
                <w:szCs w:val="20"/>
                <w:color w:val="auto"/>
              </w:rPr>
            </w:pPr>
            <w:r>
              <w:rPr>
                <w:rFonts w:ascii="Arial" w:cs="Arial" w:eastAsia="Arial" w:hAnsi="Arial"/>
                <w:sz w:val="20"/>
                <w:szCs w:val="20"/>
                <w:color w:val="auto"/>
              </w:rPr>
              <w:t>SNIA Litigation</w:t>
            </w:r>
          </w:p>
        </w:tc>
        <w:tc>
          <w:tcPr>
            <w:tcW w:w="100" w:type="dxa"/>
            <w:vAlign w:val="bottom"/>
            <w:shd w:val="clear" w:color="auto" w:fill="E6E6E6"/>
          </w:tcPr>
          <w:p>
            <w:pPr>
              <w:spacing w:after="0"/>
              <w:rPr>
                <w:sz w:val="16"/>
                <w:szCs w:val="16"/>
                <w:color w:val="auto"/>
              </w:rPr>
            </w:pPr>
          </w:p>
        </w:tc>
        <w:tc>
          <w:tcPr>
            <w:tcW w:w="7900" w:type="dxa"/>
            <w:vAlign w:val="bottom"/>
            <w:shd w:val="clear" w:color="auto" w:fill="E6E6E6"/>
          </w:tcPr>
          <w:p>
            <w:pPr>
              <w:ind w:left="60"/>
              <w:spacing w:after="0" w:line="187" w:lineRule="exact"/>
              <w:rPr>
                <w:sz w:val="20"/>
                <w:szCs w:val="20"/>
                <w:color w:val="auto"/>
              </w:rPr>
            </w:pPr>
            <w:r>
              <w:rPr>
                <w:rFonts w:ascii="Arial" w:cs="Arial" w:eastAsia="Arial" w:hAnsi="Arial"/>
                <w:sz w:val="20"/>
                <w:szCs w:val="20"/>
                <w:color w:val="auto"/>
                <w:w w:val="97"/>
              </w:rPr>
              <w:t>A first demand bank guarantee of €270.0 million in connection with the SNIA environmental</w:t>
            </w:r>
          </w:p>
        </w:tc>
      </w:tr>
      <w:tr>
        <w:trPr>
          <w:trHeight w:val="268"/>
        </w:trPr>
        <w:tc>
          <w:tcPr>
            <w:tcW w:w="2040" w:type="dxa"/>
            <w:vAlign w:val="bottom"/>
            <w:shd w:val="clear" w:color="auto" w:fill="E6E6E6"/>
          </w:tcPr>
          <w:p>
            <w:pPr>
              <w:ind w:left="40"/>
              <w:spacing w:after="0"/>
              <w:rPr>
                <w:sz w:val="20"/>
                <w:szCs w:val="20"/>
                <w:color w:val="auto"/>
              </w:rPr>
            </w:pPr>
            <w:r>
              <w:rPr>
                <w:rFonts w:ascii="Arial" w:cs="Arial" w:eastAsia="Arial" w:hAnsi="Arial"/>
                <w:sz w:val="20"/>
                <w:szCs w:val="20"/>
                <w:color w:val="auto"/>
              </w:rPr>
              <w:t>Guarantee</w:t>
            </w:r>
          </w:p>
        </w:tc>
        <w:tc>
          <w:tcPr>
            <w:tcW w:w="100" w:type="dxa"/>
            <w:vAlign w:val="bottom"/>
            <w:shd w:val="clear" w:color="auto" w:fill="E6E6E6"/>
          </w:tcPr>
          <w:p>
            <w:pPr>
              <w:spacing w:after="0"/>
              <w:rPr>
                <w:sz w:val="23"/>
                <w:szCs w:val="23"/>
                <w:color w:val="auto"/>
              </w:rPr>
            </w:pPr>
          </w:p>
        </w:tc>
        <w:tc>
          <w:tcPr>
            <w:tcW w:w="7900" w:type="dxa"/>
            <w:vAlign w:val="bottom"/>
            <w:shd w:val="clear" w:color="auto" w:fill="E6E6E6"/>
          </w:tcPr>
          <w:p>
            <w:pPr>
              <w:ind w:left="60"/>
              <w:spacing w:after="0"/>
              <w:rPr>
                <w:sz w:val="20"/>
                <w:szCs w:val="20"/>
                <w:color w:val="auto"/>
              </w:rPr>
            </w:pPr>
            <w:r>
              <w:rPr>
                <w:rFonts w:ascii="Arial" w:cs="Arial" w:eastAsia="Arial" w:hAnsi="Arial"/>
                <w:sz w:val="20"/>
                <w:szCs w:val="20"/>
                <w:color w:val="auto"/>
              </w:rPr>
              <w:t>litigation</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SOFR</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Secured Overnight Financing Rate</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Sorin</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Sorin S.p.A.</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Term Facilities</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The Initial Term Facility, together with the Delayed Draw Term Facility</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Trust</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LivaNova PLC Employee Benefit Trust</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U.S.</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United States of America</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U.S. GAAP</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Generally Accepted Accounting Principles in the U.S.</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UK</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United Kingdom</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7"/>
        </w:trPr>
        <w:tc>
          <w:tcPr>
            <w:tcW w:w="2040" w:type="dxa"/>
            <w:vAlign w:val="bottom"/>
            <w:shd w:val="clear" w:color="auto" w:fill="E6E6E6"/>
          </w:tcPr>
          <w:p>
            <w:pPr>
              <w:ind w:left="40"/>
              <w:spacing w:after="0"/>
              <w:rPr>
                <w:sz w:val="20"/>
                <w:szCs w:val="20"/>
                <w:color w:val="auto"/>
              </w:rPr>
            </w:pPr>
            <w:r>
              <w:rPr>
                <w:rFonts w:ascii="Arial" w:cs="Arial" w:eastAsia="Arial" w:hAnsi="Arial"/>
                <w:sz w:val="20"/>
                <w:szCs w:val="20"/>
                <w:color w:val="auto"/>
              </w:rPr>
              <w:t>UK Bribery Act</w:t>
            </w:r>
          </w:p>
        </w:tc>
        <w:tc>
          <w:tcPr>
            <w:tcW w:w="100" w:type="dxa"/>
            <w:vAlign w:val="bottom"/>
            <w:shd w:val="clear" w:color="auto" w:fill="E6E6E6"/>
          </w:tcPr>
          <w:p>
            <w:pPr>
              <w:spacing w:after="0"/>
              <w:rPr>
                <w:sz w:val="22"/>
                <w:szCs w:val="22"/>
                <w:color w:val="auto"/>
              </w:rPr>
            </w:pPr>
          </w:p>
        </w:tc>
        <w:tc>
          <w:tcPr>
            <w:tcW w:w="7900" w:type="dxa"/>
            <w:vAlign w:val="bottom"/>
            <w:shd w:val="clear" w:color="auto" w:fill="E6E6E6"/>
          </w:tcPr>
          <w:p>
            <w:pPr>
              <w:ind w:left="60"/>
              <w:spacing w:after="0"/>
              <w:rPr>
                <w:sz w:val="20"/>
                <w:szCs w:val="20"/>
                <w:color w:val="auto"/>
              </w:rPr>
            </w:pPr>
            <w:r>
              <w:rPr>
                <w:rFonts w:ascii="Arial" w:cs="Arial" w:eastAsia="Arial" w:hAnsi="Arial"/>
                <w:sz w:val="20"/>
                <w:szCs w:val="20"/>
                <w:color w:val="auto"/>
              </w:rPr>
              <w:t>UK Bribery Act of 2010</w:t>
            </w:r>
          </w:p>
        </w:tc>
      </w:tr>
      <w:tr>
        <w:trPr>
          <w:trHeight w:val="22"/>
        </w:trPr>
        <w:tc>
          <w:tcPr>
            <w:tcW w:w="2040" w:type="dxa"/>
            <w:vAlign w:val="bottom"/>
            <w:shd w:val="clear" w:color="auto" w:fill="E6E6E6"/>
          </w:tcPr>
          <w:p>
            <w:pPr>
              <w:spacing w:after="0" w:line="20" w:lineRule="exact"/>
              <w:rPr>
                <w:sz w:val="1"/>
                <w:szCs w:val="1"/>
                <w:color w:val="auto"/>
              </w:rPr>
            </w:pPr>
          </w:p>
        </w:tc>
        <w:tc>
          <w:tcPr>
            <w:tcW w:w="100" w:type="dxa"/>
            <w:vAlign w:val="bottom"/>
            <w:shd w:val="clear" w:color="auto" w:fill="E6E6E6"/>
          </w:tcPr>
          <w:p>
            <w:pPr>
              <w:spacing w:after="0" w:line="20" w:lineRule="exact"/>
              <w:rPr>
                <w:sz w:val="1"/>
                <w:szCs w:val="1"/>
                <w:color w:val="auto"/>
              </w:rPr>
            </w:pPr>
          </w:p>
        </w:tc>
        <w:tc>
          <w:tcPr>
            <w:tcW w:w="7900" w:type="dxa"/>
            <w:vAlign w:val="bottom"/>
            <w:shd w:val="clear" w:color="auto" w:fill="E6E6E6"/>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6367145</wp:posOffset>
            </wp:positionH>
            <wp:positionV relativeFrom="paragraph">
              <wp:posOffset>-189230</wp:posOffset>
            </wp:positionV>
            <wp:extent cx="25400" cy="2025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extLst>
                    </a:blip>
                    <a:srcRect/>
                    <a:stretch>
                      <a:fillRect/>
                    </a:stretch>
                  </pic:blipFill>
                  <pic:spPr bwMode="auto">
                    <a:xfrm>
                      <a:off x="0" y="0"/>
                      <a:ext cx="25400" cy="202565"/>
                    </a:xfrm>
                    <a:prstGeom prst="rect">
                      <a:avLst/>
                    </a:prstGeom>
                    <a:noFill/>
                  </pic:spPr>
                </pic:pic>
              </a:graphicData>
            </a:graphic>
          </wp:anchor>
        </w:drawing>
      </w:r>
    </w:p>
    <w:p>
      <w:pPr>
        <w:sectPr>
          <w:pgSz w:w="11880" w:h="15480" w:orient="portrait"/>
          <w:cols w:equalWidth="0" w:num="1">
            <w:col w:w="10040"/>
          </w:cols>
          <w:pgMar w:left="920" w:top="732" w:right="920" w:bottom="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880" w:h="15480" w:orient="portrait"/>
          <w:cols w:equalWidth="0" w:num="1">
            <w:col w:w="10040"/>
          </w:cols>
          <w:pgMar w:left="920" w:top="732" w:right="920" w:bottom="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62"/>
        </w:trPr>
        <w:tc>
          <w:tcPr>
            <w:tcW w:w="204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Abbreviation</w:t>
            </w:r>
          </w:p>
        </w:tc>
        <w:tc>
          <w:tcPr>
            <w:tcW w:w="100" w:type="dxa"/>
            <w:vAlign w:val="bottom"/>
          </w:tcPr>
          <w:p>
            <w:pPr>
              <w:spacing w:after="0"/>
              <w:rPr>
                <w:sz w:val="22"/>
                <w:szCs w:val="22"/>
                <w:color w:val="auto"/>
              </w:rPr>
            </w:pPr>
          </w:p>
        </w:tc>
        <w:tc>
          <w:tcPr>
            <w:tcW w:w="790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color w:val="auto"/>
              </w:rPr>
              <w:t>Definition</w:t>
            </w:r>
          </w:p>
        </w:tc>
      </w:tr>
      <w:tr>
        <w:trPr>
          <w:trHeight w:val="263"/>
        </w:trPr>
        <w:tc>
          <w:tcPr>
            <w:tcW w:w="2040" w:type="dxa"/>
            <w:vAlign w:val="bottom"/>
          </w:tcPr>
          <w:p>
            <w:pPr>
              <w:ind w:left="40"/>
              <w:spacing w:after="0"/>
              <w:rPr>
                <w:sz w:val="20"/>
                <w:szCs w:val="20"/>
                <w:color w:val="auto"/>
              </w:rPr>
            </w:pPr>
            <w:r>
              <w:rPr>
                <w:rFonts w:ascii="Arial" w:cs="Arial" w:eastAsia="Arial" w:hAnsi="Arial"/>
                <w:sz w:val="20"/>
                <w:szCs w:val="20"/>
                <w:color w:val="auto"/>
              </w:rPr>
              <w:t>USD</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U.S. dollar</w:t>
            </w:r>
          </w:p>
        </w:tc>
      </w:tr>
      <w:tr>
        <w:trPr>
          <w:trHeight w:val="265"/>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UTPR</w:t>
            </w:r>
          </w:p>
        </w:tc>
        <w:tc>
          <w:tcPr>
            <w:tcW w:w="100" w:type="dxa"/>
            <w:vAlign w:val="bottom"/>
            <w:tcBorders>
              <w:bottom w:val="single" w:sz="8" w:color="E6E6E6"/>
            </w:tcBorders>
            <w:shd w:val="clear" w:color="auto" w:fill="E6E6E6"/>
          </w:tcPr>
          <w:p>
            <w:pPr>
              <w:spacing w:after="0"/>
              <w:rPr>
                <w:sz w:val="23"/>
                <w:szCs w:val="23"/>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Undertaxed profits rule</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VNS</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Vagus nerve stimulation</w:t>
            </w:r>
          </w:p>
        </w:tc>
      </w:tr>
      <w:tr>
        <w:trPr>
          <w:trHeight w:val="22"/>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59"/>
        </w:trPr>
        <w:tc>
          <w:tcPr>
            <w:tcW w:w="2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VNS Therapy</w:t>
            </w:r>
          </w:p>
        </w:tc>
        <w:tc>
          <w:tcPr>
            <w:tcW w:w="100" w:type="dxa"/>
            <w:vAlign w:val="bottom"/>
            <w:tcBorders>
              <w:bottom w:val="single" w:sz="8" w:color="E6E6E6"/>
            </w:tcBorders>
            <w:shd w:val="clear" w:color="auto" w:fill="E6E6E6"/>
          </w:tcPr>
          <w:p>
            <w:pPr>
              <w:spacing w:after="0"/>
              <w:rPr>
                <w:sz w:val="22"/>
                <w:szCs w:val="22"/>
                <w:color w:val="auto"/>
              </w:rPr>
            </w:pPr>
          </w:p>
        </w:tc>
        <w:tc>
          <w:tcPr>
            <w:tcW w:w="7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LivaNova Vagus Nerve Stimulation Therapy</w:t>
            </w:r>
          </w:p>
        </w:tc>
      </w:tr>
      <w:tr>
        <w:trPr>
          <w:trHeight w:val="257"/>
        </w:trPr>
        <w:tc>
          <w:tcPr>
            <w:tcW w:w="2040" w:type="dxa"/>
            <w:vAlign w:val="bottom"/>
          </w:tcPr>
          <w:p>
            <w:pPr>
              <w:ind w:left="40"/>
              <w:spacing w:after="0"/>
              <w:rPr>
                <w:sz w:val="20"/>
                <w:szCs w:val="20"/>
                <w:color w:val="auto"/>
              </w:rPr>
            </w:pPr>
            <w:r>
              <w:rPr>
                <w:rFonts w:ascii="Arial" w:cs="Arial" w:eastAsia="Arial" w:hAnsi="Arial"/>
                <w:sz w:val="20"/>
                <w:szCs w:val="20"/>
                <w:color w:val="auto"/>
              </w:rPr>
              <w:t>WACC</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Weighted-average cost of capital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6367145</wp:posOffset>
            </wp:positionH>
            <wp:positionV relativeFrom="paragraph">
              <wp:posOffset>-707390</wp:posOffset>
            </wp:positionV>
            <wp:extent cx="25400" cy="7346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extLst>
                    </a:blip>
                    <a:srcRect/>
                    <a:stretch>
                      <a:fillRect/>
                    </a:stretch>
                  </pic:blipFill>
                  <pic:spPr bwMode="auto">
                    <a:xfrm>
                      <a:off x="0" y="0"/>
                      <a:ext cx="25400" cy="734695"/>
                    </a:xfrm>
                    <a:prstGeom prst="rect">
                      <a:avLst/>
                    </a:prstGeom>
                    <a:noFill/>
                  </pic:spPr>
                </pic:pic>
              </a:graphicData>
            </a:graphic>
          </wp:anchor>
        </w:drawing>
      </w:r>
    </w:p>
    <w:p>
      <w:pPr>
        <w:sectPr>
          <w:pgSz w:w="11880" w:h="15480" w:orient="portrait"/>
          <w:cols w:equalWidth="0" w:num="1">
            <w:col w:w="10040"/>
          </w:cols>
          <w:pgMar w:left="920" w:top="73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880" w:h="15480" w:orient="portrait"/>
          <w:cols w:equalWidth="0" w:num="1">
            <w:col w:w="10040"/>
          </w:cols>
          <w:pgMar w:left="920" w:top="732" w:right="920" w:bottom="0" w:gutter="0" w:footer="0" w:header="0"/>
          <w:type w:val="continuous"/>
        </w:sectPr>
      </w:pPr>
    </w:p>
    <w:bookmarkStart w:id="8" w:name="page9"/>
    <w:bookmarkEnd w:id="8"/>
    <w:p>
      <w:pPr>
        <w:ind w:left="1300"/>
        <w:spacing w:after="0"/>
        <w:rPr>
          <w:sz w:val="20"/>
          <w:szCs w:val="20"/>
          <w:color w:val="auto"/>
        </w:rPr>
      </w:pPr>
      <w:r>
        <w:rPr>
          <w:rFonts w:ascii="Arial" w:cs="Arial" w:eastAsia="Arial" w:hAnsi="Arial"/>
          <w:sz w:val="24"/>
          <w:szCs w:val="24"/>
          <w:b w:val="1"/>
          <w:bCs w:val="1"/>
          <w:color w:val="auto"/>
        </w:rPr>
        <w:t>INTELLECTUAL PROPERTY, TRADEMARKS, AND TRADE NAMES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This Report may contain references to LivaNova’s proprietary intellectual property, including among others:</w:t>
      </w:r>
    </w:p>
    <w:p>
      <w:pPr>
        <w:spacing w:after="0" w:line="98" w:lineRule="exact"/>
        <w:rPr>
          <w:sz w:val="20"/>
          <w:szCs w:val="20"/>
          <w:color w:val="auto"/>
        </w:rPr>
      </w:pPr>
    </w:p>
    <w:p>
      <w:pPr>
        <w:jc w:val="both"/>
        <w:ind w:left="700" w:hanging="355"/>
        <w:spacing w:after="0" w:line="228" w:lineRule="auto"/>
        <w:tabs>
          <w:tab w:leader="none" w:pos="700" w:val="left"/>
        </w:tabs>
        <w:numPr>
          <w:ilvl w:val="0"/>
          <w:numId w:val="2"/>
        </w:numPr>
        <w:rPr>
          <w:rFonts w:ascii="Arial" w:cs="Arial" w:eastAsia="Arial" w:hAnsi="Arial"/>
          <w:sz w:val="20"/>
          <w:szCs w:val="20"/>
          <w:color w:val="auto"/>
        </w:rPr>
      </w:pPr>
      <w:r>
        <w:rPr>
          <w:rFonts w:ascii="Arial" w:cs="Arial" w:eastAsia="Arial" w:hAnsi="Arial"/>
          <w:sz w:val="20"/>
          <w:szCs w:val="20"/>
          <w:color w:val="auto"/>
        </w:rPr>
        <w:t>Trademarks for LivaNova’s Neuromodulation systems, the VNS Therapy</w:t>
      </w:r>
      <w:r>
        <w:rPr>
          <w:rFonts w:ascii="Arial" w:cs="Arial" w:eastAsia="Arial" w:hAnsi="Arial"/>
          <w:sz w:val="30"/>
          <w:szCs w:val="30"/>
          <w:color w:val="auto"/>
          <w:vertAlign w:val="superscript"/>
        </w:rPr>
        <w:t>™</w:t>
      </w:r>
      <w:r>
        <w:rPr>
          <w:rFonts w:ascii="Arial" w:cs="Arial" w:eastAsia="Arial" w:hAnsi="Arial"/>
          <w:sz w:val="20"/>
          <w:szCs w:val="20"/>
          <w:color w:val="auto"/>
        </w:rPr>
        <w:t xml:space="preserve"> System, and LivaNova’s proprietary pulse generator products: Model 102 (Pulse</w:t>
      </w:r>
      <w:r>
        <w:rPr>
          <w:rFonts w:ascii="Arial" w:cs="Arial" w:eastAsia="Arial" w:hAnsi="Arial"/>
          <w:sz w:val="30"/>
          <w:szCs w:val="30"/>
          <w:color w:val="auto"/>
          <w:vertAlign w:val="superscript"/>
        </w:rPr>
        <w:t>™</w:t>
      </w:r>
      <w:r>
        <w:rPr>
          <w:rFonts w:ascii="Arial" w:cs="Arial" w:eastAsia="Arial" w:hAnsi="Arial"/>
          <w:sz w:val="20"/>
          <w:szCs w:val="20"/>
          <w:color w:val="auto"/>
        </w:rPr>
        <w:t>), Model 102R (Pulse Duo</w:t>
      </w:r>
      <w:r>
        <w:rPr>
          <w:rFonts w:ascii="Arial" w:cs="Arial" w:eastAsia="Arial" w:hAnsi="Arial"/>
          <w:sz w:val="30"/>
          <w:szCs w:val="30"/>
          <w:color w:val="auto"/>
          <w:vertAlign w:val="superscript"/>
        </w:rPr>
        <w:t>™</w:t>
      </w:r>
      <w:r>
        <w:rPr>
          <w:rFonts w:ascii="Arial" w:cs="Arial" w:eastAsia="Arial" w:hAnsi="Arial"/>
          <w:sz w:val="20"/>
          <w:szCs w:val="20"/>
          <w:color w:val="auto"/>
        </w:rPr>
        <w:t>), Model 103 (Demipulse</w:t>
      </w:r>
      <w:r>
        <w:rPr>
          <w:rFonts w:ascii="Arial" w:cs="Arial" w:eastAsia="Arial" w:hAnsi="Arial"/>
          <w:sz w:val="30"/>
          <w:szCs w:val="30"/>
          <w:color w:val="auto"/>
          <w:vertAlign w:val="superscript"/>
        </w:rPr>
        <w:t>™</w:t>
      </w:r>
      <w:r>
        <w:rPr>
          <w:rFonts w:ascii="Arial" w:cs="Arial" w:eastAsia="Arial" w:hAnsi="Arial"/>
          <w:sz w:val="20"/>
          <w:szCs w:val="20"/>
          <w:color w:val="auto"/>
        </w:rPr>
        <w:t>), Model 104 (Demipulse Duo</w:t>
      </w:r>
      <w:r>
        <w:rPr>
          <w:rFonts w:ascii="Arial" w:cs="Arial" w:eastAsia="Arial" w:hAnsi="Arial"/>
          <w:sz w:val="30"/>
          <w:szCs w:val="30"/>
          <w:color w:val="auto"/>
          <w:vertAlign w:val="superscript"/>
        </w:rPr>
        <w:t>™</w:t>
      </w:r>
      <w:r>
        <w:rPr>
          <w:rFonts w:ascii="Arial" w:cs="Arial" w:eastAsia="Arial" w:hAnsi="Arial"/>
          <w:sz w:val="20"/>
          <w:szCs w:val="20"/>
          <w:color w:val="auto"/>
        </w:rPr>
        <w:t>), Model 106 (AspireSR</w:t>
      </w:r>
      <w:r>
        <w:rPr>
          <w:rFonts w:ascii="Arial" w:cs="Arial" w:eastAsia="Arial" w:hAnsi="Arial"/>
          <w:sz w:val="30"/>
          <w:szCs w:val="30"/>
          <w:color w:val="auto"/>
          <w:vertAlign w:val="superscript"/>
        </w:rPr>
        <w:t>™</w:t>
      </w:r>
      <w:r>
        <w:rPr>
          <w:rFonts w:ascii="Arial" w:cs="Arial" w:eastAsia="Arial" w:hAnsi="Arial"/>
          <w:sz w:val="20"/>
          <w:szCs w:val="20"/>
          <w:color w:val="auto"/>
        </w:rPr>
        <w:t>), Model 1000 (SenTiva</w:t>
      </w:r>
      <w:r>
        <w:rPr>
          <w:rFonts w:ascii="Arial" w:cs="Arial" w:eastAsia="Arial" w:hAnsi="Arial"/>
          <w:sz w:val="30"/>
          <w:szCs w:val="30"/>
          <w:color w:val="auto"/>
          <w:vertAlign w:val="superscript"/>
        </w:rPr>
        <w:t>™</w:t>
      </w:r>
      <w:r>
        <w:rPr>
          <w:rFonts w:ascii="Arial" w:cs="Arial" w:eastAsia="Arial" w:hAnsi="Arial"/>
          <w:sz w:val="20"/>
          <w:szCs w:val="20"/>
          <w:color w:val="auto"/>
        </w:rPr>
        <w:t>), Model 1000-D (SenTiva</w:t>
      </w:r>
      <w:r>
        <w:rPr>
          <w:rFonts w:ascii="Arial" w:cs="Arial" w:eastAsia="Arial" w:hAnsi="Arial"/>
          <w:sz w:val="30"/>
          <w:szCs w:val="30"/>
          <w:color w:val="auto"/>
          <w:vertAlign w:val="superscript"/>
        </w:rPr>
        <w:t>™</w:t>
      </w:r>
      <w:r>
        <w:rPr>
          <w:rFonts w:ascii="Arial" w:cs="Arial" w:eastAsia="Arial" w:hAnsi="Arial"/>
          <w:sz w:val="20"/>
          <w:szCs w:val="20"/>
          <w:color w:val="auto"/>
        </w:rPr>
        <w:t xml:space="preserve"> Duo), and Model 8103 (Symmetry</w:t>
      </w:r>
      <w:r>
        <w:rPr>
          <w:rFonts w:ascii="Arial" w:cs="Arial" w:eastAsia="Arial" w:hAnsi="Arial"/>
          <w:sz w:val="30"/>
          <w:szCs w:val="30"/>
          <w:color w:val="auto"/>
          <w:vertAlign w:val="superscript"/>
        </w:rPr>
        <w:t>™</w:t>
      </w:r>
      <w:r>
        <w:rPr>
          <w:rFonts w:ascii="Arial" w:cs="Arial" w:eastAsia="Arial" w:hAnsi="Arial"/>
          <w:sz w:val="20"/>
          <w:szCs w:val="20"/>
          <w:color w:val="auto"/>
        </w:rPr>
        <w:t>).</w:t>
      </w:r>
    </w:p>
    <w:p>
      <w:pPr>
        <w:spacing w:after="0" w:line="1" w:lineRule="exact"/>
        <w:rPr>
          <w:rFonts w:ascii="Arial" w:cs="Arial" w:eastAsia="Arial" w:hAnsi="Arial"/>
          <w:sz w:val="20"/>
          <w:szCs w:val="20"/>
          <w:color w:val="auto"/>
        </w:rPr>
      </w:pPr>
    </w:p>
    <w:p>
      <w:pPr>
        <w:ind w:left="700" w:hanging="355"/>
        <w:spacing w:after="0" w:line="245" w:lineRule="auto"/>
        <w:tabs>
          <w:tab w:leader="none" w:pos="700" w:val="left"/>
        </w:tabs>
        <w:numPr>
          <w:ilvl w:val="0"/>
          <w:numId w:val="2"/>
        </w:numPr>
        <w:rPr>
          <w:rFonts w:ascii="Arial" w:cs="Arial" w:eastAsia="Arial" w:hAnsi="Arial"/>
          <w:sz w:val="20"/>
          <w:szCs w:val="20"/>
          <w:color w:val="auto"/>
        </w:rPr>
      </w:pPr>
      <w:r>
        <w:rPr>
          <w:rFonts w:ascii="Arial" w:cs="Arial" w:eastAsia="Arial" w:hAnsi="Arial"/>
          <w:sz w:val="20"/>
          <w:szCs w:val="20"/>
          <w:color w:val="auto"/>
        </w:rPr>
        <w:t>Trademarks for LivaNova’s Cardiopulmonary products and systems: Essenz</w:t>
      </w:r>
      <w:r>
        <w:rPr>
          <w:rFonts w:ascii="Arial" w:cs="Arial" w:eastAsia="Arial" w:hAnsi="Arial"/>
          <w:sz w:val="30"/>
          <w:szCs w:val="30"/>
          <w:color w:val="auto"/>
          <w:vertAlign w:val="superscript"/>
        </w:rPr>
        <w:t>™</w:t>
      </w:r>
      <w:r>
        <w:rPr>
          <w:rFonts w:ascii="Arial" w:cs="Arial" w:eastAsia="Arial" w:hAnsi="Arial"/>
          <w:sz w:val="20"/>
          <w:szCs w:val="20"/>
          <w:color w:val="auto"/>
        </w:rPr>
        <w:t>, S5</w:t>
      </w:r>
      <w:r>
        <w:rPr>
          <w:rFonts w:ascii="Arial" w:cs="Arial" w:eastAsia="Arial" w:hAnsi="Arial"/>
          <w:sz w:val="30"/>
          <w:szCs w:val="30"/>
          <w:color w:val="auto"/>
          <w:vertAlign w:val="superscript"/>
        </w:rPr>
        <w:t>™</w:t>
      </w:r>
      <w:r>
        <w:rPr>
          <w:rFonts w:ascii="Arial" w:cs="Arial" w:eastAsia="Arial" w:hAnsi="Arial"/>
          <w:sz w:val="20"/>
          <w:szCs w:val="20"/>
          <w:color w:val="auto"/>
        </w:rPr>
        <w:t>, S5 Pro</w:t>
      </w:r>
      <w:r>
        <w:rPr>
          <w:rFonts w:ascii="Arial" w:cs="Arial" w:eastAsia="Arial" w:hAnsi="Arial"/>
          <w:sz w:val="30"/>
          <w:szCs w:val="30"/>
          <w:color w:val="auto"/>
          <w:vertAlign w:val="superscript"/>
        </w:rPr>
        <w:t>™</w:t>
      </w:r>
      <w:r>
        <w:rPr>
          <w:rFonts w:ascii="Arial" w:cs="Arial" w:eastAsia="Arial" w:hAnsi="Arial"/>
          <w:sz w:val="20"/>
          <w:szCs w:val="20"/>
          <w:color w:val="auto"/>
        </w:rPr>
        <w:t>, B-Capta</w:t>
      </w:r>
      <w:r>
        <w:rPr>
          <w:rFonts w:ascii="Arial" w:cs="Arial" w:eastAsia="Arial" w:hAnsi="Arial"/>
          <w:sz w:val="30"/>
          <w:szCs w:val="30"/>
          <w:color w:val="auto"/>
          <w:vertAlign w:val="superscript"/>
        </w:rPr>
        <w:t>™</w:t>
      </w:r>
      <w:r>
        <w:rPr>
          <w:rFonts w:ascii="Arial" w:cs="Arial" w:eastAsia="Arial" w:hAnsi="Arial"/>
          <w:sz w:val="20"/>
          <w:szCs w:val="20"/>
          <w:color w:val="auto"/>
        </w:rPr>
        <w:t>, Inspire</w:t>
      </w:r>
      <w:r>
        <w:rPr>
          <w:rFonts w:ascii="Arial" w:cs="Arial" w:eastAsia="Arial" w:hAnsi="Arial"/>
          <w:sz w:val="30"/>
          <w:szCs w:val="30"/>
          <w:color w:val="auto"/>
          <w:vertAlign w:val="superscript"/>
        </w:rPr>
        <w:t>™</w:t>
      </w:r>
      <w:r>
        <w:rPr>
          <w:rFonts w:ascii="Arial" w:cs="Arial" w:eastAsia="Arial" w:hAnsi="Arial"/>
          <w:sz w:val="20"/>
          <w:szCs w:val="20"/>
          <w:color w:val="auto"/>
        </w:rPr>
        <w:t>, Heartlink</w:t>
      </w:r>
      <w:r>
        <w:rPr>
          <w:rFonts w:ascii="Arial" w:cs="Arial" w:eastAsia="Arial" w:hAnsi="Arial"/>
          <w:sz w:val="30"/>
          <w:szCs w:val="30"/>
          <w:color w:val="auto"/>
          <w:vertAlign w:val="superscript"/>
        </w:rPr>
        <w:t>™</w:t>
      </w:r>
      <w:r>
        <w:rPr>
          <w:rFonts w:ascii="Arial" w:cs="Arial" w:eastAsia="Arial" w:hAnsi="Arial"/>
          <w:sz w:val="20"/>
          <w:szCs w:val="20"/>
          <w:color w:val="auto"/>
        </w:rPr>
        <w:t>, XTRA</w:t>
      </w:r>
      <w:r>
        <w:rPr>
          <w:rFonts w:ascii="Arial" w:cs="Arial" w:eastAsia="Arial" w:hAnsi="Arial"/>
          <w:sz w:val="30"/>
          <w:szCs w:val="30"/>
          <w:color w:val="auto"/>
          <w:vertAlign w:val="superscript"/>
        </w:rPr>
        <w:t>™</w:t>
      </w:r>
      <w:r>
        <w:rPr>
          <w:rFonts w:ascii="Arial" w:cs="Arial" w:eastAsia="Arial" w:hAnsi="Arial"/>
          <w:sz w:val="20"/>
          <w:szCs w:val="20"/>
          <w:color w:val="auto"/>
        </w:rPr>
        <w:t>, 3T Heater-Cooler</w:t>
      </w:r>
      <w:r>
        <w:rPr>
          <w:rFonts w:ascii="Arial" w:cs="Arial" w:eastAsia="Arial" w:hAnsi="Arial"/>
          <w:sz w:val="30"/>
          <w:szCs w:val="30"/>
          <w:color w:val="auto"/>
          <w:vertAlign w:val="superscript"/>
        </w:rPr>
        <w:t>™</w:t>
      </w:r>
      <w:r>
        <w:rPr>
          <w:rFonts w:ascii="Arial" w:cs="Arial" w:eastAsia="Arial" w:hAnsi="Arial"/>
          <w:sz w:val="20"/>
          <w:szCs w:val="20"/>
          <w:color w:val="auto"/>
        </w:rPr>
        <w:t>, Connect</w:t>
      </w:r>
      <w:r>
        <w:rPr>
          <w:rFonts w:ascii="Arial" w:cs="Arial" w:eastAsia="Arial" w:hAnsi="Arial"/>
          <w:sz w:val="30"/>
          <w:szCs w:val="30"/>
          <w:color w:val="auto"/>
          <w:vertAlign w:val="superscript"/>
        </w:rPr>
        <w:t>™</w:t>
      </w:r>
      <w:r>
        <w:rPr>
          <w:rFonts w:ascii="Arial" w:cs="Arial" w:eastAsia="Arial" w:hAnsi="Arial"/>
          <w:sz w:val="20"/>
          <w:szCs w:val="20"/>
          <w:color w:val="auto"/>
        </w:rPr>
        <w:t>, and Revolution</w:t>
      </w:r>
      <w:r>
        <w:rPr>
          <w:rFonts w:ascii="Arial" w:cs="Arial" w:eastAsia="Arial" w:hAnsi="Arial"/>
          <w:sz w:val="30"/>
          <w:szCs w:val="30"/>
          <w:color w:val="auto"/>
          <w:vertAlign w:val="superscript"/>
        </w:rPr>
        <w:t>™</w:t>
      </w:r>
      <w:r>
        <w:rPr>
          <w:rFonts w:ascii="Arial" w:cs="Arial" w:eastAsia="Arial" w:hAnsi="Arial"/>
          <w:sz w:val="23"/>
          <w:szCs w:val="23"/>
          <w:color w:val="auto"/>
        </w:rPr>
        <w:t>.</w:t>
      </w:r>
    </w:p>
    <w:p>
      <w:pPr>
        <w:spacing w:after="0" w:line="1" w:lineRule="exact"/>
        <w:rPr>
          <w:rFonts w:ascii="Arial" w:cs="Arial" w:eastAsia="Arial" w:hAnsi="Arial"/>
          <w:sz w:val="20"/>
          <w:szCs w:val="20"/>
          <w:color w:val="auto"/>
        </w:rPr>
      </w:pPr>
    </w:p>
    <w:p>
      <w:pPr>
        <w:ind w:left="700" w:hanging="355"/>
        <w:spacing w:after="0" w:line="253" w:lineRule="auto"/>
        <w:tabs>
          <w:tab w:leader="none" w:pos="700" w:val="left"/>
        </w:tabs>
        <w:numPr>
          <w:ilvl w:val="0"/>
          <w:numId w:val="2"/>
        </w:numPr>
        <w:rPr>
          <w:rFonts w:ascii="Arial" w:cs="Arial" w:eastAsia="Arial" w:hAnsi="Arial"/>
          <w:sz w:val="19"/>
          <w:szCs w:val="19"/>
          <w:color w:val="auto"/>
        </w:rPr>
      </w:pPr>
      <w:r>
        <w:rPr>
          <w:rFonts w:ascii="Arial" w:cs="Arial" w:eastAsia="Arial" w:hAnsi="Arial"/>
          <w:sz w:val="19"/>
          <w:szCs w:val="19"/>
          <w:color w:val="auto"/>
        </w:rPr>
        <w:t>Trademarks for LivaNova’s advanced circulatory support systems: TandemLife</w:t>
      </w:r>
      <w:r>
        <w:rPr>
          <w:rFonts w:ascii="Arial" w:cs="Arial" w:eastAsia="Arial" w:hAnsi="Arial"/>
          <w:sz w:val="29"/>
          <w:szCs w:val="29"/>
          <w:color w:val="auto"/>
          <w:vertAlign w:val="superscript"/>
        </w:rPr>
        <w:t>™</w:t>
      </w:r>
      <w:r>
        <w:rPr>
          <w:rFonts w:ascii="Arial" w:cs="Arial" w:eastAsia="Arial" w:hAnsi="Arial"/>
          <w:sz w:val="19"/>
          <w:szCs w:val="19"/>
          <w:color w:val="auto"/>
        </w:rPr>
        <w:t>, TandemHeart</w:t>
      </w:r>
      <w:r>
        <w:rPr>
          <w:rFonts w:ascii="Arial" w:cs="Arial" w:eastAsia="Arial" w:hAnsi="Arial"/>
          <w:sz w:val="29"/>
          <w:szCs w:val="29"/>
          <w:color w:val="auto"/>
          <w:vertAlign w:val="superscript"/>
        </w:rPr>
        <w:t>™</w:t>
      </w:r>
      <w:r>
        <w:rPr>
          <w:rFonts w:ascii="Arial" w:cs="Arial" w:eastAsia="Arial" w:hAnsi="Arial"/>
          <w:sz w:val="19"/>
          <w:szCs w:val="19"/>
          <w:color w:val="auto"/>
        </w:rPr>
        <w:t>, TandemLung</w:t>
      </w:r>
      <w:r>
        <w:rPr>
          <w:rFonts w:ascii="Arial" w:cs="Arial" w:eastAsia="Arial" w:hAnsi="Arial"/>
          <w:sz w:val="29"/>
          <w:szCs w:val="29"/>
          <w:color w:val="auto"/>
          <w:vertAlign w:val="superscript"/>
        </w:rPr>
        <w:t>™</w:t>
      </w:r>
      <w:r>
        <w:rPr>
          <w:rFonts w:ascii="Arial" w:cs="Arial" w:eastAsia="Arial" w:hAnsi="Arial"/>
          <w:sz w:val="19"/>
          <w:szCs w:val="19"/>
          <w:color w:val="auto"/>
        </w:rPr>
        <w:t>, ProtekDuo</w:t>
      </w:r>
      <w:r>
        <w:rPr>
          <w:rFonts w:ascii="Arial" w:cs="Arial" w:eastAsia="Arial" w:hAnsi="Arial"/>
          <w:sz w:val="29"/>
          <w:szCs w:val="29"/>
          <w:color w:val="auto"/>
          <w:vertAlign w:val="superscript"/>
        </w:rPr>
        <w:t>™</w:t>
      </w:r>
      <w:r>
        <w:rPr>
          <w:rFonts w:ascii="Arial" w:cs="Arial" w:eastAsia="Arial" w:hAnsi="Arial"/>
          <w:sz w:val="29"/>
          <w:szCs w:val="29"/>
          <w:color w:val="auto"/>
          <w:vertAlign w:val="subscript"/>
        </w:rPr>
        <w:t>,</w:t>
      </w:r>
      <w:r>
        <w:rPr>
          <w:rFonts w:ascii="Arial" w:cs="Arial" w:eastAsia="Arial" w:hAnsi="Arial"/>
          <w:sz w:val="19"/>
          <w:szCs w:val="19"/>
          <w:color w:val="auto"/>
        </w:rPr>
        <w:t xml:space="preserve"> LifeSPARC</w:t>
      </w:r>
      <w:r>
        <w:rPr>
          <w:rFonts w:ascii="Arial" w:cs="Arial" w:eastAsia="Arial" w:hAnsi="Arial"/>
          <w:sz w:val="29"/>
          <w:szCs w:val="29"/>
          <w:color w:val="auto"/>
          <w:vertAlign w:val="superscript"/>
        </w:rPr>
        <w:t>™</w:t>
      </w:r>
      <w:r>
        <w:rPr>
          <w:rFonts w:ascii="Arial" w:cs="Arial" w:eastAsia="Arial" w:hAnsi="Arial"/>
          <w:sz w:val="19"/>
          <w:szCs w:val="19"/>
          <w:color w:val="auto"/>
        </w:rPr>
        <w:t>, ALung</w:t>
      </w:r>
      <w:r>
        <w:rPr>
          <w:rFonts w:ascii="Arial" w:cs="Arial" w:eastAsia="Arial" w:hAnsi="Arial"/>
          <w:sz w:val="29"/>
          <w:szCs w:val="29"/>
          <w:color w:val="auto"/>
          <w:vertAlign w:val="superscript"/>
        </w:rPr>
        <w:t>™</w:t>
      </w:r>
      <w:r>
        <w:rPr>
          <w:rFonts w:ascii="Arial" w:cs="Arial" w:eastAsia="Arial" w:hAnsi="Arial"/>
          <w:sz w:val="19"/>
          <w:szCs w:val="19"/>
          <w:color w:val="auto"/>
        </w:rPr>
        <w:t>, Hemolung</w:t>
      </w:r>
      <w:r>
        <w:rPr>
          <w:rFonts w:ascii="Arial" w:cs="Arial" w:eastAsia="Arial" w:hAnsi="Arial"/>
          <w:sz w:val="29"/>
          <w:szCs w:val="29"/>
          <w:color w:val="auto"/>
          <w:vertAlign w:val="superscript"/>
        </w:rPr>
        <w:t>™</w:t>
      </w:r>
      <w:r>
        <w:rPr>
          <w:rFonts w:ascii="Arial" w:cs="Arial" w:eastAsia="Arial" w:hAnsi="Arial"/>
          <w:sz w:val="19"/>
          <w:szCs w:val="19"/>
          <w:color w:val="auto"/>
        </w:rPr>
        <w:t>, Respiratory Dialysis</w:t>
      </w:r>
      <w:r>
        <w:rPr>
          <w:rFonts w:ascii="Arial" w:cs="Arial" w:eastAsia="Arial" w:hAnsi="Arial"/>
          <w:sz w:val="29"/>
          <w:szCs w:val="29"/>
          <w:color w:val="auto"/>
          <w:vertAlign w:val="superscript"/>
        </w:rPr>
        <w:t>™</w:t>
      </w:r>
      <w:r>
        <w:rPr>
          <w:rFonts w:ascii="Arial" w:cs="Arial" w:eastAsia="Arial" w:hAnsi="Arial"/>
          <w:sz w:val="19"/>
          <w:szCs w:val="19"/>
          <w:color w:val="auto"/>
        </w:rPr>
        <w:t>, and ActivMix</w:t>
      </w:r>
      <w:r>
        <w:rPr>
          <w:rFonts w:ascii="Arial" w:cs="Arial" w:eastAsia="Arial" w:hAnsi="Arial"/>
          <w:sz w:val="29"/>
          <w:szCs w:val="29"/>
          <w:color w:val="auto"/>
          <w:vertAlign w:val="superscript"/>
        </w:rPr>
        <w:t>™</w:t>
      </w:r>
      <w:r>
        <w:rPr>
          <w:rFonts w:ascii="Arial" w:cs="Arial" w:eastAsia="Arial" w:hAnsi="Arial"/>
          <w:sz w:val="19"/>
          <w:szCs w:val="19"/>
          <w:color w:val="auto"/>
        </w:rPr>
        <w:t>.</w:t>
      </w:r>
    </w:p>
    <w:p>
      <w:pPr>
        <w:spacing w:after="0" w:line="2" w:lineRule="exact"/>
        <w:rPr>
          <w:rFonts w:ascii="Arial" w:cs="Arial" w:eastAsia="Arial" w:hAnsi="Arial"/>
          <w:sz w:val="19"/>
          <w:szCs w:val="19"/>
          <w:color w:val="auto"/>
        </w:rPr>
      </w:pPr>
    </w:p>
    <w:p>
      <w:pPr>
        <w:ind w:left="700" w:hanging="355"/>
        <w:spacing w:after="0"/>
        <w:tabs>
          <w:tab w:leader="none" w:pos="700" w:val="left"/>
        </w:tabs>
        <w:numPr>
          <w:ilvl w:val="0"/>
          <w:numId w:val="2"/>
        </w:numPr>
        <w:rPr>
          <w:rFonts w:ascii="Arial" w:cs="Arial" w:eastAsia="Arial" w:hAnsi="Arial"/>
          <w:sz w:val="20"/>
          <w:szCs w:val="20"/>
          <w:color w:val="auto"/>
        </w:rPr>
      </w:pPr>
      <w:r>
        <w:rPr>
          <w:rFonts w:ascii="Arial" w:cs="Arial" w:eastAsia="Arial" w:hAnsi="Arial"/>
          <w:sz w:val="20"/>
          <w:szCs w:val="20"/>
          <w:color w:val="auto"/>
        </w:rPr>
        <w:t>Trademarks for LivaNova’s obstructive sleep apnea system: ImThera</w:t>
      </w:r>
      <w:r>
        <w:rPr>
          <w:rFonts w:ascii="Arial" w:cs="Arial" w:eastAsia="Arial" w:hAnsi="Arial"/>
          <w:sz w:val="30"/>
          <w:szCs w:val="30"/>
          <w:color w:val="auto"/>
          <w:vertAlign w:val="superscript"/>
        </w:rPr>
        <w:t>™</w:t>
      </w:r>
      <w:r>
        <w:rPr>
          <w:rFonts w:ascii="Arial" w:cs="Arial" w:eastAsia="Arial" w:hAnsi="Arial"/>
          <w:sz w:val="20"/>
          <w:szCs w:val="20"/>
          <w:color w:val="auto"/>
        </w:rPr>
        <w:t xml:space="preserve"> and aura6000</w:t>
      </w:r>
      <w:r>
        <w:rPr>
          <w:rFonts w:ascii="Arial" w:cs="Arial" w:eastAsia="Arial" w:hAnsi="Arial"/>
          <w:sz w:val="30"/>
          <w:szCs w:val="30"/>
          <w:color w:val="auto"/>
          <w:vertAlign w:val="superscript"/>
        </w:rPr>
        <w:t>™</w:t>
      </w:r>
      <w:r>
        <w:rPr>
          <w:rFonts w:ascii="Arial" w:cs="Arial" w:eastAsia="Arial" w:hAnsi="Arial"/>
          <w:sz w:val="20"/>
          <w:szCs w:val="20"/>
          <w:color w:val="auto"/>
        </w:rPr>
        <w:t>.</w:t>
      </w:r>
    </w:p>
    <w:p>
      <w:pPr>
        <w:spacing w:after="0" w:line="8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These trademarks and trade names are the property of LivaNova or the property of LivaNova’s consolidated subsidiaries and are protected under applicable intellectual property laws. Solely for convenience, LivaNova’s trademarks and trade names</w:t>
      </w:r>
    </w:p>
    <w:p>
      <w:pPr>
        <w:spacing w:after="0" w:line="1" w:lineRule="exact"/>
        <w:rPr>
          <w:sz w:val="20"/>
          <w:szCs w:val="20"/>
          <w:color w:val="auto"/>
        </w:rPr>
      </w:pPr>
    </w:p>
    <w:p>
      <w:pPr>
        <w:spacing w:after="0" w:line="351" w:lineRule="auto"/>
        <w:rPr>
          <w:sz w:val="20"/>
          <w:szCs w:val="20"/>
          <w:color w:val="auto"/>
        </w:rPr>
      </w:pPr>
      <w:r>
        <w:rPr>
          <w:rFonts w:ascii="Arial" w:cs="Arial" w:eastAsia="Arial" w:hAnsi="Arial"/>
          <w:sz w:val="17"/>
          <w:szCs w:val="17"/>
          <w:color w:val="auto"/>
        </w:rPr>
        <w:t xml:space="preserve">referred to in this Report may appear without the </w:t>
      </w:r>
      <w:r>
        <w:rPr>
          <w:rFonts w:ascii="Arial" w:cs="Arial" w:eastAsia="Arial" w:hAnsi="Arial"/>
          <w:sz w:val="26"/>
          <w:szCs w:val="26"/>
          <w:color w:val="auto"/>
          <w:vertAlign w:val="superscript"/>
        </w:rPr>
        <w:t>™</w:t>
      </w:r>
      <w:r>
        <w:rPr>
          <w:rFonts w:ascii="Arial" w:cs="Arial" w:eastAsia="Arial" w:hAnsi="Arial"/>
          <w:sz w:val="17"/>
          <w:szCs w:val="17"/>
          <w:color w:val="auto"/>
        </w:rPr>
        <w:t xml:space="preserve"> symbol, but such references are not intended to indicate in any way that the Company will not assert, to the fullest extent under applicable law, LivaNova’s rights to these trademarks and trade names.</w:t>
      </w:r>
    </w:p>
    <w:p>
      <w:pPr>
        <w:sectPr>
          <w:pgSz w:w="11880" w:h="15480" w:orient="portrait"/>
          <w:cols w:equalWidth="0" w:num="1">
            <w:col w:w="10040"/>
          </w:cols>
          <w:pgMar w:left="920" w:top="64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880" w:h="15480" w:orient="portrait"/>
          <w:cols w:equalWidth="0" w:num="1">
            <w:col w:w="10040"/>
          </w:cols>
          <w:pgMar w:left="920" w:top="644" w:right="920" w:bottom="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24"/>
          <w:szCs w:val="24"/>
          <w:b w:val="1"/>
          <w:bCs w:val="1"/>
          <w:color w:val="auto"/>
        </w:rPr>
        <w:t>CAUTIONARY NOTE ABOUT FORWARD-LOOKING STATEMENTS</w:t>
      </w:r>
    </w:p>
    <w:p>
      <w:pPr>
        <w:spacing w:after="0" w:line="156" w:lineRule="exact"/>
        <w:rPr>
          <w:sz w:val="20"/>
          <w:szCs w:val="20"/>
          <w:color w:val="auto"/>
        </w:rPr>
      </w:pPr>
    </w:p>
    <w:p>
      <w:pPr>
        <w:jc w:val="both"/>
        <w:spacing w:after="0" w:line="302" w:lineRule="auto"/>
        <w:rPr>
          <w:sz w:val="20"/>
          <w:szCs w:val="20"/>
          <w:color w:val="auto"/>
        </w:rPr>
      </w:pPr>
      <w:r>
        <w:rPr>
          <w:rFonts w:ascii="Arial" w:cs="Arial" w:eastAsia="Arial" w:hAnsi="Arial"/>
          <w:sz w:val="17"/>
          <w:szCs w:val="17"/>
          <w:color w:val="auto"/>
        </w:rPr>
        <w:t>Certain statements in this Report, other than statements of historical or current fact, are “forward-looking statements” within the meaning of the Private Securities Litigation Reform Act of 1995, Section 27A of the Securities Act, and Section 21E of the Exchange Act.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the Company’s actual financial results, performance, achievements, or prospects may differ materially from those expressed or implied by these forward-looking statements. Generally, forward-looking statements can be identified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the Company’s control, that could cause the Company’s actual results to differ materially from the forward-looking statements contained in this Report, and include, but are not limited to, the following risks and uncertainties: volatility in the global market and worldwide economic conditions, including as caused by the invasion of Ukraine, the evolving instability in the Middle East, inflation, changing interest rates, foreign exchange fluctuations, and changes to existing trade agreements and relationships between the U.S. and other countries, including the implementation of tariffs, trade restrictions, and sanctions; risks relating to supply chain pressures; cybersecurity incidents or other disruptions to the Company’s information technology systems or those of third parties with which the Company interacts; costs of complying with privacy and security of personal information requirements and laws; changes in technology, including the development of superior or alternative technology or devices by competitors and/or competition from providers of alternative medical therapies; failure of R&amp;D investments or investment collaborations to be successful; failure to maintain appropriate working relationships with healthcare professionals to aid in the continuing development of products; the risk of quality issues and the impacts thereof; risks relating to recalls, replacement of inventory, enforcement actions, or product liability claims; failure to comply with, or changes in, laws, regulations, or administrative practices affecting government regulation of the Company’s products; failure to retain key personnel, succession plan, and negotiate with local works councils; failure to obtain approvals or reimbursement in relation to the Company’s products; unfavorable results from clinical studies or failure to meet milestones; pending or existing climate change; global healthcare policy changes that may lead to restricted access and pricing as well as payback requirements and limited reimbursement; changes or reduction in reimbursement for the Company’s products or failure to comply with rules relating to reimbursement of healthcare goods and services; failure to comply with rules relating to healthcare goods and services as well as anti-bribery laws; product liability, intellectual property, shareholder-related, environmental-related, income tax, and other litigation, disputes, losses, and costs, including in the case of the Company’s 3T Heater-Cooler litigation; risks associated with environmental laws and regulations as well as environmental liabilities, violations, and litigation, including in the case of Saluggia and SNIA; failure to protect the Company’s proprietary intellectual property; risks relating to the Company’s indebtedness; failure of divestitures and/or new acquisitions to further the Company’s strategic objectives or strengthen the Company’s existing businesses; the potential for impairments of intangible assets, goodwill, and other long-lived assets; changes in tax laws and regulations, including exposure to additional income tax liabilities; effectiveness of the Company’s internal controls over financial reporting; changes in the Company’s profitability and/or failure to manage costs and expenses; fluctuations in future quarterly operating results and/or variations in revenue and operating expenses relative to estimates; and other unknown or unpredictable factors that could harm the Company’s financial performance.</w:t>
      </w:r>
    </w:p>
    <w:p>
      <w:pPr>
        <w:spacing w:after="0" w:line="200" w:lineRule="exact"/>
        <w:rPr>
          <w:sz w:val="20"/>
          <w:szCs w:val="20"/>
          <w:color w:val="auto"/>
        </w:rPr>
      </w:pPr>
    </w:p>
    <w:p>
      <w:pPr>
        <w:spacing w:after="0" w:line="370"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See also the section titled “Risk Factors” (refer to Part I, Item 1A of this Report) for further discussion of certain risks and uncertainties that could cause actual results and events to differ materially from the forward-looking statements. All forward-looking statements in this Report are expressly qualified in their entirety by the cautionary statements set forth above. Forward-looking statements speak only as of the date of this Report, and LivaNova expressly disclaims any intention or obligation to update or revise any forward-looking statements, whether as a result of new information, future events, or otherwise. Readers are advised, however, to consult any further disclosures LivaNova makes on related subjects in its Quarterly Reports on Form 10-Q and Current Reports on Form 8-K. This cautionary note is applicable to all forward-looking statements contained in this Report.</w:t>
      </w:r>
    </w:p>
    <w:p>
      <w:pPr>
        <w:spacing w:after="0" w:line="9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following discussion and analysis should be read in conjunction with and are qualified in their entirety by reference to the discussions included in “Item 1A. Risk Factors,” “Item 7. Management’s Discussion and Analysis of Financial Condition and Results of Operations,” and elsewhere in this Report.</w:t>
      </w:r>
    </w:p>
    <w:p>
      <w:pPr>
        <w:sectPr>
          <w:pgSz w:w="11880" w:h="15480" w:orient="portrait"/>
          <w:cols w:equalWidth="0" w:num="1">
            <w:col w:w="10040"/>
          </w:cols>
          <w:pgMar w:left="920" w:top="64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880" w:h="15480" w:orient="portrait"/>
          <w:cols w:equalWidth="0" w:num="1">
            <w:col w:w="10040"/>
          </w:cols>
          <w:pgMar w:left="920" w:top="644" w:right="920" w:bottom="0" w:gutter="0" w:footer="0" w:header="0"/>
          <w:type w:val="continuous"/>
        </w:sectPr>
      </w:pPr>
    </w:p>
    <w:bookmarkStart w:id="10" w:name="page11"/>
    <w:bookmarkEnd w:id="10"/>
    <w:p>
      <w:pPr>
        <w:spacing w:after="0"/>
        <w:rPr>
          <w:sz w:val="20"/>
          <w:szCs w:val="20"/>
          <w:color w:val="auto"/>
        </w:rPr>
      </w:pPr>
      <w:r>
        <w:rPr>
          <w:rFonts w:ascii="Arial" w:cs="Arial" w:eastAsia="Arial" w:hAnsi="Arial"/>
          <w:sz w:val="24"/>
          <w:szCs w:val="24"/>
          <w:b w:val="1"/>
          <w:bCs w:val="1"/>
          <w:color w:val="auto"/>
        </w:rPr>
        <w:t>PART I</w:t>
      </w:r>
    </w:p>
    <w:p>
      <w:pPr>
        <w:spacing w:after="0" w:line="13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ITEM 1. BUSINESS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Description of the Business and Background</w:t>
      </w:r>
    </w:p>
    <w:p>
      <w:pPr>
        <w:spacing w:after="0" w:line="148"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LivaNova PLC is a market-leading global medical technology company. The Company designs, develops, manufactures, markets, and sells products and therapies that are consistent with LivaNova’s mission to provide hope for patients and their families through medical technologies, delivering life-changing solutions in select neurological and cardiac conditions. LivaNova is a public limited company organized under the laws of England and Wales and is headquartered in London, England. LivaNova’s ordinary shares are listed for trading on the Nasdaq under the symbol “LIVN.”</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Overview</w:t>
      </w:r>
    </w:p>
    <w:p>
      <w:pPr>
        <w:spacing w:after="0" w:line="148" w:lineRule="exact"/>
        <w:rPr>
          <w:sz w:val="20"/>
          <w:szCs w:val="20"/>
          <w:color w:val="auto"/>
        </w:rPr>
      </w:pPr>
    </w:p>
    <w:p>
      <w:pPr>
        <w:jc w:val="both"/>
        <w:spacing w:after="0" w:line="373" w:lineRule="auto"/>
        <w:rPr>
          <w:sz w:val="20"/>
          <w:szCs w:val="20"/>
          <w:color w:val="auto"/>
        </w:rPr>
      </w:pPr>
      <w:r>
        <w:rPr>
          <w:rFonts w:ascii="Arial" w:cs="Arial" w:eastAsia="Arial" w:hAnsi="Arial"/>
          <w:sz w:val="17"/>
          <w:szCs w:val="17"/>
          <w:color w:val="auto"/>
        </w:rPr>
        <w:t>LivaNova is comprised of two reportable segments: Cardiopulmonary and Neuromodulation. “Other” includes non-allocated corporate expenses and the non-cannula results of the Company’s former ACS segment, which was wound down during 2024.</w:t>
      </w:r>
    </w:p>
    <w:p>
      <w:pPr>
        <w:jc w:val="both"/>
        <w:spacing w:after="0" w:line="369" w:lineRule="auto"/>
        <w:rPr>
          <w:sz w:val="20"/>
          <w:szCs w:val="20"/>
          <w:color w:val="auto"/>
        </w:rPr>
      </w:pPr>
      <w:r>
        <w:rPr>
          <w:rFonts w:ascii="Arial" w:cs="Arial" w:eastAsia="Arial" w:hAnsi="Arial"/>
          <w:sz w:val="17"/>
          <w:szCs w:val="17"/>
          <w:color w:val="auto"/>
        </w:rPr>
        <w:t>For further information regarding LivaNova’s reportable segments, historical financial information, and methodology for the presentation of financial results, please refer to “Part IV, Item 15. Exhibits and Financial Statement Schedules” of this Report.</w:t>
      </w:r>
    </w:p>
    <w:p>
      <w:pPr>
        <w:spacing w:after="0"/>
        <w:rPr>
          <w:sz w:val="20"/>
          <w:szCs w:val="20"/>
          <w:color w:val="auto"/>
        </w:rPr>
      </w:pPr>
      <w:r>
        <w:rPr>
          <w:rFonts w:ascii="Arial" w:cs="Arial" w:eastAsia="Arial" w:hAnsi="Arial"/>
          <w:sz w:val="22"/>
          <w:szCs w:val="22"/>
          <w:color w:val="auto"/>
        </w:rPr>
        <w:t>Cardiopulmonary</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LivaNova’s Cardiopulmonary segment is engaged in the design, development, manufacture, marketing, and sale of cardiopulmonary products, including HLMs, oxygenators, autotransfusion systems, perfusion tubing systems, cannulae, and other related accessories. In particular, the Cardiopulmonary segment includes the Essenz Perfusion System, the Company’s next-generation HLM with an embedded patient monitor for tailored patient care strategies and sensing technology for data-driven decision-making during CPB procedures.</w:t>
      </w:r>
    </w:p>
    <w:p>
      <w:pPr>
        <w:spacing w:after="0" w:line="8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CPB is frequently utilized in various heart-related procedures. This method allows the surgical team to oxygenate and circulate the patient's blood, providing the necessary conditions for the surgeon to operate on the heart. The procedures most commonly requiring CPB include traditional coronary artery bypass grafting and valve surgeries. LivaNova’s products enable CPB for neonatal, pediatric, and adult patients.</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Heart-lung Machines</w:t>
      </w:r>
    </w:p>
    <w:p>
      <w:pPr>
        <w:spacing w:after="0" w:line="144"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The HLM product group includes HLMs, heater-coolers, related cardiac surgery equipment and maintenance, and technical services. HLMs temporarily take over the heart and/or lung functions, providing/circulating blood and oxygen to the body, while the heart is stopped during a cardiac surgery procedure. Heater-coolers are used during surgeries to warm or cool patients as part of their care. They are especially important during surgeries involving the heart and lungs.</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Oxygenators and Perfusion Tubing Systems</w:t>
      </w:r>
    </w:p>
    <w:p>
      <w:pPr>
        <w:spacing w:after="0" w:line="144" w:lineRule="exact"/>
        <w:rPr>
          <w:sz w:val="20"/>
          <w:szCs w:val="20"/>
          <w:color w:val="auto"/>
        </w:rPr>
      </w:pPr>
    </w:p>
    <w:p>
      <w:pPr>
        <w:jc w:val="both"/>
        <w:spacing w:after="0" w:line="326" w:lineRule="auto"/>
        <w:rPr>
          <w:sz w:val="20"/>
          <w:szCs w:val="20"/>
          <w:color w:val="auto"/>
        </w:rPr>
      </w:pPr>
      <w:r>
        <w:rPr>
          <w:rFonts w:ascii="Arial" w:cs="Arial" w:eastAsia="Arial" w:hAnsi="Arial"/>
          <w:sz w:val="17"/>
          <w:szCs w:val="17"/>
          <w:color w:val="auto"/>
        </w:rPr>
        <w:t>The oxygenators product group is comprised of disposable devices for extracorporeal circulation, including the Inspire systems. The Inspire range of products is comprised of 12 models that provide perfusionists with a customizable approach for the benefit of patients. Oxygenators exchange oxygen and carbon dioxide in the blood of patients during surgical procedures and are utilized by perfusionists during cardiac surgery in conjunction with an HLM and can also be utilized in ECMO.</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Autotransfusion Systems</w:t>
      </w:r>
    </w:p>
    <w:p>
      <w:pPr>
        <w:spacing w:after="0" w:line="144" w:lineRule="exact"/>
        <w:rPr>
          <w:sz w:val="20"/>
          <w:szCs w:val="20"/>
          <w:color w:val="auto"/>
        </w:rPr>
      </w:pPr>
    </w:p>
    <w:p>
      <w:pPr>
        <w:jc w:val="both"/>
        <w:spacing w:after="0" w:line="367" w:lineRule="auto"/>
        <w:rPr>
          <w:sz w:val="20"/>
          <w:szCs w:val="20"/>
          <w:color w:val="auto"/>
        </w:rPr>
      </w:pPr>
      <w:r>
        <w:rPr>
          <w:rFonts w:ascii="Arial" w:cs="Arial" w:eastAsia="Arial" w:hAnsi="Arial"/>
          <w:sz w:val="17"/>
          <w:szCs w:val="17"/>
          <w:color w:val="auto"/>
        </w:rPr>
        <w:t>One of the key elements for a complete blood management strategy is autologous blood transfusion. The autotransfusion product group facilitates the collection, processing, and reinfusion of the patient’s own blood lost at the surgical site.</w:t>
      </w:r>
    </w:p>
    <w:p>
      <w:pPr>
        <w:spacing w:after="0"/>
        <w:rPr>
          <w:sz w:val="20"/>
          <w:szCs w:val="20"/>
          <w:color w:val="auto"/>
        </w:rPr>
      </w:pPr>
      <w:r>
        <w:rPr>
          <w:rFonts w:ascii="Arial" w:cs="Arial" w:eastAsia="Arial" w:hAnsi="Arial"/>
          <w:sz w:val="22"/>
          <w:szCs w:val="22"/>
          <w:b w:val="1"/>
          <w:bCs w:val="1"/>
          <w:i w:val="1"/>
          <w:iCs w:val="1"/>
          <w:color w:val="auto"/>
        </w:rPr>
        <w:t>Cannulae</w:t>
      </w:r>
    </w:p>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cannulae product group is comprised of cardiopulmonary bypass cannulae, or tubing, which is a device used in cardiopulmonary surgery to cannulate the vessels, perfuse the coronary arteries, and interconnect the catheters and cannulae with an oxygenator.</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color w:val="auto"/>
        </w:rPr>
        <w:t>Neuromodulation</w:t>
      </w:r>
    </w:p>
    <w:p>
      <w:pPr>
        <w:spacing w:after="0" w:line="140"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LivaNova’s Neuromodulation segment is engaged in the design, development, manufacture, marketing, and sale of devices that deliver neuromodulation therapy for treating DRE and DTD. LivaNova’s principal Neuromodulation product, the VNS Therapy System, consists of an implantable pulse generator and connective lead that stimulates the vagus nerve, surgical equipment to assist with the implant procedure, and equipment and instruction manuals that enable a treating physician to set parameters for a patient’s pulse generator. The lead does not need to be removed to replace a generator with a depleted battery. The</w:t>
      </w:r>
    </w:p>
    <w:p>
      <w:pPr>
        <w:sectPr>
          <w:pgSz w:w="11880" w:h="15480" w:orient="portrait"/>
          <w:cols w:equalWidth="0" w:num="1">
            <w:col w:w="10040"/>
          </w:cols>
          <w:pgMar w:left="920" w:top="644" w:right="920" w:bottom="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880" w:h="15480" w:orient="portrait"/>
          <w:cols w:equalWidth="0" w:num="1">
            <w:col w:w="10040"/>
          </w:cols>
          <w:pgMar w:left="920" w:top="644" w:right="920" w:bottom="0" w:gutter="0" w:footer="0" w:header="0"/>
          <w:type w:val="continuous"/>
        </w:sectPr>
      </w:pPr>
    </w:p>
    <w:bookmarkStart w:id="11" w:name="page12"/>
    <w:bookmarkEnd w:id="11"/>
    <w:p>
      <w:pPr>
        <w:jc w:val="both"/>
        <w:spacing w:after="0" w:line="269" w:lineRule="auto"/>
        <w:rPr>
          <w:sz w:val="20"/>
          <w:szCs w:val="20"/>
          <w:color w:val="auto"/>
        </w:rPr>
      </w:pPr>
      <w:r>
        <w:rPr>
          <w:rFonts w:ascii="Arial" w:cs="Arial" w:eastAsia="Arial" w:hAnsi="Arial"/>
          <w:sz w:val="20"/>
          <w:szCs w:val="20"/>
          <w:color w:val="auto"/>
        </w:rPr>
        <w:t>Neuromodulation segment is also engaged in the development and management of clinical testing for LivaNova’s aura6000 System for treating OSA. The aura6000 device stimulates the hypoglossal nerve, which engages specific tongue and palate muscles to open the airway while a patient sleeps.</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Epilepsy</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There are several broad types of treatment available to patients with epilepsy: multiple ASMs; various forms of the ketogenic diet; VNS; resective and ablative brain surgery; and intracranial neurostimulation. ASMs typically serve as a first-line treatment and are prescribed for virtually all patients diagnosed with epilepsy. After two ASMs fail to deliver seizure control, the epilepsy is characterized as drug-resistant and adjunctive non-drug options are considered, including VNS therapy, ketogenic diet, surgery, and other neuromodulation therapies.</w:t>
      </w:r>
    </w:p>
    <w:p>
      <w:pPr>
        <w:spacing w:after="0" w:line="87"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In 1997, LivaNova’s VNS Therapy System was the first medical device treatment approved by the FDA for the treatment of DRE and today is the only neuromodulation device approved for use in the U.S. in DRE patients as young as four years of age with partial onset or focal seizures. Other worldwide regulatory bodies have also approved the VNS Therapy System for treating patients with DRE, many without age or seizure-type restrictions. In 2020, CMS expanded reimbursement for VNS Therapy use in the treatment of Dravet Syndrome and, in January 2022, expanded reimbursement for VNS Therapy use in the treatment of Lennox-Gastaut Syndrome.</w:t>
      </w:r>
    </w:p>
    <w:p>
      <w:pPr>
        <w:spacing w:after="0" w:line="87"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LivaNova distributes multiple VNS Therapy devices for the treatment of epilepsy, including Model 103 (Demipulse), Model 106 (AspireSR), Model 1000 (SenTiva), and Model 1000D (SenTiva Duo) pulse generators. LivaNova’s AspireSR and SenTiva implantable pulse generators provide the traditional benefits of VNS therapy but add an additional stimulation capability: closed loop stimulation (AutoStim), which responds to detection of changes in heart rate potentially indicative of a seizure. The SenTiva generator is the smallest and lightest VNS device capable of delivering responsive therapy for epilepsy and includes the additional flexibility of LivaNova’s Scheduled Programming and Day &amp; Night Programming capabilities. In 2017, the SenTiva and AspireSR VNS Therapy devices were approved by the FDA for expanded MRI access and similar CE Mark approval followed shortly thereafter.</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Depression</w:t>
      </w:r>
    </w:p>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VNS Therapy received CE Mark approval in 2001 for treatment-resistant depression in the EU. In 2005, the FDA approved the VNS Therapy System for the adjunctive long-term treatment of chronic or recurrent depression for patients 18 years of age or older who are experiencing a major depressive episode and have not had an adequate response to four or more adequate antidepressant treatments. In 2007, CMS issued an NCD that vagus nerve stimulation is not covered for treatment-resistant depression, significantly limiting access for most patients.</w:t>
      </w:r>
    </w:p>
    <w:p>
      <w:pPr>
        <w:spacing w:after="0" w:line="70" w:lineRule="exact"/>
        <w:rPr>
          <w:sz w:val="20"/>
          <w:szCs w:val="20"/>
          <w:color w:val="auto"/>
        </w:rPr>
      </w:pPr>
    </w:p>
    <w:p>
      <w:pPr>
        <w:jc w:val="both"/>
        <w:spacing w:after="0" w:line="320" w:lineRule="auto"/>
        <w:rPr>
          <w:sz w:val="20"/>
          <w:szCs w:val="20"/>
          <w:color w:val="auto"/>
        </w:rPr>
      </w:pPr>
      <w:r>
        <w:rPr>
          <w:rFonts w:ascii="Arial" w:cs="Arial" w:eastAsia="Arial" w:hAnsi="Arial"/>
          <w:sz w:val="17"/>
          <w:szCs w:val="17"/>
          <w:color w:val="auto"/>
        </w:rPr>
        <w:t xml:space="preserve">In 2017, the </w:t>
      </w:r>
      <w:r>
        <w:rPr>
          <w:rFonts w:ascii="Arial" w:cs="Arial" w:eastAsia="Arial" w:hAnsi="Arial"/>
          <w:sz w:val="17"/>
          <w:szCs w:val="17"/>
          <w:b w:val="1"/>
          <w:bCs w:val="1"/>
          <w:i w:val="1"/>
          <w:iCs w:val="1"/>
          <w:color w:val="auto"/>
        </w:rPr>
        <w:t>American Journal of Psychiatry</w:t>
      </w:r>
      <w:r>
        <w:rPr>
          <w:rFonts w:ascii="Arial" w:cs="Arial" w:eastAsia="Arial" w:hAnsi="Arial"/>
          <w:sz w:val="17"/>
          <w:szCs w:val="17"/>
          <w:color w:val="auto"/>
        </w:rPr>
        <w:t xml:space="preserve"> published the results of the longest and largest naturalistic study on treatments for patients experiencing DTD. The findings showed that the addition of the VNS Therapy System to traditional treatment was effective in significantly reducing symptoms of severe and chronic depression compared with traditional treatment alone and that VNS Therapy was well tolerated. Following the publication of these study results, LivaNova requested that CMS reconsider its previous NCD, and in 2018, CMS published a tracking sheet to reconsider.</w:t>
      </w:r>
    </w:p>
    <w:p>
      <w:pPr>
        <w:spacing w:after="0" w:line="4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In 2019, CMS published its final decision on the reconsideration, concluding that CMS will cover the VNS Therapy System for Medicare beneficiaries with treatment-resistant depression through CED when offered in a CMS-approved, double-blind, randomized, placebo-controlled trial with a follow-up duration of at least one year. In this 2019 decision, CMS also agreed to cover a VNS Therapy System device replacement for Medicare beneficiaries already implanted with a device. The CED also included the possibility to extend the study to a prospective longitudinal registry.</w:t>
      </w:r>
    </w:p>
    <w:p>
      <w:pPr>
        <w:spacing w:after="0" w:line="73" w:lineRule="exact"/>
        <w:rPr>
          <w:sz w:val="20"/>
          <w:szCs w:val="20"/>
          <w:color w:val="auto"/>
        </w:rPr>
      </w:pPr>
    </w:p>
    <w:p>
      <w:pPr>
        <w:jc w:val="both"/>
        <w:spacing w:after="0" w:line="338" w:lineRule="auto"/>
        <w:rPr>
          <w:sz w:val="20"/>
          <w:szCs w:val="20"/>
          <w:color w:val="auto"/>
        </w:rPr>
      </w:pPr>
      <w:r>
        <w:rPr>
          <w:rFonts w:ascii="Arial" w:cs="Arial" w:eastAsia="Arial" w:hAnsi="Arial"/>
          <w:sz w:val="17"/>
          <w:szCs w:val="17"/>
          <w:color w:val="auto"/>
        </w:rPr>
        <w:t>In 2019, CMS accepted the study protocol for LivaNova’s RECOVER clinical study and the first patient was enrolled. LivaNova’s RECOVER clinical study is examining up to 1,000 patients ages 18 or older who have unipolar or bipolar depression that is difficult to treat and is being carried out at up to 100 leading hospitals and medical centers across the U.S.</w:t>
      </w:r>
    </w:p>
    <w:p>
      <w:pPr>
        <w:spacing w:after="0" w:line="27" w:lineRule="exact"/>
        <w:rPr>
          <w:sz w:val="20"/>
          <w:szCs w:val="20"/>
          <w:color w:val="auto"/>
        </w:rPr>
      </w:pPr>
    </w:p>
    <w:p>
      <w:pPr>
        <w:jc w:val="both"/>
        <w:spacing w:after="0" w:line="326" w:lineRule="auto"/>
        <w:rPr>
          <w:sz w:val="20"/>
          <w:szCs w:val="20"/>
          <w:color w:val="auto"/>
        </w:rPr>
      </w:pPr>
      <w:r>
        <w:rPr>
          <w:rFonts w:ascii="Arial" w:cs="Arial" w:eastAsia="Arial" w:hAnsi="Arial"/>
          <w:sz w:val="17"/>
          <w:szCs w:val="17"/>
          <w:color w:val="auto"/>
        </w:rPr>
        <w:t>In 2023, LivaNova randomized the 500th unipolar depression patient into the RECOVER clinical study and completed enrollment in the unipolar cohort. In June 2024, the Company announced the preliminary results for the unipolar patient cohort. The study did not meet its primary endpoint for the unipolar cohort; however, statistically significant and clinically meaningful improvements were achieved in select secondary endpoints. No new safety issues were identified in the study.</w:t>
      </w:r>
    </w:p>
    <w:p>
      <w:pPr>
        <w:spacing w:after="0" w:line="33" w:lineRule="exact"/>
        <w:rPr>
          <w:sz w:val="20"/>
          <w:szCs w:val="20"/>
          <w:color w:val="auto"/>
        </w:rPr>
      </w:pPr>
    </w:p>
    <w:p>
      <w:pPr>
        <w:jc w:val="both"/>
        <w:spacing w:after="0" w:line="320" w:lineRule="auto"/>
        <w:rPr>
          <w:sz w:val="20"/>
          <w:szCs w:val="20"/>
          <w:color w:val="auto"/>
        </w:rPr>
      </w:pPr>
      <w:r>
        <w:rPr>
          <w:rFonts w:ascii="Arial" w:cs="Arial" w:eastAsia="Arial" w:hAnsi="Arial"/>
          <w:sz w:val="17"/>
          <w:szCs w:val="17"/>
          <w:color w:val="auto"/>
        </w:rPr>
        <w:t xml:space="preserve">In December 2024, </w:t>
      </w:r>
      <w:r>
        <w:rPr>
          <w:rFonts w:ascii="Arial" w:cs="Arial" w:eastAsia="Arial" w:hAnsi="Arial"/>
          <w:sz w:val="17"/>
          <w:szCs w:val="17"/>
          <w:b w:val="1"/>
          <w:bCs w:val="1"/>
          <w:i w:val="1"/>
          <w:iCs w:val="1"/>
          <w:color w:val="auto"/>
        </w:rPr>
        <w:t>Brain Stimulation</w:t>
      </w:r>
      <w:r>
        <w:rPr>
          <w:rFonts w:ascii="Arial" w:cs="Arial" w:eastAsia="Arial" w:hAnsi="Arial"/>
          <w:sz w:val="17"/>
          <w:szCs w:val="17"/>
          <w:color w:val="auto"/>
        </w:rPr>
        <w:t xml:space="preserve"> published two articles chronicling the unipolar cohort data set for the RECOVER clinical study. The articles concluded that active VNS Therapy, as compared with a no-stimulation control (or sham VNS Therapy), safely and effectively demonstrated clinically meaningful therapeutic effects on depressive symptoms and positive effects on quality of life and daily function. Analyses of secondary endpoints revealed antidepressant benefits significantly favoring active VNS Therapy as opposed to sham VNS Therapy as measured by ratings from on-site clinicians, patients themselves, and off-</w:t>
      </w:r>
    </w:p>
    <w:p>
      <w:pPr>
        <w:sectPr>
          <w:pgSz w:w="11880" w:h="15480" w:orient="portrait"/>
          <w:cols w:equalWidth="0" w:num="1">
            <w:col w:w="10040"/>
          </w:cols>
          <w:pgMar w:left="920" w:top="664" w:right="920" w:bottom="0" w:gutter="0" w:footer="0" w:header="0"/>
        </w:sect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880" w:h="15480" w:orient="portrait"/>
          <w:cols w:equalWidth="0" w:num="1">
            <w:col w:w="10040"/>
          </w:cols>
          <w:pgMar w:left="920" w:top="664" w:right="920" w:bottom="0" w:gutter="0" w:footer="0" w:header="0"/>
          <w:type w:val="continuous"/>
        </w:sectPr>
      </w:pPr>
    </w:p>
    <w:bookmarkStart w:id="12" w:name="page13"/>
    <w:bookmarkEnd w:id="12"/>
    <w:p>
      <w:pPr>
        <w:jc w:val="both"/>
        <w:spacing w:after="0" w:line="265" w:lineRule="auto"/>
        <w:rPr>
          <w:sz w:val="20"/>
          <w:szCs w:val="20"/>
          <w:color w:val="auto"/>
        </w:rPr>
      </w:pPr>
      <w:r>
        <w:rPr>
          <w:rFonts w:ascii="Arial" w:cs="Arial" w:eastAsia="Arial" w:hAnsi="Arial"/>
          <w:sz w:val="20"/>
          <w:szCs w:val="20"/>
          <w:color w:val="auto"/>
        </w:rPr>
        <w:t>site masked raters. These findings support the use of VNS Therapy in patients with DTD. Based upon these findings and the positive effects for those who received VNS Therapy, the Company conducted additional in-depth data analyses and expects to publish three additional critical manuscripts to report on the outcomes. The Company intends to continue pursuing CMS coverage while reducing investment in the DTD program in 2025.</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Obstructive Sleep Apnea</w:t>
      </w:r>
    </w:p>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In 2018, LivaNova acquired full ownership of ImThera, a company developing an implantable neurostimulation device system for the treatment of obstructive sleep apnea. The device stimulates the hypoglossal nerve, which engages specific tongue and palate muscles to open the airway while a patient sleeps.</w:t>
      </w:r>
    </w:p>
    <w:p>
      <w:pPr>
        <w:spacing w:after="0" w:line="79"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In 2021, LivaNova received approval from the FDA to proceed with its investigational device exemption clinical study, the OSPREY clinical trial, and the first patient was implanted in March 2022 with the aura6000 System.</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In November 2024, the Company announced the OSPREY clinical study met its primary endpoints for efficacy and safety.</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LivaNova plans to submit the PMA application within the first half of 2025.</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For information on the contingent consideration arrangements associated with the ImThera acquisition, please refer to “Note 8.</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Fair Value Measurements” in the consolidated financial statements in this Report.</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R&amp;D</w:t>
      </w:r>
    </w:p>
    <w:p>
      <w:pPr>
        <w:spacing w:after="0" w:line="148" w:lineRule="exact"/>
        <w:rPr>
          <w:sz w:val="20"/>
          <w:szCs w:val="20"/>
          <w:color w:val="auto"/>
        </w:rPr>
      </w:pPr>
    </w:p>
    <w:p>
      <w:pPr>
        <w:jc w:val="both"/>
        <w:spacing w:after="0" w:line="310" w:lineRule="auto"/>
        <w:rPr>
          <w:sz w:val="20"/>
          <w:szCs w:val="20"/>
          <w:color w:val="auto"/>
        </w:rPr>
      </w:pPr>
      <w:r>
        <w:rPr>
          <w:rFonts w:ascii="Arial" w:cs="Arial" w:eastAsia="Arial" w:hAnsi="Arial"/>
          <w:sz w:val="17"/>
          <w:szCs w:val="17"/>
          <w:color w:val="auto"/>
        </w:rPr>
        <w:t>The Company’s R&amp;D investment consists of product design and development expenses, including technology, software, clinical study programs, and regulatory activities. LivaNova’s markets are subject to rapid technological advances, and as such, product improvement, software advancements, and innovation are necessary to maintain market leadership. The Company directs its R&amp;D efforts toward maintaining or achieving technological leadership in each of its markets to help ensure that patients using the Company’s devices and therapies receive the most advanced and effective treatment available. LivaNova remains committed to developing technological enhancements and new uses for existing products, as well as less invasive and new technologies to address unmet patient needs. LivaNova continues to engage researchers to collect clinical and health economic evidence that supports regulatory filings and value dossiers and to establish the value proposition to patients, physicians, and payers for its current and future products.</w:t>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Patents and Licenses</w:t>
      </w:r>
    </w:p>
    <w:p>
      <w:pPr>
        <w:spacing w:after="0" w:line="148"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LivaNova relies on a combination of patents, trademarks, copyrights, trade secrets, and non-disclosure agreements to protect the Company’s intellectual property. LivaNova generally files patent applications in the U.S. and countries where patent protection for LivaNova’s technology is appropriate and available. It holds rights to patent properties throughout the world that cover various aspects of its technology. Patents typically have a 20-year term from the application filing date. In addition, LivaNova holds exclusive and non-exclusive licenses to a variety of third-party technologies covered by patents and pending patent applications. There can be no assurance that pending patent applications will result in the issuance of patents, that patents issued to or licensed by LivaNova will not be challenged or circumvented by competitors, or that these patents will be found to be valid or sufficiently broad to protect LivaNova’s technology or to provide the Company with a competitive advantage. LivaNova has also obtained certain trademarks and trade names for the Company’s products and maintains certain details about its processes, products, and strategies as trade secrets. In the aggregate, LivaNova considers these intellectual property assets to be of material importance to its business. LivaNova regularly reviews third-party patents and patent applications in an effort to protect its intellectual property and avoid disputes over proprietary rights.</w:t>
      </w:r>
    </w:p>
    <w:p>
      <w:pPr>
        <w:spacing w:after="0" w:line="57"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LivaNova also relies on non-disclosure, confidentiality, and non-competition agreements with employees, consultants, and other parties to protect, in part, trade secrets and other proprietary technology. There can be no assurance that these agreements will not be breached or will be enforceable, that LivaNova will have adequate remedies for any breach, that others will not independently develop equivalent proprietary information, or that third parties will not otherwise gain access to LivaNova’s trade secrets and proprietary knowledge.</w:t>
      </w:r>
    </w:p>
    <w:p>
      <w:pPr>
        <w:spacing w:after="0" w:line="84" w:lineRule="exact"/>
        <w:rPr>
          <w:sz w:val="20"/>
          <w:szCs w:val="20"/>
          <w:color w:val="auto"/>
        </w:rPr>
      </w:pPr>
    </w:p>
    <w:p>
      <w:pPr>
        <w:jc w:val="both"/>
        <w:spacing w:after="0" w:line="320" w:lineRule="auto"/>
        <w:rPr>
          <w:sz w:val="20"/>
          <w:szCs w:val="20"/>
          <w:color w:val="auto"/>
        </w:rPr>
      </w:pPr>
      <w:r>
        <w:rPr>
          <w:rFonts w:ascii="Arial" w:cs="Arial" w:eastAsia="Arial" w:hAnsi="Arial"/>
          <w:sz w:val="17"/>
          <w:szCs w:val="17"/>
          <w:color w:val="auto"/>
        </w:rPr>
        <w:t>For additional information, please refer to “Item 1A. Risk Factors” of this Report, under the section entitled “</w:t>
      </w:r>
      <w:r>
        <w:rPr>
          <w:rFonts w:ascii="Arial" w:cs="Arial" w:eastAsia="Arial" w:hAnsi="Arial"/>
          <w:sz w:val="17"/>
          <w:szCs w:val="17"/>
          <w:b w:val="1"/>
          <w:bCs w:val="1"/>
          <w:i w:val="1"/>
          <w:iCs w:val="1"/>
          <w:color w:val="auto"/>
        </w:rPr>
        <w:t>LivaNova is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substantially dependent on patent and other proprietary rights, and failing to protect such rights or to be successful in litigation related to LivaNova’s rights or the rights of others may result in the Company’s payment of significant monetary damages and/ or royalty payments, negatively impact LivaNova’s ability to sell current or future products, or prohibit the Company from enforcing its patent and other proprietary rights against others.</w:t>
      </w:r>
      <w:r>
        <w:rPr>
          <w:rFonts w:ascii="Arial" w:cs="Arial" w:eastAsia="Arial" w:hAnsi="Arial"/>
          <w:sz w:val="17"/>
          <w:szCs w:val="17"/>
          <w:color w:val="auto"/>
        </w:rPr>
        <w:t>”</w:t>
      </w:r>
    </w:p>
    <w:p>
      <w:pPr>
        <w:sectPr>
          <w:pgSz w:w="11880" w:h="15480" w:orient="portrait"/>
          <w:cols w:equalWidth="0" w:num="1">
            <w:col w:w="10040"/>
          </w:cols>
          <w:pgMar w:left="920" w:top="66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880" w:h="15480" w:orient="portrait"/>
          <w:cols w:equalWidth="0" w:num="1">
            <w:col w:w="10040"/>
          </w:cols>
          <w:pgMar w:left="920" w:top="664" w:right="920" w:bottom="0" w:gutter="0" w:footer="0" w:header="0"/>
          <w:type w:val="continuous"/>
        </w:sectPr>
      </w:pPr>
    </w:p>
    <w:bookmarkStart w:id="13" w:name="page14"/>
    <w:bookmarkEnd w:id="13"/>
    <w:p>
      <w:pPr>
        <w:spacing w:after="0"/>
        <w:rPr>
          <w:sz w:val="20"/>
          <w:szCs w:val="20"/>
          <w:color w:val="auto"/>
        </w:rPr>
      </w:pPr>
      <w:r>
        <w:rPr>
          <w:rFonts w:ascii="Arial" w:cs="Arial" w:eastAsia="Arial" w:hAnsi="Arial"/>
          <w:sz w:val="22"/>
          <w:szCs w:val="22"/>
          <w:b w:val="1"/>
          <w:bCs w:val="1"/>
          <w:color w:val="auto"/>
        </w:rPr>
        <w:t>Markets and Distribution Methods</w:t>
      </w:r>
    </w:p>
    <w:p>
      <w:pPr>
        <w:spacing w:after="0" w:line="148"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LivaNova sells its medical devices through a combination of direct sales representatives, agents, and independent distributors. Europe and the APAC region are the Company’s largest international markets, with net revenue from these regions representing 18% and 13%, respectively, of total net revenue during the year ended December 31, 2024.</w:t>
      </w:r>
    </w:p>
    <w:p>
      <w:pPr>
        <w:spacing w:after="0" w:line="61" w:lineRule="exact"/>
        <w:rPr>
          <w:sz w:val="20"/>
          <w:szCs w:val="20"/>
          <w:color w:val="auto"/>
        </w:rPr>
      </w:pPr>
    </w:p>
    <w:p>
      <w:pPr>
        <w:jc w:val="both"/>
        <w:spacing w:after="0" w:line="310" w:lineRule="auto"/>
        <w:rPr>
          <w:sz w:val="20"/>
          <w:szCs w:val="20"/>
          <w:color w:val="auto"/>
        </w:rPr>
      </w:pPr>
      <w:r>
        <w:rPr>
          <w:rFonts w:ascii="Arial" w:cs="Arial" w:eastAsia="Arial" w:hAnsi="Arial"/>
          <w:sz w:val="17"/>
          <w:szCs w:val="17"/>
          <w:color w:val="auto"/>
        </w:rPr>
        <w:t>LivaNova’s marketing and sales strategy is focused on rapid, cost-effective delivery of high-quality products to a diverse group of customers worldwide, including perfusionists, neurologists, neurosurgeons and other physicians, hospitals, and other medical institutions and healthcare providers. To achieve this objective, LivaNova’s sales team develops and preserves appropriate working relationships with customers, and the Company cultivates and maintains close working relationships with professionals in the medical industry. These relationships provide LivaNova with a detailed understanding of therapeutic and diagnostic trends, developments, and emerging opportunities, which enable the Company to respond to the changing needs of providers and patients. LivaNova actively participates in medical conferences and conducts comprehensive training and educational activities to enhance its presence in the medical communities it serves. LivaNova believes that these activities also contribute to advancing the expertise of healthcare professionals.</w:t>
      </w:r>
    </w:p>
    <w:p>
      <w:pPr>
        <w:spacing w:after="0" w:line="50"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Hospitals and other medical device customers are seeking to reduce costs through various mechanisms, such as centralized purchasing and, in some cases, limiting the number of vendors that may participate in a given purchasing program. As a result, customer transactions have become increasingly competitive, which has led, and may continue to lead, to downward pricing pressure and an increase in the use of preferred vendors. LivaNova’s global customer base continues to evolve in response to these and other economic developments across the markets the Company serves.</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Competition and Industry</w:t>
      </w:r>
    </w:p>
    <w:p>
      <w:pPr>
        <w:spacing w:after="0" w:line="148"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LivaNova competes in the global medical device market with sales in more than 100 countries. This market is characterized by technological advances and scientific discoveries which can often trigger rapid changes in market dynamics. LivaNova’s competitors range from large manufacturers with multiple business lines to small manufacturers offering a limited selection of specialized products. LivaNova faces competition from, among others, providers of alternative medical therapies, pharmaceuticals, and surgical interventions.</w:t>
      </w:r>
    </w:p>
    <w:p>
      <w:pPr>
        <w:spacing w:after="0" w:line="87"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Physician advisories, regulatory safety alerts, and publications about LivaNova’s products, or competitor products, can cause major shifts in industry market share, reflecting the importance of product efficacy and quality in the medical device industry. In addition, developments in managed care, economically motivated customers, consolidation among healthcare providers, increased competition, and declining reimbursement rates may increasingly require LivaNova to compete on the basis of price. In order to continue to compete effectively, LivaNova will likely be required to continue to create or acquire advanced technology, incorporate this technology into proprietary products, obtain regulatory approvals in a timely manner, maintain high-quality manufacturing processes, and successfully market and sell these products.</w:t>
      </w:r>
    </w:p>
    <w:p>
      <w:pPr>
        <w:spacing w:after="0" w:line="48"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LivaNova’s primary medical device competitors in the Cardiopulmonary and Neuromodulation product groups are Terumo Medical Corporation, Maquet Medical Systems, Medtronic plc, Haemonetics Corporation, Spectrum Medical Limited, and NeuroPace, Inc., although not all competitors are present in all product lines.</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Production, Quality Systems, and Raw Materials</w:t>
      </w:r>
    </w:p>
    <w:p>
      <w:pPr>
        <w:spacing w:after="0" w:line="148"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LivaNova manufactures a majority of its products in facilities located in the U.S., Italy, Germany, Australia, and Brazil. LivaNova purchases raw materials and components used in its products from numerous suppliers located in various countries worldwide. For quality assurance, sole source availability, or cost effectiveness purposes, LivaNova may procure certain components and raw materials from a sole supplier. LivaNova takes countermeasures to reduce supply chain risks, including working with suppliers to ensure continuity of supply while maintaining high quality and reliability and working to minimize the instances in which the Company relies on a sole source. LivaNova’s quality systems, which define how its design, development, manufacturing, warehousing, and distribution processes ensure its products are safe and effective, are ISO 13485 certified. In addition, LivaNova utilizes environmental management systems and safety programs to protect the environment and the Company’s employees. LivaNova’s Mirandola, Italy plant is ISO 14001 and ISO 45001 certified, and its Munich, Germany plant is ISO 14001 certified. For additional information related to LivaNova’s manufacturing facilities, refer to “Item 2. Properties” in this Report.</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Government Regulation and Other Considerations</w:t>
      </w:r>
    </w:p>
    <w:p>
      <w:pPr>
        <w:spacing w:after="0" w:line="148" w:lineRule="exact"/>
        <w:rPr>
          <w:sz w:val="20"/>
          <w:szCs w:val="20"/>
          <w:color w:val="auto"/>
        </w:rPr>
      </w:pPr>
    </w:p>
    <w:p>
      <w:pPr>
        <w:jc w:val="both"/>
        <w:spacing w:after="0" w:line="326" w:lineRule="auto"/>
        <w:rPr>
          <w:sz w:val="20"/>
          <w:szCs w:val="20"/>
          <w:color w:val="auto"/>
        </w:rPr>
      </w:pPr>
      <w:r>
        <w:rPr>
          <w:rFonts w:ascii="Arial" w:cs="Arial" w:eastAsia="Arial" w:hAnsi="Arial"/>
          <w:sz w:val="17"/>
          <w:szCs w:val="17"/>
          <w:color w:val="auto"/>
        </w:rPr>
        <w:t>LivaNova’s medical devices are subject to extensive government regulation by numerous government agencies, both within and outside the U.S. These agencies require LivaNova to comply with laws and regulations governing the research, development, testing, manufacturing, labeling, pre-market clearance or approval, marketing, distribution, advertising, promotion, record keeping, reporting, tracking, importing, and exporting of LivaNova’s products. LivaNova’s business is also affected by data</w:t>
      </w:r>
    </w:p>
    <w:p>
      <w:pPr>
        <w:sectPr>
          <w:pgSz w:w="11880" w:h="15480" w:orient="portrait"/>
          <w:cols w:equalWidth="0" w:num="1">
            <w:col w:w="10040"/>
          </w:cols>
          <w:pgMar w:left="920" w:top="650" w:right="920" w:bottom="0" w:gutter="0" w:footer="0" w:header="0"/>
        </w:sect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880" w:h="15480" w:orient="portrait"/>
          <w:cols w:equalWidth="0" w:num="1">
            <w:col w:w="10040"/>
          </w:cols>
          <w:pgMar w:left="920" w:top="650" w:right="920" w:bottom="0" w:gutter="0" w:footer="0" w:header="0"/>
          <w:type w:val="continuous"/>
        </w:sectPr>
      </w:pPr>
    </w:p>
    <w:bookmarkStart w:id="14" w:name="page15"/>
    <w:bookmarkEnd w:id="14"/>
    <w:p>
      <w:pPr>
        <w:jc w:val="both"/>
        <w:spacing w:after="0" w:line="269" w:lineRule="auto"/>
        <w:rPr>
          <w:sz w:val="20"/>
          <w:szCs w:val="20"/>
          <w:color w:val="auto"/>
        </w:rPr>
      </w:pPr>
      <w:r>
        <w:rPr>
          <w:rFonts w:ascii="Arial" w:cs="Arial" w:eastAsia="Arial" w:hAnsi="Arial"/>
          <w:sz w:val="20"/>
          <w:szCs w:val="20"/>
          <w:color w:val="auto"/>
        </w:rPr>
        <w:t>privacy and security laws, environmental health and safety regulations, and cost containment initiatives worldwide. LivaNova works to ensure compliance with such laws and regulations and continues to monitor the laws applicable to LivaNova, which are subject to changing and evolving interpretations.</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color w:val="auto"/>
        </w:rPr>
        <w:t>Product Approval and Monitoring</w:t>
      </w:r>
    </w:p>
    <w:p>
      <w:pPr>
        <w:spacing w:after="0" w:line="140"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Many countries in which LivaNova sells its products subject the Company’s medical devices to their own product approval and requirements regarding performance, safety, and quality. For example, each medical device that LivaNova seeks to distribute commercially in the U.S. must receive 510(k) clearance or PMA from the FDA, unless specifically exempted by the agency. The 510(k) process, also known as pre-market notification, requires LivaNova to demonstrate that its new medical device is substantially equivalent to a legally marketed medical device. The PMA process, which is more costly and rigorous than the 510(k) process, requires LivaNova to demonstrate independently that a medical device is safe and effective for its intended use. One or more clinical studies may be required to support a 510(k) application and are almost always required to support a PMA application.</w:t>
      </w:r>
    </w:p>
    <w:p>
      <w:pPr>
        <w:spacing w:after="0" w:line="75" w:lineRule="exact"/>
        <w:rPr>
          <w:sz w:val="20"/>
          <w:szCs w:val="20"/>
          <w:color w:val="auto"/>
        </w:rPr>
      </w:pPr>
    </w:p>
    <w:p>
      <w:pPr>
        <w:jc w:val="both"/>
        <w:spacing w:after="0" w:line="309" w:lineRule="auto"/>
        <w:rPr>
          <w:sz w:val="20"/>
          <w:szCs w:val="20"/>
          <w:color w:val="auto"/>
        </w:rPr>
      </w:pPr>
      <w:r>
        <w:rPr>
          <w:rFonts w:ascii="Arial" w:cs="Arial" w:eastAsia="Arial" w:hAnsi="Arial"/>
          <w:sz w:val="17"/>
          <w:szCs w:val="17"/>
          <w:color w:val="auto"/>
        </w:rPr>
        <w:t>The EU has established a single regulatory product approval process, pursuant to which a CE Mark certifies conformity with all of the legal requirements of the regulatory process. To obtain a CE Mark, defined products must meet minimum standards of performance, safety, and quality based on, among other things, the evaluation of clinical data supporting the safety and performance of the products during normal conditions of use. The competent authorities of the EU countries separately regulate the clinical research for medical devices and the market surveillance of products placed on the market, and manufacturers with CE marked devices are subject to regular inspections to monitor compliance with the applicable directives and essential requirements. In 2017, for example, the EU published its MDR, which has resulted in significant additional pre- and post-market requirements. Certifications to MDR must be achieved by December 2027 or December 2028, based on the risk classification of the device. Penalties for regulatory non-compliance can be severe, including fines and revocation or suspension of a company’s marketing authorization, mandatory price reductions, and criminal sanctions.</w:t>
      </w:r>
    </w:p>
    <w:p>
      <w:pPr>
        <w:spacing w:after="0" w:line="51" w:lineRule="exact"/>
        <w:rPr>
          <w:sz w:val="20"/>
          <w:szCs w:val="20"/>
          <w:color w:val="auto"/>
        </w:rPr>
      </w:pPr>
    </w:p>
    <w:p>
      <w:pPr>
        <w:jc w:val="both"/>
        <w:spacing w:after="0" w:line="309" w:lineRule="auto"/>
        <w:rPr>
          <w:sz w:val="20"/>
          <w:szCs w:val="20"/>
          <w:color w:val="auto"/>
        </w:rPr>
      </w:pPr>
      <w:r>
        <w:rPr>
          <w:rFonts w:ascii="Arial" w:cs="Arial" w:eastAsia="Arial" w:hAnsi="Arial"/>
          <w:sz w:val="17"/>
          <w:szCs w:val="17"/>
          <w:color w:val="auto"/>
        </w:rPr>
        <w:t>LivaNova is also required to comply with the regulations of every country where it commercializes products before the Company can launch or maintain products in the market. To be sold in Japan, for example, LivaNova’s medical devices must undergo thorough safety examinations and demonstrate medical efficacy from the Japanese government through the Ministry of Health, Labour and Welfare before they are granted approval. In China, regulatory requirements are becoming more stringent. Many countries also require that product approvals be recertified on a regular basis, generally every four to five years. The recertification process requires LivaNova to evaluate any device change and any new regulation or standard relevant to the device and, where required, conduct appropriate testing to document continued compliance. Furthermore, in the UK, the UK Future Regulatory Framework is expected to be in place in 2026. This regulation will require manufacturers to take additional steps to register devices in the UK after completing registrations in the EU, Australia, Canada, or the United States. Transition to the UK Future Regulatory Framework is required by 2030.</w:t>
      </w:r>
    </w:p>
    <w:p>
      <w:pPr>
        <w:spacing w:after="0" w:line="51"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global regulatory environment is becoming increasingly more stringent and unpredictable. Several countries that did not have regulatory requirements for medical devices have established such requirements in recent years, and other countries have expanded, or plan to expand, their existing regulations. While some regulatory bodies have pursued harmonization of global regulations, requirements continue to differ significantly among countries. LivaNova expects this global regulatory environment will continue to evolve, which could impact the Company’s cost, approval lead time, or ability to maintain existing or obtain future product approvals.</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color w:val="auto"/>
        </w:rPr>
        <w:t>Product and Promotional Restrictions</w:t>
      </w:r>
    </w:p>
    <w:p>
      <w:pPr>
        <w:spacing w:after="0" w:line="140" w:lineRule="exact"/>
        <w:rPr>
          <w:sz w:val="20"/>
          <w:szCs w:val="20"/>
          <w:color w:val="auto"/>
        </w:rPr>
      </w:pPr>
    </w:p>
    <w:p>
      <w:pPr>
        <w:jc w:val="both"/>
        <w:spacing w:after="0" w:line="309" w:lineRule="auto"/>
        <w:rPr>
          <w:sz w:val="20"/>
          <w:szCs w:val="20"/>
          <w:color w:val="auto"/>
        </w:rPr>
      </w:pPr>
      <w:r>
        <w:rPr>
          <w:rFonts w:ascii="Arial" w:cs="Arial" w:eastAsia="Arial" w:hAnsi="Arial"/>
          <w:sz w:val="17"/>
          <w:szCs w:val="17"/>
          <w:color w:val="auto"/>
        </w:rPr>
        <w:t>Both before and after LivaNova releases a product for commercial distribution, the Company has ongoing responsibilities under various laws and regulations governing medical devices. The FDA and other regulatory agencies in and outside the U.S. review LivaNova’s design and manufacturing practices, labeling, record keeping, and required reports of adverse experiences and other information to identify potential problems with marketed medical devices. LivaNova is also subject to periodic inspections for compliance with applicable quality system regulations, which govern the methods used in, and the facilities and controls used for, the design, manufacture, packaging, and servicing of finished medical devices intended for human use. In addition, the FDA and other U.S. regulatory bodies monitor the manner in which LivaNova promotes and advertises its products. Although physicians are permitted to use their medical judgment to prescribe medical devices for indications other than those cleared or approved by regulatory bodies, LivaNova is prohibited from promoting products for such “off-label” uses and can only market the Company’s products for cleared or approved uses.</w:t>
      </w:r>
    </w:p>
    <w:p>
      <w:pPr>
        <w:spacing w:after="0" w:line="51" w:lineRule="exact"/>
        <w:rPr>
          <w:sz w:val="20"/>
          <w:szCs w:val="20"/>
          <w:color w:val="auto"/>
        </w:rPr>
      </w:pPr>
    </w:p>
    <w:p>
      <w:pPr>
        <w:jc w:val="both"/>
        <w:spacing w:after="0" w:line="338" w:lineRule="auto"/>
        <w:rPr>
          <w:sz w:val="20"/>
          <w:szCs w:val="20"/>
          <w:color w:val="auto"/>
        </w:rPr>
      </w:pPr>
      <w:r>
        <w:rPr>
          <w:rFonts w:ascii="Arial" w:cs="Arial" w:eastAsia="Arial" w:hAnsi="Arial"/>
          <w:sz w:val="17"/>
          <w:szCs w:val="17"/>
          <w:color w:val="auto"/>
        </w:rPr>
        <w:t>Any adverse regulatory action, depending on its magnitude, may limit LivaNova’s ability to market and sell its products effectively, limit its ability to obtain future pre-market approvals, or result in a substantial modification to LivaNova’s business practices and operations. For additional information, see “Item 1A. Risk Factors” of this Report, under the section entitled</w:t>
      </w:r>
    </w:p>
    <w:p>
      <w:pPr>
        <w:sectPr>
          <w:pgSz w:w="11880" w:h="15480" w:orient="portrait"/>
          <w:cols w:equalWidth="0" w:num="1">
            <w:col w:w="10040"/>
          </w:cols>
          <w:pgMar w:left="920" w:top="664" w:right="920" w:bottom="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880" w:h="15480" w:orient="portrait"/>
          <w:cols w:equalWidth="0" w:num="1">
            <w:col w:w="10040"/>
          </w:cols>
          <w:pgMar w:left="920" w:top="664" w:right="920" w:bottom="0" w:gutter="0" w:footer="0" w:header="0"/>
          <w:type w:val="continuous"/>
        </w:sectPr>
      </w:pPr>
    </w:p>
    <w:bookmarkStart w:id="15" w:name="page16"/>
    <w:bookmarkEnd w:id="15"/>
    <w:p>
      <w:pPr>
        <w:jc w:val="both"/>
        <w:spacing w:after="0" w:line="3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LivaNova’s products are subject to complex laws and regulations, and failure to obtain product approvals, clearance, or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reimbursement may materially adversely affect LivaNova’s business, results of operations, cash flows, and financial condition.</w:t>
      </w:r>
      <w:r>
        <w:rPr>
          <w:rFonts w:ascii="Arial" w:cs="Arial" w:eastAsia="Arial" w:hAnsi="Arial"/>
          <w:sz w:val="16"/>
          <w:szCs w:val="16"/>
          <w:color w:val="auto"/>
        </w:rPr>
        <w:t>”</w:t>
      </w:r>
    </w:p>
    <w:p>
      <w:pPr>
        <w:spacing w:after="0"/>
        <w:rPr>
          <w:sz w:val="20"/>
          <w:szCs w:val="20"/>
          <w:color w:val="auto"/>
        </w:rPr>
      </w:pPr>
      <w:r>
        <w:rPr>
          <w:rFonts w:ascii="Arial" w:cs="Arial" w:eastAsia="Arial" w:hAnsi="Arial"/>
          <w:sz w:val="22"/>
          <w:szCs w:val="22"/>
          <w:color w:val="auto"/>
        </w:rPr>
        <w:t>Governmental Trade Regulations</w:t>
      </w:r>
    </w:p>
    <w:p>
      <w:pPr>
        <w:spacing w:after="0" w:line="140" w:lineRule="exact"/>
        <w:rPr>
          <w:sz w:val="20"/>
          <w:szCs w:val="20"/>
          <w:color w:val="auto"/>
        </w:rPr>
      </w:pPr>
    </w:p>
    <w:p>
      <w:pPr>
        <w:jc w:val="both"/>
        <w:spacing w:after="0" w:line="311" w:lineRule="auto"/>
        <w:rPr>
          <w:sz w:val="20"/>
          <w:szCs w:val="20"/>
          <w:color w:val="auto"/>
        </w:rPr>
      </w:pPr>
      <w:r>
        <w:rPr>
          <w:rFonts w:ascii="Arial" w:cs="Arial" w:eastAsia="Arial" w:hAnsi="Arial"/>
          <w:sz w:val="17"/>
          <w:szCs w:val="17"/>
          <w:color w:val="auto"/>
        </w:rPr>
        <w:t>The sale and shipment of LivaNova’s products and services across international borders, as well as the purchase of components and products from international sources, subject LivaNova to extensive governmental trade regulations. Many countries control the export and re-export of goods, technology, and services for public health, national security, regional stability, antiterrorism, and other reasons. Some governments may also impose tariffs, trade restrictions, and economic sanctions against certain countries, persons, or entities. In certain circumstances, governmental authorities may require LivaNova to obtain approval before LivaNova may export or re-export goods, technology, or services to certain territories and end-users or for certain end-uses. Because LivaNova is subject to extensive regulations in the countries in which it operates, the Company is subject to the risk that laws and regulations could change in a way that would expose LivaNova to additional costs, penalties, or liabilities.</w:t>
      </w:r>
    </w:p>
    <w:p>
      <w:pPr>
        <w:spacing w:after="0" w:line="51" w:lineRule="exact"/>
        <w:rPr>
          <w:sz w:val="20"/>
          <w:szCs w:val="20"/>
          <w:color w:val="auto"/>
        </w:rPr>
      </w:pPr>
    </w:p>
    <w:p>
      <w:pPr>
        <w:jc w:val="both"/>
        <w:spacing w:after="0" w:line="316" w:lineRule="auto"/>
        <w:rPr>
          <w:sz w:val="20"/>
          <w:szCs w:val="20"/>
          <w:color w:val="auto"/>
        </w:rPr>
      </w:pPr>
      <w:r>
        <w:rPr>
          <w:rFonts w:ascii="Arial" w:cs="Arial" w:eastAsia="Arial" w:hAnsi="Arial"/>
          <w:sz w:val="17"/>
          <w:szCs w:val="17"/>
          <w:color w:val="auto"/>
        </w:rPr>
        <w:t>LivaNova also sells and provides goods, technology, and services to agents, representatives, and distributors who may export such items to customers and end-users, and if these third parties violate applicable export control or economic sanctions laws or regulations when engaging in transactions involving the Company’s products, LivaNova may be subject to varying degrees of liability depending on the extent of its participation in the transaction. The activities of these third parties may cause disruption or delays in the distribution and sale of LivaNova’s products or result in restrictions being placed on the Company’s international distribution and sales of products, which may materially impact LivaNova’s business activities.</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color w:val="auto"/>
        </w:rPr>
        <w:t>Data Privacy and Security Laws</w:t>
      </w:r>
    </w:p>
    <w:p>
      <w:pPr>
        <w:spacing w:after="0" w:line="140"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As a global medical device technology company, LivaNova is subject to various laws worldwide that protect the privacy, security, and confidentiality of certain data, including employee data and patient health information, and restrict the use and unauthorized disclosure of such information. Privacy standards are often strict. Enforcement actions and financial penalties related to privacy issues in the EU continue to grow, and new privacy and data localization laws and restrictions are being passed in other countries, including the U.S. The management of cross-border transfers of personal information outside of EU member countries is complex, which may complicate LivaNova’s business and clinical research activities, as well as product offerings that involve transmission or use of patient health information. LivaNova continues to adapt its business processes to comply with those standards and requirements applicable to it.</w:t>
      </w:r>
    </w:p>
    <w:p>
      <w:pPr>
        <w:spacing w:after="0" w:line="75" w:lineRule="exact"/>
        <w:rPr>
          <w:sz w:val="20"/>
          <w:szCs w:val="20"/>
          <w:color w:val="auto"/>
        </w:rPr>
      </w:pPr>
    </w:p>
    <w:p>
      <w:pPr>
        <w:jc w:val="both"/>
        <w:spacing w:after="0" w:line="305" w:lineRule="auto"/>
        <w:rPr>
          <w:sz w:val="20"/>
          <w:szCs w:val="20"/>
          <w:color w:val="auto"/>
        </w:rPr>
      </w:pPr>
      <w:r>
        <w:rPr>
          <w:rFonts w:ascii="Arial" w:cs="Arial" w:eastAsia="Arial" w:hAnsi="Arial"/>
          <w:sz w:val="17"/>
          <w:szCs w:val="17"/>
          <w:color w:val="auto"/>
        </w:rPr>
        <w:t>In the U.S., HIPAA, as amended by the HITECH Act and their respective implementing regulations, imposes specified requirements relating to the privacy and security of certain individually identifiable health information. Among other things, HITECH makes certain of HIPAA’s privacy and security standards directly applicable to “business associates,” essentially defined as service providers of covered entities that create, receive, maintain, or transmit protected health information in connection with providing a service for or on behalf of a covered entity. In certain instances, LivaNova may be considered a business associate. In such instances, the patient data that LivaNova receives may include protected health information, as defined under HIPAA. Related enforcement actions can be costly and may also interrupt LivaNova’s regular business operations. In addition, state laws, such as the CCPA, govern the privacy and security of health information in certain circumstances, many of which differ from each other in significant ways, thus complicating compliance and data protection efforts. Since the CCPA was enacted, other U.S. states have enacted comprehensive and health-related privacy laws. The effects of the CCPA and other recently adopted laws include an increased ability of individuals to control the use of their personal data, heightened transparency obligations, increased obligations of companies to maintain the security of data, and increased exposure to fines or damages for companies that violate these laws, including by not providing individuals their specified privacy rights, not maintaining data security safeguards at specified levels of quality, or experiencing data breaches. For additional information, see “Item 1A. Risk Factors” of this Report, under the section entitled “</w:t>
      </w:r>
      <w:r>
        <w:rPr>
          <w:rFonts w:ascii="Arial" w:cs="Arial" w:eastAsia="Arial" w:hAnsi="Arial"/>
          <w:sz w:val="17"/>
          <w:szCs w:val="17"/>
          <w:b w:val="1"/>
          <w:bCs w:val="1"/>
          <w:i w:val="1"/>
          <w:iCs w:val="1"/>
          <w:color w:val="auto"/>
        </w:rPr>
        <w:t>Cybersecurity incidents or other</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disruptions to LivaNova’s information technology systems could lead to reduced revenue, increased costs, liability claims, regulatory fines, litigation, harm to LivaNova’s competitive position, and loss of reputation.”</w:t>
      </w:r>
    </w:p>
    <w:p>
      <w:pPr>
        <w:spacing w:after="0" w:line="308"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In the EU, the processing of certain data, including employee and patient information, is subject to the privacy, security, and confidentiality provisions set forth in Regulation 2016/679. Under the GDPR, data concerning health constitutes sensitive data. The processing of sensitive data is subject to, among other obligations, appropriate notice and consent requirements. Additional requirements apply with respect to issues such as data sharing, cross-border data transfers, data security, and data breach notification. The GDPR also requires LivaNova to implement a number of accountability measures in relation to the processing of sensitive data, including carrying out Data Protection Impact Assessments and appointing a Data Protection Officer. Administrative fines may be levied for non-compliance with the GDPR’s requirements and can reach the higher of €20 million ($20.8 million as of December 31, 2024) or up to 4% of LivaNova’s total worldwide annual net revenue for the preceding financial year.</w:t>
      </w:r>
    </w:p>
    <w:p>
      <w:pPr>
        <w:sectPr>
          <w:pgSz w:w="11880" w:h="15480" w:orient="portrait"/>
          <w:cols w:equalWidth="0" w:num="1">
            <w:col w:w="10040"/>
          </w:cols>
          <w:pgMar w:left="920" w:top="661" w:right="920" w:bottom="0"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880" w:h="15480" w:orient="portrait"/>
          <w:cols w:equalWidth="0" w:num="1">
            <w:col w:w="10040"/>
          </w:cols>
          <w:pgMar w:left="920" w:top="661" w:right="920" w:bottom="0" w:gutter="0" w:footer="0" w:header="0"/>
          <w:type w:val="continuous"/>
        </w:sectPr>
      </w:pPr>
    </w:p>
    <w:bookmarkStart w:id="16" w:name="page17"/>
    <w:bookmarkEnd w:id="16"/>
    <w:p>
      <w:pPr>
        <w:spacing w:after="0"/>
        <w:rPr>
          <w:sz w:val="20"/>
          <w:szCs w:val="20"/>
          <w:color w:val="auto"/>
        </w:rPr>
      </w:pPr>
      <w:r>
        <w:rPr>
          <w:rFonts w:ascii="Arial" w:cs="Arial" w:eastAsia="Arial" w:hAnsi="Arial"/>
          <w:sz w:val="22"/>
          <w:szCs w:val="22"/>
          <w:color w:val="auto"/>
        </w:rPr>
        <w:t>Environmental Regulation and Management</w:t>
      </w:r>
    </w:p>
    <w:p>
      <w:pPr>
        <w:spacing w:after="0" w:line="140"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LivaNova is subject to various environmental laws, directives, and regulations both in the U.S. and abroad that have resulted in, and could lead to, increased environmental compliance expenditures and reporting. LivaNova’s ongoing manufacturing and other operations involve the use, storage, and transportation of hazardous and non-hazardous substances regulated under environmental health and safety laws. In addition, governmental authorities may seek to hold LivaNova liable for successor environmental liability violations committed by any companies in which LivaNova invests or acquires or may require LivaNova to clean and remove hazardous substances at its sites that were produced by the operations of prior owners and are unrelated to the Company’s current operations. For additional information, please refer to “Note 11. Commitments and Contingencies” in LivaNova’s consolidated financial statements under the sections entitled “Saluggia Site Hazardous Substances” and “SNIA Environmental Litigation” and “Item 1A. Risk Factors” of this Report, under the section entitled “</w:t>
      </w:r>
      <w:r>
        <w:rPr>
          <w:rFonts w:ascii="Arial" w:cs="Arial" w:eastAsia="Arial" w:hAnsi="Arial"/>
          <w:sz w:val="17"/>
          <w:szCs w:val="17"/>
          <w:b w:val="1"/>
          <w:bCs w:val="1"/>
          <w:i w:val="1"/>
          <w:iCs w:val="1"/>
          <w:color w:val="auto"/>
        </w:rPr>
        <w:t>LivaNova is subject to heightened scrutiny on issues relating to sustainability, including environmental laws and regulations,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and the risk of environmental liabilities, violations, and litigation in multiple jurisdictions, any of which could have a material impact on LivaNova’s reputation, business, results of operations, cash flows, financial condition, and liquidity</w:t>
      </w:r>
      <w:r>
        <w:rPr>
          <w:rFonts w:ascii="Arial" w:cs="Arial" w:eastAsia="Arial" w:hAnsi="Arial"/>
          <w:sz w:val="17"/>
          <w:szCs w:val="17"/>
          <w:color w:val="auto"/>
        </w:rPr>
        <w:t>.”</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auto"/>
        </w:rPr>
        <w:t>Applicability of Anti-Corruption Laws and Regulations</w:t>
      </w:r>
    </w:p>
    <w:p>
      <w:pPr>
        <w:spacing w:after="0" w:line="140" w:lineRule="exact"/>
        <w:rPr>
          <w:sz w:val="20"/>
          <w:szCs w:val="20"/>
          <w:color w:val="auto"/>
        </w:rPr>
      </w:pPr>
    </w:p>
    <w:p>
      <w:pPr>
        <w:jc w:val="both"/>
        <w:spacing w:after="0" w:line="311" w:lineRule="auto"/>
        <w:rPr>
          <w:sz w:val="20"/>
          <w:szCs w:val="20"/>
          <w:color w:val="auto"/>
        </w:rPr>
      </w:pPr>
      <w:r>
        <w:rPr>
          <w:rFonts w:ascii="Arial" w:cs="Arial" w:eastAsia="Arial" w:hAnsi="Arial"/>
          <w:sz w:val="17"/>
          <w:szCs w:val="17"/>
          <w:color w:val="auto"/>
        </w:rPr>
        <w:t>LivaNova’s worldwide business is subject to the FCPA, the UK Bribery Act, and other anti-corruption laws and regulations applicable in the jurisdictions where LivaNova operates. The FCPA can be used to prosecute companies in the U.S. for arrangements with physicians or other parties outside the U.S. if the physician or party is a government official of another country and prohibited payments are made to obtain or retain business. The UK Bribery Act prohibits both domestic and international bribery, as well as bribery across both public and private sectors. There are similar laws and regulations applicable to LivaNova outside the U.S. and the UK, all of which are subject to evolving interpretations. For additional information, please refer to “Item 1A. Risk Factors” of this Report, under the section entitled “</w:t>
      </w:r>
      <w:r>
        <w:rPr>
          <w:rFonts w:ascii="Arial" w:cs="Arial" w:eastAsia="Arial" w:hAnsi="Arial"/>
          <w:sz w:val="17"/>
          <w:szCs w:val="17"/>
          <w:b w:val="1"/>
          <w:bCs w:val="1"/>
          <w:i w:val="1"/>
          <w:iCs w:val="1"/>
          <w:color w:val="auto"/>
        </w:rPr>
        <w:t>Failure to comply with anti-bribery laws could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materially adversely affect LivaNova’s business and result in civil and/or criminal sanctions.</w:t>
      </w:r>
      <w:r>
        <w:rPr>
          <w:rFonts w:ascii="Arial" w:cs="Arial" w:eastAsia="Arial" w:hAnsi="Arial"/>
          <w:sz w:val="17"/>
          <w:szCs w:val="17"/>
          <w:color w:val="auto"/>
        </w:rPr>
        <w:t>”</w:t>
      </w:r>
    </w:p>
    <w:p>
      <w:pPr>
        <w:spacing w:after="0" w:line="45" w:lineRule="exact"/>
        <w:rPr>
          <w:sz w:val="20"/>
          <w:szCs w:val="20"/>
          <w:color w:val="auto"/>
        </w:rPr>
      </w:pPr>
    </w:p>
    <w:p>
      <w:pPr>
        <w:spacing w:after="0"/>
        <w:rPr>
          <w:sz w:val="20"/>
          <w:szCs w:val="20"/>
          <w:color w:val="auto"/>
        </w:rPr>
      </w:pPr>
      <w:r>
        <w:rPr>
          <w:rFonts w:ascii="Arial" w:cs="Arial" w:eastAsia="Arial" w:hAnsi="Arial"/>
          <w:sz w:val="22"/>
          <w:szCs w:val="22"/>
          <w:color w:val="auto"/>
        </w:rPr>
        <w:t>Cost Containment Initiatives</w:t>
      </w:r>
    </w:p>
    <w:p>
      <w:pPr>
        <w:spacing w:after="0" w:line="140"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Government and private sector initiatives to limit the growth of healthcare costs, including price regulation, competitive pricing, bidding and tender mechanics, coverage and payment policies, comparative effectiveness of therapies, technology assessments, and managed-care arrangements, are continuing in many countries where LivaNova does business. These changes are driving customers to place increased emphasis on the delivery of more cost-effective medical devices and therapies. Government programs, private healthcare insurance, and managed-care plans have attempted to control costs by limiting the extent of coverage or amount of reimbursement available for particular procedures or treatments, by connecting reimbursement to outcomes, by shifting to population health management, and through other mechanisms designed to constrain utilization and contain costs. Hospitals are also seeking to reduce costs through a variety of mechanisms, for example, creating centralized purchasing functions that set pricing and, in some cases, limiting the number of vendors that can participate in a given purchasing program. Hospitals are also aligning their interests with those of physicians through employment and other arrangements, such as gainsharing, whereby a hospital agrees with physicians to share certain realized cost savings resulting from the physicians’ collective change in practice patterns, such as standardization of devices where medically appropriate, and participation in affordable care organizations. Such alignment has created increased levels of price sensitivity among customers for LivaNova’s and its competitors’ products.</w:t>
      </w:r>
    </w:p>
    <w:p>
      <w:pPr>
        <w:spacing w:after="0" w:line="297"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Some third-party payers must also approve coverage and set reimbursement levels for new or innovative devices or therapies before they reimburse healthcare providers that use the medical devices or therapies. Even though a new medical device may be cleared for commercial distribution, LivaNova may find limited demand for the device until coverage and sufficient reimbursement levels have been obtained from governmental and private third-party payers. In addition, some private third-party payers require that certain procedures or the use of certain products be authorized in advance as a condition of coverage.</w:t>
      </w:r>
    </w:p>
    <w:p>
      <w:pPr>
        <w:spacing w:after="0" w:line="44"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As a result of LivaNova’s manufacturing efficiencies, cost controls, and other cost-savings initiatives, the Company believes it is well-positioned to respond to changes resulting from this worldwide trend toward cost containment. However, uncertainty remains as to the nature of any future legislation or other reforms, making it difficult for LivaNova to predict the potential impact of cost containment trends on future operating results.</w:t>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Healthcare Fraud and Abuse and Related Laws</w:t>
      </w:r>
    </w:p>
    <w:p>
      <w:pPr>
        <w:spacing w:after="0" w:line="148"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333333"/>
        </w:rPr>
        <w:t>The delivery of LivaNova’s products is subject to regulation by HHS and comparable state and non-U.S. agencies responsible for reimbursement and regulation of healthcare products and services. LivaNova is subject to U.S. federal and state government healthcare regulations and enforcement imposed primarily in connection with government healthcare programs, such as the Medicare and Medicaid programs, as well as healthcare regulations and enforcement imposed by governments in other countries in which LivaNova conducts business.</w:t>
      </w:r>
    </w:p>
    <w:p>
      <w:pPr>
        <w:sectPr>
          <w:pgSz w:w="11880" w:h="15480" w:orient="portrait"/>
          <w:cols w:equalWidth="0" w:num="1">
            <w:col w:w="10040"/>
          </w:cols>
          <w:pgMar w:left="920" w:top="658" w:right="920" w:bottom="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880" w:h="15480" w:orient="portrait"/>
          <w:cols w:equalWidth="0" w:num="1">
            <w:col w:w="10040"/>
          </w:cols>
          <w:pgMar w:left="920" w:top="658" w:right="920" w:bottom="0" w:gutter="0" w:footer="0" w:header="0"/>
          <w:type w:val="continuous"/>
        </w:sectPr>
      </w:pPr>
    </w:p>
    <w:bookmarkStart w:id="17" w:name="page18"/>
    <w:bookmarkEnd w:id="17"/>
    <w:p>
      <w:pPr>
        <w:jc w:val="both"/>
        <w:spacing w:after="0" w:line="273" w:lineRule="auto"/>
        <w:rPr>
          <w:sz w:val="20"/>
          <w:szCs w:val="20"/>
          <w:color w:val="auto"/>
        </w:rPr>
      </w:pPr>
      <w:r>
        <w:rPr>
          <w:rFonts w:ascii="Arial" w:cs="Arial" w:eastAsia="Arial" w:hAnsi="Arial"/>
          <w:sz w:val="19"/>
          <w:szCs w:val="19"/>
          <w:color w:val="333333"/>
        </w:rPr>
        <w:t xml:space="preserve">U.S. federal healthcare laws apply when LivaNova or customers submit claims for items or services that are reimbursed under government healthcare programs, including laws related to kickbacks, false claims, self-referrals, or other healthcare fraud. </w:t>
      </w:r>
      <w:r>
        <w:rPr>
          <w:rFonts w:ascii="Arial" w:cs="Arial" w:eastAsia="Arial" w:hAnsi="Arial"/>
          <w:sz w:val="19"/>
          <w:szCs w:val="19"/>
          <w:color w:val="000000"/>
        </w:rPr>
        <w:t>Specifically, t</w:t>
      </w:r>
      <w:r>
        <w:rPr>
          <w:rFonts w:ascii="Arial" w:cs="Arial" w:eastAsia="Arial" w:hAnsi="Arial"/>
          <w:sz w:val="19"/>
          <w:szCs w:val="19"/>
          <w:color w:val="333333"/>
        </w:rPr>
        <w:t>he federal healthcare Anti-Kickback Statute prohibits persons from, among other things, knowingly and willfully</w:t>
      </w:r>
      <w:r>
        <w:rPr>
          <w:rFonts w:ascii="Arial" w:cs="Arial" w:eastAsia="Arial" w:hAnsi="Arial"/>
          <w:sz w:val="19"/>
          <w:szCs w:val="19"/>
          <w:color w:val="000000"/>
        </w:rPr>
        <w:t xml:space="preserve"> </w:t>
      </w:r>
      <w:r>
        <w:rPr>
          <w:rFonts w:ascii="Arial" w:cs="Arial" w:eastAsia="Arial" w:hAnsi="Arial"/>
          <w:sz w:val="19"/>
          <w:szCs w:val="19"/>
          <w:color w:val="333333"/>
        </w:rPr>
        <w:t>offering or paying remuneration, directly or indirectly, to a person to induce them to order, purchase, lease, or recommend a good or service for which payment may be made in whole or in part under a federal healthcare program such as Medicare or Medicaid, unless the arrangement fits within one of several statutory exemptions or regulatory “safe harbors.” Violations of the federal Anti-Kickback Statute may result in civil monetary penalties up to $100,000 for each violation, plus up to three times the remuneration involved. Violations can also result in criminal penalties, including criminal fines of up to $50,000 and imprisonment for up to 10 years. Finally, violations can result in exclusion from participation in government healthcare programs, including Medicare and Medicaid.</w:t>
      </w:r>
    </w:p>
    <w:p>
      <w:pPr>
        <w:spacing w:after="0" w:line="82" w:lineRule="exact"/>
        <w:rPr>
          <w:sz w:val="20"/>
          <w:szCs w:val="20"/>
          <w:color w:val="auto"/>
        </w:rPr>
      </w:pPr>
    </w:p>
    <w:p>
      <w:pPr>
        <w:jc w:val="both"/>
        <w:spacing w:after="0" w:line="311" w:lineRule="auto"/>
        <w:rPr>
          <w:sz w:val="20"/>
          <w:szCs w:val="20"/>
          <w:color w:val="auto"/>
        </w:rPr>
      </w:pPr>
      <w:r>
        <w:rPr>
          <w:rFonts w:ascii="Arial" w:cs="Arial" w:eastAsia="Arial" w:hAnsi="Arial"/>
          <w:sz w:val="17"/>
          <w:szCs w:val="17"/>
          <w:color w:val="333333"/>
        </w:rPr>
        <w:t>Additionally, violations of the False Claims Act can result in significant monetary penalties and treble damages. The U.S. federal government utilizes the False Claims Act, the Anti-Kickback Statute, and similar laws to investigate and prosecute device, pharmaceutical, and biotechnology companies in connection with the promotion of products for unapproved uses, the provision of patient and provider support (e.g., reimbursement support), and other prohibited sales and marketing practices. The U.S. government has obtained multi-million and multi-billion-dollar settlements under the False Claims Act, in addition to individual criminal convictions under applicable criminal statutes. Given the U.S. government’s success in prosecuting claims under the False Claims Act, LivaNova anticipates that the U.S. government will continue to devote substantial resources to investigating healthcare providers’ and manufacturers’ compliance with applicable fraud and abuse laws.</w:t>
      </w:r>
    </w:p>
    <w:p>
      <w:pPr>
        <w:spacing w:after="0" w:line="51" w:lineRule="exact"/>
        <w:rPr>
          <w:sz w:val="20"/>
          <w:szCs w:val="20"/>
          <w:color w:val="auto"/>
        </w:rPr>
      </w:pPr>
    </w:p>
    <w:p>
      <w:pPr>
        <w:jc w:val="both"/>
        <w:spacing w:after="0" w:line="338" w:lineRule="auto"/>
        <w:rPr>
          <w:sz w:val="20"/>
          <w:szCs w:val="20"/>
          <w:color w:val="auto"/>
        </w:rPr>
      </w:pPr>
      <w:r>
        <w:rPr>
          <w:rFonts w:ascii="Arial" w:cs="Arial" w:eastAsia="Arial" w:hAnsi="Arial"/>
          <w:sz w:val="17"/>
          <w:szCs w:val="17"/>
          <w:color w:val="333333"/>
        </w:rPr>
        <w:t>In addition to the Anti-Kickback Statute and False Claims Act, many states have their own laws related to kickbacks, false claims, self-referrals, or other healthcare fraud. These laws do not always have the same exceptions or safe harbors as their federal corollaries and, in some states, apply with respect to all payers, including commercial health insurance companies.</w:t>
      </w:r>
    </w:p>
    <w:p>
      <w:pPr>
        <w:spacing w:after="0" w:line="27"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HIPAA includes federal criminal statutes that prohibit, among other actions, knowingly and willfully executing, or attempting to execute, a scheme to defraud any healthcare benefit program, including private third-party payers; knowingly and willfully embezzling or stealing from a healthcare benefit program; willfully obstructing a criminal investigation of a healthcare offense; or knowingly and willfully falsifying, concealing, or covering up a material fact or making any materially false, fictitious, or fraudulent statement in connection with the delivery of or payment for healthcare benefits, products, or services. Similar to the federal Anti-Kickback Statute, a person or entity does not need to have actual knowledge of the statute or specific intent to violate it in order to have committed a violation.</w:t>
      </w:r>
    </w:p>
    <w:p>
      <w:pPr>
        <w:spacing w:after="0" w:line="74" w:lineRule="exact"/>
        <w:rPr>
          <w:sz w:val="20"/>
          <w:szCs w:val="20"/>
          <w:color w:val="auto"/>
        </w:rPr>
      </w:pPr>
    </w:p>
    <w:p>
      <w:pPr>
        <w:jc w:val="both"/>
        <w:spacing w:after="0" w:line="326" w:lineRule="auto"/>
        <w:rPr>
          <w:sz w:val="20"/>
          <w:szCs w:val="20"/>
          <w:color w:val="auto"/>
        </w:rPr>
      </w:pPr>
      <w:r>
        <w:rPr>
          <w:rFonts w:ascii="Arial" w:cs="Arial" w:eastAsia="Arial" w:hAnsi="Arial"/>
          <w:sz w:val="17"/>
          <w:szCs w:val="17"/>
          <w:color w:val="auto"/>
        </w:rPr>
        <w:t>There is also federal and state regulation of, and transparency with respect to, payments made to physicians and other healthcare providers. LivaNova is subject to, for example, the Physician Payments Sunshine Act, which requires the Company to report annually certain payments and other transfers of value it makes to U.S. licensed physicians, nurse practitioners, physician assistants, or teaching hospitals. Any failure to comply with such laws and regulations may result in civil financial penalties.</w:t>
      </w:r>
    </w:p>
    <w:p>
      <w:pPr>
        <w:spacing w:after="0" w:line="36" w:lineRule="exact"/>
        <w:rPr>
          <w:sz w:val="20"/>
          <w:szCs w:val="20"/>
          <w:color w:val="auto"/>
        </w:rPr>
      </w:pPr>
    </w:p>
    <w:p>
      <w:pPr>
        <w:jc w:val="both"/>
        <w:spacing w:after="0" w:line="316" w:lineRule="auto"/>
        <w:rPr>
          <w:sz w:val="20"/>
          <w:szCs w:val="20"/>
          <w:color w:val="auto"/>
        </w:rPr>
      </w:pPr>
      <w:r>
        <w:rPr>
          <w:rFonts w:ascii="Arial" w:cs="Arial" w:eastAsia="Arial" w:hAnsi="Arial"/>
          <w:sz w:val="17"/>
          <w:szCs w:val="17"/>
          <w:color w:val="auto"/>
        </w:rPr>
        <w:t>In addition, as discussed above, the U.S. and foreign government regulators enforce the FCPA and other anti-bribery laws. These laws and regulations are broad in scope and are subject to evolving interpretation. As a result, LivaNova has been, and will likely continue to be, required to incur substantial costs to investigate allegations, audit and monitor compliance, and/or alter the Company’s practices with respect to these laws. Violations or alleged violations of these laws could result in litigation, and LivaNova may be subject to criminal or civil penalties and sanctions, including substantial fines, imprisonment of current or former employees, and exclusion from participation in governmental healthcare programs.</w:t>
      </w:r>
    </w:p>
    <w:p>
      <w:pPr>
        <w:spacing w:after="0" w:line="43" w:lineRule="exact"/>
        <w:rPr>
          <w:sz w:val="20"/>
          <w:szCs w:val="20"/>
          <w:color w:val="auto"/>
        </w:rPr>
      </w:pPr>
    </w:p>
    <w:p>
      <w:pPr>
        <w:jc w:val="both"/>
        <w:spacing w:after="0" w:line="311" w:lineRule="auto"/>
        <w:rPr>
          <w:sz w:val="20"/>
          <w:szCs w:val="20"/>
          <w:color w:val="auto"/>
        </w:rPr>
      </w:pPr>
      <w:r>
        <w:rPr>
          <w:rFonts w:ascii="Arial" w:cs="Arial" w:eastAsia="Arial" w:hAnsi="Arial"/>
          <w:sz w:val="17"/>
          <w:szCs w:val="17"/>
          <w:color w:val="auto"/>
        </w:rPr>
        <w:t>The evolving commercial compliance environment and the resulting need to build and maintain robust systems to comply with different compliance and/or reporting requirements in multiple jurisdictions increase the possibility that a healthcare company may violate one or more of these requirements and be required to allocate significant resources to its compliance program. If LivaNova’s operations are found to be in violation of any such laws or any other governmental regulations that apply to the Company, LivaNova may be subject to penalties, including, without limitation, civil and criminal penalties, damages, fines, entry into corporate integrity agreements or other monitoring agreements with governmental agencies, the curtailment or restructuring of its operations, and exclusion from participation in federal and state healthcare programs, any of which could adversely affect LivaNova’s financial results and the Company’s ability to operate its business.</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Disclosure Pursuant to Section 13(r) of the Exchange Act of 1934</w:t>
      </w:r>
    </w:p>
    <w:p>
      <w:pPr>
        <w:spacing w:after="0" w:line="148"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Section 13(r) of the Exchange Act requires issuers to disclose in their annual reports, among other things, certain types of dealings with Iran and other entities, including transactions or dealing with government-owned entities, even when those activities are lawful and do not involve U.S. persons. Two of LivaNova’s non-U.S. subsidiaries currently sell medical devices, including cardiopulmonary and neuromodulation products, to distributors and non-governmental organizations in Iran to support patient care in that country. LivaNova has limited visibility into the identity of the customers of these distributors and</w:t>
      </w:r>
    </w:p>
    <w:p>
      <w:pPr>
        <w:sectPr>
          <w:pgSz w:w="11880" w:h="15480" w:orient="portrait"/>
          <w:cols w:equalWidth="0" w:num="1">
            <w:col w:w="10040"/>
          </w:cols>
          <w:pgMar w:left="920" w:top="664" w:right="920" w:bottom="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880" w:h="15480" w:orient="portrait"/>
          <w:cols w:equalWidth="0" w:num="1">
            <w:col w:w="10040"/>
          </w:cols>
          <w:pgMar w:left="920" w:top="664" w:right="920" w:bottom="0" w:gutter="0" w:footer="0" w:header="0"/>
          <w:type w:val="continuous"/>
        </w:sectPr>
      </w:pPr>
    </w:p>
    <w:bookmarkStart w:id="18" w:name="page19"/>
    <w:bookmarkEnd w:id="18"/>
    <w:p>
      <w:pPr>
        <w:jc w:val="both"/>
        <w:spacing w:after="0" w:line="265" w:lineRule="auto"/>
        <w:rPr>
          <w:sz w:val="20"/>
          <w:szCs w:val="20"/>
          <w:color w:val="auto"/>
        </w:rPr>
      </w:pPr>
      <w:r>
        <w:rPr>
          <w:rFonts w:ascii="Arial" w:cs="Arial" w:eastAsia="Arial" w:hAnsi="Arial"/>
          <w:sz w:val="20"/>
          <w:szCs w:val="20"/>
          <w:color w:val="auto"/>
        </w:rPr>
        <w:t>non-governmental organizations in Iran. It is possible that their customers include entities such as government-owned hospitals or sub-distributors that are owned or controlled directly or indirectly by the Iranian government. However, to the best of its knowledge at this time, LivaNova does not have any contracts or commercial arrangements with the Iranian government or other relevant entities.</w:t>
      </w:r>
    </w:p>
    <w:p>
      <w:pPr>
        <w:spacing w:after="0" w:line="8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LivaNova’s gross revenues and net profits attributable to the above-mentioned Iranian activities were $2.8 million and $1.6 million for the three months ended December 31, 2024, respectively, and $9.5 million and $4.9 million for the year ended December 31, 2024, respectively.</w:t>
      </w:r>
    </w:p>
    <w:p>
      <w:pPr>
        <w:spacing w:after="0" w:line="79" w:lineRule="exact"/>
        <w:rPr>
          <w:sz w:val="20"/>
          <w:szCs w:val="20"/>
          <w:color w:val="auto"/>
        </w:rPr>
      </w:pPr>
    </w:p>
    <w:p>
      <w:pPr>
        <w:jc w:val="both"/>
        <w:spacing w:after="0" w:line="364" w:lineRule="auto"/>
        <w:rPr>
          <w:sz w:val="20"/>
          <w:szCs w:val="20"/>
          <w:color w:val="auto"/>
        </w:rPr>
      </w:pPr>
      <w:r>
        <w:rPr>
          <w:rFonts w:ascii="Arial" w:cs="Arial" w:eastAsia="Arial" w:hAnsi="Arial"/>
          <w:sz w:val="17"/>
          <w:szCs w:val="17"/>
          <w:color w:val="auto"/>
        </w:rPr>
        <w:t>LivaNova believes its activities are consistent with applicable law, including U.S., UK, EU, and other applicable sanction laws, though such laws are complex and continue to evolve rapidly. The Company intends to continue its business in Iran.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Human Capital Management</w:t>
      </w:r>
    </w:p>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LivaNova has approximately 2,900 employees worldwide, representing more than 70 nationalities and located in 31 countries. These employees are crucial in achieving the Company’s mission to provide hope to its patients and their families. LivaNova encourages its employees to live by LivaNova’s five core values: patients first, meaningful innovation, act with agility, commitment to quality and integrity, and collaborative culture. The Company measures its success by these values, using them as a foundation for achieving organizational growth and excellence.</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color w:val="auto"/>
        </w:rPr>
        <w:t>Compensation and Benefits</w:t>
      </w:r>
    </w:p>
    <w:p>
      <w:pPr>
        <w:spacing w:after="0" w:line="140"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To meet the needs of LivaNova’s patients and customers, the Company strives to attract, retain, develop, and reward exceptional talent. LivaNova’s proactive talent acquisition strategies, competitive compensation and benefits, collaborative and rewarding work environment, leadership development programs, and professional training opportunities have been a significant driver of the Company’s success. In addition to base pay, LivaNova’s rewards, compensation, and benefits programs may include, depending on jurisdiction, annual performance bonuses, stock awards, pensions, health and well-being programs, paid time off and parental leave, financial assistance for education-related purposes, flexible working schedules, hybrid and remote working, employee stock purchase plans, and employee rewards programs, among others.</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color w:val="auto"/>
        </w:rPr>
        <w:t>Culture</w:t>
      </w:r>
    </w:p>
    <w:p>
      <w:pPr>
        <w:spacing w:after="0" w:line="140"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LivaNova seeks to foster a culture of continuous understanding and transparency, where open and direct communication is valued. Accordingly, LivaNova regularly conducts employee engagement surveys, called LivaNova4You, to measure overall employment engagement and satisfaction and to provide the Company with actionable data for potential improvement opportunities. Over 90% of employees completed the 2024 LivaNova4You engagement survey which encompassed questions relating to health and wellness, employment engagement, transformation and change, and overall culture within the Company. Based on the results of the survey, leaders within the Company are working with their teams to enhance communications and workload, collaboration around the organization, deeper focus on change management strategies, and increased development and career growth opportunities.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Performance Management, Leadership Development, and Professional Training</w:t>
      </w:r>
    </w:p>
    <w:p>
      <w:pPr>
        <w:spacing w:after="0" w:line="140"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LivaNova’s annual performance management process is designed to build employee skills and capabilities and develop and retain enterprise leaders for the future. It includes training to increase the quality of employee/manager talent review discussions and employee performance calibrations among leaders to drive consistency. All employees, which include full-time and part-time employees, start the year creating performance-aligned goals that are reviewed with their managers at both mid-year and year-end performance evaluation reviews.</w:t>
      </w:r>
    </w:p>
    <w:p>
      <w:pPr>
        <w:spacing w:after="0" w:line="7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Employees have access to an extensive training library called LivaNova University, which contains modules covering different aspects of the business. In addition, LivaNova has a range of tailored programs in place to develop and enhance employees’ career paths. The LivaNova Leadership Academy is a program that promotes development through three different learning forums - Manager Fundamentals, Emerging Leaders, and Advanced Leadership - to accelerate the development and succession readiness for employees chosen for the program.</w:t>
      </w:r>
    </w:p>
    <w:p>
      <w:pPr>
        <w:spacing w:after="0" w:line="8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LivaNova also supports the continuing education of its employees externally. In the U.S. and internationally, eligible employees can access financial aid through education reimbursement programs for approved courses and certifications completed independently.</w:t>
      </w:r>
    </w:p>
    <w:p>
      <w:pPr>
        <w:spacing w:after="0" w:line="79"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Finally, LivaNova offers internships and apprenticeships across functions around the globe, in partnership with universities and institutions, which may lead to full-time employment with the Company.</w:t>
      </w:r>
    </w:p>
    <w:p>
      <w:pPr>
        <w:sectPr>
          <w:pgSz w:w="11880" w:h="15480" w:orient="portrait"/>
          <w:cols w:equalWidth="0" w:num="1">
            <w:col w:w="10040"/>
          </w:cols>
          <w:pgMar w:left="920" w:top="66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880" w:h="15480" w:orient="portrait"/>
          <w:cols w:equalWidth="0" w:num="1">
            <w:col w:w="10040"/>
          </w:cols>
          <w:pgMar w:left="920" w:top="664" w:right="920" w:bottom="0" w:gutter="0" w:footer="0" w:header="0"/>
          <w:type w:val="continuous"/>
        </w:sectPr>
      </w:pPr>
    </w:p>
    <w:bookmarkStart w:id="19" w:name="page20"/>
    <w:bookmarkEnd w:id="19"/>
    <w:p>
      <w:pPr>
        <w:spacing w:after="0"/>
        <w:rPr>
          <w:sz w:val="20"/>
          <w:szCs w:val="20"/>
          <w:color w:val="auto"/>
        </w:rPr>
      </w:pPr>
      <w:r>
        <w:rPr>
          <w:rFonts w:ascii="Arial" w:cs="Arial" w:eastAsia="Arial" w:hAnsi="Arial"/>
          <w:sz w:val="22"/>
          <w:szCs w:val="22"/>
          <w:color w:val="auto"/>
        </w:rPr>
        <w:t>Valuing People</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LivaNova recognizes the value in fostering an inclusive work environment and strives to provide a workplace free of harassment or discrimination. LivaNova’s strategy for accelerating diversity begins with creating new ways to identify extraordinary talent. Examples of the Company’s efforts include networking with universities, posting job listings on diverse sites, ensuring diversity-focused interview slates and panels, and training interviewers on how to conduct a fair, unbiased interview process.</w:t>
      </w:r>
    </w:p>
    <w:p>
      <w:pPr>
        <w:spacing w:after="0" w:line="87" w:lineRule="exact"/>
        <w:rPr>
          <w:sz w:val="20"/>
          <w:szCs w:val="20"/>
          <w:color w:val="auto"/>
        </w:rPr>
      </w:pPr>
    </w:p>
    <w:p>
      <w:pPr>
        <w:jc w:val="both"/>
        <w:spacing w:after="0" w:line="316" w:lineRule="auto"/>
        <w:rPr>
          <w:sz w:val="20"/>
          <w:szCs w:val="20"/>
          <w:color w:val="auto"/>
        </w:rPr>
      </w:pPr>
      <w:r>
        <w:rPr>
          <w:rFonts w:ascii="Arial" w:cs="Arial" w:eastAsia="Arial" w:hAnsi="Arial"/>
          <w:sz w:val="17"/>
          <w:szCs w:val="17"/>
          <w:color w:val="auto"/>
        </w:rPr>
        <w:t>LivaNova also supports internal diversity affinity initiatives, including the Multi-Generation Network and the Global Women’s Network, where employees convene to discuss topics that unite and celebrate the strength of diversity in the workplace. In addition, the LivaNova Women’s Network operates a mentorship program created by women and for women that facilitates pairings between mentors and mentees in the U.S. and Latin America. Topics range from career and financial advice to performance management and connection to the Company’s strategy. These programs provide members with new perspectives, more personalized development, and an opportunity to network with other women across the organization.</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Seasonality</w:t>
      </w:r>
    </w:p>
    <w:p>
      <w:pPr>
        <w:spacing w:after="0" w:line="148"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number of medical procedures incorporating LivaNova’s products is generally lower during the summer months, particularly in European countries, due to summer vacation schedules.</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148"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 xml:space="preserve">LivaNova’s global headquarters are located at 20 Eastbourne Terrace, London, UK W2 6LG. The Company’s website address is </w:t>
      </w:r>
      <w:r>
        <w:rPr>
          <w:rFonts w:ascii="Arial" w:cs="Arial" w:eastAsia="Arial" w:hAnsi="Arial"/>
          <w:sz w:val="17"/>
          <w:szCs w:val="17"/>
          <w:b w:val="1"/>
          <w:bCs w:val="1"/>
          <w:i w:val="1"/>
          <w:iCs w:val="1"/>
          <w:color w:val="auto"/>
        </w:rPr>
        <w:t>www.livanova.com.</w:t>
      </w:r>
      <w:r>
        <w:rPr>
          <w:rFonts w:ascii="Arial" w:cs="Arial" w:eastAsia="Arial" w:hAnsi="Arial"/>
          <w:sz w:val="17"/>
          <w:szCs w:val="17"/>
          <w:color w:val="auto"/>
        </w:rPr>
        <w:t xml:space="preserve"> Free of charge through its website, LivaNova makes available its Proxy Statements on Schedule 14A, Annual Reports on Form 10-K, Quarterly Reports on Form 10-Q, Current Reports on Form 8-K, amendments to those reports filed or furnished pursuant to Section 13(a) or 15(d) of the Exchange Act, and reports relating to beneficial ownership of the Company’s securities filed or furnished pursuant to Section 16 of the Exchange Act, as soon as reasonably practicable after electronically filing such material with the SEC. LivaNova’s website also contains the charters for each standing committee of its Board of Directors in addition to the Company’s Corporate Governance Guidelines.</w:t>
      </w:r>
    </w:p>
    <w:p>
      <w:pPr>
        <w:spacing w:after="0" w:line="48"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LivaNova may from time to time provide important disclosures to investors by posting them in the Investor Relations section of its website, as allowed by SEC rules. Information on LivaNova’s website is not incorporated into this Report.</w:t>
      </w:r>
    </w:p>
    <w:p>
      <w:pPr>
        <w:spacing w:after="0" w:line="38" w:lineRule="exact"/>
        <w:rPr>
          <w:sz w:val="20"/>
          <w:szCs w:val="20"/>
          <w:color w:val="auto"/>
        </w:rPr>
      </w:pPr>
    </w:p>
    <w:p>
      <w:pPr>
        <w:jc w:val="both"/>
        <w:spacing w:after="0" w:line="287" w:lineRule="auto"/>
        <w:rPr>
          <w:sz w:val="20"/>
          <w:szCs w:val="20"/>
          <w:color w:val="auto"/>
        </w:rPr>
      </w:pPr>
      <w:r>
        <w:rPr>
          <w:rFonts w:ascii="Arial" w:cs="Arial" w:eastAsia="Arial" w:hAnsi="Arial"/>
          <w:sz w:val="20"/>
          <w:szCs w:val="20"/>
          <w:color w:val="auto"/>
        </w:rPr>
        <w:t xml:space="preserve">The SEC also maintains a website at </w:t>
      </w:r>
      <w:r>
        <w:rPr>
          <w:rFonts w:ascii="Arial" w:cs="Arial" w:eastAsia="Arial" w:hAnsi="Arial"/>
          <w:sz w:val="20"/>
          <w:szCs w:val="20"/>
          <w:b w:val="1"/>
          <w:bCs w:val="1"/>
          <w:i w:val="1"/>
          <w:iCs w:val="1"/>
          <w:color w:val="auto"/>
        </w:rPr>
        <w:t>www.sec.gov</w:t>
      </w:r>
      <w:r>
        <w:rPr>
          <w:rFonts w:ascii="Arial" w:cs="Arial" w:eastAsia="Arial" w:hAnsi="Arial"/>
          <w:sz w:val="20"/>
          <w:szCs w:val="20"/>
          <w:color w:val="auto"/>
        </w:rPr>
        <w:t xml:space="preserve"> that contains reports, proxy statements, and other information about SEC registrants, including LivaNova.</w:t>
      </w:r>
    </w:p>
    <w:p>
      <w:pPr>
        <w:sectPr>
          <w:pgSz w:w="11880" w:h="15480" w:orient="portrait"/>
          <w:cols w:equalWidth="0" w:num="1">
            <w:col w:w="10040"/>
          </w:cols>
          <w:pgMar w:left="920" w:top="65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880" w:h="15480" w:orient="portrait"/>
          <w:cols w:equalWidth="0" w:num="1">
            <w:col w:w="10040"/>
          </w:cols>
          <w:pgMar w:left="920" w:top="658" w:right="920" w:bottom="0" w:gutter="0" w:footer="0" w:header="0"/>
          <w:type w:val="continuous"/>
        </w:sectPr>
      </w:pPr>
    </w:p>
    <w:bookmarkStart w:id="20" w:name="page21"/>
    <w:bookmarkEnd w:id="20"/>
    <w:p>
      <w:pPr>
        <w:spacing w:after="0"/>
        <w:rPr>
          <w:sz w:val="20"/>
          <w:szCs w:val="20"/>
          <w:color w:val="auto"/>
        </w:rPr>
      </w:pPr>
      <w:r>
        <w:rPr>
          <w:rFonts w:ascii="Arial" w:cs="Arial" w:eastAsia="Arial" w:hAnsi="Arial"/>
          <w:sz w:val="24"/>
          <w:szCs w:val="24"/>
          <w:b w:val="1"/>
          <w:bCs w:val="1"/>
          <w:color w:val="auto"/>
        </w:rPr>
        <w:t>ITEM 1A. RISK FACTORS</w:t>
      </w:r>
    </w:p>
    <w:p>
      <w:pPr>
        <w:spacing w:after="0" w:line="156" w:lineRule="exact"/>
        <w:rPr>
          <w:sz w:val="20"/>
          <w:szCs w:val="20"/>
          <w:color w:val="auto"/>
        </w:rPr>
      </w:pPr>
    </w:p>
    <w:p>
      <w:pPr>
        <w:jc w:val="both"/>
        <w:spacing w:after="0" w:line="326" w:lineRule="auto"/>
        <w:rPr>
          <w:sz w:val="20"/>
          <w:szCs w:val="20"/>
          <w:color w:val="auto"/>
        </w:rPr>
      </w:pPr>
      <w:r>
        <w:rPr>
          <w:rFonts w:ascii="Arial" w:cs="Arial" w:eastAsia="Arial" w:hAnsi="Arial"/>
          <w:sz w:val="17"/>
          <w:szCs w:val="17"/>
          <w:color w:val="auto"/>
        </w:rPr>
        <w:t>An investor should carefully consider the risks described below, as well as other information contained in this Report and in LivaNova’s other filings with the SEC. The Company’s business, results of operations, cash flows, and financial condition could be materially and adversely affected by any such risks or uncertainties. Additional risks and uncertainties not presently known to the Company or that the Company currently believes to be immaterial may also adversely affect its business.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Relating to the Company’s Business and Operations</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LivaNova is subject to the risks of conducting business internationally.</w:t>
      </w:r>
    </w:p>
    <w:p>
      <w:pPr>
        <w:spacing w:after="0" w:line="141"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LivaNova designs, develops, manufactures, markets, and sells products and therapies globally, and the Company intends to continue to pursue growth opportunities worldwide. LivaNova’s international operations are subject to risks that are inherent in conducting business globally. These risks, many of which LivaNova has experienced first-hand, include higher danger of terrorist activity, war, or civil unrest; greater exposure to inflation; volatility in freight and labor costs; fluctuating interest and exchange rates; increased exposure to cyber-attacks and supply chain challenges; trade protection measures such as tariffs, evolving sanctions, and import and export licensing requirements; changing energy prices; local product changes and compliance requirements; longer payment terms and collection times for receivables in local jurisdictions; difficulty enforcing agreements; greater exposure to creditworthiness of customers and inconsistent local law enforcement of obligations; ensuring compliance with anti-bribery laws; differing labor regulations and workforce instability; selling by way of distributors and agents; and political and economic instability. Many of these risks are rapidly evolving and subject to an accelerating pace of change.</w:t>
      </w:r>
    </w:p>
    <w:p>
      <w:pPr>
        <w:spacing w:after="0" w:line="79"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Conflicts, for example, including those in Ukraine and the Middle East, have caused the Company to assess its ability to source materials, manage transportation costs, sell product, collect payment, and comply with international sanctions. These conflicts have increased economic and regulatory uncertainties, and a significant escalation or continuation of these conflicts could have a material impact on the Company’s operating results.</w:t>
      </w:r>
    </w:p>
    <w:p>
      <w:pPr>
        <w:spacing w:after="0" w:line="82" w:lineRule="exact"/>
        <w:rPr>
          <w:sz w:val="20"/>
          <w:szCs w:val="20"/>
          <w:color w:val="auto"/>
        </w:rPr>
      </w:pPr>
    </w:p>
    <w:p>
      <w:pPr>
        <w:jc w:val="both"/>
        <w:spacing w:after="0" w:line="311" w:lineRule="auto"/>
        <w:rPr>
          <w:sz w:val="20"/>
          <w:szCs w:val="20"/>
          <w:color w:val="auto"/>
        </w:rPr>
      </w:pPr>
      <w:r>
        <w:rPr>
          <w:rFonts w:ascii="Arial" w:cs="Arial" w:eastAsia="Arial" w:hAnsi="Arial"/>
          <w:sz w:val="17"/>
          <w:szCs w:val="17"/>
          <w:color w:val="auto"/>
        </w:rPr>
        <w:t>Certain of LivaNova’s subsidiaries are engaged in business dealings in countries subject to comprehensive sanctions, including Iran and Russia. These business dealings represent an insignificant amount of LivaNova’s consolidated revenues and income but expose the Company to a heightened risk of violating applicable sanctions regulations. Violations of these regulations are punishable by civil and criminal penalties, including fines, denial of export privileges, injunctions, asset seizures, debarment from government contracts, and revocations or restriction of licenses, as well as criminal fines and imprisonment. Despite best efforts to comply, there can be no assurance that LivaNova’s policies and procedures will prevent the Company from violating these regulations in every transaction in which LivaNova may engage, and such a violation could adversely affect its reputation, business, results of operations, cash flows, and financial condition.</w:t>
      </w:r>
    </w:p>
    <w:p>
      <w:pPr>
        <w:spacing w:after="0" w:line="51"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In addition, LivaNova’s global operations result in revenues and expenses that are denominated in currencies other than LivaNova’s reporting currency, the USD. Fluctuations in exchange rates may impact, and have impacted, LivaNova’s results of operations and financial condition. Although LivaNova has in the past elected, and may in the future elect, to hedge certain foreign currency exposures, it is unlikely that any hedging strategy would eliminate its currency risk entirely. LivaNova cannot predict the change in currency exchange rates, the impact of exchange rate changes, or the degree to which it will be able to manage the impact of currency exchange rate changes.</w:t>
      </w:r>
    </w:p>
    <w:p>
      <w:pPr>
        <w:spacing w:after="0" w:line="75"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Any of the aforementioned risks could adversely affect LivaNova’s business, results of operations, cash flows, and financial condition.</w:t>
      </w:r>
    </w:p>
    <w:p>
      <w:pPr>
        <w:spacing w:after="0" w:line="55" w:lineRule="exact"/>
        <w:rPr>
          <w:sz w:val="20"/>
          <w:szCs w:val="20"/>
          <w:color w:val="auto"/>
        </w:rPr>
      </w:pPr>
    </w:p>
    <w:p>
      <w:pPr>
        <w:jc w:val="both"/>
        <w:spacing w:after="0" w:line="289" w:lineRule="auto"/>
        <w:rPr>
          <w:sz w:val="20"/>
          <w:szCs w:val="20"/>
          <w:color w:val="auto"/>
        </w:rPr>
      </w:pPr>
      <w:r>
        <w:rPr>
          <w:rFonts w:ascii="Arial" w:cs="Arial" w:eastAsia="Arial" w:hAnsi="Arial"/>
          <w:sz w:val="20"/>
          <w:szCs w:val="20"/>
          <w:b w:val="1"/>
          <w:bCs w:val="1"/>
          <w:i w:val="1"/>
          <w:iCs w:val="1"/>
          <w:color w:val="auto"/>
        </w:rPr>
        <w:t>Reductions and interruptions in LivaNova’s supply chain have had, and may continue to have, adverse effects on LivaNova’s business, results of operations, cash flows, and financial condition.</w:t>
      </w:r>
    </w:p>
    <w:p>
      <w:pPr>
        <w:spacing w:after="0" w:line="62" w:lineRule="exact"/>
        <w:rPr>
          <w:sz w:val="20"/>
          <w:szCs w:val="20"/>
          <w:color w:val="auto"/>
        </w:rPr>
      </w:pPr>
    </w:p>
    <w:p>
      <w:pPr>
        <w:jc w:val="both"/>
        <w:spacing w:after="0" w:line="309" w:lineRule="auto"/>
        <w:rPr>
          <w:sz w:val="20"/>
          <w:szCs w:val="20"/>
          <w:color w:val="auto"/>
        </w:rPr>
      </w:pPr>
      <w:r>
        <w:rPr>
          <w:rFonts w:ascii="Arial" w:cs="Arial" w:eastAsia="Arial" w:hAnsi="Arial"/>
          <w:sz w:val="17"/>
          <w:szCs w:val="17"/>
          <w:color w:val="auto"/>
        </w:rPr>
        <w:t>LivaNova purchases many of the components and raw materials used in manufacturing its products from numerous suppliers in various countries. In some cases, LivaNova purchases specific components and raw materials from primary or main suppliers (or in some cases, a single or sole supplier) for reasons related to quality assurance, cost-effectiveness, and availability. Although the Company has generally been able to maintain necessary supplies of raw materials and components, supplier shortages and interruptions of certain components, such as PC-coated PMP fiber used in the manufacture of oxygenators, have caused, and may in the future cause, meaningful disruptions to LivaNova’s product manufacturing supply chain. Any problem affecting a supplier (whether due to external or internal causes) could have, and in certain instances, has had, a negative impact on LivaNova. Difficulties and delays in manufacturing, internally, externally, or otherwise within the supply chain, may lead to voluntary or involuntary business interruptions or shutdowns, employee furloughs, product shortages, withdrawals or suspensions of products from the market, and potential regulatory action.</w:t>
      </w:r>
    </w:p>
    <w:p>
      <w:pPr>
        <w:sectPr>
          <w:pgSz w:w="11880" w:h="15480" w:orient="portrait"/>
          <w:cols w:equalWidth="0" w:num="1">
            <w:col w:w="10040"/>
          </w:cols>
          <w:pgMar w:left="920" w:top="64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880" w:h="15480" w:orient="portrait"/>
          <w:cols w:equalWidth="0" w:num="1">
            <w:col w:w="10040"/>
          </w:cols>
          <w:pgMar w:left="920" w:top="644" w:right="920" w:bottom="0" w:gutter="0" w:footer="0" w:header="0"/>
          <w:type w:val="continuous"/>
        </w:sectPr>
      </w:pPr>
    </w:p>
    <w:bookmarkStart w:id="21" w:name="page22"/>
    <w:bookmarkEnd w:id="21"/>
    <w:p>
      <w:pPr>
        <w:jc w:val="both"/>
        <w:spacing w:after="0" w:line="261" w:lineRule="auto"/>
        <w:rPr>
          <w:sz w:val="20"/>
          <w:szCs w:val="20"/>
          <w:color w:val="auto"/>
        </w:rPr>
      </w:pPr>
      <w:r>
        <w:rPr>
          <w:rFonts w:ascii="Arial" w:cs="Arial" w:eastAsia="Arial" w:hAnsi="Arial"/>
          <w:sz w:val="20"/>
          <w:szCs w:val="20"/>
          <w:color w:val="auto"/>
        </w:rPr>
        <w:t>Moreover, due to strict standards and regulations governing the manufacture and marketing of LivaNova’s products, the Company may not be able to locate new supply sources quickly or at all in response to a supply reduction or interruption, especially for components and raw materials sourced by a single or sole supplier, resulting in negative effects on its ability to meet market demand and to manufacture products effectively and timely. To the extent the Company is unsuccessful in managing its supply chain, any such issues could have a material adverse effect on LivaNova’s business, results of operations, cash flows, and financial condition.</w:t>
      </w:r>
    </w:p>
    <w:p>
      <w:pPr>
        <w:spacing w:after="0" w:line="79" w:lineRule="exact"/>
        <w:rPr>
          <w:sz w:val="20"/>
          <w:szCs w:val="20"/>
          <w:color w:val="auto"/>
        </w:rPr>
      </w:pPr>
    </w:p>
    <w:p>
      <w:pPr>
        <w:jc w:val="both"/>
        <w:spacing w:after="0" w:line="377" w:lineRule="auto"/>
        <w:rPr>
          <w:sz w:val="20"/>
          <w:szCs w:val="20"/>
          <w:color w:val="auto"/>
        </w:rPr>
      </w:pPr>
      <w:r>
        <w:rPr>
          <w:rFonts w:ascii="Arial" w:cs="Arial" w:eastAsia="Arial" w:hAnsi="Arial"/>
          <w:sz w:val="17"/>
          <w:szCs w:val="17"/>
          <w:b w:val="1"/>
          <w:bCs w:val="1"/>
          <w:i w:val="1"/>
          <w:iCs w:val="1"/>
          <w:color w:val="auto"/>
        </w:rPr>
        <w:t>Cybersecurity incidents or other disruptions to LivaNova’s information technology systems could lead to reduced revenue, increased costs, liability claims, regulatory fines, litigation, harm to LivaNova’s competitive position, and loss of reputation.</w:t>
      </w:r>
    </w:p>
    <w:p>
      <w:pPr>
        <w:spacing w:after="0" w:line="2" w:lineRule="exact"/>
        <w:rPr>
          <w:sz w:val="20"/>
          <w:szCs w:val="20"/>
          <w:color w:val="auto"/>
        </w:rPr>
      </w:pPr>
    </w:p>
    <w:p>
      <w:pPr>
        <w:jc w:val="both"/>
        <w:spacing w:after="0" w:line="310" w:lineRule="auto"/>
        <w:rPr>
          <w:sz w:val="20"/>
          <w:szCs w:val="20"/>
          <w:color w:val="auto"/>
        </w:rPr>
      </w:pPr>
      <w:r>
        <w:rPr>
          <w:rFonts w:ascii="Arial" w:cs="Arial" w:eastAsia="Arial" w:hAnsi="Arial"/>
          <w:sz w:val="17"/>
          <w:szCs w:val="17"/>
          <w:color w:val="auto"/>
        </w:rPr>
        <w:t>LivaNova is increasingly dependent on its information technology systems and those of third parties to operate its business, and certain products of the Company include integrated software and information technology. Such dependencies have been exacerbated by remote work practices. LivaNova relies on information technology systems to collect and process customer orders, manage product manufacturing and shipping, and support regulatory compliance. The Company routinely processes, stores, and transmits large amounts of data, including sensitive personal information, patient health information, and confidential business information. The secure processing, maintenance, and transmission of this information are critical to LivaNova’s operations. The quantity and complexity of the Company’s products and information technology systems make such systems vulnerable to cybersecurity incidents, breakdowns, interruptions, destruction, loss or compromise of data, obsolescence of or incompatibility among systems, or other significant disruptions.</w:t>
      </w:r>
    </w:p>
    <w:p>
      <w:pPr>
        <w:spacing w:after="0" w:line="50"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The Company has experienced and is continually at risk of being subject to cybersecurity incidents and other disruptions. Programs and systems may require frequent updates or may no longer be supported, which may impact the ability of the Company’s information technology systems to operate properly or without disruption. Unauthorized persons routinely attempt to access LivaNova’s systems to disrupt, disable, or degrade services; obtain proprietary or confidential information; or remotely disrupt or access the systems of large healthcare provider customers of the Company by attempting to exploit the Company’s systems. Furthermore, LivaNova’s security assessments of third-party vendors may be inadequate to determine whether their security protocols are sufficient to prevent a cybersecurity incident or other system or data compromise. LivaNova also cannot be certain that the Company will receive timely notification by its third-party vendors of such matters. Cybersecurity incidents and other system and data compromises could remain undetected for an extended period, which could potentially result in significant harm to the Company’s information technology systems, as well as unauthorized access to, or acquisition of, the information stored on and/or transmitted by the Company’s information technology systems. In addition, to access LivaNova’s products and services, its customers may use computers and other devices that are beyond the Company’s security control safeguards.</w:t>
      </w:r>
    </w:p>
    <w:p>
      <w:pPr>
        <w:spacing w:after="0" w:line="302"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Unauthorized disclosure or use of, denial of access to, or other incidents involving sensitive or confidential customer, patient, employee, vendor or Company data, whether through systems failure, employee negligence, fraud, misappropriation, cybersecurity incidents, or other intentional or unintentional acts, could expose and have exposed the Company to liability under various laws and regulations across jurisdictions and increase the risk of litigation and governmental or regulatory investigation, damage LivaNova’s reputation and its competitive positioning in the marketplace, disrupt its or its customers’ business operations, or cause LivaNova to lose customers, potentially resulting in significant financial exposure and legal liability. Similarly, unauthorized access to or through, denial of access to, or other incidents involving LivaNova or its vendors’ information systems, whether by the Company’s employees or third parties, including a cyber-attack by criminal hackers, or state-sponsored organizations, who continuously develop and deploy viruses, ransomware, malware, or other malicious software programs or social engineering attacks, have resulted and could in the future result in negative publicity, significant remediation costs, legal liability, notification requirements, and damage to LivaNova’s reputation, which could have a material adverse effect on the Company’s business, results of operations, cash flows, and financial condition.</w:t>
      </w:r>
    </w:p>
    <w:p>
      <w:pPr>
        <w:spacing w:after="0" w:line="5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Cybersecurity threats are constantly expanding and evolving, becoming increasingly sophisticated and complex, increasing the difficulty of detecting and defending against them and maintaining effective security measures and protocols. Additionally, artificial intelligence and machine learning may be used for certain cybersecurity incidents, improving or expanding the existing capabilities of threat actors in manners the Company cannot predict at this time, resulting in greater risk of cybersecurity incidents. Even when a cybersecurity incident or other system or data compromise is detected, the full extent of the issue may not be determined immediately. The costs to the Company to mitigate cybersecurity incidents or other system or data compromises could be significant, and, while the Company has implemented security measures to protect its information technology systems and data, its efforts to address potential information security vulnerabilities may not be successful. LivaNova’s cyber risk insurance may be insufficient to cover losses in connection with a cybersecurity incident or other system or data compromise, such as attorney’s fees, regulatory fines, litigation costs, or financial losses that exceed the Company’s policy limits or are not covered under any of its current insurance policies. Cyber risk insurance also has become more</w:t>
      </w:r>
    </w:p>
    <w:p>
      <w:pPr>
        <w:sectPr>
          <w:pgSz w:w="11880" w:h="15480" w:orient="portrait"/>
          <w:cols w:equalWidth="0" w:num="1">
            <w:col w:w="10040"/>
          </w:cols>
          <w:pgMar w:left="920" w:top="66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880" w:h="15480" w:orient="portrait"/>
          <w:cols w:equalWidth="0" w:num="1">
            <w:col w:w="10040"/>
          </w:cols>
          <w:pgMar w:left="920" w:top="664" w:right="920" w:bottom="0" w:gutter="0" w:footer="0" w:header="0"/>
          <w:type w:val="continuous"/>
        </w:sectPr>
      </w:pPr>
    </w:p>
    <w:bookmarkStart w:id="22" w:name="page23"/>
    <w:bookmarkEnd w:id="22"/>
    <w:p>
      <w:pPr>
        <w:jc w:val="both"/>
        <w:spacing w:after="0" w:line="284" w:lineRule="auto"/>
        <w:rPr>
          <w:sz w:val="20"/>
          <w:szCs w:val="20"/>
          <w:color w:val="auto"/>
        </w:rPr>
      </w:pPr>
      <w:r>
        <w:rPr>
          <w:rFonts w:ascii="Arial" w:cs="Arial" w:eastAsia="Arial" w:hAnsi="Arial"/>
          <w:sz w:val="20"/>
          <w:szCs w:val="20"/>
          <w:color w:val="auto"/>
        </w:rPr>
        <w:t>expensive to obtain, and LivaNova cannot be certain that the Company’s current levels of insurance will be available in the future on economically reasonable terms.</w:t>
      </w:r>
    </w:p>
    <w:p>
      <w:pPr>
        <w:spacing w:after="0" w:line="63"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As previously disclosed, in November 2023, LivaNova detected a cybersecurity incident that resulted in a disruption of portions of the Company’s information technology systems. Promptly after detecting the issue, LivaNova began an investigation with assistance from external cybersecurity experts and coordinated with law enforcement. The Company implemented remediation measures to mitigate the impact of the incident. The Company also assessed the nature and scope of the affected data, analyzed its statutory notification obligations, and notified affected individuals and regulators as required by applicable law. The incident has been contained, and the Company’s mitigation efforts are considered complete, but any future cybersecurity event has the potential to materially affect its results of operations, cash flows, and financial condition.</w:t>
      </w:r>
    </w:p>
    <w:p>
      <w:pPr>
        <w:spacing w:after="0" w:line="40" w:lineRule="exact"/>
        <w:rPr>
          <w:sz w:val="20"/>
          <w:szCs w:val="20"/>
          <w:color w:val="auto"/>
        </w:rPr>
      </w:pPr>
    </w:p>
    <w:p>
      <w:pPr>
        <w:jc w:val="both"/>
        <w:spacing w:after="0" w:line="266" w:lineRule="auto"/>
        <w:rPr>
          <w:sz w:val="20"/>
          <w:szCs w:val="20"/>
          <w:color w:val="auto"/>
        </w:rPr>
      </w:pPr>
      <w:r>
        <w:rPr>
          <w:rFonts w:ascii="Arial" w:cs="Arial" w:eastAsia="Arial" w:hAnsi="Arial"/>
          <w:sz w:val="20"/>
          <w:szCs w:val="20"/>
          <w:b w:val="1"/>
          <w:bCs w:val="1"/>
          <w:i w:val="1"/>
          <w:iCs w:val="1"/>
          <w:color w:val="auto"/>
        </w:rPr>
        <w:t>The costs of complying with the requirements of U.S. federal and state and international laws and regulations pertaining to the privacy and security of personal information, including health-related information, and the potential liability associated with failure to comply with such laws and regulations, could materially adversely affect LivaNova’s business and results of operations.</w:t>
      </w:r>
    </w:p>
    <w:p>
      <w:pPr>
        <w:spacing w:after="0" w:line="86"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There is significant regulatory enforcement focus on data protection in the U.S. (at both federal and state levels) and abroad, and an actual or alleged failure to comply with applicable U.S. or international data protection laws or regulations or other data protection standards may expose LivaNova to regulatory investigations, litigation (including class action litigation), fines, sanctions, settlement costs, or other penalties and liabilities, which could harm the Company’s reputation and adversely impact LivaNova’s business, results of operations, cash flows, and financial condition. The Company collects, stores, and handles personnel and patient data, including sensitive patient health information, which may present material obligations and risks to LivaNova’s business, including significantly expanded compliance burdens, costs, and enforcement risks. If LivaNova does not lawfully collect, store, handle, or otherwise process personal information and does not prevent cybersecurity incidents or other system or data compromises, particularly given the increased risks associated with processing sensitive health information, LivaNova may suffer legal and regulatory consequences in addition to business consequences. See “</w:t>
      </w:r>
      <w:r>
        <w:rPr>
          <w:rFonts w:ascii="Arial" w:cs="Arial" w:eastAsia="Arial" w:hAnsi="Arial"/>
          <w:sz w:val="17"/>
          <w:szCs w:val="17"/>
          <w:b w:val="1"/>
          <w:bCs w:val="1"/>
          <w:i w:val="1"/>
          <w:iCs w:val="1"/>
          <w:color w:val="auto"/>
        </w:rPr>
        <w:t>Cybersecurity incidents or</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other disruptions to LivaNova’s information technology systems could lead to reduced revenue, increased costs, liability claims, regulatory fines, litigation, harm to LivaNova’s competitive position, and loss of reputation.</w:t>
      </w:r>
      <w:r>
        <w:rPr>
          <w:rFonts w:ascii="Arial" w:cs="Arial" w:eastAsia="Arial" w:hAnsi="Arial"/>
          <w:sz w:val="17"/>
          <w:szCs w:val="17"/>
          <w:color w:val="auto"/>
        </w:rPr>
        <w:t>” above.</w:t>
      </w:r>
    </w:p>
    <w:p>
      <w:pPr>
        <w:spacing w:after="0" w:line="57" w:lineRule="exact"/>
        <w:rPr>
          <w:sz w:val="20"/>
          <w:szCs w:val="20"/>
          <w:color w:val="auto"/>
        </w:rPr>
      </w:pPr>
    </w:p>
    <w:p>
      <w:pPr>
        <w:jc w:val="both"/>
        <w:spacing w:after="0" w:line="305" w:lineRule="auto"/>
        <w:rPr>
          <w:sz w:val="20"/>
          <w:szCs w:val="20"/>
          <w:color w:val="auto"/>
        </w:rPr>
      </w:pPr>
      <w:r>
        <w:rPr>
          <w:rFonts w:ascii="Arial" w:cs="Arial" w:eastAsia="Arial" w:hAnsi="Arial"/>
          <w:sz w:val="17"/>
          <w:szCs w:val="17"/>
          <w:color w:val="auto"/>
        </w:rPr>
        <w:t>As a result of its worldwide operations, the Company is subject to various data protection and cybersecurity laws and regulations in many jurisdictions, including HIPAA, U.S. state privacy and data breach notification laws, and the GDPR. Other governments have enacted or amended or are enacting similar data protection laws, including data localization laws that require data to stay within their borders and other technical and operational adaptions that may be required given the rapid changes in data protection regulation where LivaNova conducts business. The enactment of such laws could have potentially conflicting requirements that would make compliance challenging. LivaNova’s efforts to comply with applicable laws and regulations may be inadequate, and the Company may be unable to avoid enforcement actions by governmental bodies. Enforcement actions may be costly and could interrupt the regular operations of LivaNova’s business. Moreover, LivaNova’s insurance coverage may be insufficient to cover all losses in connection with alleged non-compliance with applicable data protection laws and regulations. In addition, in the U.S., there is a trend of civil lawsuits and class actions relating to compromises of personal information caused by cybersecurity incidents or other system or data compromises, which typically allege negligence, breach of contract, and violation of various state consumer protection laws. LivaNova USA, Inc., for example, was named as a defendant in six putative class actions arising out of the November 2023 cybersecurity incident, which were consolidated into a single action that has been settled. The Company also has received inquiries from HHS’s Office for Civil Rights, U.S. state regulators, and international data protection authorities regarding the 2023 incident. In connection with any potential future cybersecurity incident, the Company similarly could become a target of civil litigation or government enforcement actions as a result of a compromise to or loss of data.</w:t>
      </w:r>
    </w:p>
    <w:p>
      <w:pPr>
        <w:spacing w:after="0" w:line="30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The global medical device industry is highly competitive, and LivaNova may be unable to compete effectively.</w:t>
      </w:r>
    </w:p>
    <w:p>
      <w:pPr>
        <w:spacing w:after="0" w:line="152" w:lineRule="exact"/>
        <w:rPr>
          <w:sz w:val="20"/>
          <w:szCs w:val="20"/>
          <w:color w:val="auto"/>
        </w:rPr>
      </w:pPr>
    </w:p>
    <w:p>
      <w:pPr>
        <w:jc w:val="both"/>
        <w:spacing w:after="0" w:line="309" w:lineRule="auto"/>
        <w:rPr>
          <w:sz w:val="20"/>
          <w:szCs w:val="20"/>
          <w:color w:val="auto"/>
        </w:rPr>
      </w:pPr>
      <w:r>
        <w:rPr>
          <w:rFonts w:ascii="Arial" w:cs="Arial" w:eastAsia="Arial" w:hAnsi="Arial"/>
          <w:sz w:val="17"/>
          <w:szCs w:val="17"/>
          <w:color w:val="auto"/>
        </w:rPr>
        <w:t>LivaNova operates in a highly competitive market characterized by increasingly complex products that are expensive and time-consuming to develop and manufacture. In the product lines in which LivaNova competes, the Company faces a mixture of competitors ranging from large manufacturers with multiple business lines to small manufacturers that offer a limited selection of specialized products. Development by other companies of new or improved products, processes, therapies, or technologies, including products developed with the effective use of advanced technologies like artificial intelligence, may make LivaNova’s products or proposed products less competitive. The Company’s failure to adopt or integrate such advanced technologies may hinder product innovation, increase costs, and impact its competitiveness and operational efficiency. In addition, LivaNova faces competition from providers of alternative medical therapies, pharmaceuticals, and surgical interventions, among others. Competitive factors include product quality, reliability and performance; product technology and innovation; breadth of product lines and product services; ability to identify new market trends; changes to the regulatory environment; cost-effectiveness and</w:t>
      </w:r>
    </w:p>
    <w:p>
      <w:pPr>
        <w:sectPr>
          <w:pgSz w:w="11880" w:h="15480" w:orient="portrait"/>
          <w:cols w:equalWidth="0" w:num="1">
            <w:col w:w="10040"/>
          </w:cols>
          <w:pgMar w:left="920" w:top="664" w:right="920" w:bottom="0"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880" w:h="15480" w:orient="portrait"/>
          <w:cols w:equalWidth="0" w:num="1">
            <w:col w:w="10040"/>
          </w:cols>
          <w:pgMar w:left="920" w:top="664" w:right="920" w:bottom="0" w:gutter="0" w:footer="0" w:header="0"/>
          <w:type w:val="continuous"/>
        </w:sectPr>
      </w:pPr>
    </w:p>
    <w:bookmarkStart w:id="23" w:name="page24"/>
    <w:bookmarkEnd w:id="23"/>
    <w:p>
      <w:pPr>
        <w:jc w:val="both"/>
        <w:spacing w:after="0" w:line="260" w:lineRule="auto"/>
        <w:rPr>
          <w:sz w:val="20"/>
          <w:szCs w:val="20"/>
          <w:color w:val="auto"/>
        </w:rPr>
      </w:pPr>
      <w:r>
        <w:rPr>
          <w:rFonts w:ascii="Arial" w:cs="Arial" w:eastAsia="Arial" w:hAnsi="Arial"/>
          <w:sz w:val="20"/>
          <w:szCs w:val="20"/>
          <w:color w:val="auto"/>
        </w:rPr>
        <w:t>price; customer support and training; capacity to recruit engineers, scientists, and other qualified employees; ability to navigate the regulatory approval process in the markets in which LivaNova operates; reimbursement approval; reimbursement coverage; and effectiveness of systems and processes. Additionally, academic institutions, governmental agencies, and other public and private research organizations may also conduct research, seek patent protection, and establish collaborative arrangements for discovery, research, clinical development, and marketing of products similar to LivaNova’s products. Difficulties in any of these areas may have a material adverse effect on LivaNova’s business, results of operations, cash flows, and financial condition.</w:t>
      </w:r>
    </w:p>
    <w:p>
      <w:pPr>
        <w:spacing w:after="0" w:line="81" w:lineRule="exact"/>
        <w:rPr>
          <w:sz w:val="20"/>
          <w:szCs w:val="20"/>
          <w:color w:val="auto"/>
        </w:rPr>
      </w:pPr>
    </w:p>
    <w:p>
      <w:pPr>
        <w:jc w:val="both"/>
        <w:spacing w:after="0" w:line="377" w:lineRule="auto"/>
        <w:rPr>
          <w:sz w:val="20"/>
          <w:szCs w:val="20"/>
          <w:color w:val="auto"/>
        </w:rPr>
      </w:pPr>
      <w:r>
        <w:rPr>
          <w:rFonts w:ascii="Arial" w:cs="Arial" w:eastAsia="Arial" w:hAnsi="Arial"/>
          <w:sz w:val="17"/>
          <w:szCs w:val="17"/>
          <w:b w:val="1"/>
          <w:bCs w:val="1"/>
          <w:i w:val="1"/>
          <w:iCs w:val="1"/>
          <w:color w:val="auto"/>
        </w:rPr>
        <w:t>LivaNova’s research and development efforts rely upon investments and investment collaborations, and the Company cannot guarantee that any previous or future investments or investment collaborations will be successful.</w:t>
      </w:r>
    </w:p>
    <w:p>
      <w:pPr>
        <w:spacing w:after="0" w:line="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rapid pace of technological development in the medical industry and the specialized expertise required in different areas of medicine make it difficult for one company alone to develop a broad portfolio of technological solutions. As a result, LivaNova also relies on investments and investment collaborations to provide the Company access to new technologies. If LivaNova fails to develop new and enhanced products and services on a timely basis, the Company’s offerings may become more expensive to maintain and eventually obsolete over time, and its reputation, business, and financial results may be negatively impacted. LivaNova’s success depends on several factors, including its ability to appropriately allocate the Company’s R&amp;D funding to products and services with higher growth prospects, for example, further incorporation of software, hiring and retaining the necessary R&amp;D talent, stimulating customer demand for and convincing customers to adopt new technologies, innovating and developing new technologies and applications, and acquiring or obtaining third-party technologies that may have valuable applications in the markets that LivaNova serves.</w:t>
      </w:r>
    </w:p>
    <w:p>
      <w:pPr>
        <w:spacing w:after="0" w:line="82"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LivaNova expects to make investments where it believes that the Company can internally develop, or acquire, new technologies and products to further LivaNova’s strategic objectives and strengthen LivaNova’s existing businesses. The success of any investment may be affected by a number of factors, including the Company’s ability to identify and then properly assess and value the potential business opportunity. These types of transactions may require more resources than originally anticipated, may divert management’s attention from the Company’s existing business, and may not result in the expected benefits, savings, or synergies. Investments and investment collaborations in and with medical technology companies are inherently risky, and LivaNova cannot guarantee that any of its previous or future acquisitions, investments, or investment collaborations will be successful or will not materially adversely affect LivaNova’s business, results of operations, cash flows, and financial condition.</w:t>
      </w:r>
    </w:p>
    <w:p>
      <w:pPr>
        <w:spacing w:after="0" w:line="70" w:lineRule="exact"/>
        <w:rPr>
          <w:sz w:val="20"/>
          <w:szCs w:val="20"/>
          <w:color w:val="auto"/>
        </w:rPr>
      </w:pPr>
    </w:p>
    <w:p>
      <w:pPr>
        <w:jc w:val="both"/>
        <w:spacing w:after="0" w:line="289" w:lineRule="auto"/>
        <w:rPr>
          <w:sz w:val="20"/>
          <w:szCs w:val="20"/>
          <w:color w:val="auto"/>
        </w:rPr>
      </w:pPr>
      <w:r>
        <w:rPr>
          <w:rFonts w:ascii="Arial" w:cs="Arial" w:eastAsia="Arial" w:hAnsi="Arial"/>
          <w:sz w:val="20"/>
          <w:szCs w:val="20"/>
          <w:b w:val="1"/>
          <w:bCs w:val="1"/>
          <w:i w:val="1"/>
          <w:iCs w:val="1"/>
          <w:color w:val="auto"/>
        </w:rPr>
        <w:t>The continuing development of many of LivaNova’s products depends upon the Company maintaining appropriate working relationships with healthcare professionals.</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success and continuing development of LivaNova’s products depend on the ability to work appropriately with healthcare professionals as needed. If LivaNova fails to maintain its working relationships with physicians and other healthcare professionals, the Company’s products may not be developed and marketed in line with the needs and expectations of the professionals who use and support LivaNova’s products. Physicians assist LivaNova as researchers, marketing consultants, product consultants, inventors, and public speakers, and LivaNova relies on these professionals to provide the Company with considerable knowledge and experience. If LivaNova is unable to maintain these relationships, the development and marketing of the Company’s products could suffer, which could have a material adverse effect on LivaNova’s business, results of operations, cash flows, and financial condition.</w:t>
      </w:r>
    </w:p>
    <w:p>
      <w:pPr>
        <w:spacing w:after="0" w:line="67" w:lineRule="exact"/>
        <w:rPr>
          <w:sz w:val="20"/>
          <w:szCs w:val="20"/>
          <w:color w:val="auto"/>
        </w:rPr>
      </w:pPr>
    </w:p>
    <w:p>
      <w:pPr>
        <w:jc w:val="both"/>
        <w:spacing w:after="0" w:line="317" w:lineRule="auto"/>
        <w:rPr>
          <w:sz w:val="20"/>
          <w:szCs w:val="20"/>
          <w:color w:val="auto"/>
        </w:rPr>
      </w:pPr>
      <w:r>
        <w:rPr>
          <w:rFonts w:ascii="Arial" w:cs="Arial" w:eastAsia="Arial" w:hAnsi="Arial"/>
          <w:sz w:val="19"/>
          <w:szCs w:val="19"/>
          <w:b w:val="1"/>
          <w:bCs w:val="1"/>
          <w:i w:val="1"/>
          <w:iCs w:val="1"/>
          <w:color w:val="auto"/>
        </w:rPr>
        <w:t>Quality issues with LivaNova’s processes, products, and services could harm the Company’s reputation for producing high-quality products and erode LivaNova’s competitive advantage, revenue, and market share.</w:t>
      </w:r>
    </w:p>
    <w:p>
      <w:pPr>
        <w:spacing w:after="0" w:line="38"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Maintaining the quality of the Company’s products is important to LivaNova and its customers due to the serious and costly consequences of product failure. LivaNova’s quality certifications are critical to the marketing success of the Company’s products and services. If LivaNova fails to meet these standards, the Company’s reputation could be damaged, the Company could lose customers, and LivaNova’s revenue and results of operations could decline. Aside from specific customer standards, LivaNova’s success depends generally on the Company’s ability to manufacture precision-engineered components, sub-assemblies, and finished products to exact tolerances with certified materials. If LivaNova’s components fail to meet these standards or fail to adapt to evolving standards, the Company’s reputation as a manufacturer of high-quality products will be harmed, certain of its inventory may become obsolete, its competitive advantage could be damaged, and LivaNova could lose customers and market share.</w:t>
      </w:r>
    </w:p>
    <w:p>
      <w:pPr>
        <w:sectPr>
          <w:pgSz w:w="11880" w:h="15480" w:orient="portrait"/>
          <w:cols w:equalWidth="0" w:num="1">
            <w:col w:w="10040"/>
          </w:cols>
          <w:pgMar w:left="920" w:top="66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880" w:h="15480" w:orient="portrait"/>
          <w:cols w:equalWidth="0" w:num="1">
            <w:col w:w="10040"/>
          </w:cols>
          <w:pgMar w:left="920" w:top="664" w:right="920" w:bottom="0" w:gutter="0" w:footer="0" w:header="0"/>
          <w:type w:val="continuous"/>
        </w:sectPr>
      </w:pPr>
    </w:p>
    <w:bookmarkStart w:id="24" w:name="page25"/>
    <w:bookmarkEnd w:id="24"/>
    <w:p>
      <w:pPr>
        <w:jc w:val="both"/>
        <w:spacing w:after="0" w:line="272" w:lineRule="auto"/>
        <w:rPr>
          <w:sz w:val="20"/>
          <w:szCs w:val="20"/>
          <w:color w:val="auto"/>
        </w:rPr>
      </w:pPr>
      <w:r>
        <w:rPr>
          <w:rFonts w:ascii="Arial" w:cs="Arial" w:eastAsia="Arial" w:hAnsi="Arial"/>
          <w:sz w:val="20"/>
          <w:szCs w:val="20"/>
          <w:b w:val="1"/>
          <w:bCs w:val="1"/>
          <w:i w:val="1"/>
          <w:iCs w:val="1"/>
          <w:color w:val="auto"/>
        </w:rPr>
        <w:t>If LivaNova’s marketed medical devices are defective or otherwise pose safety risks, the FDA and similar non-U.S. governmental authorities could require their recall or initiate an enforcement action, or LivaNova may initiate a recall of the Company’s products or stop sales of products voluntarily.</w:t>
      </w:r>
    </w:p>
    <w:p>
      <w:pPr>
        <w:spacing w:after="0" w:line="79" w:lineRule="exact"/>
        <w:rPr>
          <w:sz w:val="20"/>
          <w:szCs w:val="20"/>
          <w:color w:val="auto"/>
        </w:rPr>
      </w:pPr>
    </w:p>
    <w:p>
      <w:pPr>
        <w:jc w:val="both"/>
        <w:spacing w:after="0" w:line="309" w:lineRule="auto"/>
        <w:rPr>
          <w:sz w:val="20"/>
          <w:szCs w:val="20"/>
          <w:color w:val="auto"/>
        </w:rPr>
      </w:pPr>
      <w:r>
        <w:rPr>
          <w:rFonts w:ascii="Arial" w:cs="Arial" w:eastAsia="Arial" w:hAnsi="Arial"/>
          <w:sz w:val="17"/>
          <w:szCs w:val="17"/>
          <w:color w:val="auto"/>
        </w:rPr>
        <w:t>As a healthcare company, LivaNova’s products are subject to the risk of recalls or enforcement actions. The FDA and similar non-U.S. governmental authorities may require the recall and/or the withdrawal of sales of commercialized products in the event of material deficiencies or defects in design, software, or manufacture, or in the event that a product poses an unacceptable risk to patients’ health. Manufacturers, on their own initiative, may recall a product or stop sales of such product, and the Company has in the past initiated, and may initiate in the future, voluntary product recalls and sale stoppages. Any recall announcement could harm LivaNova’s reputation with customers and negatively affect LivaNova’s reputation, business, results of operations, cash flows, and financial position. A recall could also impair LivaNova’s ability to produce its products in a cost-effective and timely manner. In the future, LivaNova may initiate voluntary withdrawal, removal, replacement, or repair actions that the Company determines do not require notification as a recall. If a regulatory authority were to disagree with LivaNova’s determinations, it could require the Company to report those actions as recalls.</w:t>
      </w:r>
    </w:p>
    <w:p>
      <w:pPr>
        <w:spacing w:after="0" w:line="51"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In addition, depending on the corrective action taken to redress a device’s deficiencies or defects, regulators may require, or LivaNova may decide, that the Company needs to obtain new approvals or clearances before it markets or distributes the corrected device. Seeking such approvals or clearances may delay LivaNova’s ability to replace the recalled device in a timely manner. Any corrective action, whether voluntary or involuntary, or related litigation will require investment of the Company’s time and capital, may distract management from operating the business, may cause the Company to write down inventory related to any product recall or other quality issues, and may harm LivaNova’s reputation and financial results. See, for example, “Note 11. Commitments and Contingencies” in LivaNova’s consolidated financial statements under the section entitled “Product Liability Litigation.” Moreover, if LivaNova does not adequately address problems associated with its devices, the Company may face additional regulatory enforcement actions, including FDA warning letters, product seizures, injunctions, administrative penalties, or civil or criminal fines, any of which could have a material adverse effect on LivaNova’s business.</w:t>
      </w:r>
    </w:p>
    <w:p>
      <w:pPr>
        <w:spacing w:after="0" w:line="71" w:lineRule="exact"/>
        <w:rPr>
          <w:sz w:val="20"/>
          <w:szCs w:val="20"/>
          <w:color w:val="auto"/>
        </w:rPr>
      </w:pPr>
    </w:p>
    <w:p>
      <w:pPr>
        <w:jc w:val="both"/>
        <w:spacing w:after="0" w:line="289" w:lineRule="auto"/>
        <w:rPr>
          <w:sz w:val="20"/>
          <w:szCs w:val="20"/>
          <w:color w:val="auto"/>
        </w:rPr>
      </w:pPr>
      <w:r>
        <w:rPr>
          <w:rFonts w:ascii="Arial" w:cs="Arial" w:eastAsia="Arial" w:hAnsi="Arial"/>
          <w:sz w:val="20"/>
          <w:szCs w:val="20"/>
          <w:b w:val="1"/>
          <w:bCs w:val="1"/>
          <w:i w:val="1"/>
          <w:iCs w:val="1"/>
          <w:color w:val="auto"/>
        </w:rPr>
        <w:t>Failure to comply with product-related government regulations may materially adversely affect LivaNova’s business, results of operations, cash flows, and financial condition.</w:t>
      </w:r>
    </w:p>
    <w:p>
      <w:pPr>
        <w:spacing w:after="0" w:line="62"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Both before and after a product is commercially released, LivaNova has ongoing responsibilities under FDA and other applicable non-U.S. government agency regulations. For instance, many of LivaNova’s facilities and procedures and those of its suppliers are subject to periodic inspections by the FDA, which can result, and in the past has resulted, in inspection observations on the FDA’s Form 483, warning letters, or other forms of enforcement. If the FDA were to conclude that LivaNova is not in compliance with applicable laws or regulations, or that any of the Company’s medical products are ineffective or pose an unreasonable health risk, the FDA could ban such medical products; detain or seize adulterated or misbranded medical products; order a recall, repair, replacement, or refund of such products; refuse to grant pending PMA applications; and/or require LivaNova to notify health professionals and others that the devices present an unreasonable risk of substantial harm to the public health. Similar consequences could follow, such as audits by non-U.S. regulators and notified bodies.</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FDA and other non-U.S. government agencies could also assess civil or criminal penalties against LivaNova, the Company’s officers, or other employees and/or impose operating restrictions on a company-wide basis. The FDA could also recommend prosecution to the U.S. Department of Justice. An adverse regulatory action could restrict LivaNova from effectively marketing and selling its products, limit its ability to obtain future pre-market clearances or PMAs, and result in a substantial modification to LivaNova’s business practices and operations. These potential consequences, as well as any adverse outcome from government investigations, could have a material adverse effect on LivaNova’s business, results of operations, cash flows, and financial condition.</w:t>
      </w:r>
    </w:p>
    <w:p>
      <w:pPr>
        <w:spacing w:after="0" w:line="89" w:lineRule="exact"/>
        <w:rPr>
          <w:sz w:val="20"/>
          <w:szCs w:val="20"/>
          <w:color w:val="auto"/>
        </w:rPr>
      </w:pPr>
    </w:p>
    <w:p>
      <w:pPr>
        <w:jc w:val="both"/>
        <w:spacing w:after="0" w:line="326" w:lineRule="auto"/>
        <w:rPr>
          <w:sz w:val="20"/>
          <w:szCs w:val="20"/>
          <w:color w:val="auto"/>
        </w:rPr>
      </w:pPr>
      <w:r>
        <w:rPr>
          <w:rFonts w:ascii="Arial" w:cs="Arial" w:eastAsia="Arial" w:hAnsi="Arial"/>
          <w:sz w:val="17"/>
          <w:szCs w:val="17"/>
          <w:color w:val="auto"/>
        </w:rPr>
        <w:t>In addition, device manufacturers are prohibited from promoting their products for uses and indications that are not consistent with the approved product labeling (so called “off-label uses”). While physicians may exercise their discretion in prescribing a device for an off-label use, a device manufacturer’s failure to comply with the related applicable regulations could subject LivaNova to significant civil or criminal exposure, administrative obligations and costs, and/or other potential penalties.</w:t>
      </w:r>
    </w:p>
    <w:p>
      <w:pPr>
        <w:spacing w:after="0" w:line="36"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Governmental regulations outside the U.S. have, and may continue to, become increasingly stringent and common as well. For example, MDR has resulted in significant additional pre-market and post-market requirements. Certifications to MDR must be achieved by December 2027 or December 2028, based on the risk classification of the device. In the interim, the European Commission is allowing companies to use their MDD certifications. LivaNova is working to obtain all appropriate approvals as required, as penalties for regulatory non-compliance can be severe, including fines and revocation or suspension of a</w:t>
      </w:r>
    </w:p>
    <w:p>
      <w:pPr>
        <w:sectPr>
          <w:pgSz w:w="11880" w:h="15480" w:orient="portrait"/>
          <w:cols w:equalWidth="0" w:num="1">
            <w:col w:w="10040"/>
          </w:cols>
          <w:pgMar w:left="920" w:top="656"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880" w:h="15480" w:orient="portrait"/>
          <w:cols w:equalWidth="0" w:num="1">
            <w:col w:w="10040"/>
          </w:cols>
          <w:pgMar w:left="920" w:top="656" w:right="920" w:bottom="0" w:gutter="0" w:footer="0" w:header="0"/>
          <w:type w:val="continuous"/>
        </w:sectPr>
      </w:pPr>
    </w:p>
    <w:bookmarkStart w:id="25" w:name="page26"/>
    <w:bookmarkEnd w:id="25"/>
    <w:p>
      <w:pPr>
        <w:jc w:val="both"/>
        <w:spacing w:after="0" w:line="284" w:lineRule="auto"/>
        <w:rPr>
          <w:sz w:val="20"/>
          <w:szCs w:val="20"/>
          <w:color w:val="auto"/>
        </w:rPr>
      </w:pPr>
      <w:r>
        <w:rPr>
          <w:rFonts w:ascii="Arial" w:cs="Arial" w:eastAsia="Arial" w:hAnsi="Arial"/>
          <w:sz w:val="20"/>
          <w:szCs w:val="20"/>
          <w:color w:val="auto"/>
        </w:rPr>
        <w:t>company’s business license. The development and implementation of future laws and regulations may also have a material adverse effect on LivaNova.</w:t>
      </w:r>
    </w:p>
    <w:p>
      <w:pPr>
        <w:spacing w:after="0" w:line="55" w:lineRule="exact"/>
        <w:rPr>
          <w:sz w:val="20"/>
          <w:szCs w:val="20"/>
          <w:color w:val="auto"/>
        </w:rPr>
      </w:pPr>
    </w:p>
    <w:p>
      <w:pPr>
        <w:jc w:val="both"/>
        <w:spacing w:after="0" w:line="377" w:lineRule="auto"/>
        <w:rPr>
          <w:sz w:val="20"/>
          <w:szCs w:val="20"/>
          <w:color w:val="auto"/>
        </w:rPr>
      </w:pPr>
      <w:r>
        <w:rPr>
          <w:rFonts w:ascii="Arial" w:cs="Arial" w:eastAsia="Arial" w:hAnsi="Arial"/>
          <w:sz w:val="17"/>
          <w:szCs w:val="17"/>
          <w:b w:val="1"/>
          <w:bCs w:val="1"/>
          <w:i w:val="1"/>
          <w:iCs w:val="1"/>
          <w:color w:val="auto"/>
        </w:rPr>
        <w:t>LivaNova’s success depends on its employees and the Company’s ability to attract and retain key personnel needed to successfully operate its business, plan for future executive transitions, and negotiate with local works councils.</w:t>
      </w:r>
    </w:p>
    <w:p>
      <w:pPr>
        <w:spacing w:after="0" w:line="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LivaNova’s ability to compete effectively depends on its ability to attract and retain key employees and maintain robust succession planning for key positions. The Company’s ability to recruit and retain key talent depends on many factors, including compensation and benefits, work location, work environment, industry-specific and general economic conditions, and the hiring practices of competitors. If LivaNova fails to attract and retain key personnel in senior management and other positions, or if the Company’s succession planning efforts are not effective, it could have a material adverse effect on LivaNova’s business, financial condition, and results of operations.</w:t>
      </w:r>
    </w:p>
    <w:p>
      <w:pPr>
        <w:spacing w:after="0" w:line="75"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Furthermore, in many of the countries where LivaNova operates, employees are covered by various local laws and/or collective bargaining agreements, some with the right to be consulted in relation to specific issues, including reorganizations and staff reductions. The laws and/or collective bargaining agreements could have an impact on LivaNova’s flexibility as they apply to programs to redefine and/or strategically reposition the Company’s activities. A negative response to any action taken by LivaNova from a works council or union-organized work stoppages by employees could have a negative impact on LivaNova’s business.</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20"/>
          <w:szCs w:val="20"/>
          <w:b w:val="1"/>
          <w:bCs w:val="1"/>
          <w:i w:val="1"/>
          <w:iCs w:val="1"/>
          <w:color w:val="auto"/>
        </w:rPr>
        <w:t>LivaNova’s products are subject to complex laws and regulations, and failure to obtain product approvals, clearance, or reimbursement may materially adversely affect LivaNova’s business, results of operations, cash flows, and financial condition.</w:t>
      </w:r>
    </w:p>
    <w:p>
      <w:pPr>
        <w:spacing w:after="0" w:line="79"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LivaNova’s medical devices and technologies, as well as its business activities, are subject to a complex set of regulations and rigorous enforcement, including by the FDA, U.S. Department of Justice, U.S. Department of Health &amp; Human Services, and numerous other federal, state, and non-U.S. governmental authorities. Leadership and other workforce changes within any of the aforementioned agencies as a result of the change of administration in the U.S. may impact regulations, enforcement priorities, and timelines. The time required to obtain approvals from foreign countries may be longer or shorter than that required for FDA clearance, and requirements for such approvals may differ from FDA requirements. To varying degrees, each of these agencies requires LivaNova to comply with laws and regulations governing the development, modification, testing, manufacturing, labeling, reimbursement, marketing, and distribution of LivaNova’s products. As part of the approval, clearance, or reimbursement process for new products, product modifications, and new indications for existing products, LivaNova may conduct clinical trials and studies. Unfavorable or inconsistent clinical data from existing or future clinical trials, or the unfavorable interpretation of such clinical data by customers, regulatory authorities, or third-party payers, may adversely impact LivaNova’s ability to obtain product approval or clearance, and/or receive reimbursement.</w:t>
      </w:r>
    </w:p>
    <w:p>
      <w:pPr>
        <w:spacing w:after="0" w:line="57" w:lineRule="exact"/>
        <w:rPr>
          <w:sz w:val="20"/>
          <w:szCs w:val="20"/>
          <w:color w:val="auto"/>
        </w:rPr>
      </w:pPr>
    </w:p>
    <w:p>
      <w:pPr>
        <w:jc w:val="both"/>
        <w:spacing w:after="0" w:line="311" w:lineRule="auto"/>
        <w:rPr>
          <w:sz w:val="20"/>
          <w:szCs w:val="20"/>
          <w:color w:val="auto"/>
        </w:rPr>
      </w:pPr>
      <w:r>
        <w:rPr>
          <w:rFonts w:ascii="Arial" w:cs="Arial" w:eastAsia="Arial" w:hAnsi="Arial"/>
          <w:sz w:val="17"/>
          <w:szCs w:val="17"/>
          <w:color w:val="auto"/>
        </w:rPr>
        <w:t>LivaNova, for example, is currently conducting clinical studies, and any trial delays or news regarding unfavorable or inconsistent clinical data could have a material adverse effect on LivaNova’s business. Success in pre-clinical testing and early clinical studies does not always ensure that later clinical studies will be successful, and LivaNova cannot be sure that later studies will replicate the results of prior studies. Any termination or delay in the completion of LivaNova’s clinical studies could delay or preclude the filing of regulatory submissions or requests for coverage determinations and, ultimately, LivaNova’s ability to commercialize new or modified products and obtain reimbursement for the Company’s products. It is also possible that patients enrolled in clinical studies will experience adverse side effects that are not currently part of the product’s safety profile, which could inhibit further marketing and development of such products.</w:t>
      </w:r>
    </w:p>
    <w:p>
      <w:pPr>
        <w:spacing w:after="0" w:line="51"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Even if LivaNova is able to obtain product approval, product clearance, and reimbursement, it may take a significant amount of time; require the expenditure of substantial resources; involve stringent pre-clinical and clinical testing; require increased post-market surveillance; involve modifications, repairs, or replacements of LivaNova’s products; and/or impose limitations on the proposed uses of its products. Ultimately, LivaNova cannot guarantee that its clinical trials will be successful or that the Company will be able to obtain or maintain approval or clearance and/or reimbursement for new products or modifications to existing products. Any such issues, whether in relation to clinical trials, approvals, clearances, or reimbursement, could have a material adverse effect on LivaNova’s business, results of operations, cash flows, and financial condition.</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The impact of pending or existing climate change may have a material impact to LivaNova’s future operations.</w:t>
      </w:r>
    </w:p>
    <w:p>
      <w:pPr>
        <w:spacing w:after="0" w:line="152"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The physical impacts of natural disasters and extreme weather conditions, such as hurricanes, tornadoes, earthquakes, winter storms, wildfires, or flooding, could potentially damage LivaNova’s facilities, cause unanticipated downtime in production, temporarily reduce demand, reduce employee productivity, increase absenteeism, disrupt the Company’s supply chain operations and its suppliers’ operations, and negatively impact operational costs. Additionally, transitional climate risks, such as changing customer behaviors and changing dynamics in raw materials and utility markets, could lead to lost revenue due to</w:t>
      </w:r>
    </w:p>
    <w:p>
      <w:pPr>
        <w:sectPr>
          <w:pgSz w:w="11880" w:h="15480" w:orient="portrait"/>
          <w:cols w:equalWidth="0" w:num="1">
            <w:col w:w="10040"/>
          </w:cols>
          <w:pgMar w:left="920" w:top="664" w:right="920" w:bottom="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880" w:h="15480" w:orient="portrait"/>
          <w:cols w:equalWidth="0" w:num="1">
            <w:col w:w="10040"/>
          </w:cols>
          <w:pgMar w:left="920" w:top="664" w:right="920" w:bottom="0" w:gutter="0" w:footer="0" w:header="0"/>
          <w:type w:val="continuous"/>
        </w:sectPr>
      </w:pPr>
    </w:p>
    <w:bookmarkStart w:id="26" w:name="page27"/>
    <w:bookmarkEnd w:id="26"/>
    <w:p>
      <w:pPr>
        <w:jc w:val="both"/>
        <w:spacing w:after="0" w:line="316" w:lineRule="auto"/>
        <w:rPr>
          <w:sz w:val="20"/>
          <w:szCs w:val="20"/>
          <w:color w:val="auto"/>
        </w:rPr>
      </w:pPr>
      <w:r>
        <w:rPr>
          <w:rFonts w:ascii="Arial" w:cs="Arial" w:eastAsia="Arial" w:hAnsi="Arial"/>
          <w:sz w:val="17"/>
          <w:szCs w:val="17"/>
          <w:color w:val="auto"/>
        </w:rPr>
        <w:t>inability to meet changing customer requirements, increasing costs associated with product adjustments to meet changing customer preferences, increasing costs of inputs and raw materials, and increasing cost of utilities. There continues to be a lack of consistent climate legislation, which creates economic and regulatory uncertainty. Legal, regulatory, and customer requirements and preferences designed to mitigate the effects of climate change on the environment are increasing, and there is a risk of obligations being imposed that would increase LivaNova’s compliance burden and cost to meet these obligations. Individually or in the aggregate, such risks could materially negatively impact LivaNova’s future operations.</w:t>
      </w:r>
    </w:p>
    <w:p>
      <w:pPr>
        <w:spacing w:after="0" w:line="35" w:lineRule="exact"/>
        <w:rPr>
          <w:sz w:val="20"/>
          <w:szCs w:val="20"/>
          <w:color w:val="auto"/>
        </w:rPr>
      </w:pPr>
    </w:p>
    <w:p>
      <w:pPr>
        <w:jc w:val="both"/>
        <w:spacing w:after="0" w:line="289" w:lineRule="auto"/>
        <w:rPr>
          <w:sz w:val="20"/>
          <w:szCs w:val="20"/>
          <w:color w:val="auto"/>
        </w:rPr>
      </w:pPr>
      <w:r>
        <w:rPr>
          <w:rFonts w:ascii="Arial" w:cs="Arial" w:eastAsia="Arial" w:hAnsi="Arial"/>
          <w:sz w:val="20"/>
          <w:szCs w:val="20"/>
          <w:b w:val="1"/>
          <w:bCs w:val="1"/>
          <w:i w:val="1"/>
          <w:iCs w:val="1"/>
          <w:color w:val="auto"/>
        </w:rPr>
        <w:t>Global healthcare policy changes may have a material adverse effect on LivaNova’s business, results of operations, financial condition, and cash flows.</w:t>
      </w:r>
    </w:p>
    <w:p>
      <w:pPr>
        <w:spacing w:after="0" w:line="6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response to increases in healthcare costs, there have been and continue to be proposals by governments, regulators, and third-party payers globally to control these costs. These proposals, among other things, have resulted in efforts to enact healthcare system reforms that may lead to restricted access, pricing restrictions, payback requirements, and limits on the amounts of reimbursement available for LivaNova’s products. For example, in 2015, the Italian Parliament introduced rules for entities that supply goods and services to the Italian National Healthcare System, impacting the business and financial reporting of medical technology sector companies that sell devices in Italy, including LivaNova. A key provision of the law is a “payback” measure, requiring companies selling medical devices in Italy to repay a percentage of the healthcare expenditures exceeding the regional maximum caps for medical devices. While LivaNova is appealing the imposition of the guidelines and requests for payment pursuant to the rule, the Constitutional Court, in a separate matter, determined the rule constitutional. As a result, the Company may not be successful in its own appeals. See “Note 11. Commitments and Contingencies” in LivaNova’s consolidated financial statements included in this Report for additional information.</w:t>
      </w:r>
    </w:p>
    <w:p>
      <w:pPr>
        <w:spacing w:after="0" w:line="53" w:lineRule="exact"/>
        <w:rPr>
          <w:sz w:val="20"/>
          <w:szCs w:val="20"/>
          <w:color w:val="auto"/>
        </w:rPr>
      </w:pPr>
    </w:p>
    <w:p>
      <w:pPr>
        <w:jc w:val="both"/>
        <w:spacing w:after="0" w:line="309" w:lineRule="auto"/>
        <w:rPr>
          <w:sz w:val="20"/>
          <w:szCs w:val="20"/>
          <w:color w:val="auto"/>
        </w:rPr>
      </w:pPr>
      <w:r>
        <w:rPr>
          <w:rFonts w:ascii="Arial" w:cs="Arial" w:eastAsia="Arial" w:hAnsi="Arial"/>
          <w:sz w:val="17"/>
          <w:szCs w:val="17"/>
          <w:color w:val="auto"/>
        </w:rPr>
        <w:t>Additionally, LivaNova’s ability to profitably commercialize the Company’s products is dependent, in large part, on whether third-party payers, including private healthcare insurers, managed-care plans, governmental programs, and others, agree to cover the costs and services associated with LivaNova’s products and related medical procedures in the U.S. and internationally. Third-party payers, including private and government insurers, are increasingly requiring evidence that medical devices are clinically-effective and cost-effective. If LivaNova is unable to demonstrate that the Company’s devices are effective, third-party payers may not reimburse the use of LivaNova’s products or provide sufficient reimbursement for LivaNova’s products, which could reduce sales of the Company’s products to healthcare providers that depend upon reimbursement for payment for their services. Similarly, periodic changes to reimbursement methodologies could have an adverse impact on LivaNova’s business. Adoption of some or all of such healthcare policy and reimbursement proposals could have a material adverse effect on LivaNova’s business, results of operations, cash flows, and financial position.</w:t>
      </w:r>
    </w:p>
    <w:p>
      <w:pPr>
        <w:spacing w:after="0" w:line="43" w:lineRule="exact"/>
        <w:rPr>
          <w:sz w:val="20"/>
          <w:szCs w:val="20"/>
          <w:color w:val="auto"/>
        </w:rPr>
      </w:pPr>
    </w:p>
    <w:p>
      <w:pPr>
        <w:jc w:val="both"/>
        <w:spacing w:after="0" w:line="293" w:lineRule="auto"/>
        <w:rPr>
          <w:sz w:val="20"/>
          <w:szCs w:val="20"/>
          <w:color w:val="auto"/>
        </w:rPr>
      </w:pPr>
      <w:r>
        <w:rPr>
          <w:rFonts w:ascii="Arial" w:cs="Arial" w:eastAsia="Arial" w:hAnsi="Arial"/>
          <w:sz w:val="19"/>
          <w:szCs w:val="19"/>
          <w:b w:val="1"/>
          <w:bCs w:val="1"/>
          <w:i w:val="1"/>
          <w:iCs w:val="1"/>
          <w:color w:val="auto"/>
        </w:rPr>
        <w:t>Failure to comply with rules relating to reimbursement of healthcare goods and services, healthcare fraud and abuse, false claims, and other applicable laws or regulations may subject LivaNova to penalties and limit patient access to its devices, thereby adversely impacting the Company’s reputation and business operations.</w:t>
      </w:r>
    </w:p>
    <w:p>
      <w:pPr>
        <w:spacing w:after="0" w:line="60" w:lineRule="exact"/>
        <w:rPr>
          <w:sz w:val="20"/>
          <w:szCs w:val="20"/>
          <w:color w:val="auto"/>
        </w:rPr>
      </w:pPr>
    </w:p>
    <w:p>
      <w:pPr>
        <w:jc w:val="both"/>
        <w:spacing w:after="0" w:line="316" w:lineRule="auto"/>
        <w:rPr>
          <w:sz w:val="20"/>
          <w:szCs w:val="20"/>
          <w:color w:val="auto"/>
        </w:rPr>
      </w:pPr>
      <w:r>
        <w:rPr>
          <w:rFonts w:ascii="Arial" w:cs="Arial" w:eastAsia="Arial" w:hAnsi="Arial"/>
          <w:sz w:val="17"/>
          <w:szCs w:val="17"/>
          <w:color w:val="auto"/>
        </w:rPr>
        <w:t>LivaNova’s devices and therapies are subject to regulation by various governmental agencies worldwide that are responsible for regulating healthcare goods and services, including laws and regulations related to kickbacks, false claims, self-referrals, and healthcare fraud. Because LivaNova’s marketing practices involve direct promotion to patients in certain jurisdictions, the Company is subject to additional laws and regulations intended to prevent misleading patients and consumers through unethical promotional activities and related data collection practices. Any failure to comply with these laws and regulations could subject the Company or its officers and employees to criminal and civil financial penalties.</w:t>
      </w:r>
    </w:p>
    <w:p>
      <w:pPr>
        <w:spacing w:after="0" w:line="43"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The risk of being found in violation of these laws is increased by the fact that many of them have not been fully interpreted by regulatory authorities or the courts and their provisions are open to a variety of interpretations. Because of the breadth of these laws and the narrowness of the statutory exceptions and safe harbors available under such laws, it is possible that some of LivaNova’s business activities, including the Company’s relationships with healthcare providers, some of whom recommend, purchase, and/or prescribe LivaNova’s devices, group purchasing organizations, and LivaNova’s independent sales agents and distributors, could be subject to challenge under one or more of such laws. Even an unsubstantiated allegation of impropriety could adversely impact LivaNova’s reputation and/or business operations.</w:t>
      </w:r>
    </w:p>
    <w:p>
      <w:pPr>
        <w:spacing w:after="0" w:line="48" w:lineRule="exact"/>
        <w:rPr>
          <w:sz w:val="20"/>
          <w:szCs w:val="20"/>
          <w:color w:val="auto"/>
        </w:rPr>
      </w:pPr>
    </w:p>
    <w:p>
      <w:pPr>
        <w:jc w:val="both"/>
        <w:spacing w:after="0" w:line="311" w:lineRule="auto"/>
        <w:rPr>
          <w:sz w:val="20"/>
          <w:szCs w:val="20"/>
          <w:color w:val="auto"/>
        </w:rPr>
      </w:pPr>
      <w:r>
        <w:rPr>
          <w:rFonts w:ascii="Arial" w:cs="Arial" w:eastAsia="Arial" w:hAnsi="Arial"/>
          <w:sz w:val="17"/>
          <w:szCs w:val="17"/>
          <w:color w:val="auto"/>
        </w:rPr>
        <w:t>Furthermore, LivaNova’s devices, products, and therapies are purchased principally by hospitals or physicians that typically bill various third-party payers, such as governmental healthcare programs (e.g., Medicare, Medicaid, and comparable non-U.S. programs), private insurance plans, and managed-care plans for the healthcare services provided to their patients. The ability of LivaNova’s customers to obtain appropriate reimbursement for products and services from third-party payers is critical because it affects which products customers purchase and the prices they are willing to pay. LivaNova’s devices, products, and therapies are subject to regulation regarding quality and cost by HHS, including CMS, as well as comparable state and non-U.S. agencies responsible for reimbursement and regulation of healthcare goods and services, including laws and regulations related to kickbacks, false claims, self-referrals, and healthcare fraud. In addition, as a manufacturer of U.S. FDA-approved devices</w:t>
      </w:r>
    </w:p>
    <w:p>
      <w:pPr>
        <w:sectPr>
          <w:pgSz w:w="11880" w:h="15480" w:orient="portrait"/>
          <w:cols w:equalWidth="0" w:num="1">
            <w:col w:w="10040"/>
          </w:cols>
          <w:pgMar w:left="920" w:top="664" w:right="920" w:bottom="0" w:gutter="0" w:footer="0" w:header="0"/>
        </w:sect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880" w:h="15480" w:orient="portrait"/>
          <w:cols w:equalWidth="0" w:num="1">
            <w:col w:w="10040"/>
          </w:cols>
          <w:pgMar w:left="920" w:top="664" w:right="920" w:bottom="0" w:gutter="0" w:footer="0" w:header="0"/>
          <w:type w:val="continuous"/>
        </w:sectPr>
      </w:pPr>
    </w:p>
    <w:bookmarkStart w:id="27" w:name="page28"/>
    <w:bookmarkEnd w:id="27"/>
    <w:p>
      <w:pPr>
        <w:jc w:val="both"/>
        <w:spacing w:after="0" w:line="261" w:lineRule="auto"/>
        <w:rPr>
          <w:sz w:val="20"/>
          <w:szCs w:val="20"/>
          <w:color w:val="auto"/>
        </w:rPr>
      </w:pPr>
      <w:r>
        <w:rPr>
          <w:rFonts w:ascii="Arial" w:cs="Arial" w:eastAsia="Arial" w:hAnsi="Arial"/>
          <w:sz w:val="20"/>
          <w:szCs w:val="20"/>
          <w:color w:val="auto"/>
        </w:rPr>
        <w:t>reimbursable by federal healthcare programs, LivaNova is subject to the Physician Payments Sunshine Act and similar U.S. state laws, which require the Company to annually report certain payments and other transfers of value LivaNova makes to U.S.-licensed physicians, U.S. teaching hospitals, or other covered recipients. Any failure to comply with these laws and regulations, including similar laws and regulations outside of the U.S., could subject the Company or its officers and employees to criminal and civil financial penalties, potentially resulting in a material adverse effect on LivaNova’s business, results of operations, cash flows, and financial position.</w:t>
      </w:r>
    </w:p>
    <w:p>
      <w:pPr>
        <w:spacing w:after="0" w:line="79" w:lineRule="exact"/>
        <w:rPr>
          <w:sz w:val="20"/>
          <w:szCs w:val="20"/>
          <w:color w:val="auto"/>
        </w:rPr>
      </w:pPr>
    </w:p>
    <w:p>
      <w:pPr>
        <w:jc w:val="both"/>
        <w:spacing w:after="0" w:line="289" w:lineRule="auto"/>
        <w:rPr>
          <w:sz w:val="20"/>
          <w:szCs w:val="20"/>
          <w:color w:val="auto"/>
        </w:rPr>
      </w:pPr>
      <w:r>
        <w:rPr>
          <w:rFonts w:ascii="Arial" w:cs="Arial" w:eastAsia="Arial" w:hAnsi="Arial"/>
          <w:sz w:val="20"/>
          <w:szCs w:val="20"/>
          <w:b w:val="1"/>
          <w:bCs w:val="1"/>
          <w:i w:val="1"/>
          <w:iCs w:val="1"/>
          <w:color w:val="auto"/>
        </w:rPr>
        <w:t>Failure to comply with anti-bribery laws could materially adversely affect LivaNova’s business and result in civil and/or criminal sanctions.</w:t>
      </w:r>
    </w:p>
    <w:p>
      <w:pPr>
        <w:spacing w:after="0" w:line="62"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LivaNova’s operations are subject to anti-corruption laws, including the UK Bribery Act, the FCPA, and other anti-corruption laws that apply in countries where the Company does business. These laws generally prohibit LivaNova and its employees and intermediaries from bribing, being bribed, or making other prohibited payments to government officials or other persons to obtain or retain business or gain some other business advantage. Because of the predominance of government-administered healthcare systems in many parts of the world outside of the U.S., many of LivaNova’s customer relationships are potentially subject to such laws.</w:t>
      </w:r>
    </w:p>
    <w:p>
      <w:pPr>
        <w:spacing w:after="0" w:line="87"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LivaNova is, therefore, exposed to the risk that its employees, independent contractors, principal investigators, consultants, vendors, independent sales agents, and distributors may engage in fraudulent or other illegal activity in violation of these laws and LivaNova’s Code of Ethics &amp; Business Conduct. LivaNova maintains a compliance program that includes policies and training to educate its employees and agents on these legal requirements, and to prevent and prohibit improper practices. However, existing safeguards and any future improvements may not always be effective, and LivaNova’s employees, consultants, sales agents, or distributors may engage in conduct for which LivaNova could be held responsible. In addition, regulators could seek to hold LivaNova liable for conduct committed by companies in which LivaNova invests or acquires. The FCPA can pose unique challenges for companies that operate in foreign cultures where conduct prohibited by the FCPA may not be viewed as illegal in local jurisdictions. Although LivaNova’s compliance program includes mechanisms for detecting and correcting misconduct, including a hotline called the “LivaNova Ethics Line”, it is not always possible to identify and deter misconduct by LivaNova’s employees and other third parties, and the precautions the Company takes to detect and prevent this activity may not be effective in controlling unknown or unmanaged risks or losses or in protecting LivaNova from governmental investigations or other actions or lawsuits stemming from a failure to comply with such laws or regulations.</w:t>
      </w:r>
    </w:p>
    <w:p>
      <w:pPr>
        <w:spacing w:after="0" w:line="5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Global enforcement of anti-corruption laws has increased substantially in recent years, with more frequent voluntary self-disclosures by companies, aggressive investigations and enforcement proceedings by governmental agencies, and assessment of significant fines and penalties against companies and individuals. LivaNova cannot predict the nature, scope, or effect of future regulatory requirements to which the Company’s international operations might be subject or the manner in which existing laws might be administered or interpreted. Any alleged or actual violations of these laws and regulations may subject LivaNova to government scrutiny, severe criminal or civil sanctions, and other liabilities, including exclusion from government contracting or government healthcare programs, and could negatively affect LivaNova’s reputation, business, results of operations, cash flows, and financial condition.</w:t>
      </w:r>
    </w:p>
    <w:p>
      <w:pPr>
        <w:spacing w:after="0" w:line="67" w:lineRule="exact"/>
        <w:rPr>
          <w:sz w:val="20"/>
          <w:szCs w:val="20"/>
          <w:color w:val="auto"/>
        </w:rPr>
      </w:pPr>
    </w:p>
    <w:p>
      <w:pPr>
        <w:jc w:val="both"/>
        <w:spacing w:after="0" w:line="289" w:lineRule="auto"/>
        <w:rPr>
          <w:sz w:val="20"/>
          <w:szCs w:val="20"/>
          <w:color w:val="auto"/>
        </w:rPr>
      </w:pPr>
      <w:r>
        <w:rPr>
          <w:rFonts w:ascii="Arial" w:cs="Arial" w:eastAsia="Arial" w:hAnsi="Arial"/>
          <w:sz w:val="20"/>
          <w:szCs w:val="20"/>
          <w:b w:val="1"/>
          <w:bCs w:val="1"/>
          <w:i w:val="1"/>
          <w:iCs w:val="1"/>
          <w:color w:val="auto"/>
        </w:rPr>
        <w:t>If LivaNova’s business development and restructuring activities are unsuccessful, the Company may not realize the intended benefits.</w:t>
      </w:r>
    </w:p>
    <w:p>
      <w:pPr>
        <w:spacing w:after="0" w:line="62" w:lineRule="exact"/>
        <w:rPr>
          <w:sz w:val="20"/>
          <w:szCs w:val="20"/>
          <w:color w:val="auto"/>
        </w:rPr>
      </w:pPr>
    </w:p>
    <w:p>
      <w:pPr>
        <w:jc w:val="both"/>
        <w:spacing w:after="0" w:line="310" w:lineRule="auto"/>
        <w:rPr>
          <w:sz w:val="20"/>
          <w:szCs w:val="20"/>
          <w:color w:val="auto"/>
        </w:rPr>
      </w:pPr>
      <w:r>
        <w:rPr>
          <w:rFonts w:ascii="Arial" w:cs="Arial" w:eastAsia="Arial" w:hAnsi="Arial"/>
          <w:sz w:val="17"/>
          <w:szCs w:val="17"/>
          <w:color w:val="auto"/>
        </w:rPr>
        <w:t>LivaNova has sought, and in the future may seek, to supplement its organic growth through strategic investments, alliances, and acquisitions. Moreover, LivaNova has sought, and in the future may seek, to divest or wind down certain assets deemed non-core to the Company’s long-term strategic objectives. For example, as part of the 2024 Restructuring Plan, the Company wound down its ACS segment. Such transactions are inherently risky and require significant effort and management attention. The success of any investment, alliance, acquisition, or divestiture may be affected by various factors, including LivaNova’s ability to properly assess, finance, value, and obtain relevant approvals for a potential business opportunity or to successfully integrate any business LivaNova may acquire. LivaNova cannot be certain that its investments, alliances, and acquired businesses will achieve the financial projections supporting those investment decisions. In addition, if LivaNova’s investments, alliances, divestitures, or acquisitions are not successful, the Company may incur costs in excess of what it anticipates, including those resulting from related litigation.</w:t>
      </w:r>
    </w:p>
    <w:p>
      <w:pPr>
        <w:spacing w:after="0" w:line="295" w:lineRule="exact"/>
        <w:rPr>
          <w:sz w:val="20"/>
          <w:szCs w:val="20"/>
          <w:color w:val="auto"/>
        </w:rPr>
      </w:pPr>
    </w:p>
    <w:p>
      <w:pPr>
        <w:jc w:val="both"/>
        <w:spacing w:after="0" w:line="338" w:lineRule="auto"/>
        <w:rPr>
          <w:sz w:val="20"/>
          <w:szCs w:val="20"/>
          <w:color w:val="auto"/>
        </w:rPr>
      </w:pPr>
      <w:r>
        <w:rPr>
          <w:rFonts w:ascii="Arial" w:cs="Arial" w:eastAsia="Arial" w:hAnsi="Arial"/>
          <w:sz w:val="17"/>
          <w:szCs w:val="17"/>
          <w:color w:val="auto"/>
        </w:rPr>
        <w:t>As a result of acquisitions, LivaNova may face risks due to the implementation, modification, or remediation of controls, procedures, and policies relating to data privacy and cybersecurity at the acquired company. In addition, failure to manage and coordinate the growth of the combined company successfully could have an adverse impact on LivaNova’s business.</w:t>
      </w:r>
    </w:p>
    <w:p>
      <w:pPr>
        <w:spacing w:after="0" w:line="27" w:lineRule="exact"/>
        <w:rPr>
          <w:sz w:val="20"/>
          <w:szCs w:val="20"/>
          <w:color w:val="auto"/>
        </w:rPr>
      </w:pPr>
    </w:p>
    <w:p>
      <w:pPr>
        <w:jc w:val="both"/>
        <w:spacing w:after="0" w:line="376" w:lineRule="auto"/>
        <w:rPr>
          <w:sz w:val="20"/>
          <w:szCs w:val="20"/>
          <w:color w:val="auto"/>
        </w:rPr>
      </w:pPr>
      <w:r>
        <w:rPr>
          <w:rFonts w:ascii="Arial" w:cs="Arial" w:eastAsia="Arial" w:hAnsi="Arial"/>
          <w:sz w:val="17"/>
          <w:szCs w:val="17"/>
          <w:color w:val="auto"/>
        </w:rPr>
        <w:t>Similarly, LivaNova may divest and has divested portions of its business, resulting in the migration of data and overlapping data obligations. As a result of such divestitures, LivaNova may face risks due to the migration or modification of controls,</w:t>
      </w:r>
    </w:p>
    <w:p>
      <w:pPr>
        <w:sectPr>
          <w:pgSz w:w="11880" w:h="15480" w:orient="portrait"/>
          <w:cols w:equalWidth="0" w:num="1">
            <w:col w:w="10040"/>
          </w:cols>
          <w:pgMar w:left="920" w:top="664" w:right="920" w:bottom="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880" w:h="15480" w:orient="portrait"/>
          <w:cols w:equalWidth="0" w:num="1">
            <w:col w:w="10040"/>
          </w:cols>
          <w:pgMar w:left="920" w:top="664" w:right="920" w:bottom="0" w:gutter="0" w:footer="0" w:header="0"/>
          <w:type w:val="continuous"/>
        </w:sectPr>
      </w:pPr>
    </w:p>
    <w:bookmarkStart w:id="28" w:name="page29"/>
    <w:bookmarkEnd w:id="28"/>
    <w:p>
      <w:pPr>
        <w:jc w:val="both"/>
        <w:spacing w:after="0" w:line="269" w:lineRule="auto"/>
        <w:rPr>
          <w:sz w:val="20"/>
          <w:szCs w:val="20"/>
          <w:color w:val="auto"/>
        </w:rPr>
      </w:pPr>
      <w:r>
        <w:rPr>
          <w:rFonts w:ascii="Arial" w:cs="Arial" w:eastAsia="Arial" w:hAnsi="Arial"/>
          <w:sz w:val="20"/>
          <w:szCs w:val="20"/>
          <w:color w:val="auto"/>
        </w:rPr>
        <w:t>procedures, and policies relating to data privacy and cybersecurity internally or en route during migration. Any significant breakdown, intrusion, interruption, corruption, or destruction of these systems, as well as any data breaches, could have a material adverse effect on LivaNova’s business.</w:t>
      </w:r>
    </w:p>
    <w:p>
      <w:pPr>
        <w:spacing w:after="0" w:line="71" w:lineRule="exact"/>
        <w:rPr>
          <w:sz w:val="20"/>
          <w:szCs w:val="20"/>
          <w:color w:val="auto"/>
        </w:rPr>
      </w:pPr>
    </w:p>
    <w:p>
      <w:pPr>
        <w:jc w:val="both"/>
        <w:spacing w:after="0" w:line="289" w:lineRule="auto"/>
        <w:rPr>
          <w:sz w:val="20"/>
          <w:szCs w:val="20"/>
          <w:color w:val="auto"/>
        </w:rPr>
      </w:pPr>
      <w:r>
        <w:rPr>
          <w:rFonts w:ascii="Arial" w:cs="Arial" w:eastAsia="Arial" w:hAnsi="Arial"/>
          <w:sz w:val="20"/>
          <w:szCs w:val="20"/>
          <w:b w:val="1"/>
          <w:bCs w:val="1"/>
          <w:i w:val="1"/>
          <w:iCs w:val="1"/>
          <w:color w:val="auto"/>
        </w:rPr>
        <w:t>LivaNova may incur impairments of intangible assets, goodwill, and other long-lived assets that may adversely affect the Company’s financial results.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LivaNova reviews, when circumstances warrant, the carrying amounts of its intangible assets, goodwill, and other long-lived assets to determine whether those carrying amounts continue to be recoverable in accordance with U.S. GAAP. Significant negative industry or economic trends; disruptions to LivaNova’s businesses; and significant unexpected or unplanned changes in the use of assets, divestitures, and market capitalization declines, among other events, may result in impairments to LivaNova’s intangible assets, goodwill, and other long-lived assets. Recent impairments have significantly affected LivaNova’s financial results, as could future impairments.</w:t>
      </w:r>
    </w:p>
    <w:p>
      <w:pPr>
        <w:spacing w:after="0" w:line="67" w:lineRule="exact"/>
        <w:rPr>
          <w:sz w:val="20"/>
          <w:szCs w:val="20"/>
          <w:color w:val="auto"/>
        </w:rPr>
      </w:pPr>
    </w:p>
    <w:p>
      <w:pPr>
        <w:jc w:val="both"/>
        <w:spacing w:after="0" w:line="377" w:lineRule="auto"/>
        <w:rPr>
          <w:sz w:val="20"/>
          <w:szCs w:val="20"/>
          <w:color w:val="auto"/>
        </w:rPr>
      </w:pPr>
      <w:r>
        <w:rPr>
          <w:rFonts w:ascii="Arial" w:cs="Arial" w:eastAsia="Arial" w:hAnsi="Arial"/>
          <w:sz w:val="17"/>
          <w:szCs w:val="17"/>
          <w:b w:val="1"/>
          <w:bCs w:val="1"/>
          <w:i w:val="1"/>
          <w:iCs w:val="1"/>
          <w:color w:val="auto"/>
        </w:rPr>
        <w:t>Public health crises have had, and may continue to have, an adverse effect on LivaNova’s business, results of operations, cash flows, and financial condition, the nature and extent of which are uncertain and unpredictable.</w:t>
      </w:r>
    </w:p>
    <w:p>
      <w:pPr>
        <w:spacing w:after="0" w:line="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LivaNova’s global operations and business interactions with healthcare systems, providers, and patients around the world expose the Company to risks associated with public health crises, including epidemics and pandemics such as COVID-19. LivaNova continues to monitor the potential effects of future health epidemics on the Company’s business and operations. While the spread of COVID-19 has stabilized, the Company cannot guarantee that a future outbreak of this or any other widespread epidemic will not occur, which could have the effect of decreasing demand and/or increasing volatility in demand for LivaNova’s products, which could have a material impact on LivaNova’s business, results of operations, cash flows, financial condition, and liquidity.</w:t>
      </w:r>
    </w:p>
    <w:p>
      <w:pPr>
        <w:spacing w:after="0" w:line="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Legal, Regulatory, and Compliance Risks</w:t>
      </w:r>
    </w:p>
    <w:p>
      <w:pPr>
        <w:spacing w:after="0" w:line="140" w:lineRule="exact"/>
        <w:rPr>
          <w:sz w:val="20"/>
          <w:szCs w:val="20"/>
          <w:color w:val="auto"/>
        </w:rPr>
      </w:pPr>
    </w:p>
    <w:p>
      <w:pPr>
        <w:jc w:val="both"/>
        <w:spacing w:after="0" w:line="289" w:lineRule="auto"/>
        <w:rPr>
          <w:sz w:val="20"/>
          <w:szCs w:val="20"/>
          <w:color w:val="auto"/>
        </w:rPr>
      </w:pPr>
      <w:r>
        <w:rPr>
          <w:rFonts w:ascii="Arial" w:cs="Arial" w:eastAsia="Arial" w:hAnsi="Arial"/>
          <w:sz w:val="20"/>
          <w:szCs w:val="20"/>
          <w:b w:val="1"/>
          <w:bCs w:val="1"/>
          <w:i w:val="1"/>
          <w:iCs w:val="1"/>
          <w:color w:val="auto"/>
        </w:rPr>
        <w:t>As a manufacturer of medical devices, LivaNova is exposed to product liability claims that could adversely affect its consolidated financial condition and tarnish the Company’s reputation.</w:t>
      </w:r>
    </w:p>
    <w:p>
      <w:pPr>
        <w:spacing w:after="0" w:line="62" w:lineRule="exact"/>
        <w:rPr>
          <w:sz w:val="20"/>
          <w:szCs w:val="20"/>
          <w:color w:val="auto"/>
        </w:rPr>
      </w:pPr>
    </w:p>
    <w:p>
      <w:pPr>
        <w:jc w:val="both"/>
        <w:spacing w:after="0" w:line="309" w:lineRule="auto"/>
        <w:rPr>
          <w:sz w:val="20"/>
          <w:szCs w:val="20"/>
          <w:color w:val="auto"/>
        </w:rPr>
      </w:pPr>
      <w:r>
        <w:rPr>
          <w:rFonts w:ascii="Arial" w:cs="Arial" w:eastAsia="Arial" w:hAnsi="Arial"/>
          <w:sz w:val="17"/>
          <w:szCs w:val="17"/>
          <w:color w:val="auto"/>
        </w:rPr>
        <w:t>LivaNova designs, develops, manufactures, markets, and sells medical devices that pose product liability risks. Component failures, manufacturing defects, software errors, design flaws or inadequate disclosure of product-related risks or product or use-related information, or physician misuse with respect to these or other products the Company manufactures or sells could result in an unsafe condition for, injury to, or death of a patient. Such an event could result in product liability claims or a recall of, or safety alert relating to, one or more of LivaNova’s products. For example, as described in “Note 11. Commitments and Contingencies” in LivaNova’s consolidated financial statements included in this Report, the Company is involved in product liability litigation relating to its cardiopulmonary 3T Heater-Cooler product that has adversely affected LivaNova’s financial condition and has required the Company to devote significant resources to its defense and/or settlement of these claims. Any such product liability claims, whether unsubstantiated or not, could negatively affect LivaNova’s reputation, business, results of operations, cash flows, and financial condition.</w:t>
      </w:r>
    </w:p>
    <w:p>
      <w:pPr>
        <w:spacing w:after="0" w:line="51" w:lineRule="exact"/>
        <w:rPr>
          <w:sz w:val="20"/>
          <w:szCs w:val="20"/>
          <w:color w:val="auto"/>
        </w:rPr>
      </w:pPr>
    </w:p>
    <w:p>
      <w:pPr>
        <w:jc w:val="both"/>
        <w:spacing w:after="0" w:line="316" w:lineRule="auto"/>
        <w:rPr>
          <w:sz w:val="20"/>
          <w:szCs w:val="20"/>
          <w:color w:val="auto"/>
        </w:rPr>
      </w:pPr>
      <w:r>
        <w:rPr>
          <w:rFonts w:ascii="Arial" w:cs="Arial" w:eastAsia="Arial" w:hAnsi="Arial"/>
          <w:sz w:val="17"/>
          <w:szCs w:val="17"/>
          <w:color w:val="auto"/>
        </w:rPr>
        <w:t>LivaNova holds global insurance policies to cover a portion of future potential product liability losses and has elected to self-insure with respect to a significant portion of the Company’s product liability risks. Any product liability claims, regardless of their ultimate outcome, could have a material adverse effect on the Company’s ability to attract and retain customers for its products, and future losses from product liability claims could exceed LivaNova’s product liability insurance coverage and lead to a material adverse effect on the Company’s financial condition and liquidity. In addition, future unanticipated large liability claims may raise substantial doubt about LivaNova’s ability to continue as a going concern.</w:t>
      </w:r>
    </w:p>
    <w:p>
      <w:pPr>
        <w:spacing w:after="0" w:line="35" w:lineRule="exact"/>
        <w:rPr>
          <w:sz w:val="20"/>
          <w:szCs w:val="20"/>
          <w:color w:val="auto"/>
        </w:rPr>
      </w:pPr>
    </w:p>
    <w:p>
      <w:pPr>
        <w:jc w:val="both"/>
        <w:spacing w:after="0" w:line="266" w:lineRule="auto"/>
        <w:rPr>
          <w:sz w:val="20"/>
          <w:szCs w:val="20"/>
          <w:color w:val="auto"/>
        </w:rPr>
      </w:pPr>
      <w:r>
        <w:rPr>
          <w:rFonts w:ascii="Arial" w:cs="Arial" w:eastAsia="Arial" w:hAnsi="Arial"/>
          <w:sz w:val="20"/>
          <w:szCs w:val="20"/>
          <w:b w:val="1"/>
          <w:bCs w:val="1"/>
          <w:i w:val="1"/>
          <w:iCs w:val="1"/>
          <w:color w:val="auto"/>
        </w:rPr>
        <w:t>LivaNova is subject to heightened scrutiny on issues relating to sustainability, including environmental laws and regulations, and the risk of environmental liabilities, violations, and litigation in multiple jurisdictions, any of which could have a material impact on LivaNova’s reputation, business, results of operations, cash flows, financial condition, and liquidity.</w:t>
      </w:r>
    </w:p>
    <w:p>
      <w:pPr>
        <w:spacing w:after="0" w:line="86" w:lineRule="exact"/>
        <w:rPr>
          <w:sz w:val="20"/>
          <w:szCs w:val="20"/>
          <w:color w:val="auto"/>
        </w:rPr>
      </w:pPr>
    </w:p>
    <w:p>
      <w:pPr>
        <w:jc w:val="both"/>
        <w:spacing w:after="0" w:line="311" w:lineRule="auto"/>
        <w:rPr>
          <w:sz w:val="20"/>
          <w:szCs w:val="20"/>
          <w:color w:val="auto"/>
        </w:rPr>
      </w:pPr>
      <w:r>
        <w:rPr>
          <w:rFonts w:ascii="Arial" w:cs="Arial" w:eastAsia="Arial" w:hAnsi="Arial"/>
          <w:sz w:val="17"/>
          <w:szCs w:val="17"/>
          <w:color w:val="auto"/>
        </w:rPr>
        <w:t>There is a heightened focus on issues relating to sustainability, including environmental stewardship, social responsibility, and corporate governance matters. Increasing attention on sustainability issues related to LivaNova’s business requires continuous monitoring of various and evolving laws, regulations, standards, and expectations and the associated reporting requirements. For example, in 2023, the CSRD entered into force. Broadly, CSRD amends and strengthens the rules introduced on sustainability reporting for companies, banks and insurance companies under the NFRD and will require a much broader range of in-scope companies to publicly report on their impact on sustainability matters as well as how sustainability matters affect their own development, performance and position in accordance with the ESRS. To the extent LivaNova is in scope of the reporting requirements under CSRD, the Company will be required to provide such information with its management report.</w:t>
      </w:r>
    </w:p>
    <w:p>
      <w:pPr>
        <w:sectPr>
          <w:pgSz w:w="11880" w:h="15480" w:orient="portrait"/>
          <w:cols w:equalWidth="0" w:num="1">
            <w:col w:w="10040"/>
          </w:cols>
          <w:pgMar w:left="920" w:top="664" w:right="920" w:bottom="0"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880" w:h="15480" w:orient="portrait"/>
          <w:cols w:equalWidth="0" w:num="1">
            <w:col w:w="10040"/>
          </w:cols>
          <w:pgMar w:left="920" w:top="664" w:right="920" w:bottom="0" w:gutter="0" w:footer="0" w:header="0"/>
          <w:type w:val="continuous"/>
        </w:sectPr>
      </w:pPr>
    </w:p>
    <w:bookmarkStart w:id="29" w:name="page30"/>
    <w:bookmarkEnd w:id="29"/>
    <w:p>
      <w:pPr>
        <w:jc w:val="both"/>
        <w:spacing w:after="0" w:line="310" w:lineRule="auto"/>
        <w:rPr>
          <w:sz w:val="20"/>
          <w:szCs w:val="20"/>
          <w:color w:val="auto"/>
        </w:rPr>
      </w:pPr>
      <w:r>
        <w:rPr>
          <w:rFonts w:ascii="Arial" w:cs="Arial" w:eastAsia="Arial" w:hAnsi="Arial"/>
          <w:sz w:val="17"/>
          <w:szCs w:val="17"/>
          <w:color w:val="auto"/>
        </w:rPr>
        <w:t>This will involve implementing processes to gather the relevant data, conduct materiality assessments, and prepare a CSRD-compliant report, which will likely be a time-consuming and costly exercise, and in the event that LivaNova’s disclosures prove incorrect, the Company may incur liabilities. When producing a CSRD report, LivaNova may be required to obtain an assurance opinion with respect to the information in the report. To the extent an adverse or qualified assurance conclusion is reached with respect to LivaNova’s report, the Company’s reputation may be impacted, and investors could lose confidence in the accuracy and completeness of its sustainability disclosures. Subject to the specific circumstances of an adverse or qualified conclusion, LivaNova may also be subject to sanctions set by EU Member States. Further, there are ongoing consultations that may result in further changes or amendments to CSRD. No final proposals have yet been set out, but this process could lead to significant changes to the CSRD regime. It is unclear as to how any such future changes could impact LivaNova.</w:t>
      </w:r>
    </w:p>
    <w:p>
      <w:pPr>
        <w:spacing w:after="0" w:line="50"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Furthermore, if LivaNova’s sustainability initiatives fail to satisfy investors, customers, or other stakeholders, the Company’s reputation, its ability to sell products and services to customers, and its attractiveness as an investment, business partner, or acquirer could be negatively impacted. Similarly, LivaNova’s failure, or perceived failure, to fulfill its sustainability goals or to satisfy various reporting standards could also have a similar negative impact on the Company’s reputation, business, and results of operations. Environmental regulations continue to become more stringent, and LivaNova may experience increased compliance burdens and costs to meet its regulatory obligations, as well as adverse impacts on raw material sourcing, manufacturing operations, and the distribution of LivaNova’s products.</w:t>
      </w:r>
    </w:p>
    <w:p>
      <w:pPr>
        <w:spacing w:after="0" w:line="48"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Additionally, certain environmental laws assess liability on current, prior, and/or related owners or operators of real property for the costs of investigation, removal, or remediation of hazardous substances on their properties or at properties on which they have disposed of hazardous substances. For example, LivaNova’s Saluggia campus contains hazardous substances as a result of nuclear installations built in 1960 under previous ownership, and the Italian government has stated that LivaNova will eventually be responsible for dismantling the nuclear installation on Company property, as well as delivering the aforementioned waste to a national repository. It is also possible that a governmental authority may seek to hold LivaNova liable for successor liability violations committed by any companies in which LivaNova invests or acquires. For example, LivaNova is currently in litigation with the government in Italy stemming from a civil action where the Court of Appeal declared LivaNova (formed through a merger with Sorin) liable for environmental liabilities incurred by SNIA’s (a former parent company of Sorin) other subsidiaries. See “Note 11. Commitments and Contingencies” in LivaNova’s consolidated financial statements included in this Report for additional information regarding these two matters. LivaNova’s business, results of operations, cash flows, financial condition, and liquidity could be materially adversely affected by a negative decision in the case of SNIA and could be adversely affected by an increase in anticipated costs relating to disposal of hazardous waste in Saluggia. Private parties could also bring personal injury or other claims due to the presence of, or exposure to, hazardous substances.</w:t>
      </w:r>
    </w:p>
    <w:p>
      <w:pPr>
        <w:spacing w:after="0" w:line="78"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In addition, LivaNova’s operations involve the use of substances regulated under environmental laws, including for purposes of sterilization. Regulations require sterilization of LivaNova’s products, and the Company operates, for example, a sterilization facility in Colorado allowing the Company to sterilize certain of its products in-house. The EPA and certain states have begun scrutinizing the levels of community exposure to EtO, which is used in the sterilization process. Certain medical device operating facilities have been designated as “elevated risk” facilities based on emission levels of EtO. LivaNova is not on the “elevated risk” list, nor is it in violation of any current local or federal regulations. However, to the extent LivaNova or its contract sterilizers are unable to sterilize LivaNova’s products, whether due to regulatory, legislative, or other constraints, including on the use of EtO, LivaNova may be unable to transition to alternative internal or external resources or methods in a timely or cost-effective manner or at all, which could have a material impact on LivaNova’s results of operations and financial condition.</w:t>
      </w:r>
    </w:p>
    <w:p>
      <w:pPr>
        <w:spacing w:after="0" w:line="74" w:lineRule="exact"/>
        <w:rPr>
          <w:sz w:val="20"/>
          <w:szCs w:val="20"/>
          <w:color w:val="auto"/>
        </w:rPr>
      </w:pPr>
    </w:p>
    <w:p>
      <w:pPr>
        <w:jc w:val="both"/>
        <w:spacing w:after="0" w:line="328" w:lineRule="auto"/>
        <w:rPr>
          <w:sz w:val="20"/>
          <w:szCs w:val="20"/>
          <w:color w:val="auto"/>
        </w:rPr>
      </w:pPr>
      <w:r>
        <w:rPr>
          <w:rFonts w:ascii="Arial" w:cs="Arial" w:eastAsia="Arial" w:hAnsi="Arial"/>
          <w:sz w:val="17"/>
          <w:szCs w:val="17"/>
          <w:b w:val="1"/>
          <w:bCs w:val="1"/>
          <w:i w:val="1"/>
          <w:iCs w:val="1"/>
          <w:color w:val="auto"/>
        </w:rPr>
        <w:t>LivaNova is substantially dependent on patent and other proprietary rights, and failing to protect such rights or to be successful in litigation related to LivaNova’s rights or the rights of others may result in the Company’s payment of significant monetary damages and/or royalty payments, negatively impact LivaNova’s ability to sell current or future products, or prohibit the Company from enforcing its patent and other proprietary rights against others.</w:t>
      </w:r>
    </w:p>
    <w:p>
      <w:pPr>
        <w:spacing w:after="0" w:line="37" w:lineRule="exact"/>
        <w:rPr>
          <w:sz w:val="20"/>
          <w:szCs w:val="20"/>
          <w:color w:val="auto"/>
        </w:rPr>
      </w:pPr>
    </w:p>
    <w:p>
      <w:pPr>
        <w:jc w:val="both"/>
        <w:spacing w:after="0" w:line="310" w:lineRule="auto"/>
        <w:rPr>
          <w:sz w:val="20"/>
          <w:szCs w:val="20"/>
          <w:color w:val="auto"/>
        </w:rPr>
      </w:pPr>
      <w:r>
        <w:rPr>
          <w:rFonts w:ascii="Arial" w:cs="Arial" w:eastAsia="Arial" w:hAnsi="Arial"/>
          <w:sz w:val="17"/>
          <w:szCs w:val="17"/>
          <w:color w:val="auto"/>
        </w:rPr>
        <w:t>LivaNova relies on a combination of patents, trade secrets, and non-disclosure agreements to protect the Company’s proprietary intellectual property. While LivaNova intends to defend against any threats to the Company’s intellectual property, any litigation to counter the infringement, misappropriation, or unauthorized use of LivaNova’s intellectual property may require the expenditure of significant financial and managerial resources, which may adversely affect LivaNova’s business, results of operations, cash flows, and financial condition. Additionally, LivaNova’s patents, trade secrets, or other agreements may not prevent competitors from independently developing or selling similar products and services and may not adequately deter misappropriation or improper use of the Company’s technology. Further, pending patent applications may not result in patents being issued to LivaNova. Patents issued to or licensed by LivaNova in the past or in the future may be challenged or circumvented by competitors, and such patents may be found invalid, unenforceable, or insufficiently broad to protect the</w:t>
      </w:r>
    </w:p>
    <w:p>
      <w:pPr>
        <w:sectPr>
          <w:pgSz w:w="11880" w:h="15480" w:orient="portrait"/>
          <w:cols w:equalWidth="0" w:num="1">
            <w:col w:w="10040"/>
          </w:cols>
          <w:pgMar w:left="920" w:top="664" w:right="920" w:bottom="0" w:gutter="0" w:footer="0" w:header="0"/>
        </w:sect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880" w:h="15480" w:orient="portrait"/>
          <w:cols w:equalWidth="0" w:num="1">
            <w:col w:w="10040"/>
          </w:cols>
          <w:pgMar w:left="920" w:top="664" w:right="920" w:bottom="0" w:gutter="0" w:footer="0" w:header="0"/>
          <w:type w:val="continuous"/>
        </w:sectPr>
      </w:pPr>
    </w:p>
    <w:bookmarkStart w:id="30" w:name="page31"/>
    <w:bookmarkEnd w:id="30"/>
    <w:p>
      <w:pPr>
        <w:jc w:val="both"/>
        <w:spacing w:after="0" w:line="373" w:lineRule="auto"/>
        <w:rPr>
          <w:sz w:val="20"/>
          <w:szCs w:val="20"/>
          <w:color w:val="auto"/>
        </w:rPr>
      </w:pPr>
      <w:r>
        <w:rPr>
          <w:rFonts w:ascii="Arial" w:cs="Arial" w:eastAsia="Arial" w:hAnsi="Arial"/>
          <w:sz w:val="17"/>
          <w:szCs w:val="17"/>
          <w:color w:val="auto"/>
        </w:rPr>
        <w:t>Company’s technology, and may limit LivaNova’s competitive advantage. Third parties could obtain patents that may require LivaNova to negotiate licenses to conduct business, and the required licenses may not be available on reasonable terms or at all.</w:t>
      </w:r>
    </w:p>
    <w:p>
      <w:pPr>
        <w:jc w:val="both"/>
        <w:spacing w:after="0" w:line="311" w:lineRule="auto"/>
        <w:rPr>
          <w:sz w:val="20"/>
          <w:szCs w:val="20"/>
          <w:color w:val="auto"/>
        </w:rPr>
      </w:pPr>
      <w:r>
        <w:rPr>
          <w:rFonts w:ascii="Arial" w:cs="Arial" w:eastAsia="Arial" w:hAnsi="Arial"/>
          <w:sz w:val="17"/>
          <w:szCs w:val="17"/>
          <w:color w:val="auto"/>
        </w:rPr>
        <w:t>LivaNova also relies on non-disclosure and non-competition agreements with certain employees, consultants, and other parties to protect, in part, trade secrets and other proprietary rights. LivaNova cannot be certain that these agreements will not be breached, that the Company will have adequate remedies for any breach, that others will not independently develop substantially equivalent proprietary information, or that third parties will not otherwise gain access to LivaNova’s trade secrets or proprietary knowledge. Further, new proposed regulations in the U.S. would prohibit certain competition agreements. These proposed regulations have been successfully litigated in lower courts, but appeals are pending, and the outcome of those cases remains uncertain. If regulations become effective as proposed and enforced, LivaNova may not be able to rely on agreements with certain of the Company’s employees or other parties.</w:t>
      </w:r>
    </w:p>
    <w:p>
      <w:pPr>
        <w:spacing w:after="0" w:line="51"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LivaNova operates in an industry characterized by extensive patent litigation and has been, and is, subject to patent claims from time to time. While LivaNova intends to defend against any third-party intellectual property threats, intellectual property litigation is inherently complex and unpredictable. Such litigation can result in significant damage awards and injunctions that could prevent LivaNova’s manufacture and sale of affected products or require the Company to pay significant royalties in order to continue to manufacture or sell affected products.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In addition, the laws and intellectual property systems of certain countries in which LivaNova markets some of its products do not protect the Company’s intellectual property rights to the same extent as in the U.S., which may impact its market position in those countries. LivaNova could also face competition in countries where the Company has not invested in an intellectual property portfolio, or where the Company has not invested in the same protection as in the U.S. If the Company is unable to protect LivaNova’s intellectual property in those countries, it could have a material adverse effect on LivaNova’s reputation, business, results of operations, cash flows, and financial condition.</w:t>
      </w:r>
    </w:p>
    <w:p>
      <w:pPr>
        <w:spacing w:after="0" w:line="67" w:lineRule="exact"/>
        <w:rPr>
          <w:sz w:val="20"/>
          <w:szCs w:val="20"/>
          <w:color w:val="auto"/>
        </w:rPr>
      </w:pPr>
    </w:p>
    <w:p>
      <w:pPr>
        <w:jc w:val="both"/>
        <w:spacing w:after="0" w:line="289" w:lineRule="auto"/>
        <w:rPr>
          <w:sz w:val="20"/>
          <w:szCs w:val="20"/>
          <w:color w:val="auto"/>
        </w:rPr>
      </w:pPr>
      <w:r>
        <w:rPr>
          <w:rFonts w:ascii="Arial" w:cs="Arial" w:eastAsia="Arial" w:hAnsi="Arial"/>
          <w:sz w:val="20"/>
          <w:szCs w:val="20"/>
          <w:b w:val="1"/>
          <w:bCs w:val="1"/>
          <w:i w:val="1"/>
          <w:iCs w:val="1"/>
          <w:color w:val="auto"/>
        </w:rPr>
        <w:t>Inadequate funding for U.S. federal government agencies and government shutdowns could negatively affect LivaNova’s business, results of operations, cash flows, and financial condition.</w:t>
      </w:r>
    </w:p>
    <w:p>
      <w:pPr>
        <w:spacing w:after="0" w:line="62"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funding levels, the ability to hire and retain key personnel, government shutdowns, and statutory, regulatory, and policy changes. In addition, a portion of LivaNova’s revenue is dependent on U.S. federal government healthcare program reimbursement. Any disruption in U.S. federal government operations, including government shutdowns, could have a material adverse effect on LivaNova’s business, results of operations, cash flows, and financial condition.</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LivaNova’s Indebtedness</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20"/>
          <w:szCs w:val="20"/>
          <w:b w:val="1"/>
          <w:bCs w:val="1"/>
          <w:i w:val="1"/>
          <w:iCs w:val="1"/>
          <w:color w:val="auto"/>
        </w:rPr>
        <w:t>LivaNova may not have sufficient cash flow from its business operations to pay when due, or be able to raise the funds necessary to pay when due, amounts owed with respect to the 2025 Notes and 2029 Notes and/or any amounts owed under the Company’s revolving credit facility and term facilities, which could adversely affect LivaNova’s business and results of operations.</w:t>
      </w:r>
    </w:p>
    <w:p>
      <w:pPr>
        <w:spacing w:after="0" w:line="86"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LivaNova’s ability to make payments (including interest, principal upon maturity, and payments to satisfy exchanges for cash or conversions) in respect of and/or to refinance LivaNova’s outstanding Notes or other indebtedness (including any indebtedness under LivaNova’s revolving credit facility or term facilities) depends on the Company’s future performance, which is subject to economic, financial, competitive, and other factors beyond its control. If LivaNova is unable to generate enough cash flow to make payments on the 2025 Notes, the 2029 Notes, or other indebtedness when due, the Company may be required to adopt one or more alternatives, such as selling assets or obtaining additional debt financing or equity capital on terms that may be onerous or highly dilutive. LivaNova’s ability to refinance the 2025 Notes, the 2029 Notes, or other indebtedness, which the Company may need to do to satisfy its obligations thereunder, will depend on the capital markets and LivaNova’s financial condition at such time. LivaNova may not be able to engage in these activities on desirable terms or at all, which could result in a default on the 2025 Notes and 2029 Notes and/or LivaNova’s revolving credit facility and term facilities.</w:t>
      </w:r>
    </w:p>
    <w:p>
      <w:pPr>
        <w:spacing w:after="0" w:line="79"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LivaNova will be required to settle any exchanges of the 2025 Notes entirely in cash, while upon any conversions of the 2029 Notes, LivaNova will be required to pay cash up to the aggregate principal amount of the 2029 Notes to be converted and pay or deliver, as the case may be, cash, LivaNova’s ordinary shares, or a combination of cash and LivaNova’s ordinary shares, at LivaNova’s election, in respect of the remainder, if any. Additionally, the holders of the 2025 Notes and 2029 Notes have the right to require LivaNova to repurchase the aforementioned notes upon the occurrence of a fundamental change (as defined in the respective indentures governing the Notes) at a repurchase price equal to 100% of the principal amount of the 2025 Notes and 2029 Notes to be repurchased, plus accrued and unpaid interest, if any.</w:t>
      </w:r>
    </w:p>
    <w:p>
      <w:pPr>
        <w:sectPr>
          <w:pgSz w:w="11880" w:h="15480" w:orient="portrait"/>
          <w:cols w:equalWidth="0" w:num="1">
            <w:col w:w="10040"/>
          </w:cols>
          <w:pgMar w:left="920" w:top="664" w:right="920" w:bottom="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880" w:h="15480" w:orient="portrait"/>
          <w:cols w:equalWidth="0" w:num="1">
            <w:col w:w="10040"/>
          </w:cols>
          <w:pgMar w:left="920" w:top="664" w:right="920" w:bottom="0" w:gutter="0" w:footer="0" w:header="0"/>
          <w:type w:val="continuous"/>
        </w:sectPr>
      </w:pPr>
    </w:p>
    <w:bookmarkStart w:id="31" w:name="page32"/>
    <w:bookmarkEnd w:id="31"/>
    <w:p>
      <w:pPr>
        <w:jc w:val="both"/>
        <w:spacing w:after="0" w:line="284" w:lineRule="auto"/>
        <w:rPr>
          <w:sz w:val="20"/>
          <w:szCs w:val="20"/>
          <w:color w:val="auto"/>
        </w:rPr>
      </w:pPr>
      <w:r>
        <w:rPr>
          <w:rFonts w:ascii="Arial" w:cs="Arial" w:eastAsia="Arial" w:hAnsi="Arial"/>
          <w:sz w:val="20"/>
          <w:szCs w:val="20"/>
          <w:color w:val="auto"/>
        </w:rPr>
        <w:t>Any failure by LivaNova to make required payments in respect of its indebtedness (after any applicable grace period) would constitute an event of default in respect of such indebtedness.</w:t>
      </w:r>
    </w:p>
    <w:p>
      <w:pPr>
        <w:spacing w:after="0" w:line="6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In addition, LivaNova’s indebtedness, including under the 2025 Notes and 2029 Notes, combined with the Company’s other financial obligations and contractual commitments, including those under LivaNova’s revolving credit facility or term facilities, could have other important consequences. For example, it could:</w:t>
      </w:r>
    </w:p>
    <w:p>
      <w:pPr>
        <w:spacing w:after="0" w:line="107" w:lineRule="exact"/>
        <w:rPr>
          <w:sz w:val="20"/>
          <w:szCs w:val="20"/>
          <w:color w:val="auto"/>
        </w:rPr>
      </w:pPr>
    </w:p>
    <w:p>
      <w:pPr>
        <w:ind w:left="700" w:hanging="355"/>
        <w:spacing w:after="0" w:line="261" w:lineRule="auto"/>
        <w:tabs>
          <w:tab w:leader="none" w:pos="700" w:val="left"/>
        </w:tabs>
        <w:numPr>
          <w:ilvl w:val="0"/>
          <w:numId w:val="3"/>
        </w:numPr>
        <w:rPr>
          <w:rFonts w:ascii="Arial" w:cs="Arial" w:eastAsia="Arial" w:hAnsi="Arial"/>
          <w:sz w:val="24"/>
          <w:szCs w:val="24"/>
          <w:color w:val="auto"/>
        </w:rPr>
      </w:pPr>
      <w:r>
        <w:rPr>
          <w:rFonts w:ascii="Arial" w:cs="Arial" w:eastAsia="Arial" w:hAnsi="Arial"/>
          <w:sz w:val="20"/>
          <w:szCs w:val="20"/>
          <w:color w:val="auto"/>
        </w:rPr>
        <w:t>Make LivaNova more vulnerable to adverse changes in government regulations and in the global economy, healthcare, and competitive environment;</w:t>
      </w:r>
    </w:p>
    <w:p>
      <w:pPr>
        <w:spacing w:after="0" w:line="37" w:lineRule="exact"/>
        <w:rPr>
          <w:rFonts w:ascii="Arial" w:cs="Arial" w:eastAsia="Arial" w:hAnsi="Arial"/>
          <w:sz w:val="24"/>
          <w:szCs w:val="24"/>
          <w:color w:val="auto"/>
        </w:rPr>
      </w:pPr>
    </w:p>
    <w:p>
      <w:pPr>
        <w:ind w:left="700" w:hanging="355"/>
        <w:spacing w:after="0"/>
        <w:tabs>
          <w:tab w:leader="none" w:pos="700" w:val="left"/>
        </w:tabs>
        <w:numPr>
          <w:ilvl w:val="0"/>
          <w:numId w:val="3"/>
        </w:numPr>
        <w:rPr>
          <w:rFonts w:ascii="Arial" w:cs="Arial" w:eastAsia="Arial" w:hAnsi="Arial"/>
          <w:sz w:val="22"/>
          <w:szCs w:val="22"/>
          <w:color w:val="auto"/>
        </w:rPr>
      </w:pPr>
      <w:r>
        <w:rPr>
          <w:rFonts w:ascii="Arial" w:cs="Arial" w:eastAsia="Arial" w:hAnsi="Arial"/>
          <w:sz w:val="19"/>
          <w:szCs w:val="19"/>
          <w:color w:val="auto"/>
        </w:rPr>
        <w:t>Limit the Company’s flexibility in planning for, or reacting to, changes in LivaNova’s business and its markets;</w:t>
      </w:r>
    </w:p>
    <w:p>
      <w:pPr>
        <w:spacing w:after="0" w:line="22" w:lineRule="exact"/>
        <w:rPr>
          <w:rFonts w:ascii="Arial" w:cs="Arial" w:eastAsia="Arial" w:hAnsi="Arial"/>
          <w:sz w:val="22"/>
          <w:szCs w:val="22"/>
          <w:color w:val="auto"/>
        </w:rPr>
      </w:pPr>
    </w:p>
    <w:p>
      <w:pPr>
        <w:ind w:left="700" w:hanging="355"/>
        <w:spacing w:after="0"/>
        <w:tabs>
          <w:tab w:leader="none" w:pos="700" w:val="left"/>
        </w:tabs>
        <w:numPr>
          <w:ilvl w:val="0"/>
          <w:numId w:val="3"/>
        </w:numPr>
        <w:rPr>
          <w:rFonts w:ascii="Arial" w:cs="Arial" w:eastAsia="Arial" w:hAnsi="Arial"/>
          <w:sz w:val="24"/>
          <w:szCs w:val="24"/>
          <w:color w:val="auto"/>
        </w:rPr>
      </w:pPr>
      <w:r>
        <w:rPr>
          <w:rFonts w:ascii="Arial" w:cs="Arial" w:eastAsia="Arial" w:hAnsi="Arial"/>
          <w:sz w:val="20"/>
          <w:szCs w:val="20"/>
          <w:color w:val="auto"/>
        </w:rPr>
        <w:t>Place the Company at a disadvantage compared to LivaNova’s competitors who have less debt;</w:t>
      </w:r>
    </w:p>
    <w:p>
      <w:pPr>
        <w:spacing w:after="0" w:line="36" w:lineRule="exact"/>
        <w:rPr>
          <w:rFonts w:ascii="Arial" w:cs="Arial" w:eastAsia="Arial" w:hAnsi="Arial"/>
          <w:sz w:val="24"/>
          <w:szCs w:val="24"/>
          <w:color w:val="auto"/>
        </w:rPr>
      </w:pPr>
    </w:p>
    <w:p>
      <w:pPr>
        <w:ind w:left="700" w:hanging="355"/>
        <w:spacing w:after="0" w:line="261" w:lineRule="auto"/>
        <w:tabs>
          <w:tab w:leader="none" w:pos="700" w:val="left"/>
        </w:tabs>
        <w:numPr>
          <w:ilvl w:val="0"/>
          <w:numId w:val="3"/>
        </w:numPr>
        <w:rPr>
          <w:rFonts w:ascii="Arial" w:cs="Arial" w:eastAsia="Arial" w:hAnsi="Arial"/>
          <w:sz w:val="24"/>
          <w:szCs w:val="24"/>
          <w:color w:val="auto"/>
        </w:rPr>
      </w:pPr>
      <w:r>
        <w:rPr>
          <w:rFonts w:ascii="Arial" w:cs="Arial" w:eastAsia="Arial" w:hAnsi="Arial"/>
          <w:sz w:val="20"/>
          <w:szCs w:val="20"/>
          <w:color w:val="auto"/>
        </w:rPr>
        <w:t>Limit LivaNova’s ability to borrow additional amounts for working capital, to fund acquisitions, and for other general corporate purposes; and</w:t>
      </w:r>
    </w:p>
    <w:p>
      <w:pPr>
        <w:spacing w:after="0" w:line="19" w:lineRule="exact"/>
        <w:rPr>
          <w:rFonts w:ascii="Arial" w:cs="Arial" w:eastAsia="Arial" w:hAnsi="Arial"/>
          <w:sz w:val="24"/>
          <w:szCs w:val="24"/>
          <w:color w:val="auto"/>
        </w:rPr>
      </w:pPr>
    </w:p>
    <w:p>
      <w:pPr>
        <w:ind w:left="700" w:hanging="355"/>
        <w:spacing w:after="0"/>
        <w:tabs>
          <w:tab w:leader="none" w:pos="700" w:val="left"/>
        </w:tabs>
        <w:numPr>
          <w:ilvl w:val="0"/>
          <w:numId w:val="3"/>
        </w:numPr>
        <w:rPr>
          <w:rFonts w:ascii="Arial" w:cs="Arial" w:eastAsia="Arial" w:hAnsi="Arial"/>
          <w:sz w:val="24"/>
          <w:szCs w:val="24"/>
          <w:color w:val="auto"/>
        </w:rPr>
      </w:pPr>
      <w:r>
        <w:rPr>
          <w:rFonts w:ascii="Arial" w:cs="Arial" w:eastAsia="Arial" w:hAnsi="Arial"/>
          <w:sz w:val="20"/>
          <w:szCs w:val="20"/>
          <w:color w:val="auto"/>
        </w:rPr>
        <w:t>Make a sale of the Company less attractive to buyers or more difficult to complete.</w:t>
      </w:r>
    </w:p>
    <w:p>
      <w:pPr>
        <w:spacing w:after="0" w:line="127" w:lineRule="exact"/>
        <w:rPr>
          <w:sz w:val="20"/>
          <w:szCs w:val="20"/>
          <w:color w:val="auto"/>
        </w:rPr>
      </w:pPr>
    </w:p>
    <w:p>
      <w:pPr>
        <w:jc w:val="both"/>
        <w:spacing w:after="0" w:line="316" w:lineRule="auto"/>
        <w:rPr>
          <w:sz w:val="20"/>
          <w:szCs w:val="20"/>
          <w:color w:val="auto"/>
        </w:rPr>
      </w:pPr>
      <w:r>
        <w:rPr>
          <w:rFonts w:ascii="Arial" w:cs="Arial" w:eastAsia="Arial" w:hAnsi="Arial"/>
          <w:sz w:val="17"/>
          <w:szCs w:val="17"/>
          <w:color w:val="auto"/>
        </w:rPr>
        <w:t>Any of these factors could harm LivaNova’s business, results of operations, cash flows, and financial condition. In addition, if LivaNova incurs additional indebtedness under the revolving credit facility or term facilities, the risks related to LivaNova’s business and its ability to repay the Company’s indebtedness, including under the 2025 Notes and 2029 Notes, would increase. For additional information, please refer to “Part II, Item 7. Management’s Discussion and Analysis of Financial Condition and Results of Operations” of this Report under the section entitled “Liquidity and Capital Resources” and “Note 9. Financing Arrangements” in LivaNova’s consolidated financial statements included in this Report.</w:t>
      </w:r>
    </w:p>
    <w:p>
      <w:pPr>
        <w:spacing w:after="0" w:line="35" w:lineRule="exact"/>
        <w:rPr>
          <w:sz w:val="20"/>
          <w:szCs w:val="20"/>
          <w:color w:val="auto"/>
        </w:rPr>
      </w:pPr>
    </w:p>
    <w:p>
      <w:pPr>
        <w:jc w:val="both"/>
        <w:spacing w:after="0" w:line="289" w:lineRule="auto"/>
        <w:rPr>
          <w:sz w:val="20"/>
          <w:szCs w:val="20"/>
          <w:color w:val="auto"/>
        </w:rPr>
      </w:pPr>
      <w:r>
        <w:rPr>
          <w:rFonts w:ascii="Arial" w:cs="Arial" w:eastAsia="Arial" w:hAnsi="Arial"/>
          <w:sz w:val="20"/>
          <w:szCs w:val="20"/>
          <w:b w:val="1"/>
          <w:bCs w:val="1"/>
          <w:i w:val="1"/>
          <w:iCs w:val="1"/>
          <w:color w:val="auto"/>
        </w:rPr>
        <w:t>The conditional exchange or conversion features of the 2025 Notes and 2029 Notes, as applicable, if triggered, may adversely affect LivaNova’s liquidity and operating results.</w:t>
      </w:r>
    </w:p>
    <w:p>
      <w:pPr>
        <w:spacing w:after="0" w:line="62"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If the conditional exchange feature of the 2025 Notes is triggered, holders are entitled to exchange the 2025 Notes at any time during specified periods, at their option, and if the conditional conversion feature of the 2029 Notes is triggered, holders are entitled to convert the 2029 Notes at any time during specified periods, at their option. For example, holders are entitled to exchange 2025 Notes or convert 2029 Notes during a given calendar quarter if the closing price of LivaNova’s ordinary shares for at least 20 trading days (whether or not consecutive) during the last 30 consecutive trading days of the immediately preceding calendar quarter was greater than or equal to a set dollar amount ($79.27 per share in the case of the 2025 Notes and $90.22 in the case of the 2029 Notes, subject to adjustment). Neither the exchange condition for the 2025 Notes nor the conversion condition for the 2029 Notes was satisfied on December 31, 2024, and therefore, the Notes will not be exchangeable or convertible pursuant to this condition from January 1, 2025, through March 31, 2025. On or after September 15, 2025, holders may exchange 2025 Notes at their option, and on or after December 15, 2028, holders may convert 2029 Notes at their option, in each case without regard to additional conditions. If holders exchange 2025 Notes during any future period in which such exchange is permitted, LivaNova would be required to settle its exchange obligation through the payment of cash, and if holders convert 2029 Notes during any future period in which such conversion is permitted, LivaNova would be required to pay cash up to the aggregate principal amount of the 2029 Notes to be converted and may elect to settle the remainder of the conversion obligation in cash, shares, or a combination of the two. Any such cash payments upon exchange or conversion could adversely affect the Company’s liquidity.</w:t>
      </w:r>
    </w:p>
    <w:p>
      <w:pPr>
        <w:spacing w:after="0" w:line="291" w:lineRule="exact"/>
        <w:rPr>
          <w:sz w:val="20"/>
          <w:szCs w:val="20"/>
          <w:color w:val="auto"/>
        </w:rPr>
      </w:pPr>
    </w:p>
    <w:p>
      <w:pPr>
        <w:jc w:val="both"/>
        <w:spacing w:after="0" w:line="370" w:lineRule="auto"/>
        <w:rPr>
          <w:sz w:val="20"/>
          <w:szCs w:val="20"/>
          <w:color w:val="auto"/>
        </w:rPr>
      </w:pPr>
      <w:r>
        <w:rPr>
          <w:rFonts w:ascii="Arial" w:cs="Arial" w:eastAsia="Arial" w:hAnsi="Arial"/>
          <w:sz w:val="16"/>
          <w:szCs w:val="16"/>
          <w:b w:val="1"/>
          <w:bCs w:val="1"/>
          <w:i w:val="1"/>
          <w:iCs w:val="1"/>
          <w:color w:val="auto"/>
        </w:rPr>
        <w:t>The effective interest rate and related interest expense reported in LivaNova’s consolidated financial statement of operations is significantly greater than the stated interest rate of the 2025 Notes and 2029 Notes and may result in volatility to the Company’s reported financial results, which could adversely affect the price at which LivaNova’s ordinary shares trade.</w:t>
      </w:r>
    </w:p>
    <w:p>
      <w:pPr>
        <w:spacing w:after="0" w:line="10"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LivaNova will settle exchanges of the 2025 Notes entirely in cash. Additionally, upon conversion of the 2029 Notes, LivaNova will pay cash up to the aggregate principal amount of the 2029 Notes to be converted and pay or deliver, as the case may be, cash, LivaNova’s ordinary shares, or a combination of cash and LivaNova’s ordinary shares, at LivaNova’s election, in respect of the remainder, if any, of LivaNova’s conversion obligation in excess of the aggregate principal amount of the 2029 Notes being converted. Accordingly, the exchange or conversion feature, as applicable, that is part of the 2025 Notes and 2029 Notes is accounted for as a derivative pursuant to accounting standards relating to derivative instruments. This resulted in an initial accounting valuation of the exchange or conversion feature, as applicable, which was bifurcated from the debt component of the 2025 Notes and 2029 Notes, resulting in an original issue discount. The original issue discount is amortized and recognized as a component of interest expense over the term of the 2025 Notes and 2029 Notes, which results in an effective interest rate reported in LivaNova’s consolidated statements of income (loss) in excess of the stated interest rate of the 2025 Notes and 2029 Notes. Although this accounting treatment does not affect the amount of cash interest paid to holders of the 2025 Notes and 2029 Notes or LivaNova’s cash flows, it reduces the Company’s earnings and could adversely affect the price at which its ordinary shares trade.</w:t>
      </w:r>
    </w:p>
    <w:p>
      <w:pPr>
        <w:sectPr>
          <w:pgSz w:w="11880" w:h="15480" w:orient="portrait"/>
          <w:cols w:equalWidth="0" w:num="1">
            <w:col w:w="10040"/>
          </w:cols>
          <w:pgMar w:left="920" w:top="664" w:right="920" w:bottom="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880" w:h="15480" w:orient="portrait"/>
          <w:cols w:equalWidth="0" w:num="1">
            <w:col w:w="10040"/>
          </w:cols>
          <w:pgMar w:left="920" w:top="664" w:right="920" w:bottom="0" w:gutter="0" w:footer="0" w:header="0"/>
          <w:type w:val="continuous"/>
        </w:sectPr>
      </w:pPr>
    </w:p>
    <w:bookmarkStart w:id="32" w:name="page33"/>
    <w:bookmarkEnd w:id="32"/>
    <w:p>
      <w:pPr>
        <w:jc w:val="both"/>
        <w:spacing w:after="0" w:line="307" w:lineRule="auto"/>
        <w:rPr>
          <w:sz w:val="20"/>
          <w:szCs w:val="20"/>
          <w:color w:val="auto"/>
        </w:rPr>
      </w:pPr>
      <w:r>
        <w:rPr>
          <w:rFonts w:ascii="Arial" w:cs="Arial" w:eastAsia="Arial" w:hAnsi="Arial"/>
          <w:sz w:val="17"/>
          <w:szCs w:val="17"/>
          <w:color w:val="auto"/>
        </w:rPr>
        <w:t>Additionally, for each financial statement period after issuance of the 2025 Notes and 2029 Notes, a derivative gain or loss is and will be reported in LivaNova’s consolidated statements of income (loss) to the extent the valuations of the exchange feature and conversion feature, as applicable, change from the previous period. The 2025 Capped Calls and 2029 Capped Calls described below and elsewhere in this Report are also accounted for as derivative instruments. The valuation of the exchange feature of the 2025 Notes and 2025 Capped Calls utilizes significant observable and unobservable market inputs, including stock price, stock price volatility, risk-free interest rate, and time to expiration of the 2025 Notes. The valuation of the conversion feature of the 2029 Notes and 2029 Capped Calls similarly utilizes significant observable and unobservable market inputs, including stock price, expected volatility, risk-free interest rate, expected dividend yield, and time to expiration of the 2029 Notes. The change in input values at the current period-end compared to the previous period-end may result in a material change in the respective valuations and the gain or loss resulting from the exchange feature of the 2025 Notes and 2025 Capped Calls and the conversion feature of the 2029 Notes and 2029 Capped Calls, as applicable, and may not completely offset each other. As such, there may be a material net impact on LivaNova’s consolidated statements of income (loss), which could adversely affect the price at which its ordinary shares trade.</w:t>
      </w:r>
    </w:p>
    <w:p>
      <w:pPr>
        <w:spacing w:after="0" w:line="294" w:lineRule="exact"/>
        <w:rPr>
          <w:sz w:val="20"/>
          <w:szCs w:val="20"/>
          <w:color w:val="auto"/>
        </w:rPr>
      </w:pPr>
    </w:p>
    <w:p>
      <w:pPr>
        <w:jc w:val="both"/>
        <w:spacing w:after="0" w:line="377" w:lineRule="auto"/>
        <w:rPr>
          <w:sz w:val="20"/>
          <w:szCs w:val="20"/>
          <w:color w:val="auto"/>
        </w:rPr>
      </w:pPr>
      <w:r>
        <w:rPr>
          <w:rFonts w:ascii="Arial" w:cs="Arial" w:eastAsia="Arial" w:hAnsi="Arial"/>
          <w:sz w:val="17"/>
          <w:szCs w:val="17"/>
          <w:b w:val="1"/>
          <w:bCs w:val="1"/>
          <w:i w:val="1"/>
          <w:iCs w:val="1"/>
          <w:color w:val="auto"/>
        </w:rPr>
        <w:t>The arbitrage or hedging strategy by purchasers of the 2025 Notes and 2029 Notes and Option Counterparties in connection with LivaNova’s 2025 Capped Calls and 2029 Capped Calls may affect the value of LivaNova’s ordinary shares.</w:t>
      </w:r>
    </w:p>
    <w:p>
      <w:pPr>
        <w:spacing w:after="0" w:line="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LivaNova expects that many investors in, and potential purchasers of, the 2025 Notes and 2029 Notes will employ, or seek to employ, an arbitrage strategy with respect to the 2025 Notes and 2029 Notes. Investors would typically implement such a strategy by selling short LivaNova’s ordinary shares underlying the 2025 Notes and 2029 Notes and dynamically adjusting their short position while continuing to hold the 2025 Notes and 2029 Notes. Investors may also implement this type of strategy by entering into swaps or options on LivaNova’s ordinary shares in lieu of or in addition to selling short LivaNova’s ordinary shares. This activity could decrease, or reduce the size of any increase in, the market price of LivaNova’s ordinary shares at that time.</w:t>
      </w:r>
    </w:p>
    <w:p>
      <w:pPr>
        <w:spacing w:after="0" w:line="89" w:lineRule="exact"/>
        <w:rPr>
          <w:sz w:val="20"/>
          <w:szCs w:val="20"/>
          <w:color w:val="auto"/>
        </w:rPr>
      </w:pPr>
    </w:p>
    <w:p>
      <w:pPr>
        <w:jc w:val="both"/>
        <w:spacing w:after="0" w:line="305" w:lineRule="auto"/>
        <w:rPr>
          <w:sz w:val="20"/>
          <w:szCs w:val="20"/>
          <w:color w:val="auto"/>
        </w:rPr>
      </w:pPr>
      <w:r>
        <w:rPr>
          <w:rFonts w:ascii="Arial" w:cs="Arial" w:eastAsia="Arial" w:hAnsi="Arial"/>
          <w:sz w:val="17"/>
          <w:szCs w:val="17"/>
          <w:color w:val="auto"/>
        </w:rPr>
        <w:t>In connection with the pricing of the 2025 Notes and 2029 Notes, LivaNova entered into the 2025 Capped Calls and 2029 Capped Calls, respectively. The 2025 Capped Calls and 2029 Capped Calls are expected generally to compensate (through the payment of cash to LivaNova) for potential dilution to LivaNova’s ordinary shares and to offset cash payments due upon exchange of the 2025 Notes or conversion of the 2029 Notes, as applicable, in excess of the principal amount thereof in the event that the market price per ordinary share of LivaNova at the time of exchange of the 2025 Notes or conversion of the 2029 Notes, respectively, is greater than the strike price under the 2025 Capped Calls or 2029 Capped Calls, respectively, with such offset subject to a cap based on the respective cap prices of the 2025 Capped Calls and 2029 Capped Calls. It is LivaNova’s understanding that the Option Counterparties, or their respective affiliates, in connection with establishing their initial hedges of the 2025 Capped Calls and/or 2029 Capped Calls, purchased LivaNova’s ordinary shares and/or entered into various derivative transactions with respect to LivaNova’s ordinary shares concurrently with or shortly after the pricing of the 2025 Notes and/or 2029 Notes, as applicable. The Option Counterparties or their respective affiliates may modify these initial hedge positions by entering into or unwinding various transactions with respect to LivaNova’s ordinary shares and/or purchasing or selling its ordinary shares or other of LivaNova’s securities in secondary market transactions prior to the maturity of the 2025 Notes and/ or 2029 Notes, as applicable (and are likely to do so during any observation period related to an exchange of the 2025 Notes or conversion of the 2029 Notes, as applicable, or upon a repurchase or redemption of the 2025 Notes or the 2029 Notes, as applicable, by LivaNova, if LivaNova unwinds a corresponding portion of the 2025 Capped Calls or 2029 Capped Calls, as applicable). This activity could cause or avoid an increase or a decrease in the market price of LivaNova’s ordinary shares, the 2025 Notes, or the 2029 Notes at that time.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LivaNova is subject to counterparty risk with respect to the 2025 Capped Calls and 2029 Capped Calls.</w:t>
      </w:r>
    </w:p>
    <w:p>
      <w:pPr>
        <w:spacing w:after="0" w:line="14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Option Counterparties are financial institutions, and LivaNova is subject to the risk that they might default under the 2025 Capped Calls and 2029 Capped Calls. LivaNova’s exposure to the credit risk of the Option Counterparties is not secured by any collateral.</w:t>
      </w:r>
    </w:p>
    <w:p>
      <w:pPr>
        <w:spacing w:after="0" w:line="79"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If an Option Counterparty becomes subject to insolvency proceedings, LivaNova will become an unsecured creditor in those proceedings, with a claim equal to the Company’s exposure to that Option Counterparty at that time under the 2025 Capped Calls and/or 2029 Capped Calls. LivaNova’s exposure will depend on many factors, but, generally, an increase in the Company’s exposure will be correlated to an increase in the market price and in the volatility of its ordinary shares. In addition, upon a default by an Option Counterparty, LivaNova may suffer adverse tax consequences and may, on a net basis, have to pay more cash than the Company currently anticipates to settle exchanges of the 2025 Notes, and to pay more cash or suffer more dilution than the Company currently anticipates with respect to its ordinary shares upon conversions of the 2029 Notes, the effect of which would likely not be compensated for by the Company. LivaNova can provide no assurances as to the financial stability or viability of the Option Counterparties.</w:t>
      </w:r>
    </w:p>
    <w:p>
      <w:pPr>
        <w:sectPr>
          <w:pgSz w:w="11880" w:h="15480" w:orient="portrait"/>
          <w:cols w:equalWidth="0" w:num="1">
            <w:col w:w="10040"/>
          </w:cols>
          <w:pgMar w:left="920" w:top="664" w:right="920" w:bottom="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880" w:h="15480" w:orient="portrait"/>
          <w:cols w:equalWidth="0" w:num="1">
            <w:col w:w="10040"/>
          </w:cols>
          <w:pgMar w:left="920" w:top="664" w:right="920" w:bottom="0" w:gutter="0" w:footer="0" w:header="0"/>
          <w:type w:val="continuous"/>
        </w:sectPr>
      </w:pPr>
    </w:p>
    <w:bookmarkStart w:id="33" w:name="page34"/>
    <w:bookmarkEnd w:id="33"/>
    <w:p>
      <w:pPr>
        <w:spacing w:after="0"/>
        <w:rPr>
          <w:sz w:val="20"/>
          <w:szCs w:val="20"/>
          <w:color w:val="auto"/>
        </w:rPr>
      </w:pPr>
      <w:r>
        <w:rPr>
          <w:rFonts w:ascii="Arial" w:cs="Arial" w:eastAsia="Arial" w:hAnsi="Arial"/>
          <w:sz w:val="22"/>
          <w:szCs w:val="22"/>
          <w:b w:val="1"/>
          <w:bCs w:val="1"/>
          <w:color w:val="auto"/>
        </w:rPr>
        <w:t>Risks Relating to Tax and LivaNova’s Jurisdiction of Incorporation</w:t>
      </w:r>
    </w:p>
    <w:p>
      <w:pPr>
        <w:spacing w:after="0" w:line="140" w:lineRule="exact"/>
        <w:rPr>
          <w:sz w:val="20"/>
          <w:szCs w:val="20"/>
          <w:color w:val="auto"/>
        </w:rPr>
      </w:pPr>
    </w:p>
    <w:p>
      <w:pPr>
        <w:jc w:val="both"/>
        <w:spacing w:after="0" w:line="289" w:lineRule="auto"/>
        <w:rPr>
          <w:sz w:val="20"/>
          <w:szCs w:val="20"/>
          <w:color w:val="auto"/>
        </w:rPr>
      </w:pPr>
      <w:r>
        <w:rPr>
          <w:rFonts w:ascii="Arial" w:cs="Arial" w:eastAsia="Arial" w:hAnsi="Arial"/>
          <w:sz w:val="20"/>
          <w:szCs w:val="20"/>
          <w:b w:val="1"/>
          <w:bCs w:val="1"/>
          <w:i w:val="1"/>
          <w:iCs w:val="1"/>
          <w:color w:val="auto"/>
        </w:rPr>
        <w:t>LivaNova is incorporated in England and Wales and governed by their laws, which may afford less protection to shareholders than under U.S. laws.</w:t>
      </w:r>
    </w:p>
    <w:p>
      <w:pPr>
        <w:spacing w:after="0" w:line="62"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LivaNova is a public limited company incorporated under the laws of England and Wales, and as such, the Company’s shareholders may have more difficulty protecting their interests than would shareholders of a corporation incorporated in a jurisdiction of the U.S. It may be difficult to enforce court judgments obtained in the U.S. and based on the civil liability provisions of U.S. federal or state securities laws against LivaNova in the UK. In addition, there is also some uncertainty as to whether the UK courts would recognize or enforce judgments of U.S. courts obtained against LivaNova or any of its directors or officers.</w:t>
      </w:r>
    </w:p>
    <w:p>
      <w:pPr>
        <w:spacing w:after="0" w:line="79" w:lineRule="exact"/>
        <w:rPr>
          <w:sz w:val="20"/>
          <w:szCs w:val="20"/>
          <w:color w:val="auto"/>
        </w:rPr>
      </w:pPr>
    </w:p>
    <w:p>
      <w:pPr>
        <w:jc w:val="both"/>
        <w:spacing w:after="0" w:line="289" w:lineRule="auto"/>
        <w:rPr>
          <w:sz w:val="20"/>
          <w:szCs w:val="20"/>
          <w:color w:val="auto"/>
        </w:rPr>
      </w:pPr>
      <w:r>
        <w:rPr>
          <w:rFonts w:ascii="Arial" w:cs="Arial" w:eastAsia="Arial" w:hAnsi="Arial"/>
          <w:sz w:val="20"/>
          <w:szCs w:val="20"/>
          <w:b w:val="1"/>
          <w:bCs w:val="1"/>
          <w:i w:val="1"/>
          <w:iCs w:val="1"/>
          <w:color w:val="auto"/>
        </w:rPr>
        <w:t>Changes in tax laws or exposure to additional income tax liabilities could have a material impact on LivaNova’s results of operations and financial condition.</w:t>
      </w:r>
    </w:p>
    <w:p>
      <w:pPr>
        <w:spacing w:after="0" w:line="62"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LivaNova is subject to income taxes as well as non-income-based taxes in the U.S., the UK, the EU, and various other jurisdictions. Any material change in tax laws, regulations, or policies, or their interpretation and enforcement, including with respect to the OECD’s Pillar Two global minimum tax rules applicable to multinational groups with global revenue over €750 million, could result in a higher effective tax rate and have a material impact on LivaNova’s consolidated statements of income (loss) or financial condition.</w:t>
      </w:r>
    </w:p>
    <w:p>
      <w:pPr>
        <w:spacing w:after="0" w:line="87" w:lineRule="exact"/>
        <w:rPr>
          <w:sz w:val="20"/>
          <w:szCs w:val="20"/>
          <w:color w:val="auto"/>
        </w:rPr>
      </w:pPr>
    </w:p>
    <w:p>
      <w:pPr>
        <w:jc w:val="both"/>
        <w:spacing w:after="0" w:line="309" w:lineRule="auto"/>
        <w:rPr>
          <w:sz w:val="20"/>
          <w:szCs w:val="20"/>
          <w:color w:val="auto"/>
        </w:rPr>
      </w:pPr>
      <w:r>
        <w:rPr>
          <w:rFonts w:ascii="Arial" w:cs="Arial" w:eastAsia="Arial" w:hAnsi="Arial"/>
          <w:sz w:val="17"/>
          <w:szCs w:val="17"/>
          <w:color w:val="auto"/>
        </w:rPr>
        <w:t>LivaNova continues to monitor the adoption of Pillar Two by the taxing jurisdictions in which it operates. The UK has enacted legislation providing for a minimum effective tax rate of 15% through a multinational top-up tax and a domestic top-up tax for accounting periods beginning on or after December 31, 2023. UK legislation has also been enacted for an undertaxed profits rule for accounting periods beginning on or after December 31, 2024. A UTPR would be a backstop rule intended to ensure that amounts of multinational top-up tax that are not collected under foreign global minimum tax rules can in certain circumstances be collected instead in the UK. LivaNova will continue to monitor legislative developments and related guidance in the UK and other jurisdictions that may impact LivaNova’s operations. Any material changes in tax laws, regulations, or policies, or their interpretation and enforcement, including with respect to Pillar Two, could result in a higher effective tax rate for LivaNova, and have a material impact on its consolidated statements of income (loss) or financial condition. The content of any future legislation, the timing of additional guidance, and the reporting periods that may be impacted cannot be determined at this time.</w:t>
      </w:r>
    </w:p>
    <w:p>
      <w:pPr>
        <w:spacing w:after="0" w:line="51"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LivaNova’s actual effective tax rate may vary from its expectations or from historical trends and that variance may be material. LivaNova’s effective tax rates could be affected by changes in the mix of earnings in countries with differing statutory tax rates, changes in the valuation of deferred tax assets and liabilities, or changes in tax laws or their interpretation. LivaNova is also subject to ongoing tax audits in various non-U.S. jurisdictions. Tax authorities may disagree with certain positions LivaNova has taken and assess additional taxes. LivaNova believes that its accruals reflect the probable outcome of known contingencies. However, there can be no assurance that LivaNova will accurately predict the outcomes of ongoing audits, and the actual outcomes of these audits could have a material impact on LivaNova’s consolidated statements of income (loss) or financial condition.</w:t>
      </w:r>
    </w:p>
    <w:p>
      <w:pPr>
        <w:spacing w:after="0" w:line="67" w:lineRule="exact"/>
        <w:rPr>
          <w:sz w:val="20"/>
          <w:szCs w:val="20"/>
          <w:color w:val="auto"/>
        </w:rPr>
      </w:pPr>
    </w:p>
    <w:p>
      <w:pPr>
        <w:jc w:val="both"/>
        <w:spacing w:after="0" w:line="377" w:lineRule="auto"/>
        <w:rPr>
          <w:sz w:val="20"/>
          <w:szCs w:val="20"/>
          <w:color w:val="auto"/>
        </w:rPr>
      </w:pPr>
      <w:r>
        <w:rPr>
          <w:rFonts w:ascii="Arial" w:cs="Arial" w:eastAsia="Arial" w:hAnsi="Arial"/>
          <w:sz w:val="17"/>
          <w:szCs w:val="17"/>
          <w:b w:val="1"/>
          <w:bCs w:val="1"/>
          <w:i w:val="1"/>
          <w:iCs w:val="1"/>
          <w:color w:val="auto"/>
        </w:rPr>
        <w:t>As a public limited company incorporated under the laws of England and Wales, certain of LivaNova’s capital structure decisions require shareholder approval, which may limit the Company’s flexibility to manage its capital structure.</w:t>
      </w:r>
    </w:p>
    <w:p>
      <w:pPr>
        <w:spacing w:after="0" w:line="2" w:lineRule="exact"/>
        <w:rPr>
          <w:sz w:val="20"/>
          <w:szCs w:val="20"/>
          <w:color w:val="auto"/>
        </w:rPr>
      </w:pPr>
    </w:p>
    <w:p>
      <w:pPr>
        <w:jc w:val="both"/>
        <w:spacing w:after="0" w:line="311" w:lineRule="auto"/>
        <w:rPr>
          <w:sz w:val="20"/>
          <w:szCs w:val="20"/>
          <w:color w:val="auto"/>
        </w:rPr>
      </w:pPr>
      <w:r>
        <w:rPr>
          <w:rFonts w:ascii="Arial" w:cs="Arial" w:eastAsia="Arial" w:hAnsi="Arial"/>
          <w:sz w:val="17"/>
          <w:szCs w:val="17"/>
          <w:color w:val="auto"/>
        </w:rPr>
        <w:t>LivaNova is a public limited company incorporated under the laws of England and Wales. Under English law, LivaNova’s Board of Directors may only allot shares with the prior authorization of shareholders. English law also generally provides shareholders with preemptive rights when new shares are issued for cash, which rights may be surrendered by shareholders. In addition, English law generally prohibits a public limited company from repurchasing its own shares without the prior approval of shareholders. As a result, LivaNova’s shareholders must approve these authorities at an annual general meeting of shareholders. If LivaNova does not receive shareholder approval of these matters, the Company may not be able to raise any required additional capital in a timely manner or at all. In addition, LivaNova may not be able to continue to grant equity awards to its directors, officers, and employees under the relevant incentive plan.</w:t>
      </w:r>
    </w:p>
    <w:p>
      <w:pPr>
        <w:spacing w:after="0" w:line="43" w:lineRule="exact"/>
        <w:rPr>
          <w:sz w:val="20"/>
          <w:szCs w:val="20"/>
          <w:color w:val="auto"/>
        </w:rPr>
      </w:pPr>
    </w:p>
    <w:p>
      <w:pPr>
        <w:jc w:val="both"/>
        <w:spacing w:after="0" w:line="289" w:lineRule="auto"/>
        <w:rPr>
          <w:sz w:val="20"/>
          <w:szCs w:val="20"/>
          <w:color w:val="auto"/>
        </w:rPr>
      </w:pPr>
      <w:r>
        <w:rPr>
          <w:rFonts w:ascii="Arial" w:cs="Arial" w:eastAsia="Arial" w:hAnsi="Arial"/>
          <w:sz w:val="20"/>
          <w:szCs w:val="20"/>
          <w:b w:val="1"/>
          <w:bCs w:val="1"/>
          <w:i w:val="1"/>
          <w:iCs w:val="1"/>
          <w:color w:val="auto"/>
        </w:rPr>
        <w:t>Transfers of LivaNova’s shares, other than those effected by means of the transfer of book-entry interests in DTC, may be subject to UK Stamp Duty or SDRT.</w:t>
      </w:r>
    </w:p>
    <w:p>
      <w:pPr>
        <w:spacing w:after="0" w:line="62"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Transfers of LivaNova’s shares effected by means of the transfer of book-entry interests in DTC are not subject to UK stamp duty or SDRT. However, if a shareholder holds LivaNova’s shares directly rather than through DTC, any transfer of those shares could be subject to UK stamp duty or SDRT at a rate of 0.5% of the consideration paid for the transfer. In addition, certain transfers of LivaNova’s shares to depositories or into clearance services would be subject to UK stamp duty or SDRT at a rate of 1.5% of the consideration paid for the transfer, or 1.5% of the market value of the shares if there is no consideration.</w:t>
      </w:r>
    </w:p>
    <w:p>
      <w:pPr>
        <w:sectPr>
          <w:pgSz w:w="11880" w:h="15480" w:orient="portrait"/>
          <w:cols w:equalWidth="0" w:num="1">
            <w:col w:w="10040"/>
          </w:cols>
          <w:pgMar w:left="920" w:top="650" w:right="920" w:bottom="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880" w:h="15480" w:orient="portrait"/>
          <w:cols w:equalWidth="0" w:num="1">
            <w:col w:w="10040"/>
          </w:cols>
          <w:pgMar w:left="920" w:top="650" w:right="920" w:bottom="0" w:gutter="0" w:footer="0" w:header="0"/>
          <w:type w:val="continuous"/>
        </w:sectPr>
      </w:pPr>
    </w:p>
    <w:bookmarkStart w:id="34" w:name="page35"/>
    <w:bookmarkEnd w:id="34"/>
    <w:p>
      <w:pPr>
        <w:jc w:val="both"/>
        <w:spacing w:after="0" w:line="269" w:lineRule="auto"/>
        <w:rPr>
          <w:sz w:val="20"/>
          <w:szCs w:val="20"/>
          <w:color w:val="auto"/>
        </w:rPr>
      </w:pPr>
      <w:r>
        <w:rPr>
          <w:rFonts w:ascii="Arial" w:cs="Arial" w:eastAsia="Arial" w:hAnsi="Arial"/>
          <w:sz w:val="20"/>
          <w:szCs w:val="20"/>
          <w:color w:val="auto"/>
        </w:rPr>
        <w:t>The transferee generally pays the UK stamp duty or SDRT, although the position may be different in the case of a transfer to a depository or into a clearance service. The potential for UK stamp duty or SDRT could adversely affect the trading price of LivaNova’s shares.</w:t>
      </w:r>
    </w:p>
    <w:p>
      <w:pPr>
        <w:spacing w:after="0" w:line="79" w:lineRule="exact"/>
        <w:rPr>
          <w:sz w:val="20"/>
          <w:szCs w:val="20"/>
          <w:color w:val="auto"/>
        </w:rPr>
      </w:pPr>
    </w:p>
    <w:p>
      <w:pPr>
        <w:jc w:val="both"/>
        <w:spacing w:after="0" w:line="326" w:lineRule="auto"/>
        <w:rPr>
          <w:sz w:val="20"/>
          <w:szCs w:val="20"/>
          <w:color w:val="auto"/>
        </w:rPr>
      </w:pPr>
      <w:r>
        <w:rPr>
          <w:rFonts w:ascii="Arial" w:cs="Arial" w:eastAsia="Arial" w:hAnsi="Arial"/>
          <w:sz w:val="17"/>
          <w:szCs w:val="17"/>
          <w:color w:val="auto"/>
        </w:rPr>
        <w:t>If DTC determines at any time that LivaNova’s shares are not eligible for continued deposit and clearance within its facilities, LivaNova believes that its shares would not be eligible for continued listing on a U.S. securities exchange and trading in the Company’s shares would be disrupted. While LivaNova would pursue alternative arrangements to preserve the listing and maintain trading, any such disruption could have a material adverse effect on the trading price of LivaNova’s shares.</w:t>
      </w:r>
    </w:p>
    <w:p>
      <w:pPr>
        <w:spacing w:after="0" w:line="1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ITEM 1B. UNRESOLVED STAFF COMMENTS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ectPr>
          <w:pgSz w:w="11880" w:h="15480" w:orient="portrait"/>
          <w:cols w:equalWidth="0" w:num="1">
            <w:col w:w="10040"/>
          </w:cols>
          <w:pgMar w:left="920" w:top="66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880" w:h="15480" w:orient="portrait"/>
          <w:cols w:equalWidth="0" w:num="1">
            <w:col w:w="10040"/>
          </w:cols>
          <w:pgMar w:left="920" w:top="664" w:right="920" w:bottom="0" w:gutter="0" w:footer="0" w:header="0"/>
          <w:type w:val="continuous"/>
        </w:sectPr>
      </w:pPr>
    </w:p>
    <w:bookmarkStart w:id="35" w:name="page36"/>
    <w:bookmarkEnd w:id="35"/>
    <w:p>
      <w:pPr>
        <w:spacing w:after="0"/>
        <w:rPr>
          <w:sz w:val="20"/>
          <w:szCs w:val="20"/>
          <w:color w:val="auto"/>
        </w:rPr>
      </w:pPr>
      <w:r>
        <w:rPr>
          <w:rFonts w:ascii="Arial" w:cs="Arial" w:eastAsia="Arial" w:hAnsi="Arial"/>
          <w:sz w:val="24"/>
          <w:szCs w:val="24"/>
          <w:b w:val="1"/>
          <w:bCs w:val="1"/>
          <w:color w:val="auto"/>
        </w:rPr>
        <w:t>ITEM 1C. CYBERSECURITY</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Cyber Risk Management and Strategy</w:t>
      </w:r>
    </w:p>
    <w:p>
      <w:pPr>
        <w:spacing w:after="0" w:line="148"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LivaNova’s enterprise risk management process consists of risk identification, evaluation, control and monitoring, and documentation. The LivaNova Board oversees risk management within the Company, and the legal and compliance teams work in tandem to provide the framework to identify and reduce risks that may materially impact the Company’s business. As part of the enterprise risk management process, regular inquiries and discussions are held with, among others, the CISO, Chief Information Officer, Chief Privacy Officer, and their respective teams to review the cybersecurity risk landscape.</w:t>
      </w:r>
    </w:p>
    <w:p>
      <w:pPr>
        <w:spacing w:after="0" w:line="44"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LivaNova’s CISO has a Master of Science in Accountancy with a specialization in risk management, in addition to over 15 years of experience in the IT Risk Advisory sector. The CISO leads the Company’s information security team, identifies cybersecurity threats, and implements countermeasures in the cybersecurity realm, considering both internal operations and the external landscape. As part of his duties, the CISO provides relevant information in connection with regular enterprise risk assessments. The CISO also manages the Company’s ISMS program. Guided by the principles of various industry-leading standards, such as the NIST cybersecurity framework and ISO 27001, the objective of the ISMS program is to continue to strengthen LivaNova’s cyber resiliency in connection with its information technology systems.</w:t>
      </w:r>
    </w:p>
    <w:p>
      <w:pPr>
        <w:spacing w:after="0" w:line="48"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As part of LivaNova’s cyber resiliency strategy and in an effort to mitigate potential cybersecurity risks, the Company employs various measures, including employee training, systems monitoring, testing and maintenance of protective systems, and contingency plans. In addition, the CISO manages a structured cybersecurity incident response program where periodic simulation exercises are performed to prepare and train the Company’s cybersecurity incident responders. The Company deploys security tools to help bolster its defense detection capabilities, such as endpoint detection and response tools, security information and event management tools, and 24/7 monitoring. LivaNova regularly evaluates itself for appropriate business continuity and disaster recovery planning, with test scenarios that include simulations and penetration tests.</w:t>
      </w:r>
    </w:p>
    <w:p>
      <w:pPr>
        <w:spacing w:after="0" w:line="48"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In addition, LivaNova routinely engages with third-party service providers to conduct evaluations of its security controls, whether through penetration testing, security assessments, or consulting on best practices to address new challenges. The Company receives threat intelligence from industry peers, government agencies, industry-specific information sharing and analysis centers, and cybersecurity associations. The Company relies heavily on its supply chain to deliver products and services to its customers, and a cybersecurity incident at a supplier, subcontractor, or service provider could materially adversely impact the Company. The Company assesses third-party cybersecurity controls through its information security program and includes security and privacy addendums to its contracts where applicable.</w:t>
      </w:r>
    </w:p>
    <w:p>
      <w:pPr>
        <w:spacing w:after="0" w:line="74"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Historically, risks from cybersecurity threats have not materially affected the Company’s business strategy, results of operations, or financial condition. As previously disclosed, in November 2023, the Company initiated its cyber response protocol in response to a cybersecurity incident that resulted in a disruption of portions of its information technology systems. Promptly after detecting the issue and per LivaNova’s cyber response protocol, the Company began an investigation with assistance from external cybersecurity experts and coordinated with law enforcement. The Company implemented remediation measures to mitigate the impact of the incident. The Company also assessed the nature and scope of the affected data, analyzed its statutory notification obligations, and notified affected individuals and regulators as required by applicable law. The incident has been contained, and the Company’s mitigation efforts are considered complete, but any future cybersecurity event has the potential to materially affect the Company’s results of operations, cash flows, and financial condition. For further information, please refer to “Part II, Item 7. Management’s Discussion and Analysis of Financial Condition and Results of Operations” and “Note 11. Commitments and Contingencies” in LivaNova’s consolidated financial statements in this Report. Additionally, for a description of the Company’s evaluation of its disclosure controls and procedures, management’s report on internal control over financial reporting, and changes in internal control over financial reporting, see “Part II, Item 9A. Controls and Procedures.”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Cyber Governance</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On a quarterly basis, the CISO presents key security metrics to the Company’s IT Advisory Council, which is composed of functional leaders across the Company and is responsible for IT governance oversight in the Company. Specifically, this IT Advisory Council is responsible for establishing program strategies in alignment with LivaNova’s business objectives, as well as providing guidance on the implementation of appropriate and necessary security controls in alignment with the Company’s Information Security Policy. Among other things, the IT Advisory Council reviews summaries of information security incidents, audit findings, or other test reports, and ensures appropriate root-cause analyses are performed and corrective actions are taken. It also reviews year-over-year goals, security objectives, and priorities for the Company’s information security program.</w:t>
      </w:r>
    </w:p>
    <w:p>
      <w:pPr>
        <w:spacing w:after="0" w:line="92" w:lineRule="exact"/>
        <w:rPr>
          <w:sz w:val="20"/>
          <w:szCs w:val="20"/>
          <w:color w:val="auto"/>
        </w:rPr>
      </w:pPr>
    </w:p>
    <w:p>
      <w:pPr>
        <w:jc w:val="both"/>
        <w:spacing w:after="0" w:line="376" w:lineRule="auto"/>
        <w:rPr>
          <w:sz w:val="20"/>
          <w:szCs w:val="20"/>
          <w:color w:val="auto"/>
        </w:rPr>
      </w:pPr>
      <w:r>
        <w:rPr>
          <w:rFonts w:ascii="Arial" w:cs="Arial" w:eastAsia="Arial" w:hAnsi="Arial"/>
          <w:sz w:val="17"/>
          <w:szCs w:val="17"/>
          <w:color w:val="auto"/>
        </w:rPr>
        <w:t>On an annual basis, the CISO reviews the information security program achievements and reports with the Company’s IS Executive Committee, which is a cross-functional group composed of the CEO, the CFO, the CLO, and other executive leaders</w:t>
      </w:r>
    </w:p>
    <w:p>
      <w:pPr>
        <w:sectPr>
          <w:pgSz w:w="11880" w:h="15480" w:orient="portrait"/>
          <w:cols w:equalWidth="0" w:num="1">
            <w:col w:w="10040"/>
          </w:cols>
          <w:pgMar w:left="920" w:top="644" w:right="920" w:bottom="0" w:gutter="0" w:footer="0" w:header="0"/>
        </w:sect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880" w:h="15480" w:orient="portrait"/>
          <w:cols w:equalWidth="0" w:num="1">
            <w:col w:w="10040"/>
          </w:cols>
          <w:pgMar w:left="920" w:top="644" w:right="920" w:bottom="0" w:gutter="0" w:footer="0" w:header="0"/>
          <w:type w:val="continuous"/>
        </w:sectPr>
      </w:pPr>
    </w:p>
    <w:bookmarkStart w:id="36" w:name="page37"/>
    <w:bookmarkEnd w:id="36"/>
    <w:p>
      <w:pPr>
        <w:jc w:val="both"/>
        <w:spacing w:after="0" w:line="269" w:lineRule="auto"/>
        <w:rPr>
          <w:sz w:val="20"/>
          <w:szCs w:val="20"/>
          <w:color w:val="auto"/>
        </w:rPr>
      </w:pPr>
      <w:r>
        <w:rPr>
          <w:rFonts w:ascii="Arial" w:cs="Arial" w:eastAsia="Arial" w:hAnsi="Arial"/>
          <w:sz w:val="20"/>
          <w:szCs w:val="20"/>
          <w:color w:val="auto"/>
        </w:rPr>
        <w:t>of the Company. Among other things, the IS Executive Committee approves the Company’s Information Security Policy and the allocation of budget and resources to information security program initiatives, performs the annual management review of the information security program, and reviews corrective actions to improve the program.</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As codified in its charter, the Audit Committee is responsible for reviewing the processes by which cybersecurity risks are managed and reporting any issues that arise out of such reviews to the Board. The CISO provides key security metrics to the Audit Committee on a quarterly basis, and directly to the chair of the Audit Committee on a case-by-case basis, as needed, at any time during the quarter. The Audit Committee reviews these reports, which include, among other things, external events impacting the Company, cybersecurity incidents, user training statistics, and evaluations of user readiness to address cybersecurity incidents. Notwithstanding the Company’s approach to cybersecurity, the Company may not be successful in preventing or mitigating future cybersecurity incidents that could have a material adverse effect on the Company. While LivaNova maintains cybersecurity insurance, the costs related to cybersecurity threats or disruptions may not be fully insured. For more information on risks related to cybersecurity and data security, see “Item 1A. Risk Factors – Risks Relating to the Company’s Business and Operations.”</w:t>
      </w:r>
    </w:p>
    <w:p>
      <w:pPr>
        <w:spacing w:after="0" w:line="6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ITEM 2. PROPERTIES</w:t>
      </w:r>
    </w:p>
    <w:p>
      <w:pPr>
        <w:spacing w:after="0" w:line="156" w:lineRule="exact"/>
        <w:rPr>
          <w:sz w:val="20"/>
          <w:szCs w:val="20"/>
          <w:color w:val="auto"/>
        </w:rPr>
      </w:pPr>
    </w:p>
    <w:p>
      <w:pPr>
        <w:jc w:val="both"/>
        <w:spacing w:after="0" w:line="316" w:lineRule="auto"/>
        <w:rPr>
          <w:sz w:val="20"/>
          <w:szCs w:val="20"/>
          <w:color w:val="auto"/>
        </w:rPr>
      </w:pPr>
      <w:r>
        <w:rPr>
          <w:rFonts w:ascii="Arial" w:cs="Arial" w:eastAsia="Arial" w:hAnsi="Arial"/>
          <w:sz w:val="17"/>
          <w:szCs w:val="17"/>
          <w:color w:val="auto"/>
        </w:rPr>
        <w:t>LivaNova’s principal executive office is located in the UK and is leased by the Company. LivaNova’s business segments are headquartered in the U.S. for Neuromodulation and in Italy for Cardiopulmonary. LivaNova has manufacturing and research facilities located in the U.S., Italy, Germany, Australia, and Brazil. The Company’s manufacturing and research facilities are approximately 1.0 million square feet. The manufacturing and research facilities located in the U.S., Italy, and Brazil are owned by LivaNova. 45% of LivaNova’s manufacturing and research facilities by square feet are located within the U.S., 58% of LivaNova’s manufacturing and research facilities by square feet are owned by the Company, and the balance is leased.</w:t>
      </w:r>
    </w:p>
    <w:p>
      <w:pPr>
        <w:spacing w:after="0" w:line="4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LivaNova also maintains 31 primary administrative offices in 21 countries. Most of these locations are leased. LivaNova is using substantially all of the Company’s currently available productive space to develop, manufacture, and market LivaNova’s products. LivaNova believes that all of its facilities are in good operating condition, suitable for their respective uses, and adequate for current needs.</w:t>
      </w:r>
    </w:p>
    <w:p>
      <w:pPr>
        <w:spacing w:after="0" w:line="6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ITEM 3. LEGAL PROCEEDINGS</w:t>
      </w:r>
    </w:p>
    <w:p>
      <w:pPr>
        <w:spacing w:after="0" w:line="156"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Information pertaining to certain material pending legal and regulatory proceedings and settlements is incorporated herein by reference to “Note 11. Commitments and Contingencies” in LivaNova’s consolidated financial statements and accompanying notes, beginning on page F-1 of this Report, and should be considered an integral part of “Part I, Item 3. Legal Proceedings” of this Report.</w:t>
      </w:r>
    </w:p>
    <w:p>
      <w:pPr>
        <w:spacing w:after="0" w:line="6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ITEM 4. MINE SAFETY DISCLOSURES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ectPr>
          <w:pgSz w:w="11880" w:h="15480" w:orient="portrait"/>
          <w:cols w:equalWidth="0" w:num="1">
            <w:col w:w="10040"/>
          </w:cols>
          <w:pgMar w:left="920" w:top="66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880" w:h="15480" w:orient="portrait"/>
          <w:cols w:equalWidth="0" w:num="1">
            <w:col w:w="10040"/>
          </w:cols>
          <w:pgMar w:left="920" w:top="664" w:right="920" w:bottom="0" w:gutter="0" w:footer="0" w:header="0"/>
          <w:type w:val="continuous"/>
        </w:sectPr>
      </w:pPr>
    </w:p>
    <w:bookmarkStart w:id="37" w:name="page38"/>
    <w:bookmarkEnd w:id="37"/>
    <w:p>
      <w:pPr>
        <w:ind w:left="20"/>
        <w:spacing w:after="0"/>
        <w:rPr>
          <w:sz w:val="20"/>
          <w:szCs w:val="20"/>
          <w:color w:val="auto"/>
        </w:rPr>
      </w:pPr>
      <w:r>
        <w:rPr>
          <w:rFonts w:ascii="Arial" w:cs="Arial" w:eastAsia="Arial" w:hAnsi="Arial"/>
          <w:sz w:val="24"/>
          <w:szCs w:val="24"/>
          <w:b w:val="1"/>
          <w:bCs w:val="1"/>
          <w:color w:val="auto"/>
        </w:rPr>
        <w:t>PART II</w:t>
      </w:r>
    </w:p>
    <w:p>
      <w:pPr>
        <w:spacing w:after="0" w:line="136" w:lineRule="exact"/>
        <w:rPr>
          <w:sz w:val="20"/>
          <w:szCs w:val="20"/>
          <w:color w:val="auto"/>
        </w:rPr>
      </w:pPr>
    </w:p>
    <w:p>
      <w:pPr>
        <w:jc w:val="both"/>
        <w:ind w:left="20"/>
        <w:spacing w:after="0" w:line="288" w:lineRule="auto"/>
        <w:rPr>
          <w:sz w:val="20"/>
          <w:szCs w:val="20"/>
          <w:color w:val="auto"/>
        </w:rPr>
      </w:pPr>
      <w:r>
        <w:rPr>
          <w:rFonts w:ascii="Arial" w:cs="Arial" w:eastAsia="Arial" w:hAnsi="Arial"/>
          <w:sz w:val="24"/>
          <w:szCs w:val="24"/>
          <w:b w:val="1"/>
          <w:bCs w:val="1"/>
          <w:color w:val="auto"/>
        </w:rPr>
        <w:t>ITEM 5. MARKET FOR REGISTRANT’S COMMON EQUITY, RELATED STOCKHOLDER MATTERS AND ISSUER PURCHASES OF EQUITY SECURITIES</w:t>
      </w:r>
    </w:p>
    <w:p>
      <w:pPr>
        <w:spacing w:after="0" w:line="64" w:lineRule="exact"/>
        <w:rPr>
          <w:sz w:val="20"/>
          <w:szCs w:val="20"/>
          <w:color w:val="auto"/>
        </w:rPr>
      </w:pPr>
    </w:p>
    <w:p>
      <w:pPr>
        <w:ind w:left="20"/>
        <w:spacing w:after="0"/>
        <w:rPr>
          <w:sz w:val="20"/>
          <w:szCs w:val="20"/>
          <w:color w:val="auto"/>
        </w:rPr>
      </w:pPr>
      <w:r>
        <w:rPr>
          <w:rFonts w:ascii="Arial" w:cs="Arial" w:eastAsia="Arial" w:hAnsi="Arial"/>
          <w:sz w:val="20"/>
          <w:szCs w:val="20"/>
          <w:color w:val="auto"/>
        </w:rPr>
        <w:t>LivaNova’s ordinary shares are quoted on Nasdaq under the symbol “LIVN.”</w:t>
      </w:r>
    </w:p>
    <w:p>
      <w:pPr>
        <w:spacing w:after="0" w:line="133" w:lineRule="exact"/>
        <w:rPr>
          <w:sz w:val="20"/>
          <w:szCs w:val="20"/>
          <w:color w:val="auto"/>
        </w:rPr>
      </w:pPr>
    </w:p>
    <w:p>
      <w:pPr>
        <w:jc w:val="both"/>
        <w:ind w:left="20" w:right="20"/>
        <w:spacing w:after="0" w:line="269" w:lineRule="auto"/>
        <w:rPr>
          <w:sz w:val="20"/>
          <w:szCs w:val="20"/>
          <w:color w:val="auto"/>
        </w:rPr>
      </w:pPr>
      <w:r>
        <w:rPr>
          <w:rFonts w:ascii="Arial" w:cs="Arial" w:eastAsia="Arial" w:hAnsi="Arial"/>
          <w:sz w:val="20"/>
          <w:szCs w:val="20"/>
          <w:color w:val="auto"/>
        </w:rPr>
        <w:t>As of February 18, 2025, according to data provided by LivaNova’s transfer agent, there were 20 stockholders of record. A substantially greater number of holders of LivaNova’s ordinary shares are “street name” or beneficial holders, whose shares of record are held by banks, brokers, and other financial institutions.</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Dividend Policy</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20"/>
          <w:szCs w:val="20"/>
          <w:color w:val="auto"/>
        </w:rPr>
        <w:t>LivaNova currently has no intention to declare and pay dividends.</w:t>
      </w:r>
    </w:p>
    <w:p>
      <w:pPr>
        <w:spacing w:after="0" w:line="11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Issuer Purchases of Securities</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20"/>
          <w:szCs w:val="20"/>
          <w:color w:val="auto"/>
        </w:rPr>
        <w:t>None.</w:t>
      </w:r>
    </w:p>
    <w:p>
      <w:pPr>
        <w:spacing w:after="0" w:line="11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Stock Performance Graph</w:t>
      </w:r>
    </w:p>
    <w:p>
      <w:pPr>
        <w:spacing w:after="0" w:line="148" w:lineRule="exact"/>
        <w:rPr>
          <w:sz w:val="20"/>
          <w:szCs w:val="20"/>
          <w:color w:val="auto"/>
        </w:rPr>
      </w:pPr>
    </w:p>
    <w:p>
      <w:pPr>
        <w:jc w:val="both"/>
        <w:ind w:left="20" w:right="20"/>
        <w:spacing w:after="0" w:line="290" w:lineRule="auto"/>
        <w:rPr>
          <w:sz w:val="20"/>
          <w:szCs w:val="20"/>
          <w:color w:val="auto"/>
        </w:rPr>
      </w:pPr>
      <w:r>
        <w:rPr>
          <w:rFonts w:ascii="Arial" w:cs="Arial" w:eastAsia="Arial" w:hAnsi="Arial"/>
          <w:sz w:val="19"/>
          <w:szCs w:val="19"/>
          <w:color w:val="auto"/>
        </w:rPr>
        <w:t>The following graph compares LivaNova’s five-year cumulative total return with the five-year cumulative total return of the companies on the S&amp;P 500 Index and the companies on the S&amp;P Healthcare Equipment Select Industry Index. This graph assumes the investment of $100 on December 31, 2019 and the reinvestment of all dividends since that date.</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COMPARISON OF 5 YEAR CUMULATIVE TOTAL RETURN*</w:t>
      </w:r>
    </w:p>
    <w:p>
      <w:pPr>
        <w:jc w:val="center"/>
        <w:ind w:right="-59"/>
        <w:spacing w:after="0" w:line="230" w:lineRule="auto"/>
        <w:rPr>
          <w:sz w:val="20"/>
          <w:szCs w:val="20"/>
          <w:color w:val="auto"/>
        </w:rPr>
      </w:pPr>
      <w:r>
        <w:rPr>
          <w:rFonts w:ascii="Arial" w:cs="Arial" w:eastAsia="Arial" w:hAnsi="Arial"/>
          <w:sz w:val="15"/>
          <w:szCs w:val="15"/>
          <w:color w:val="auto"/>
        </w:rPr>
        <w:t>Among LivaNova Plc, the S&amp;P 500 Index,</w:t>
      </w:r>
    </w:p>
    <w:p>
      <w:pPr>
        <w:jc w:val="center"/>
        <w:ind w:right="-59"/>
        <w:spacing w:after="0"/>
        <w:rPr>
          <w:sz w:val="20"/>
          <w:szCs w:val="20"/>
          <w:color w:val="auto"/>
        </w:rPr>
      </w:pPr>
      <w:r>
        <w:rPr>
          <w:rFonts w:ascii="Arial" w:cs="Arial" w:eastAsia="Arial" w:hAnsi="Arial"/>
          <w:sz w:val="15"/>
          <w:szCs w:val="15"/>
          <w:color w:val="auto"/>
        </w:rPr>
        <w:t>and the S&amp;P 500 Healthcare Equipment Select Industry Index</w:t>
      </w:r>
    </w:p>
    <w:p>
      <w:pPr>
        <w:spacing w:after="0" w:line="116" w:lineRule="exact"/>
        <w:rPr>
          <w:sz w:val="20"/>
          <w:szCs w:val="20"/>
          <w:color w:val="auto"/>
        </w:rPr>
      </w:pPr>
    </w:p>
    <w:tbl>
      <w:tblPr>
        <w:tblLayout w:type="fixed"/>
        <w:tblInd w:w="10" w:type="dxa"/>
        <w:tblCellMar>
          <w:top w:w="0" w:type="dxa"/>
          <w:left w:w="0" w:type="dxa"/>
          <w:bottom w:w="0" w:type="dxa"/>
          <w:right w:w="0" w:type="dxa"/>
        </w:tblCellMar>
      </w:tblPr>
      <w:tr>
        <w:trPr>
          <w:trHeight w:val="122"/>
        </w:trPr>
        <w:tc>
          <w:tcPr>
            <w:tcW w:w="3420" w:type="dxa"/>
            <w:vAlign w:val="bottom"/>
            <w:vMerge w:val="restart"/>
          </w:tcPr>
          <w:p>
            <w:pPr>
              <w:jc w:val="right"/>
              <w:ind w:right="63"/>
              <w:spacing w:after="0"/>
              <w:rPr>
                <w:sz w:val="20"/>
                <w:szCs w:val="20"/>
                <w:color w:val="auto"/>
              </w:rPr>
            </w:pPr>
            <w:r>
              <w:rPr>
                <w:rFonts w:ascii="Arial" w:cs="Arial" w:eastAsia="Arial" w:hAnsi="Arial"/>
                <w:sz w:val="17"/>
                <w:szCs w:val="17"/>
                <w:color w:val="auto"/>
              </w:rPr>
              <w:t>$250</w:t>
            </w:r>
          </w:p>
        </w:tc>
        <w:tc>
          <w:tcPr>
            <w:tcW w:w="40" w:type="dxa"/>
            <w:vAlign w:val="bottom"/>
            <w:tcBorders>
              <w:bottom w:val="single" w:sz="8" w:color="898989"/>
            </w:tcBorders>
          </w:tcPr>
          <w:p>
            <w:pPr>
              <w:spacing w:after="0"/>
              <w:rPr>
                <w:sz w:val="10"/>
                <w:szCs w:val="10"/>
                <w:color w:val="auto"/>
              </w:rPr>
            </w:pPr>
          </w:p>
        </w:tc>
        <w:tc>
          <w:tcPr>
            <w:tcW w:w="1060" w:type="dxa"/>
            <w:vAlign w:val="bottom"/>
            <w:tcBorders>
              <w:bottom w:val="single" w:sz="8" w:color="898989"/>
            </w:tcBorders>
          </w:tcPr>
          <w:p>
            <w:pPr>
              <w:spacing w:after="0"/>
              <w:rPr>
                <w:sz w:val="10"/>
                <w:szCs w:val="10"/>
                <w:color w:val="auto"/>
              </w:rPr>
            </w:pPr>
          </w:p>
        </w:tc>
        <w:tc>
          <w:tcPr>
            <w:tcW w:w="20" w:type="dxa"/>
            <w:vAlign w:val="bottom"/>
            <w:tcBorders>
              <w:bottom w:val="single" w:sz="8" w:color="898989"/>
            </w:tcBorders>
          </w:tcPr>
          <w:p>
            <w:pPr>
              <w:spacing w:after="0"/>
              <w:rPr>
                <w:sz w:val="10"/>
                <w:szCs w:val="10"/>
                <w:color w:val="auto"/>
              </w:rPr>
            </w:pPr>
          </w:p>
        </w:tc>
        <w:tc>
          <w:tcPr>
            <w:tcW w:w="1080" w:type="dxa"/>
            <w:vAlign w:val="bottom"/>
            <w:tcBorders>
              <w:bottom w:val="single" w:sz="8" w:color="898989"/>
            </w:tcBorders>
          </w:tcPr>
          <w:p>
            <w:pPr>
              <w:spacing w:after="0"/>
              <w:rPr>
                <w:sz w:val="10"/>
                <w:szCs w:val="10"/>
                <w:color w:val="auto"/>
              </w:rPr>
            </w:pPr>
          </w:p>
        </w:tc>
        <w:tc>
          <w:tcPr>
            <w:tcW w:w="20" w:type="dxa"/>
            <w:vAlign w:val="bottom"/>
            <w:tcBorders>
              <w:bottom w:val="single" w:sz="8" w:color="898989"/>
            </w:tcBorders>
          </w:tcPr>
          <w:p>
            <w:pPr>
              <w:spacing w:after="0"/>
              <w:rPr>
                <w:sz w:val="10"/>
                <w:szCs w:val="10"/>
                <w:color w:val="auto"/>
              </w:rPr>
            </w:pPr>
          </w:p>
        </w:tc>
        <w:tc>
          <w:tcPr>
            <w:tcW w:w="1100" w:type="dxa"/>
            <w:vAlign w:val="bottom"/>
            <w:tcBorders>
              <w:bottom w:val="single" w:sz="8" w:color="898989"/>
            </w:tcBorders>
          </w:tcPr>
          <w:p>
            <w:pPr>
              <w:spacing w:after="0"/>
              <w:rPr>
                <w:sz w:val="10"/>
                <w:szCs w:val="10"/>
                <w:color w:val="auto"/>
              </w:rPr>
            </w:pPr>
          </w:p>
        </w:tc>
        <w:tc>
          <w:tcPr>
            <w:tcW w:w="20" w:type="dxa"/>
            <w:vAlign w:val="bottom"/>
            <w:tcBorders>
              <w:bottom w:val="single" w:sz="8" w:color="898989"/>
            </w:tcBorders>
          </w:tcPr>
          <w:p>
            <w:pPr>
              <w:spacing w:after="0"/>
              <w:rPr>
                <w:sz w:val="10"/>
                <w:szCs w:val="10"/>
                <w:color w:val="auto"/>
              </w:rPr>
            </w:pPr>
          </w:p>
        </w:tc>
        <w:tc>
          <w:tcPr>
            <w:tcW w:w="1080" w:type="dxa"/>
            <w:vAlign w:val="bottom"/>
            <w:tcBorders>
              <w:bottom w:val="single" w:sz="8" w:color="898989"/>
            </w:tcBorders>
          </w:tcPr>
          <w:p>
            <w:pPr>
              <w:spacing w:after="0"/>
              <w:rPr>
                <w:sz w:val="10"/>
                <w:szCs w:val="10"/>
                <w:color w:val="auto"/>
              </w:rPr>
            </w:pPr>
          </w:p>
        </w:tc>
        <w:tc>
          <w:tcPr>
            <w:tcW w:w="20" w:type="dxa"/>
            <w:vAlign w:val="bottom"/>
            <w:tcBorders>
              <w:bottom w:val="single" w:sz="8" w:color="898989"/>
            </w:tcBorders>
          </w:tcPr>
          <w:p>
            <w:pPr>
              <w:spacing w:after="0"/>
              <w:rPr>
                <w:sz w:val="10"/>
                <w:szCs w:val="10"/>
                <w:color w:val="auto"/>
              </w:rPr>
            </w:pPr>
          </w:p>
        </w:tc>
        <w:tc>
          <w:tcPr>
            <w:tcW w:w="1100" w:type="dxa"/>
            <w:vAlign w:val="bottom"/>
            <w:tcBorders>
              <w:bottom w:val="single" w:sz="8" w:color="898989"/>
            </w:tcBorders>
          </w:tcPr>
          <w:p>
            <w:pPr>
              <w:spacing w:after="0"/>
              <w:rPr>
                <w:sz w:val="10"/>
                <w:szCs w:val="10"/>
                <w:color w:val="auto"/>
              </w:rPr>
            </w:pPr>
          </w:p>
        </w:tc>
        <w:tc>
          <w:tcPr>
            <w:tcW w:w="20" w:type="dxa"/>
            <w:vAlign w:val="bottom"/>
            <w:tcBorders>
              <w:bottom w:val="single" w:sz="8" w:color="898989"/>
            </w:tcBorders>
          </w:tcPr>
          <w:p>
            <w:pPr>
              <w:spacing w:after="0"/>
              <w:rPr>
                <w:sz w:val="10"/>
                <w:szCs w:val="10"/>
                <w:color w:val="auto"/>
              </w:rPr>
            </w:pPr>
          </w:p>
        </w:tc>
        <w:tc>
          <w:tcPr>
            <w:tcW w:w="1080" w:type="dxa"/>
            <w:vAlign w:val="bottom"/>
            <w:tcBorders>
              <w:bottom w:val="single" w:sz="8" w:color="898989"/>
            </w:tcBorders>
          </w:tcPr>
          <w:p>
            <w:pPr>
              <w:spacing w:after="0"/>
              <w:rPr>
                <w:sz w:val="10"/>
                <w:szCs w:val="10"/>
                <w:color w:val="auto"/>
              </w:rPr>
            </w:pPr>
          </w:p>
        </w:tc>
        <w:tc>
          <w:tcPr>
            <w:tcW w:w="20" w:type="dxa"/>
            <w:vAlign w:val="bottom"/>
            <w:tcBorders>
              <w:bottom w:val="single" w:sz="8" w:color="898989"/>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4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420" w:type="dxa"/>
            <w:vAlign w:val="bottom"/>
            <w:vMerge w:val="restart"/>
          </w:tcPr>
          <w:p>
            <w:pPr>
              <w:jc w:val="right"/>
              <w:ind w:right="63"/>
              <w:spacing w:after="0"/>
              <w:rPr>
                <w:sz w:val="20"/>
                <w:szCs w:val="20"/>
                <w:color w:val="auto"/>
              </w:rPr>
            </w:pPr>
            <w:r>
              <w:rPr>
                <w:rFonts w:ascii="Arial" w:cs="Arial" w:eastAsia="Arial" w:hAnsi="Arial"/>
                <w:sz w:val="17"/>
                <w:szCs w:val="17"/>
                <w:color w:val="auto"/>
              </w:rPr>
              <w:t>$200</w:t>
            </w:r>
          </w:p>
        </w:tc>
        <w:tc>
          <w:tcPr>
            <w:tcW w:w="40" w:type="dxa"/>
            <w:vAlign w:val="bottom"/>
            <w:tcBorders>
              <w:bottom w:val="single" w:sz="8" w:color="898989"/>
            </w:tcBorders>
          </w:tcPr>
          <w:p>
            <w:pPr>
              <w:spacing w:after="0"/>
              <w:rPr>
                <w:sz w:val="16"/>
                <w:szCs w:val="16"/>
                <w:color w:val="auto"/>
              </w:rPr>
            </w:pPr>
          </w:p>
        </w:tc>
        <w:tc>
          <w:tcPr>
            <w:tcW w:w="1060" w:type="dxa"/>
            <w:vAlign w:val="bottom"/>
            <w:tcBorders>
              <w:bottom w:val="single" w:sz="8" w:color="898989"/>
            </w:tcBorders>
          </w:tcPr>
          <w:p>
            <w:pPr>
              <w:spacing w:after="0"/>
              <w:rPr>
                <w:sz w:val="16"/>
                <w:szCs w:val="16"/>
                <w:color w:val="auto"/>
              </w:rPr>
            </w:pPr>
          </w:p>
        </w:tc>
        <w:tc>
          <w:tcPr>
            <w:tcW w:w="20" w:type="dxa"/>
            <w:vAlign w:val="bottom"/>
            <w:tcBorders>
              <w:bottom w:val="single" w:sz="8" w:color="898989"/>
            </w:tcBorders>
          </w:tcPr>
          <w:p>
            <w:pPr>
              <w:spacing w:after="0"/>
              <w:rPr>
                <w:sz w:val="16"/>
                <w:szCs w:val="16"/>
                <w:color w:val="auto"/>
              </w:rPr>
            </w:pPr>
          </w:p>
        </w:tc>
        <w:tc>
          <w:tcPr>
            <w:tcW w:w="1080" w:type="dxa"/>
            <w:vAlign w:val="bottom"/>
            <w:tcBorders>
              <w:bottom w:val="single" w:sz="8" w:color="898989"/>
            </w:tcBorders>
          </w:tcPr>
          <w:p>
            <w:pPr>
              <w:spacing w:after="0"/>
              <w:rPr>
                <w:sz w:val="16"/>
                <w:szCs w:val="16"/>
                <w:color w:val="auto"/>
              </w:rPr>
            </w:pPr>
          </w:p>
        </w:tc>
        <w:tc>
          <w:tcPr>
            <w:tcW w:w="20" w:type="dxa"/>
            <w:vAlign w:val="bottom"/>
            <w:tcBorders>
              <w:bottom w:val="single" w:sz="8" w:color="898989"/>
            </w:tcBorders>
          </w:tcPr>
          <w:p>
            <w:pPr>
              <w:spacing w:after="0"/>
              <w:rPr>
                <w:sz w:val="16"/>
                <w:szCs w:val="16"/>
                <w:color w:val="auto"/>
              </w:rPr>
            </w:pPr>
          </w:p>
        </w:tc>
        <w:tc>
          <w:tcPr>
            <w:tcW w:w="1100" w:type="dxa"/>
            <w:vAlign w:val="bottom"/>
            <w:tcBorders>
              <w:bottom w:val="single" w:sz="8" w:color="898989"/>
            </w:tcBorders>
          </w:tcPr>
          <w:p>
            <w:pPr>
              <w:spacing w:after="0"/>
              <w:rPr>
                <w:sz w:val="16"/>
                <w:szCs w:val="16"/>
                <w:color w:val="auto"/>
              </w:rPr>
            </w:pPr>
          </w:p>
        </w:tc>
        <w:tc>
          <w:tcPr>
            <w:tcW w:w="20" w:type="dxa"/>
            <w:vAlign w:val="bottom"/>
            <w:tcBorders>
              <w:bottom w:val="single" w:sz="8" w:color="898989"/>
            </w:tcBorders>
          </w:tcPr>
          <w:p>
            <w:pPr>
              <w:spacing w:after="0"/>
              <w:rPr>
                <w:sz w:val="16"/>
                <w:szCs w:val="16"/>
                <w:color w:val="auto"/>
              </w:rPr>
            </w:pPr>
          </w:p>
        </w:tc>
        <w:tc>
          <w:tcPr>
            <w:tcW w:w="1080" w:type="dxa"/>
            <w:vAlign w:val="bottom"/>
            <w:tcBorders>
              <w:bottom w:val="single" w:sz="8" w:color="898989"/>
            </w:tcBorders>
          </w:tcPr>
          <w:p>
            <w:pPr>
              <w:spacing w:after="0"/>
              <w:rPr>
                <w:sz w:val="16"/>
                <w:szCs w:val="16"/>
                <w:color w:val="auto"/>
              </w:rPr>
            </w:pPr>
          </w:p>
        </w:tc>
        <w:tc>
          <w:tcPr>
            <w:tcW w:w="20" w:type="dxa"/>
            <w:vAlign w:val="bottom"/>
            <w:tcBorders>
              <w:bottom w:val="single" w:sz="8" w:color="898989"/>
            </w:tcBorders>
          </w:tcPr>
          <w:p>
            <w:pPr>
              <w:spacing w:after="0"/>
              <w:rPr>
                <w:sz w:val="16"/>
                <w:szCs w:val="16"/>
                <w:color w:val="auto"/>
              </w:rPr>
            </w:pPr>
          </w:p>
        </w:tc>
        <w:tc>
          <w:tcPr>
            <w:tcW w:w="1100" w:type="dxa"/>
            <w:vAlign w:val="bottom"/>
            <w:tcBorders>
              <w:bottom w:val="single" w:sz="8" w:color="898989"/>
            </w:tcBorders>
          </w:tcPr>
          <w:p>
            <w:pPr>
              <w:spacing w:after="0"/>
              <w:rPr>
                <w:sz w:val="16"/>
                <w:szCs w:val="16"/>
                <w:color w:val="auto"/>
              </w:rPr>
            </w:pPr>
          </w:p>
        </w:tc>
        <w:tc>
          <w:tcPr>
            <w:tcW w:w="20" w:type="dxa"/>
            <w:vAlign w:val="bottom"/>
            <w:tcBorders>
              <w:bottom w:val="single" w:sz="8" w:color="898989"/>
            </w:tcBorders>
          </w:tcPr>
          <w:p>
            <w:pPr>
              <w:spacing w:after="0"/>
              <w:rPr>
                <w:sz w:val="16"/>
                <w:szCs w:val="16"/>
                <w:color w:val="auto"/>
              </w:rPr>
            </w:pPr>
          </w:p>
        </w:tc>
        <w:tc>
          <w:tcPr>
            <w:tcW w:w="1080" w:type="dxa"/>
            <w:vAlign w:val="bottom"/>
            <w:tcBorders>
              <w:bottom w:val="single" w:sz="8" w:color="898989"/>
            </w:tcBorders>
          </w:tcPr>
          <w:p>
            <w:pPr>
              <w:spacing w:after="0"/>
              <w:rPr>
                <w:sz w:val="16"/>
                <w:szCs w:val="16"/>
                <w:color w:val="auto"/>
              </w:rPr>
            </w:pPr>
          </w:p>
        </w:tc>
        <w:tc>
          <w:tcPr>
            <w:tcW w:w="20" w:type="dxa"/>
            <w:vAlign w:val="bottom"/>
            <w:tcBorders>
              <w:bottom w:val="single" w:sz="8" w:color="898989"/>
            </w:tcBorders>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4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420" w:type="dxa"/>
            <w:vAlign w:val="bottom"/>
            <w:vMerge w:val="restart"/>
          </w:tcPr>
          <w:p>
            <w:pPr>
              <w:jc w:val="right"/>
              <w:ind w:right="63"/>
              <w:spacing w:after="0"/>
              <w:rPr>
                <w:sz w:val="20"/>
                <w:szCs w:val="20"/>
                <w:color w:val="auto"/>
              </w:rPr>
            </w:pPr>
            <w:r>
              <w:rPr>
                <w:rFonts w:ascii="Arial" w:cs="Arial" w:eastAsia="Arial" w:hAnsi="Arial"/>
                <w:sz w:val="17"/>
                <w:szCs w:val="17"/>
                <w:color w:val="auto"/>
              </w:rPr>
              <w:t>$150</w:t>
            </w:r>
          </w:p>
        </w:tc>
        <w:tc>
          <w:tcPr>
            <w:tcW w:w="40" w:type="dxa"/>
            <w:vAlign w:val="bottom"/>
            <w:tcBorders>
              <w:bottom w:val="single" w:sz="8" w:color="898989"/>
            </w:tcBorders>
          </w:tcPr>
          <w:p>
            <w:pPr>
              <w:spacing w:after="0"/>
              <w:rPr>
                <w:sz w:val="16"/>
                <w:szCs w:val="16"/>
                <w:color w:val="auto"/>
              </w:rPr>
            </w:pPr>
          </w:p>
        </w:tc>
        <w:tc>
          <w:tcPr>
            <w:tcW w:w="1060" w:type="dxa"/>
            <w:vAlign w:val="bottom"/>
            <w:tcBorders>
              <w:bottom w:val="single" w:sz="8" w:color="898989"/>
            </w:tcBorders>
          </w:tcPr>
          <w:p>
            <w:pPr>
              <w:spacing w:after="0"/>
              <w:rPr>
                <w:sz w:val="16"/>
                <w:szCs w:val="16"/>
                <w:color w:val="auto"/>
              </w:rPr>
            </w:pPr>
          </w:p>
        </w:tc>
        <w:tc>
          <w:tcPr>
            <w:tcW w:w="20" w:type="dxa"/>
            <w:vAlign w:val="bottom"/>
            <w:tcBorders>
              <w:bottom w:val="single" w:sz="8" w:color="898989"/>
            </w:tcBorders>
          </w:tcPr>
          <w:p>
            <w:pPr>
              <w:spacing w:after="0"/>
              <w:rPr>
                <w:sz w:val="16"/>
                <w:szCs w:val="16"/>
                <w:color w:val="auto"/>
              </w:rPr>
            </w:pPr>
          </w:p>
        </w:tc>
        <w:tc>
          <w:tcPr>
            <w:tcW w:w="1080" w:type="dxa"/>
            <w:vAlign w:val="bottom"/>
            <w:tcBorders>
              <w:bottom w:val="single" w:sz="8" w:color="898989"/>
            </w:tcBorders>
          </w:tcPr>
          <w:p>
            <w:pPr>
              <w:spacing w:after="0"/>
              <w:rPr>
                <w:sz w:val="16"/>
                <w:szCs w:val="16"/>
                <w:color w:val="auto"/>
              </w:rPr>
            </w:pPr>
          </w:p>
        </w:tc>
        <w:tc>
          <w:tcPr>
            <w:tcW w:w="20" w:type="dxa"/>
            <w:vAlign w:val="bottom"/>
            <w:tcBorders>
              <w:bottom w:val="single" w:sz="8" w:color="898989"/>
            </w:tcBorders>
          </w:tcPr>
          <w:p>
            <w:pPr>
              <w:spacing w:after="0"/>
              <w:rPr>
                <w:sz w:val="16"/>
                <w:szCs w:val="16"/>
                <w:color w:val="auto"/>
              </w:rPr>
            </w:pPr>
          </w:p>
        </w:tc>
        <w:tc>
          <w:tcPr>
            <w:tcW w:w="1100" w:type="dxa"/>
            <w:vAlign w:val="bottom"/>
            <w:tcBorders>
              <w:bottom w:val="single" w:sz="8" w:color="898989"/>
            </w:tcBorders>
          </w:tcPr>
          <w:p>
            <w:pPr>
              <w:spacing w:after="0"/>
              <w:rPr>
                <w:sz w:val="16"/>
                <w:szCs w:val="16"/>
                <w:color w:val="auto"/>
              </w:rPr>
            </w:pPr>
          </w:p>
        </w:tc>
        <w:tc>
          <w:tcPr>
            <w:tcW w:w="20" w:type="dxa"/>
            <w:vAlign w:val="bottom"/>
            <w:tcBorders>
              <w:bottom w:val="single" w:sz="8" w:color="898989"/>
            </w:tcBorders>
          </w:tcPr>
          <w:p>
            <w:pPr>
              <w:spacing w:after="0"/>
              <w:rPr>
                <w:sz w:val="16"/>
                <w:szCs w:val="16"/>
                <w:color w:val="auto"/>
              </w:rPr>
            </w:pPr>
          </w:p>
        </w:tc>
        <w:tc>
          <w:tcPr>
            <w:tcW w:w="1080" w:type="dxa"/>
            <w:vAlign w:val="bottom"/>
            <w:tcBorders>
              <w:bottom w:val="single" w:sz="8" w:color="898989"/>
            </w:tcBorders>
          </w:tcPr>
          <w:p>
            <w:pPr>
              <w:spacing w:after="0"/>
              <w:rPr>
                <w:sz w:val="16"/>
                <w:szCs w:val="16"/>
                <w:color w:val="auto"/>
              </w:rPr>
            </w:pPr>
          </w:p>
        </w:tc>
        <w:tc>
          <w:tcPr>
            <w:tcW w:w="20" w:type="dxa"/>
            <w:vAlign w:val="bottom"/>
            <w:tcBorders>
              <w:bottom w:val="single" w:sz="8" w:color="898989"/>
            </w:tcBorders>
          </w:tcPr>
          <w:p>
            <w:pPr>
              <w:spacing w:after="0"/>
              <w:rPr>
                <w:sz w:val="16"/>
                <w:szCs w:val="16"/>
                <w:color w:val="auto"/>
              </w:rPr>
            </w:pPr>
          </w:p>
        </w:tc>
        <w:tc>
          <w:tcPr>
            <w:tcW w:w="1100" w:type="dxa"/>
            <w:vAlign w:val="bottom"/>
            <w:tcBorders>
              <w:bottom w:val="single" w:sz="8" w:color="898989"/>
            </w:tcBorders>
          </w:tcPr>
          <w:p>
            <w:pPr>
              <w:spacing w:after="0"/>
              <w:rPr>
                <w:sz w:val="16"/>
                <w:szCs w:val="16"/>
                <w:color w:val="auto"/>
              </w:rPr>
            </w:pPr>
          </w:p>
        </w:tc>
        <w:tc>
          <w:tcPr>
            <w:tcW w:w="20" w:type="dxa"/>
            <w:vAlign w:val="bottom"/>
            <w:tcBorders>
              <w:bottom w:val="single" w:sz="8" w:color="898989"/>
            </w:tcBorders>
          </w:tcPr>
          <w:p>
            <w:pPr>
              <w:spacing w:after="0"/>
              <w:rPr>
                <w:sz w:val="16"/>
                <w:szCs w:val="16"/>
                <w:color w:val="auto"/>
              </w:rPr>
            </w:pPr>
          </w:p>
        </w:tc>
        <w:tc>
          <w:tcPr>
            <w:tcW w:w="1080" w:type="dxa"/>
            <w:vAlign w:val="bottom"/>
            <w:tcBorders>
              <w:bottom w:val="single" w:sz="8" w:color="898989"/>
            </w:tcBorders>
          </w:tcPr>
          <w:p>
            <w:pPr>
              <w:spacing w:after="0"/>
              <w:rPr>
                <w:sz w:val="16"/>
                <w:szCs w:val="16"/>
                <w:color w:val="auto"/>
              </w:rPr>
            </w:pPr>
          </w:p>
        </w:tc>
        <w:tc>
          <w:tcPr>
            <w:tcW w:w="20" w:type="dxa"/>
            <w:vAlign w:val="bottom"/>
            <w:tcBorders>
              <w:bottom w:val="single" w:sz="8" w:color="898989"/>
            </w:tcBorders>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4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420" w:type="dxa"/>
            <w:vAlign w:val="bottom"/>
            <w:vMerge w:val="restart"/>
          </w:tcPr>
          <w:p>
            <w:pPr>
              <w:jc w:val="right"/>
              <w:ind w:right="63"/>
              <w:spacing w:after="0"/>
              <w:rPr>
                <w:sz w:val="20"/>
                <w:szCs w:val="20"/>
                <w:color w:val="auto"/>
              </w:rPr>
            </w:pPr>
            <w:r>
              <w:rPr>
                <w:rFonts w:ascii="Arial" w:cs="Arial" w:eastAsia="Arial" w:hAnsi="Arial"/>
                <w:sz w:val="17"/>
                <w:szCs w:val="17"/>
                <w:color w:val="auto"/>
              </w:rPr>
              <w:t>$100</w:t>
            </w:r>
          </w:p>
        </w:tc>
        <w:tc>
          <w:tcPr>
            <w:tcW w:w="40" w:type="dxa"/>
            <w:vAlign w:val="bottom"/>
            <w:tcBorders>
              <w:bottom w:val="single" w:sz="8" w:color="898989"/>
            </w:tcBorders>
          </w:tcPr>
          <w:p>
            <w:pPr>
              <w:spacing w:after="0"/>
              <w:rPr>
                <w:sz w:val="16"/>
                <w:szCs w:val="16"/>
                <w:color w:val="auto"/>
              </w:rPr>
            </w:pPr>
          </w:p>
        </w:tc>
        <w:tc>
          <w:tcPr>
            <w:tcW w:w="1060" w:type="dxa"/>
            <w:vAlign w:val="bottom"/>
            <w:tcBorders>
              <w:bottom w:val="single" w:sz="8" w:color="898989"/>
            </w:tcBorders>
          </w:tcPr>
          <w:p>
            <w:pPr>
              <w:spacing w:after="0"/>
              <w:rPr>
                <w:sz w:val="16"/>
                <w:szCs w:val="16"/>
                <w:color w:val="auto"/>
              </w:rPr>
            </w:pPr>
          </w:p>
        </w:tc>
        <w:tc>
          <w:tcPr>
            <w:tcW w:w="20" w:type="dxa"/>
            <w:vAlign w:val="bottom"/>
            <w:tcBorders>
              <w:bottom w:val="single" w:sz="8" w:color="898989"/>
            </w:tcBorders>
          </w:tcPr>
          <w:p>
            <w:pPr>
              <w:spacing w:after="0"/>
              <w:rPr>
                <w:sz w:val="16"/>
                <w:szCs w:val="16"/>
                <w:color w:val="auto"/>
              </w:rPr>
            </w:pPr>
          </w:p>
        </w:tc>
        <w:tc>
          <w:tcPr>
            <w:tcW w:w="1080" w:type="dxa"/>
            <w:vAlign w:val="bottom"/>
            <w:tcBorders>
              <w:bottom w:val="single" w:sz="8" w:color="898989"/>
            </w:tcBorders>
          </w:tcPr>
          <w:p>
            <w:pPr>
              <w:spacing w:after="0"/>
              <w:rPr>
                <w:sz w:val="16"/>
                <w:szCs w:val="16"/>
                <w:color w:val="auto"/>
              </w:rPr>
            </w:pPr>
          </w:p>
        </w:tc>
        <w:tc>
          <w:tcPr>
            <w:tcW w:w="20" w:type="dxa"/>
            <w:vAlign w:val="bottom"/>
            <w:tcBorders>
              <w:bottom w:val="single" w:sz="8" w:color="898989"/>
            </w:tcBorders>
          </w:tcPr>
          <w:p>
            <w:pPr>
              <w:spacing w:after="0"/>
              <w:rPr>
                <w:sz w:val="16"/>
                <w:szCs w:val="16"/>
                <w:color w:val="auto"/>
              </w:rPr>
            </w:pPr>
          </w:p>
        </w:tc>
        <w:tc>
          <w:tcPr>
            <w:tcW w:w="1100" w:type="dxa"/>
            <w:vAlign w:val="bottom"/>
            <w:tcBorders>
              <w:bottom w:val="single" w:sz="8" w:color="898989"/>
            </w:tcBorders>
          </w:tcPr>
          <w:p>
            <w:pPr>
              <w:spacing w:after="0"/>
              <w:rPr>
                <w:sz w:val="16"/>
                <w:szCs w:val="16"/>
                <w:color w:val="auto"/>
              </w:rPr>
            </w:pPr>
          </w:p>
        </w:tc>
        <w:tc>
          <w:tcPr>
            <w:tcW w:w="20" w:type="dxa"/>
            <w:vAlign w:val="bottom"/>
            <w:tcBorders>
              <w:bottom w:val="single" w:sz="8" w:color="898989"/>
            </w:tcBorders>
          </w:tcPr>
          <w:p>
            <w:pPr>
              <w:spacing w:after="0"/>
              <w:rPr>
                <w:sz w:val="16"/>
                <w:szCs w:val="16"/>
                <w:color w:val="auto"/>
              </w:rPr>
            </w:pPr>
          </w:p>
        </w:tc>
        <w:tc>
          <w:tcPr>
            <w:tcW w:w="1080" w:type="dxa"/>
            <w:vAlign w:val="bottom"/>
            <w:tcBorders>
              <w:bottom w:val="single" w:sz="8" w:color="898989"/>
            </w:tcBorders>
          </w:tcPr>
          <w:p>
            <w:pPr>
              <w:spacing w:after="0"/>
              <w:rPr>
                <w:sz w:val="16"/>
                <w:szCs w:val="16"/>
                <w:color w:val="auto"/>
              </w:rPr>
            </w:pPr>
          </w:p>
        </w:tc>
        <w:tc>
          <w:tcPr>
            <w:tcW w:w="20" w:type="dxa"/>
            <w:vAlign w:val="bottom"/>
            <w:tcBorders>
              <w:bottom w:val="single" w:sz="8" w:color="898989"/>
            </w:tcBorders>
          </w:tcPr>
          <w:p>
            <w:pPr>
              <w:spacing w:after="0"/>
              <w:rPr>
                <w:sz w:val="16"/>
                <w:szCs w:val="16"/>
                <w:color w:val="auto"/>
              </w:rPr>
            </w:pPr>
          </w:p>
        </w:tc>
        <w:tc>
          <w:tcPr>
            <w:tcW w:w="1100" w:type="dxa"/>
            <w:vAlign w:val="bottom"/>
            <w:tcBorders>
              <w:bottom w:val="single" w:sz="8" w:color="898989"/>
            </w:tcBorders>
          </w:tcPr>
          <w:p>
            <w:pPr>
              <w:spacing w:after="0"/>
              <w:rPr>
                <w:sz w:val="16"/>
                <w:szCs w:val="16"/>
                <w:color w:val="auto"/>
              </w:rPr>
            </w:pPr>
          </w:p>
        </w:tc>
        <w:tc>
          <w:tcPr>
            <w:tcW w:w="20" w:type="dxa"/>
            <w:vAlign w:val="bottom"/>
            <w:tcBorders>
              <w:bottom w:val="single" w:sz="8" w:color="898989"/>
            </w:tcBorders>
          </w:tcPr>
          <w:p>
            <w:pPr>
              <w:spacing w:after="0"/>
              <w:rPr>
                <w:sz w:val="16"/>
                <w:szCs w:val="16"/>
                <w:color w:val="auto"/>
              </w:rPr>
            </w:pPr>
          </w:p>
        </w:tc>
        <w:tc>
          <w:tcPr>
            <w:tcW w:w="1080" w:type="dxa"/>
            <w:vAlign w:val="bottom"/>
            <w:tcBorders>
              <w:bottom w:val="single" w:sz="8" w:color="898989"/>
            </w:tcBorders>
          </w:tcPr>
          <w:p>
            <w:pPr>
              <w:spacing w:after="0"/>
              <w:rPr>
                <w:sz w:val="16"/>
                <w:szCs w:val="16"/>
                <w:color w:val="auto"/>
              </w:rPr>
            </w:pPr>
          </w:p>
        </w:tc>
        <w:tc>
          <w:tcPr>
            <w:tcW w:w="20" w:type="dxa"/>
            <w:vAlign w:val="bottom"/>
            <w:tcBorders>
              <w:bottom w:val="single" w:sz="8" w:color="898989"/>
            </w:tcBorders>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4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420" w:type="dxa"/>
            <w:vAlign w:val="bottom"/>
            <w:vMerge w:val="restart"/>
          </w:tcPr>
          <w:p>
            <w:pPr>
              <w:jc w:val="right"/>
              <w:ind w:right="63"/>
              <w:spacing w:after="0"/>
              <w:rPr>
                <w:sz w:val="20"/>
                <w:szCs w:val="20"/>
                <w:color w:val="auto"/>
              </w:rPr>
            </w:pPr>
            <w:r>
              <w:rPr>
                <w:rFonts w:ascii="Arial" w:cs="Arial" w:eastAsia="Arial" w:hAnsi="Arial"/>
                <w:sz w:val="17"/>
                <w:szCs w:val="17"/>
                <w:color w:val="auto"/>
              </w:rPr>
              <w:t>$50</w:t>
            </w:r>
          </w:p>
        </w:tc>
        <w:tc>
          <w:tcPr>
            <w:tcW w:w="40" w:type="dxa"/>
            <w:vAlign w:val="bottom"/>
            <w:tcBorders>
              <w:bottom w:val="single" w:sz="8" w:color="898989"/>
            </w:tcBorders>
          </w:tcPr>
          <w:p>
            <w:pPr>
              <w:spacing w:after="0"/>
              <w:rPr>
                <w:sz w:val="16"/>
                <w:szCs w:val="16"/>
                <w:color w:val="auto"/>
              </w:rPr>
            </w:pPr>
          </w:p>
        </w:tc>
        <w:tc>
          <w:tcPr>
            <w:tcW w:w="1060" w:type="dxa"/>
            <w:vAlign w:val="bottom"/>
            <w:tcBorders>
              <w:bottom w:val="single" w:sz="8" w:color="898989"/>
            </w:tcBorders>
          </w:tcPr>
          <w:p>
            <w:pPr>
              <w:spacing w:after="0"/>
              <w:rPr>
                <w:sz w:val="16"/>
                <w:szCs w:val="16"/>
                <w:color w:val="auto"/>
              </w:rPr>
            </w:pPr>
          </w:p>
        </w:tc>
        <w:tc>
          <w:tcPr>
            <w:tcW w:w="20" w:type="dxa"/>
            <w:vAlign w:val="bottom"/>
            <w:tcBorders>
              <w:bottom w:val="single" w:sz="8" w:color="898989"/>
            </w:tcBorders>
          </w:tcPr>
          <w:p>
            <w:pPr>
              <w:spacing w:after="0"/>
              <w:rPr>
                <w:sz w:val="16"/>
                <w:szCs w:val="16"/>
                <w:color w:val="auto"/>
              </w:rPr>
            </w:pPr>
          </w:p>
        </w:tc>
        <w:tc>
          <w:tcPr>
            <w:tcW w:w="1080" w:type="dxa"/>
            <w:vAlign w:val="bottom"/>
            <w:tcBorders>
              <w:bottom w:val="single" w:sz="8" w:color="898989"/>
            </w:tcBorders>
          </w:tcPr>
          <w:p>
            <w:pPr>
              <w:spacing w:after="0"/>
              <w:rPr>
                <w:sz w:val="16"/>
                <w:szCs w:val="16"/>
                <w:color w:val="auto"/>
              </w:rPr>
            </w:pPr>
          </w:p>
        </w:tc>
        <w:tc>
          <w:tcPr>
            <w:tcW w:w="20" w:type="dxa"/>
            <w:vAlign w:val="bottom"/>
            <w:tcBorders>
              <w:bottom w:val="single" w:sz="8" w:color="898989"/>
            </w:tcBorders>
          </w:tcPr>
          <w:p>
            <w:pPr>
              <w:spacing w:after="0"/>
              <w:rPr>
                <w:sz w:val="16"/>
                <w:szCs w:val="16"/>
                <w:color w:val="auto"/>
              </w:rPr>
            </w:pPr>
          </w:p>
        </w:tc>
        <w:tc>
          <w:tcPr>
            <w:tcW w:w="1100" w:type="dxa"/>
            <w:vAlign w:val="bottom"/>
            <w:tcBorders>
              <w:bottom w:val="single" w:sz="8" w:color="898989"/>
            </w:tcBorders>
          </w:tcPr>
          <w:p>
            <w:pPr>
              <w:spacing w:after="0"/>
              <w:rPr>
                <w:sz w:val="16"/>
                <w:szCs w:val="16"/>
                <w:color w:val="auto"/>
              </w:rPr>
            </w:pPr>
          </w:p>
        </w:tc>
        <w:tc>
          <w:tcPr>
            <w:tcW w:w="20" w:type="dxa"/>
            <w:vAlign w:val="bottom"/>
            <w:tcBorders>
              <w:bottom w:val="single" w:sz="8" w:color="898989"/>
            </w:tcBorders>
          </w:tcPr>
          <w:p>
            <w:pPr>
              <w:spacing w:after="0"/>
              <w:rPr>
                <w:sz w:val="16"/>
                <w:szCs w:val="16"/>
                <w:color w:val="auto"/>
              </w:rPr>
            </w:pPr>
          </w:p>
        </w:tc>
        <w:tc>
          <w:tcPr>
            <w:tcW w:w="1080" w:type="dxa"/>
            <w:vAlign w:val="bottom"/>
            <w:tcBorders>
              <w:bottom w:val="single" w:sz="8" w:color="898989"/>
            </w:tcBorders>
          </w:tcPr>
          <w:p>
            <w:pPr>
              <w:spacing w:after="0"/>
              <w:rPr>
                <w:sz w:val="16"/>
                <w:szCs w:val="16"/>
                <w:color w:val="auto"/>
              </w:rPr>
            </w:pPr>
          </w:p>
        </w:tc>
        <w:tc>
          <w:tcPr>
            <w:tcW w:w="20" w:type="dxa"/>
            <w:vAlign w:val="bottom"/>
            <w:tcBorders>
              <w:bottom w:val="single" w:sz="8" w:color="898989"/>
            </w:tcBorders>
          </w:tcPr>
          <w:p>
            <w:pPr>
              <w:spacing w:after="0"/>
              <w:rPr>
                <w:sz w:val="16"/>
                <w:szCs w:val="16"/>
                <w:color w:val="auto"/>
              </w:rPr>
            </w:pPr>
          </w:p>
        </w:tc>
        <w:tc>
          <w:tcPr>
            <w:tcW w:w="1100" w:type="dxa"/>
            <w:vAlign w:val="bottom"/>
            <w:tcBorders>
              <w:bottom w:val="single" w:sz="8" w:color="898989"/>
            </w:tcBorders>
          </w:tcPr>
          <w:p>
            <w:pPr>
              <w:spacing w:after="0"/>
              <w:rPr>
                <w:sz w:val="16"/>
                <w:szCs w:val="16"/>
                <w:color w:val="auto"/>
              </w:rPr>
            </w:pPr>
          </w:p>
        </w:tc>
        <w:tc>
          <w:tcPr>
            <w:tcW w:w="20" w:type="dxa"/>
            <w:vAlign w:val="bottom"/>
            <w:tcBorders>
              <w:bottom w:val="single" w:sz="8" w:color="898989"/>
            </w:tcBorders>
          </w:tcPr>
          <w:p>
            <w:pPr>
              <w:spacing w:after="0"/>
              <w:rPr>
                <w:sz w:val="16"/>
                <w:szCs w:val="16"/>
                <w:color w:val="auto"/>
              </w:rPr>
            </w:pPr>
          </w:p>
        </w:tc>
        <w:tc>
          <w:tcPr>
            <w:tcW w:w="1080" w:type="dxa"/>
            <w:vAlign w:val="bottom"/>
            <w:tcBorders>
              <w:bottom w:val="single" w:sz="8" w:color="898989"/>
            </w:tcBorders>
          </w:tcPr>
          <w:p>
            <w:pPr>
              <w:spacing w:after="0"/>
              <w:rPr>
                <w:sz w:val="16"/>
                <w:szCs w:val="16"/>
                <w:color w:val="auto"/>
              </w:rPr>
            </w:pPr>
          </w:p>
        </w:tc>
        <w:tc>
          <w:tcPr>
            <w:tcW w:w="20" w:type="dxa"/>
            <w:vAlign w:val="bottom"/>
            <w:tcBorders>
              <w:bottom w:val="single" w:sz="8" w:color="898989"/>
            </w:tcBorders>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34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3420" w:type="dxa"/>
            <w:vAlign w:val="bottom"/>
            <w:vMerge w:val="restart"/>
          </w:tcPr>
          <w:p>
            <w:pPr>
              <w:jc w:val="right"/>
              <w:ind w:right="63"/>
              <w:spacing w:after="0"/>
              <w:rPr>
                <w:sz w:val="20"/>
                <w:szCs w:val="20"/>
                <w:color w:val="auto"/>
              </w:rPr>
            </w:pPr>
            <w:r>
              <w:rPr>
                <w:rFonts w:ascii="Arial" w:cs="Arial" w:eastAsia="Arial" w:hAnsi="Arial"/>
                <w:sz w:val="17"/>
                <w:szCs w:val="17"/>
                <w:color w:val="auto"/>
              </w:rPr>
              <w:t>$0</w:t>
            </w:r>
          </w:p>
        </w:tc>
        <w:tc>
          <w:tcPr>
            <w:tcW w:w="40" w:type="dxa"/>
            <w:vAlign w:val="bottom"/>
          </w:tcPr>
          <w:p>
            <w:pPr>
              <w:spacing w:after="0"/>
              <w:rPr>
                <w:sz w:val="16"/>
                <w:szCs w:val="16"/>
                <w:color w:val="auto"/>
              </w:rPr>
            </w:pPr>
          </w:p>
        </w:tc>
        <w:tc>
          <w:tcPr>
            <w:tcW w:w="1060" w:type="dxa"/>
            <w:vAlign w:val="bottom"/>
            <w:vMerge w:val="restart"/>
          </w:tcPr>
          <w:p>
            <w:pPr>
              <w:ind w:left="300"/>
              <w:spacing w:after="0"/>
              <w:rPr>
                <w:sz w:val="20"/>
                <w:szCs w:val="20"/>
                <w:color w:val="auto"/>
              </w:rPr>
            </w:pPr>
            <w:r>
              <w:rPr>
                <w:rFonts w:ascii="Arial" w:cs="Arial" w:eastAsia="Arial" w:hAnsi="Arial"/>
                <w:sz w:val="13"/>
                <w:szCs w:val="13"/>
                <w:color w:val="auto"/>
              </w:rPr>
              <w:t>12/31/19</w:t>
            </w:r>
          </w:p>
        </w:tc>
        <w:tc>
          <w:tcPr>
            <w:tcW w:w="20" w:type="dxa"/>
            <w:vAlign w:val="bottom"/>
          </w:tcPr>
          <w:p>
            <w:pPr>
              <w:spacing w:after="0"/>
              <w:rPr>
                <w:sz w:val="16"/>
                <w:szCs w:val="16"/>
                <w:color w:val="auto"/>
              </w:rPr>
            </w:pPr>
          </w:p>
        </w:tc>
        <w:tc>
          <w:tcPr>
            <w:tcW w:w="1080" w:type="dxa"/>
            <w:vAlign w:val="bottom"/>
            <w:vMerge w:val="restart"/>
          </w:tcPr>
          <w:p>
            <w:pPr>
              <w:jc w:val="right"/>
              <w:ind w:right="194"/>
              <w:spacing w:after="0"/>
              <w:rPr>
                <w:sz w:val="20"/>
                <w:szCs w:val="20"/>
                <w:color w:val="auto"/>
              </w:rPr>
            </w:pPr>
            <w:r>
              <w:rPr>
                <w:rFonts w:ascii="Arial" w:cs="Arial" w:eastAsia="Arial" w:hAnsi="Arial"/>
                <w:sz w:val="13"/>
                <w:szCs w:val="13"/>
                <w:color w:val="auto"/>
              </w:rPr>
              <w:t>12/31/20</w:t>
            </w:r>
          </w:p>
        </w:tc>
        <w:tc>
          <w:tcPr>
            <w:tcW w:w="20" w:type="dxa"/>
            <w:vAlign w:val="bottom"/>
          </w:tcPr>
          <w:p>
            <w:pPr>
              <w:spacing w:after="0"/>
              <w:rPr>
                <w:sz w:val="16"/>
                <w:szCs w:val="16"/>
                <w:color w:val="auto"/>
              </w:rPr>
            </w:pPr>
          </w:p>
        </w:tc>
        <w:tc>
          <w:tcPr>
            <w:tcW w:w="1100" w:type="dxa"/>
            <w:vAlign w:val="bottom"/>
            <w:vMerge w:val="restart"/>
          </w:tcPr>
          <w:p>
            <w:pPr>
              <w:ind w:left="340"/>
              <w:spacing w:after="0"/>
              <w:rPr>
                <w:sz w:val="20"/>
                <w:szCs w:val="20"/>
                <w:color w:val="auto"/>
              </w:rPr>
            </w:pPr>
            <w:r>
              <w:rPr>
                <w:rFonts w:ascii="Arial" w:cs="Arial" w:eastAsia="Arial" w:hAnsi="Arial"/>
                <w:sz w:val="13"/>
                <w:szCs w:val="13"/>
                <w:color w:val="auto"/>
              </w:rPr>
              <w:t>12/31/21</w:t>
            </w:r>
          </w:p>
        </w:tc>
        <w:tc>
          <w:tcPr>
            <w:tcW w:w="20" w:type="dxa"/>
            <w:vAlign w:val="bottom"/>
          </w:tcPr>
          <w:p>
            <w:pPr>
              <w:spacing w:after="0"/>
              <w:rPr>
                <w:sz w:val="16"/>
                <w:szCs w:val="16"/>
                <w:color w:val="auto"/>
              </w:rPr>
            </w:pPr>
          </w:p>
        </w:tc>
        <w:tc>
          <w:tcPr>
            <w:tcW w:w="1080" w:type="dxa"/>
            <w:vAlign w:val="bottom"/>
            <w:vMerge w:val="restart"/>
          </w:tcPr>
          <w:p>
            <w:pPr>
              <w:jc w:val="right"/>
              <w:ind w:right="194"/>
              <w:spacing w:after="0"/>
              <w:rPr>
                <w:sz w:val="20"/>
                <w:szCs w:val="20"/>
                <w:color w:val="auto"/>
              </w:rPr>
            </w:pPr>
            <w:r>
              <w:rPr>
                <w:rFonts w:ascii="Arial" w:cs="Arial" w:eastAsia="Arial" w:hAnsi="Arial"/>
                <w:sz w:val="13"/>
                <w:szCs w:val="13"/>
                <w:color w:val="auto"/>
              </w:rPr>
              <w:t>12/31/22</w:t>
            </w:r>
          </w:p>
        </w:tc>
        <w:tc>
          <w:tcPr>
            <w:tcW w:w="20" w:type="dxa"/>
            <w:vAlign w:val="bottom"/>
          </w:tcPr>
          <w:p>
            <w:pPr>
              <w:spacing w:after="0"/>
              <w:rPr>
                <w:sz w:val="16"/>
                <w:szCs w:val="16"/>
                <w:color w:val="auto"/>
              </w:rPr>
            </w:pPr>
          </w:p>
        </w:tc>
        <w:tc>
          <w:tcPr>
            <w:tcW w:w="1100" w:type="dxa"/>
            <w:vAlign w:val="bottom"/>
            <w:vMerge w:val="restart"/>
          </w:tcPr>
          <w:p>
            <w:pPr>
              <w:jc w:val="right"/>
              <w:ind w:right="214"/>
              <w:spacing w:after="0"/>
              <w:rPr>
                <w:sz w:val="20"/>
                <w:szCs w:val="20"/>
                <w:color w:val="auto"/>
              </w:rPr>
            </w:pPr>
            <w:r>
              <w:rPr>
                <w:rFonts w:ascii="Arial" w:cs="Arial" w:eastAsia="Arial" w:hAnsi="Arial"/>
                <w:sz w:val="13"/>
                <w:szCs w:val="13"/>
                <w:color w:val="auto"/>
              </w:rPr>
              <w:t>12/31/23</w:t>
            </w:r>
          </w:p>
        </w:tc>
        <w:tc>
          <w:tcPr>
            <w:tcW w:w="20" w:type="dxa"/>
            <w:vAlign w:val="bottom"/>
          </w:tcPr>
          <w:p>
            <w:pPr>
              <w:spacing w:after="0"/>
              <w:rPr>
                <w:sz w:val="16"/>
                <w:szCs w:val="16"/>
                <w:color w:val="auto"/>
              </w:rPr>
            </w:pPr>
          </w:p>
        </w:tc>
        <w:tc>
          <w:tcPr>
            <w:tcW w:w="1080" w:type="dxa"/>
            <w:vAlign w:val="bottom"/>
            <w:vMerge w:val="restart"/>
          </w:tcPr>
          <w:p>
            <w:pPr>
              <w:jc w:val="right"/>
              <w:ind w:right="214"/>
              <w:spacing w:after="0"/>
              <w:rPr>
                <w:sz w:val="20"/>
                <w:szCs w:val="20"/>
                <w:color w:val="auto"/>
              </w:rPr>
            </w:pPr>
            <w:r>
              <w:rPr>
                <w:rFonts w:ascii="Arial" w:cs="Arial" w:eastAsia="Arial" w:hAnsi="Arial"/>
                <w:sz w:val="13"/>
                <w:szCs w:val="13"/>
                <w:color w:val="auto"/>
              </w:rPr>
              <w:t>12/31/24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3420" w:type="dxa"/>
            <w:vAlign w:val="bottom"/>
            <w:vMerge w:val="continue"/>
          </w:tcPr>
          <w:p>
            <w:pPr>
              <w:spacing w:after="0"/>
              <w:rPr>
                <w:sz w:val="9"/>
                <w:szCs w:val="9"/>
                <w:color w:val="auto"/>
              </w:rPr>
            </w:pPr>
          </w:p>
        </w:tc>
        <w:tc>
          <w:tcPr>
            <w:tcW w:w="40" w:type="dxa"/>
            <w:vAlign w:val="bottom"/>
            <w:tcBorders>
              <w:left w:val="single" w:sz="8" w:color="898989"/>
            </w:tcBorders>
            <w:shd w:val="clear" w:color="auto" w:fill="898989"/>
          </w:tcPr>
          <w:p>
            <w:pPr>
              <w:spacing w:after="0"/>
              <w:rPr>
                <w:sz w:val="9"/>
                <w:szCs w:val="9"/>
                <w:color w:val="auto"/>
              </w:rPr>
            </w:pPr>
          </w:p>
        </w:tc>
        <w:tc>
          <w:tcPr>
            <w:tcW w:w="1060" w:type="dxa"/>
            <w:vAlign w:val="bottom"/>
            <w:vMerge w:val="continue"/>
          </w:tcPr>
          <w:p>
            <w:pPr>
              <w:spacing w:after="0"/>
              <w:rPr>
                <w:sz w:val="9"/>
                <w:szCs w:val="9"/>
                <w:color w:val="auto"/>
              </w:rPr>
            </w:pPr>
          </w:p>
        </w:tc>
        <w:tc>
          <w:tcPr>
            <w:tcW w:w="20" w:type="dxa"/>
            <w:vAlign w:val="bottom"/>
            <w:shd w:val="clear" w:color="auto" w:fill="898989"/>
          </w:tcPr>
          <w:p>
            <w:pPr>
              <w:spacing w:after="0"/>
              <w:rPr>
                <w:sz w:val="9"/>
                <w:szCs w:val="9"/>
                <w:color w:val="auto"/>
              </w:rPr>
            </w:pPr>
          </w:p>
        </w:tc>
        <w:tc>
          <w:tcPr>
            <w:tcW w:w="1080" w:type="dxa"/>
            <w:vAlign w:val="bottom"/>
            <w:vMerge w:val="continue"/>
          </w:tcPr>
          <w:p>
            <w:pPr>
              <w:spacing w:after="0"/>
              <w:rPr>
                <w:sz w:val="9"/>
                <w:szCs w:val="9"/>
                <w:color w:val="auto"/>
              </w:rPr>
            </w:pPr>
          </w:p>
        </w:tc>
        <w:tc>
          <w:tcPr>
            <w:tcW w:w="20" w:type="dxa"/>
            <w:vAlign w:val="bottom"/>
            <w:shd w:val="clear" w:color="auto" w:fill="898989"/>
          </w:tcPr>
          <w:p>
            <w:pPr>
              <w:spacing w:after="0"/>
              <w:rPr>
                <w:sz w:val="9"/>
                <w:szCs w:val="9"/>
                <w:color w:val="auto"/>
              </w:rPr>
            </w:pPr>
          </w:p>
        </w:tc>
        <w:tc>
          <w:tcPr>
            <w:tcW w:w="1100" w:type="dxa"/>
            <w:vAlign w:val="bottom"/>
            <w:vMerge w:val="continue"/>
          </w:tcPr>
          <w:p>
            <w:pPr>
              <w:spacing w:after="0"/>
              <w:rPr>
                <w:sz w:val="9"/>
                <w:szCs w:val="9"/>
                <w:color w:val="auto"/>
              </w:rPr>
            </w:pPr>
          </w:p>
        </w:tc>
        <w:tc>
          <w:tcPr>
            <w:tcW w:w="20" w:type="dxa"/>
            <w:vAlign w:val="bottom"/>
            <w:shd w:val="clear" w:color="auto" w:fill="898989"/>
          </w:tcPr>
          <w:p>
            <w:pPr>
              <w:spacing w:after="0"/>
              <w:rPr>
                <w:sz w:val="9"/>
                <w:szCs w:val="9"/>
                <w:color w:val="auto"/>
              </w:rPr>
            </w:pPr>
          </w:p>
        </w:tc>
        <w:tc>
          <w:tcPr>
            <w:tcW w:w="1080" w:type="dxa"/>
            <w:vAlign w:val="bottom"/>
            <w:vMerge w:val="continue"/>
          </w:tcPr>
          <w:p>
            <w:pPr>
              <w:spacing w:after="0"/>
              <w:rPr>
                <w:sz w:val="9"/>
                <w:szCs w:val="9"/>
                <w:color w:val="auto"/>
              </w:rPr>
            </w:pPr>
          </w:p>
        </w:tc>
        <w:tc>
          <w:tcPr>
            <w:tcW w:w="20" w:type="dxa"/>
            <w:vAlign w:val="bottom"/>
            <w:shd w:val="clear" w:color="auto" w:fill="898989"/>
          </w:tcPr>
          <w:p>
            <w:pPr>
              <w:spacing w:after="0"/>
              <w:rPr>
                <w:sz w:val="9"/>
                <w:szCs w:val="9"/>
                <w:color w:val="auto"/>
              </w:rPr>
            </w:pPr>
          </w:p>
        </w:tc>
        <w:tc>
          <w:tcPr>
            <w:tcW w:w="1100" w:type="dxa"/>
            <w:vAlign w:val="bottom"/>
            <w:vMerge w:val="continue"/>
          </w:tcPr>
          <w:p>
            <w:pPr>
              <w:spacing w:after="0"/>
              <w:rPr>
                <w:sz w:val="9"/>
                <w:szCs w:val="9"/>
                <w:color w:val="auto"/>
              </w:rPr>
            </w:pPr>
          </w:p>
        </w:tc>
        <w:tc>
          <w:tcPr>
            <w:tcW w:w="20" w:type="dxa"/>
            <w:vAlign w:val="bottom"/>
            <w:shd w:val="clear" w:color="auto" w:fill="898989"/>
          </w:tcPr>
          <w:p>
            <w:pPr>
              <w:spacing w:after="0"/>
              <w:rPr>
                <w:sz w:val="9"/>
                <w:szCs w:val="9"/>
                <w:color w:val="auto"/>
              </w:rPr>
            </w:pPr>
          </w:p>
        </w:tc>
        <w:tc>
          <w:tcPr>
            <w:tcW w:w="1080" w:type="dxa"/>
            <w:vAlign w:val="bottom"/>
            <w:vMerge w:val="continue"/>
          </w:tcPr>
          <w:p>
            <w:pPr>
              <w:spacing w:after="0"/>
              <w:rPr>
                <w:sz w:val="9"/>
                <w:szCs w:val="9"/>
                <w:color w:val="auto"/>
              </w:rPr>
            </w:pPr>
          </w:p>
        </w:tc>
        <w:tc>
          <w:tcPr>
            <w:tcW w:w="20" w:type="dxa"/>
            <w:vAlign w:val="bottom"/>
            <w:shd w:val="clear" w:color="auto" w:fill="898989"/>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420" w:type="dxa"/>
            <w:vAlign w:val="bottom"/>
            <w:tcBorders>
              <w:bottom w:val="single" w:sz="8" w:color="898989"/>
            </w:tcBorders>
          </w:tcPr>
          <w:p>
            <w:pPr>
              <w:spacing w:after="0"/>
              <w:rPr>
                <w:sz w:val="7"/>
                <w:szCs w:val="7"/>
                <w:color w:val="auto"/>
              </w:rPr>
            </w:pPr>
          </w:p>
        </w:tc>
        <w:tc>
          <w:tcPr>
            <w:tcW w:w="40" w:type="dxa"/>
            <w:vAlign w:val="bottom"/>
            <w:tcBorders>
              <w:left w:val="single" w:sz="8" w:color="898989"/>
              <w:bottom w:val="single" w:sz="8" w:color="898989"/>
            </w:tcBorders>
            <w:shd w:val="clear" w:color="auto" w:fill="898989"/>
          </w:tcPr>
          <w:p>
            <w:pPr>
              <w:spacing w:after="0"/>
              <w:rPr>
                <w:sz w:val="7"/>
                <w:szCs w:val="7"/>
                <w:color w:val="auto"/>
              </w:rPr>
            </w:pPr>
          </w:p>
        </w:tc>
        <w:tc>
          <w:tcPr>
            <w:tcW w:w="1060" w:type="dxa"/>
            <w:vAlign w:val="bottom"/>
            <w:tcBorders>
              <w:bottom w:val="single" w:sz="8" w:color="898989"/>
            </w:tcBorders>
            <w:vMerge w:val="continue"/>
          </w:tcPr>
          <w:p>
            <w:pPr>
              <w:spacing w:after="0"/>
              <w:rPr>
                <w:sz w:val="7"/>
                <w:szCs w:val="7"/>
                <w:color w:val="auto"/>
              </w:rPr>
            </w:pPr>
          </w:p>
        </w:tc>
        <w:tc>
          <w:tcPr>
            <w:tcW w:w="20" w:type="dxa"/>
            <w:vAlign w:val="bottom"/>
            <w:tcBorders>
              <w:bottom w:val="single" w:sz="8" w:color="898989"/>
            </w:tcBorders>
            <w:shd w:val="clear" w:color="auto" w:fill="898989"/>
          </w:tcPr>
          <w:p>
            <w:pPr>
              <w:spacing w:after="0"/>
              <w:rPr>
                <w:sz w:val="7"/>
                <w:szCs w:val="7"/>
                <w:color w:val="auto"/>
              </w:rPr>
            </w:pPr>
          </w:p>
        </w:tc>
        <w:tc>
          <w:tcPr>
            <w:tcW w:w="1080" w:type="dxa"/>
            <w:vAlign w:val="bottom"/>
            <w:tcBorders>
              <w:bottom w:val="single" w:sz="8" w:color="898989"/>
            </w:tcBorders>
            <w:vMerge w:val="continue"/>
          </w:tcPr>
          <w:p>
            <w:pPr>
              <w:spacing w:after="0"/>
              <w:rPr>
                <w:sz w:val="7"/>
                <w:szCs w:val="7"/>
                <w:color w:val="auto"/>
              </w:rPr>
            </w:pPr>
          </w:p>
        </w:tc>
        <w:tc>
          <w:tcPr>
            <w:tcW w:w="20" w:type="dxa"/>
            <w:vAlign w:val="bottom"/>
            <w:tcBorders>
              <w:bottom w:val="single" w:sz="8" w:color="898989"/>
            </w:tcBorders>
            <w:shd w:val="clear" w:color="auto" w:fill="898989"/>
          </w:tcPr>
          <w:p>
            <w:pPr>
              <w:spacing w:after="0"/>
              <w:rPr>
                <w:sz w:val="7"/>
                <w:szCs w:val="7"/>
                <w:color w:val="auto"/>
              </w:rPr>
            </w:pPr>
          </w:p>
        </w:tc>
        <w:tc>
          <w:tcPr>
            <w:tcW w:w="1100" w:type="dxa"/>
            <w:vAlign w:val="bottom"/>
            <w:tcBorders>
              <w:bottom w:val="single" w:sz="8" w:color="898989"/>
            </w:tcBorders>
            <w:vMerge w:val="continue"/>
          </w:tcPr>
          <w:p>
            <w:pPr>
              <w:spacing w:after="0"/>
              <w:rPr>
                <w:sz w:val="7"/>
                <w:szCs w:val="7"/>
                <w:color w:val="auto"/>
              </w:rPr>
            </w:pPr>
          </w:p>
        </w:tc>
        <w:tc>
          <w:tcPr>
            <w:tcW w:w="20" w:type="dxa"/>
            <w:vAlign w:val="bottom"/>
            <w:tcBorders>
              <w:bottom w:val="single" w:sz="8" w:color="898989"/>
            </w:tcBorders>
            <w:shd w:val="clear" w:color="auto" w:fill="898989"/>
          </w:tcPr>
          <w:p>
            <w:pPr>
              <w:spacing w:after="0"/>
              <w:rPr>
                <w:sz w:val="7"/>
                <w:szCs w:val="7"/>
                <w:color w:val="auto"/>
              </w:rPr>
            </w:pPr>
          </w:p>
        </w:tc>
        <w:tc>
          <w:tcPr>
            <w:tcW w:w="1080" w:type="dxa"/>
            <w:vAlign w:val="bottom"/>
            <w:tcBorders>
              <w:bottom w:val="single" w:sz="8" w:color="898989"/>
            </w:tcBorders>
            <w:vMerge w:val="continue"/>
          </w:tcPr>
          <w:p>
            <w:pPr>
              <w:spacing w:after="0"/>
              <w:rPr>
                <w:sz w:val="7"/>
                <w:szCs w:val="7"/>
                <w:color w:val="auto"/>
              </w:rPr>
            </w:pPr>
          </w:p>
        </w:tc>
        <w:tc>
          <w:tcPr>
            <w:tcW w:w="20" w:type="dxa"/>
            <w:vAlign w:val="bottom"/>
            <w:tcBorders>
              <w:bottom w:val="single" w:sz="8" w:color="898989"/>
            </w:tcBorders>
            <w:shd w:val="clear" w:color="auto" w:fill="898989"/>
          </w:tcPr>
          <w:p>
            <w:pPr>
              <w:spacing w:after="0"/>
              <w:rPr>
                <w:sz w:val="7"/>
                <w:szCs w:val="7"/>
                <w:color w:val="auto"/>
              </w:rPr>
            </w:pPr>
          </w:p>
        </w:tc>
        <w:tc>
          <w:tcPr>
            <w:tcW w:w="1100" w:type="dxa"/>
            <w:vAlign w:val="bottom"/>
            <w:tcBorders>
              <w:bottom w:val="single" w:sz="8" w:color="898989"/>
            </w:tcBorders>
            <w:vMerge w:val="continue"/>
          </w:tcPr>
          <w:p>
            <w:pPr>
              <w:spacing w:after="0"/>
              <w:rPr>
                <w:sz w:val="7"/>
                <w:szCs w:val="7"/>
                <w:color w:val="auto"/>
              </w:rPr>
            </w:pPr>
          </w:p>
        </w:tc>
        <w:tc>
          <w:tcPr>
            <w:tcW w:w="20" w:type="dxa"/>
            <w:vAlign w:val="bottom"/>
            <w:tcBorders>
              <w:bottom w:val="single" w:sz="8" w:color="898989"/>
            </w:tcBorders>
            <w:shd w:val="clear" w:color="auto" w:fill="898989"/>
          </w:tcPr>
          <w:p>
            <w:pPr>
              <w:spacing w:after="0"/>
              <w:rPr>
                <w:sz w:val="7"/>
                <w:szCs w:val="7"/>
                <w:color w:val="auto"/>
              </w:rPr>
            </w:pPr>
          </w:p>
        </w:tc>
        <w:tc>
          <w:tcPr>
            <w:tcW w:w="1080" w:type="dxa"/>
            <w:vAlign w:val="bottom"/>
            <w:tcBorders>
              <w:bottom w:val="single" w:sz="8" w:color="898989"/>
            </w:tcBorders>
            <w:vMerge w:val="continue"/>
          </w:tcPr>
          <w:p>
            <w:pPr>
              <w:spacing w:after="0"/>
              <w:rPr>
                <w:sz w:val="7"/>
                <w:szCs w:val="7"/>
                <w:color w:val="auto"/>
              </w:rPr>
            </w:pPr>
          </w:p>
        </w:tc>
        <w:tc>
          <w:tcPr>
            <w:tcW w:w="20" w:type="dxa"/>
            <w:vAlign w:val="bottom"/>
            <w:tcBorders>
              <w:bottom w:val="single" w:sz="8" w:color="898989"/>
            </w:tcBorders>
            <w:shd w:val="clear" w:color="auto" w:fill="898989"/>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3420" w:type="dxa"/>
            <w:vAlign w:val="bottom"/>
            <w:tcBorders>
              <w:left w:val="single" w:sz="8" w:color="898989"/>
              <w:bottom w:val="single" w:sz="8" w:color="898989"/>
            </w:tcBorders>
          </w:tcPr>
          <w:p>
            <w:pPr>
              <w:ind w:left="580"/>
              <w:spacing w:after="0"/>
              <w:rPr>
                <w:sz w:val="20"/>
                <w:szCs w:val="20"/>
                <w:color w:val="auto"/>
              </w:rPr>
            </w:pPr>
            <w:r>
              <w:rPr>
                <w:rFonts w:ascii="Arial" w:cs="Arial" w:eastAsia="Arial" w:hAnsi="Arial"/>
                <w:sz w:val="13"/>
                <w:szCs w:val="13"/>
                <w:color w:val="auto"/>
              </w:rPr>
              <w:t>LivaNova Plc</w:t>
            </w:r>
          </w:p>
        </w:tc>
        <w:tc>
          <w:tcPr>
            <w:tcW w:w="40" w:type="dxa"/>
            <w:vAlign w:val="bottom"/>
            <w:tcBorders>
              <w:left w:val="single" w:sz="8" w:color="898989"/>
              <w:bottom w:val="single" w:sz="8" w:color="898989"/>
            </w:tcBorders>
            <w:shd w:val="clear" w:color="auto" w:fill="898989"/>
          </w:tcPr>
          <w:p>
            <w:pPr>
              <w:spacing w:after="0"/>
              <w:rPr>
                <w:sz w:val="15"/>
                <w:szCs w:val="15"/>
                <w:color w:val="auto"/>
              </w:rPr>
            </w:pPr>
          </w:p>
        </w:tc>
        <w:tc>
          <w:tcPr>
            <w:tcW w:w="1060" w:type="dxa"/>
            <w:vAlign w:val="bottom"/>
            <w:tcBorders>
              <w:bottom w:val="single" w:sz="8" w:color="898989"/>
            </w:tcBorders>
          </w:tcPr>
          <w:p>
            <w:pPr>
              <w:ind w:left="320"/>
              <w:spacing w:after="0"/>
              <w:rPr>
                <w:sz w:val="20"/>
                <w:szCs w:val="20"/>
                <w:color w:val="auto"/>
              </w:rPr>
            </w:pPr>
            <w:r>
              <w:rPr>
                <w:rFonts w:ascii="Arial" w:cs="Arial" w:eastAsia="Arial" w:hAnsi="Arial"/>
                <w:sz w:val="13"/>
                <w:szCs w:val="13"/>
                <w:color w:val="auto"/>
              </w:rPr>
              <w:t>100.00</w:t>
            </w:r>
          </w:p>
        </w:tc>
        <w:tc>
          <w:tcPr>
            <w:tcW w:w="20" w:type="dxa"/>
            <w:vAlign w:val="bottom"/>
            <w:tcBorders>
              <w:bottom w:val="single" w:sz="8" w:color="898989"/>
            </w:tcBorders>
            <w:shd w:val="clear" w:color="auto" w:fill="898989"/>
          </w:tcPr>
          <w:p>
            <w:pPr>
              <w:spacing w:after="0"/>
              <w:rPr>
                <w:sz w:val="15"/>
                <w:szCs w:val="15"/>
                <w:color w:val="auto"/>
              </w:rPr>
            </w:pPr>
          </w:p>
        </w:tc>
        <w:tc>
          <w:tcPr>
            <w:tcW w:w="1080" w:type="dxa"/>
            <w:vAlign w:val="bottom"/>
            <w:tcBorders>
              <w:bottom w:val="single" w:sz="8" w:color="898989"/>
            </w:tcBorders>
          </w:tcPr>
          <w:p>
            <w:pPr>
              <w:jc w:val="center"/>
              <w:spacing w:after="0"/>
              <w:rPr>
                <w:sz w:val="20"/>
                <w:szCs w:val="20"/>
                <w:color w:val="auto"/>
              </w:rPr>
            </w:pPr>
            <w:r>
              <w:rPr>
                <w:rFonts w:ascii="Arial" w:cs="Arial" w:eastAsia="Arial" w:hAnsi="Arial"/>
                <w:sz w:val="13"/>
                <w:szCs w:val="13"/>
                <w:color w:val="auto"/>
                <w:w w:val="98"/>
              </w:rPr>
              <w:t>87.78</w:t>
            </w:r>
          </w:p>
        </w:tc>
        <w:tc>
          <w:tcPr>
            <w:tcW w:w="20" w:type="dxa"/>
            <w:vAlign w:val="bottom"/>
            <w:tcBorders>
              <w:bottom w:val="single" w:sz="8" w:color="898989"/>
            </w:tcBorders>
            <w:shd w:val="clear" w:color="auto" w:fill="898989"/>
          </w:tcPr>
          <w:p>
            <w:pPr>
              <w:spacing w:after="0"/>
              <w:rPr>
                <w:sz w:val="15"/>
                <w:szCs w:val="15"/>
                <w:color w:val="auto"/>
              </w:rPr>
            </w:pPr>
          </w:p>
        </w:tc>
        <w:tc>
          <w:tcPr>
            <w:tcW w:w="1100" w:type="dxa"/>
            <w:vAlign w:val="bottom"/>
            <w:tcBorders>
              <w:bottom w:val="single" w:sz="8" w:color="898989"/>
            </w:tcBorders>
          </w:tcPr>
          <w:p>
            <w:pPr>
              <w:ind w:left="360"/>
              <w:spacing w:after="0"/>
              <w:rPr>
                <w:sz w:val="20"/>
                <w:szCs w:val="20"/>
                <w:color w:val="auto"/>
              </w:rPr>
            </w:pPr>
            <w:r>
              <w:rPr>
                <w:rFonts w:ascii="Arial" w:cs="Arial" w:eastAsia="Arial" w:hAnsi="Arial"/>
                <w:sz w:val="13"/>
                <w:szCs w:val="13"/>
                <w:color w:val="auto"/>
              </w:rPr>
              <w:t>115.91</w:t>
            </w:r>
          </w:p>
        </w:tc>
        <w:tc>
          <w:tcPr>
            <w:tcW w:w="20" w:type="dxa"/>
            <w:vAlign w:val="bottom"/>
            <w:tcBorders>
              <w:bottom w:val="single" w:sz="8" w:color="898989"/>
            </w:tcBorders>
            <w:shd w:val="clear" w:color="auto" w:fill="898989"/>
          </w:tcPr>
          <w:p>
            <w:pPr>
              <w:spacing w:after="0"/>
              <w:rPr>
                <w:sz w:val="15"/>
                <w:szCs w:val="15"/>
                <w:color w:val="auto"/>
              </w:rPr>
            </w:pPr>
          </w:p>
        </w:tc>
        <w:tc>
          <w:tcPr>
            <w:tcW w:w="1080" w:type="dxa"/>
            <w:vAlign w:val="bottom"/>
            <w:tcBorders>
              <w:bottom w:val="single" w:sz="8" w:color="898989"/>
            </w:tcBorders>
          </w:tcPr>
          <w:p>
            <w:pPr>
              <w:jc w:val="center"/>
              <w:spacing w:after="0"/>
              <w:rPr>
                <w:sz w:val="20"/>
                <w:szCs w:val="20"/>
                <w:color w:val="auto"/>
              </w:rPr>
            </w:pPr>
            <w:r>
              <w:rPr>
                <w:rFonts w:ascii="Arial" w:cs="Arial" w:eastAsia="Arial" w:hAnsi="Arial"/>
                <w:sz w:val="13"/>
                <w:szCs w:val="13"/>
                <w:color w:val="auto"/>
                <w:w w:val="98"/>
              </w:rPr>
              <w:t>73.63</w:t>
            </w:r>
          </w:p>
        </w:tc>
        <w:tc>
          <w:tcPr>
            <w:tcW w:w="20" w:type="dxa"/>
            <w:vAlign w:val="bottom"/>
            <w:tcBorders>
              <w:bottom w:val="single" w:sz="8" w:color="898989"/>
            </w:tcBorders>
            <w:shd w:val="clear" w:color="auto" w:fill="898989"/>
          </w:tcPr>
          <w:p>
            <w:pPr>
              <w:spacing w:after="0"/>
              <w:rPr>
                <w:sz w:val="15"/>
                <w:szCs w:val="15"/>
                <w:color w:val="auto"/>
              </w:rPr>
            </w:pPr>
          </w:p>
        </w:tc>
        <w:tc>
          <w:tcPr>
            <w:tcW w:w="1100" w:type="dxa"/>
            <w:vAlign w:val="bottom"/>
            <w:tcBorders>
              <w:bottom w:val="single" w:sz="8" w:color="898989"/>
            </w:tcBorders>
          </w:tcPr>
          <w:p>
            <w:pPr>
              <w:jc w:val="center"/>
              <w:spacing w:after="0"/>
              <w:rPr>
                <w:sz w:val="20"/>
                <w:szCs w:val="20"/>
                <w:color w:val="auto"/>
              </w:rPr>
            </w:pPr>
            <w:r>
              <w:rPr>
                <w:rFonts w:ascii="Arial" w:cs="Arial" w:eastAsia="Arial" w:hAnsi="Arial"/>
                <w:sz w:val="13"/>
                <w:szCs w:val="13"/>
                <w:color w:val="auto"/>
                <w:w w:val="98"/>
              </w:rPr>
              <w:t>68.59</w:t>
            </w:r>
          </w:p>
        </w:tc>
        <w:tc>
          <w:tcPr>
            <w:tcW w:w="20" w:type="dxa"/>
            <w:vAlign w:val="bottom"/>
            <w:tcBorders>
              <w:bottom w:val="single" w:sz="8" w:color="898989"/>
            </w:tcBorders>
            <w:shd w:val="clear" w:color="auto" w:fill="898989"/>
          </w:tcPr>
          <w:p>
            <w:pPr>
              <w:spacing w:after="0"/>
              <w:rPr>
                <w:sz w:val="15"/>
                <w:szCs w:val="15"/>
                <w:color w:val="auto"/>
              </w:rPr>
            </w:pPr>
          </w:p>
        </w:tc>
        <w:tc>
          <w:tcPr>
            <w:tcW w:w="1080" w:type="dxa"/>
            <w:vAlign w:val="bottom"/>
            <w:tcBorders>
              <w:bottom w:val="single" w:sz="8" w:color="898989"/>
            </w:tcBorders>
          </w:tcPr>
          <w:p>
            <w:pPr>
              <w:jc w:val="center"/>
              <w:spacing w:after="0"/>
              <w:rPr>
                <w:sz w:val="20"/>
                <w:szCs w:val="20"/>
                <w:color w:val="auto"/>
              </w:rPr>
            </w:pPr>
            <w:r>
              <w:rPr>
                <w:rFonts w:ascii="Arial" w:cs="Arial" w:eastAsia="Arial" w:hAnsi="Arial"/>
                <w:sz w:val="13"/>
                <w:szCs w:val="13"/>
                <w:color w:val="auto"/>
                <w:w w:val="98"/>
              </w:rPr>
              <w:t>61.39</w:t>
            </w:r>
          </w:p>
        </w:tc>
        <w:tc>
          <w:tcPr>
            <w:tcW w:w="20" w:type="dxa"/>
            <w:vAlign w:val="bottom"/>
            <w:tcBorders>
              <w:bottom w:val="single" w:sz="8" w:color="898989"/>
            </w:tcBorders>
            <w:shd w:val="clear" w:color="auto" w:fill="898989"/>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420" w:type="dxa"/>
            <w:vAlign w:val="bottom"/>
            <w:tcBorders>
              <w:left w:val="single" w:sz="8" w:color="898989"/>
              <w:bottom w:val="single" w:sz="8" w:color="898989"/>
            </w:tcBorders>
          </w:tcPr>
          <w:p>
            <w:pPr>
              <w:ind w:left="580"/>
              <w:spacing w:after="0"/>
              <w:rPr>
                <w:sz w:val="20"/>
                <w:szCs w:val="20"/>
                <w:color w:val="auto"/>
              </w:rPr>
            </w:pPr>
            <w:r>
              <w:rPr>
                <w:rFonts w:ascii="Arial" w:cs="Arial" w:eastAsia="Arial" w:hAnsi="Arial"/>
                <w:sz w:val="13"/>
                <w:szCs w:val="13"/>
                <w:color w:val="auto"/>
              </w:rPr>
              <w:t>S&amp;P 500</w:t>
            </w:r>
          </w:p>
        </w:tc>
        <w:tc>
          <w:tcPr>
            <w:tcW w:w="40" w:type="dxa"/>
            <w:vAlign w:val="bottom"/>
            <w:tcBorders>
              <w:left w:val="single" w:sz="8" w:color="898989"/>
              <w:bottom w:val="single" w:sz="8" w:color="898989"/>
            </w:tcBorders>
            <w:shd w:val="clear" w:color="auto" w:fill="898989"/>
          </w:tcPr>
          <w:p>
            <w:pPr>
              <w:spacing w:after="0"/>
              <w:rPr>
                <w:sz w:val="16"/>
                <w:szCs w:val="16"/>
                <w:color w:val="auto"/>
              </w:rPr>
            </w:pPr>
          </w:p>
        </w:tc>
        <w:tc>
          <w:tcPr>
            <w:tcW w:w="1060" w:type="dxa"/>
            <w:vAlign w:val="bottom"/>
            <w:tcBorders>
              <w:bottom w:val="single" w:sz="8" w:color="898989"/>
            </w:tcBorders>
          </w:tcPr>
          <w:p>
            <w:pPr>
              <w:ind w:left="320"/>
              <w:spacing w:after="0"/>
              <w:rPr>
                <w:sz w:val="20"/>
                <w:szCs w:val="20"/>
                <w:color w:val="auto"/>
              </w:rPr>
            </w:pPr>
            <w:r>
              <w:rPr>
                <w:rFonts w:ascii="Arial" w:cs="Arial" w:eastAsia="Arial" w:hAnsi="Arial"/>
                <w:sz w:val="13"/>
                <w:szCs w:val="13"/>
                <w:color w:val="auto"/>
              </w:rPr>
              <w:t>100.00</w:t>
            </w:r>
          </w:p>
        </w:tc>
        <w:tc>
          <w:tcPr>
            <w:tcW w:w="20" w:type="dxa"/>
            <w:vAlign w:val="bottom"/>
            <w:tcBorders>
              <w:bottom w:val="single" w:sz="8" w:color="898989"/>
            </w:tcBorders>
            <w:shd w:val="clear" w:color="auto" w:fill="898989"/>
          </w:tcPr>
          <w:p>
            <w:pPr>
              <w:spacing w:after="0"/>
              <w:rPr>
                <w:sz w:val="16"/>
                <w:szCs w:val="16"/>
                <w:color w:val="auto"/>
              </w:rPr>
            </w:pPr>
          </w:p>
        </w:tc>
        <w:tc>
          <w:tcPr>
            <w:tcW w:w="1080" w:type="dxa"/>
            <w:vAlign w:val="bottom"/>
            <w:tcBorders>
              <w:bottom w:val="single" w:sz="8" w:color="898989"/>
            </w:tcBorders>
          </w:tcPr>
          <w:p>
            <w:pPr>
              <w:jc w:val="center"/>
              <w:spacing w:after="0"/>
              <w:rPr>
                <w:sz w:val="20"/>
                <w:szCs w:val="20"/>
                <w:color w:val="auto"/>
              </w:rPr>
            </w:pPr>
            <w:r>
              <w:rPr>
                <w:rFonts w:ascii="Arial" w:cs="Arial" w:eastAsia="Arial" w:hAnsi="Arial"/>
                <w:sz w:val="13"/>
                <w:szCs w:val="13"/>
                <w:color w:val="auto"/>
                <w:w w:val="95"/>
              </w:rPr>
              <w:t>118.40</w:t>
            </w:r>
          </w:p>
        </w:tc>
        <w:tc>
          <w:tcPr>
            <w:tcW w:w="20" w:type="dxa"/>
            <w:vAlign w:val="bottom"/>
            <w:tcBorders>
              <w:bottom w:val="single" w:sz="8" w:color="898989"/>
            </w:tcBorders>
            <w:shd w:val="clear" w:color="auto" w:fill="898989"/>
          </w:tcPr>
          <w:p>
            <w:pPr>
              <w:spacing w:after="0"/>
              <w:rPr>
                <w:sz w:val="16"/>
                <w:szCs w:val="16"/>
                <w:color w:val="auto"/>
              </w:rPr>
            </w:pPr>
          </w:p>
        </w:tc>
        <w:tc>
          <w:tcPr>
            <w:tcW w:w="1100" w:type="dxa"/>
            <w:vAlign w:val="bottom"/>
            <w:tcBorders>
              <w:bottom w:val="single" w:sz="8" w:color="898989"/>
            </w:tcBorders>
          </w:tcPr>
          <w:p>
            <w:pPr>
              <w:ind w:left="360"/>
              <w:spacing w:after="0"/>
              <w:rPr>
                <w:sz w:val="20"/>
                <w:szCs w:val="20"/>
                <w:color w:val="auto"/>
              </w:rPr>
            </w:pPr>
            <w:r>
              <w:rPr>
                <w:rFonts w:ascii="Arial" w:cs="Arial" w:eastAsia="Arial" w:hAnsi="Arial"/>
                <w:sz w:val="13"/>
                <w:szCs w:val="13"/>
                <w:color w:val="auto"/>
              </w:rPr>
              <w:t>152.39</w:t>
            </w:r>
          </w:p>
        </w:tc>
        <w:tc>
          <w:tcPr>
            <w:tcW w:w="20" w:type="dxa"/>
            <w:vAlign w:val="bottom"/>
            <w:tcBorders>
              <w:bottom w:val="single" w:sz="8" w:color="898989"/>
            </w:tcBorders>
            <w:shd w:val="clear" w:color="auto" w:fill="898989"/>
          </w:tcPr>
          <w:p>
            <w:pPr>
              <w:spacing w:after="0"/>
              <w:rPr>
                <w:sz w:val="16"/>
                <w:szCs w:val="16"/>
                <w:color w:val="auto"/>
              </w:rPr>
            </w:pPr>
          </w:p>
        </w:tc>
        <w:tc>
          <w:tcPr>
            <w:tcW w:w="1080" w:type="dxa"/>
            <w:vAlign w:val="bottom"/>
            <w:tcBorders>
              <w:bottom w:val="single" w:sz="8" w:color="898989"/>
            </w:tcBorders>
          </w:tcPr>
          <w:p>
            <w:pPr>
              <w:jc w:val="center"/>
              <w:spacing w:after="0"/>
              <w:rPr>
                <w:sz w:val="20"/>
                <w:szCs w:val="20"/>
                <w:color w:val="auto"/>
              </w:rPr>
            </w:pPr>
            <w:r>
              <w:rPr>
                <w:rFonts w:ascii="Arial" w:cs="Arial" w:eastAsia="Arial" w:hAnsi="Arial"/>
                <w:sz w:val="13"/>
                <w:szCs w:val="13"/>
                <w:color w:val="auto"/>
                <w:w w:val="95"/>
              </w:rPr>
              <w:t>124.79</w:t>
            </w:r>
          </w:p>
        </w:tc>
        <w:tc>
          <w:tcPr>
            <w:tcW w:w="20" w:type="dxa"/>
            <w:vAlign w:val="bottom"/>
            <w:tcBorders>
              <w:bottom w:val="single" w:sz="8" w:color="898989"/>
            </w:tcBorders>
            <w:shd w:val="clear" w:color="auto" w:fill="898989"/>
          </w:tcPr>
          <w:p>
            <w:pPr>
              <w:spacing w:after="0"/>
              <w:rPr>
                <w:sz w:val="16"/>
                <w:szCs w:val="16"/>
                <w:color w:val="auto"/>
              </w:rPr>
            </w:pPr>
          </w:p>
        </w:tc>
        <w:tc>
          <w:tcPr>
            <w:tcW w:w="1100" w:type="dxa"/>
            <w:vAlign w:val="bottom"/>
            <w:tcBorders>
              <w:bottom w:val="single" w:sz="8" w:color="898989"/>
            </w:tcBorders>
          </w:tcPr>
          <w:p>
            <w:pPr>
              <w:jc w:val="center"/>
              <w:spacing w:after="0"/>
              <w:rPr>
                <w:sz w:val="20"/>
                <w:szCs w:val="20"/>
                <w:color w:val="auto"/>
              </w:rPr>
            </w:pPr>
            <w:r>
              <w:rPr>
                <w:rFonts w:ascii="Arial" w:cs="Arial" w:eastAsia="Arial" w:hAnsi="Arial"/>
                <w:sz w:val="13"/>
                <w:szCs w:val="13"/>
                <w:color w:val="auto"/>
              </w:rPr>
              <w:t>157.59</w:t>
            </w:r>
          </w:p>
        </w:tc>
        <w:tc>
          <w:tcPr>
            <w:tcW w:w="20" w:type="dxa"/>
            <w:vAlign w:val="bottom"/>
            <w:tcBorders>
              <w:bottom w:val="single" w:sz="8" w:color="898989"/>
            </w:tcBorders>
            <w:shd w:val="clear" w:color="auto" w:fill="898989"/>
          </w:tcPr>
          <w:p>
            <w:pPr>
              <w:spacing w:after="0"/>
              <w:rPr>
                <w:sz w:val="16"/>
                <w:szCs w:val="16"/>
                <w:color w:val="auto"/>
              </w:rPr>
            </w:pPr>
          </w:p>
        </w:tc>
        <w:tc>
          <w:tcPr>
            <w:tcW w:w="1080" w:type="dxa"/>
            <w:vAlign w:val="bottom"/>
            <w:tcBorders>
              <w:bottom w:val="single" w:sz="8" w:color="898989"/>
            </w:tcBorders>
          </w:tcPr>
          <w:p>
            <w:pPr>
              <w:jc w:val="center"/>
              <w:spacing w:after="0"/>
              <w:rPr>
                <w:sz w:val="20"/>
                <w:szCs w:val="20"/>
                <w:color w:val="auto"/>
              </w:rPr>
            </w:pPr>
            <w:r>
              <w:rPr>
                <w:rFonts w:ascii="Arial" w:cs="Arial" w:eastAsia="Arial" w:hAnsi="Arial"/>
                <w:sz w:val="13"/>
                <w:szCs w:val="13"/>
                <w:color w:val="auto"/>
                <w:w w:val="95"/>
              </w:rPr>
              <w:t>197.02</w:t>
            </w:r>
          </w:p>
        </w:tc>
        <w:tc>
          <w:tcPr>
            <w:tcW w:w="20" w:type="dxa"/>
            <w:vAlign w:val="bottom"/>
            <w:tcBorders>
              <w:bottom w:val="single" w:sz="8" w:color="898989"/>
            </w:tcBorders>
            <w:shd w:val="clear" w:color="auto" w:fill="898989"/>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420" w:type="dxa"/>
            <w:vAlign w:val="bottom"/>
            <w:tcBorders>
              <w:left w:val="single" w:sz="8" w:color="898989"/>
              <w:bottom w:val="single" w:sz="8" w:color="898989"/>
            </w:tcBorders>
          </w:tcPr>
          <w:p>
            <w:pPr>
              <w:ind w:left="580"/>
              <w:spacing w:after="0"/>
              <w:rPr>
                <w:sz w:val="20"/>
                <w:szCs w:val="20"/>
                <w:color w:val="auto"/>
              </w:rPr>
            </w:pPr>
            <w:r>
              <w:rPr>
                <w:rFonts w:ascii="Arial" w:cs="Arial" w:eastAsia="Arial" w:hAnsi="Arial"/>
                <w:sz w:val="13"/>
                <w:szCs w:val="13"/>
                <w:color w:val="auto"/>
                <w:w w:val="98"/>
              </w:rPr>
              <w:t>S&amp;P Healthcare Equipment Select Industry Index</w:t>
            </w:r>
          </w:p>
        </w:tc>
        <w:tc>
          <w:tcPr>
            <w:tcW w:w="40" w:type="dxa"/>
            <w:vAlign w:val="bottom"/>
            <w:tcBorders>
              <w:left w:val="single" w:sz="8" w:color="898989"/>
              <w:bottom w:val="single" w:sz="8" w:color="898989"/>
            </w:tcBorders>
            <w:shd w:val="clear" w:color="auto" w:fill="898989"/>
          </w:tcPr>
          <w:p>
            <w:pPr>
              <w:spacing w:after="0"/>
              <w:rPr>
                <w:sz w:val="15"/>
                <w:szCs w:val="15"/>
                <w:color w:val="auto"/>
              </w:rPr>
            </w:pPr>
          </w:p>
        </w:tc>
        <w:tc>
          <w:tcPr>
            <w:tcW w:w="1060" w:type="dxa"/>
            <w:vAlign w:val="bottom"/>
            <w:tcBorders>
              <w:bottom w:val="single" w:sz="8" w:color="898989"/>
            </w:tcBorders>
          </w:tcPr>
          <w:p>
            <w:pPr>
              <w:ind w:left="320"/>
              <w:spacing w:after="0"/>
              <w:rPr>
                <w:sz w:val="20"/>
                <w:szCs w:val="20"/>
                <w:color w:val="auto"/>
              </w:rPr>
            </w:pPr>
            <w:r>
              <w:rPr>
                <w:rFonts w:ascii="Arial" w:cs="Arial" w:eastAsia="Arial" w:hAnsi="Arial"/>
                <w:sz w:val="13"/>
                <w:szCs w:val="13"/>
                <w:color w:val="auto"/>
              </w:rPr>
              <w:t>100.00</w:t>
            </w:r>
          </w:p>
        </w:tc>
        <w:tc>
          <w:tcPr>
            <w:tcW w:w="20" w:type="dxa"/>
            <w:vAlign w:val="bottom"/>
            <w:tcBorders>
              <w:bottom w:val="single" w:sz="8" w:color="898989"/>
            </w:tcBorders>
            <w:shd w:val="clear" w:color="auto" w:fill="898989"/>
          </w:tcPr>
          <w:p>
            <w:pPr>
              <w:spacing w:after="0"/>
              <w:rPr>
                <w:sz w:val="15"/>
                <w:szCs w:val="15"/>
                <w:color w:val="auto"/>
              </w:rPr>
            </w:pPr>
          </w:p>
        </w:tc>
        <w:tc>
          <w:tcPr>
            <w:tcW w:w="1080" w:type="dxa"/>
            <w:vAlign w:val="bottom"/>
            <w:tcBorders>
              <w:bottom w:val="single" w:sz="8" w:color="898989"/>
            </w:tcBorders>
          </w:tcPr>
          <w:p>
            <w:pPr>
              <w:jc w:val="center"/>
              <w:spacing w:after="0"/>
              <w:rPr>
                <w:sz w:val="20"/>
                <w:szCs w:val="20"/>
                <w:color w:val="auto"/>
              </w:rPr>
            </w:pPr>
            <w:r>
              <w:rPr>
                <w:rFonts w:ascii="Arial" w:cs="Arial" w:eastAsia="Arial" w:hAnsi="Arial"/>
                <w:sz w:val="13"/>
                <w:szCs w:val="13"/>
                <w:color w:val="auto"/>
                <w:w w:val="95"/>
              </w:rPr>
              <w:t>117.63</w:t>
            </w:r>
          </w:p>
        </w:tc>
        <w:tc>
          <w:tcPr>
            <w:tcW w:w="20" w:type="dxa"/>
            <w:vAlign w:val="bottom"/>
            <w:tcBorders>
              <w:bottom w:val="single" w:sz="8" w:color="898989"/>
            </w:tcBorders>
            <w:shd w:val="clear" w:color="auto" w:fill="898989"/>
          </w:tcPr>
          <w:p>
            <w:pPr>
              <w:spacing w:after="0"/>
              <w:rPr>
                <w:sz w:val="15"/>
                <w:szCs w:val="15"/>
                <w:color w:val="auto"/>
              </w:rPr>
            </w:pPr>
          </w:p>
        </w:tc>
        <w:tc>
          <w:tcPr>
            <w:tcW w:w="1100" w:type="dxa"/>
            <w:vAlign w:val="bottom"/>
            <w:tcBorders>
              <w:bottom w:val="single" w:sz="8" w:color="898989"/>
            </w:tcBorders>
          </w:tcPr>
          <w:p>
            <w:pPr>
              <w:ind w:left="360"/>
              <w:spacing w:after="0"/>
              <w:rPr>
                <w:sz w:val="20"/>
                <w:szCs w:val="20"/>
                <w:color w:val="auto"/>
              </w:rPr>
            </w:pPr>
            <w:r>
              <w:rPr>
                <w:rFonts w:ascii="Arial" w:cs="Arial" w:eastAsia="Arial" w:hAnsi="Arial"/>
                <w:sz w:val="13"/>
                <w:szCs w:val="13"/>
                <w:color w:val="auto"/>
              </w:rPr>
              <w:t>140.40</w:t>
            </w:r>
          </w:p>
        </w:tc>
        <w:tc>
          <w:tcPr>
            <w:tcW w:w="20" w:type="dxa"/>
            <w:vAlign w:val="bottom"/>
            <w:tcBorders>
              <w:bottom w:val="single" w:sz="8" w:color="898989"/>
            </w:tcBorders>
            <w:shd w:val="clear" w:color="auto" w:fill="898989"/>
          </w:tcPr>
          <w:p>
            <w:pPr>
              <w:spacing w:after="0"/>
              <w:rPr>
                <w:sz w:val="15"/>
                <w:szCs w:val="15"/>
                <w:color w:val="auto"/>
              </w:rPr>
            </w:pPr>
          </w:p>
        </w:tc>
        <w:tc>
          <w:tcPr>
            <w:tcW w:w="1080" w:type="dxa"/>
            <w:vAlign w:val="bottom"/>
            <w:tcBorders>
              <w:bottom w:val="single" w:sz="8" w:color="898989"/>
            </w:tcBorders>
          </w:tcPr>
          <w:p>
            <w:pPr>
              <w:jc w:val="center"/>
              <w:spacing w:after="0"/>
              <w:rPr>
                <w:sz w:val="20"/>
                <w:szCs w:val="20"/>
                <w:color w:val="auto"/>
              </w:rPr>
            </w:pPr>
            <w:r>
              <w:rPr>
                <w:rFonts w:ascii="Arial" w:cs="Arial" w:eastAsia="Arial" w:hAnsi="Arial"/>
                <w:sz w:val="13"/>
                <w:szCs w:val="13"/>
                <w:color w:val="auto"/>
                <w:w w:val="95"/>
              </w:rPr>
              <w:t>113.92</w:t>
            </w:r>
          </w:p>
        </w:tc>
        <w:tc>
          <w:tcPr>
            <w:tcW w:w="20" w:type="dxa"/>
            <w:vAlign w:val="bottom"/>
            <w:tcBorders>
              <w:bottom w:val="single" w:sz="8" w:color="898989"/>
            </w:tcBorders>
            <w:shd w:val="clear" w:color="auto" w:fill="898989"/>
          </w:tcPr>
          <w:p>
            <w:pPr>
              <w:spacing w:after="0"/>
              <w:rPr>
                <w:sz w:val="15"/>
                <w:szCs w:val="15"/>
                <w:color w:val="auto"/>
              </w:rPr>
            </w:pPr>
          </w:p>
        </w:tc>
        <w:tc>
          <w:tcPr>
            <w:tcW w:w="1100" w:type="dxa"/>
            <w:vAlign w:val="bottom"/>
            <w:tcBorders>
              <w:bottom w:val="single" w:sz="8" w:color="898989"/>
            </w:tcBorders>
          </w:tcPr>
          <w:p>
            <w:pPr>
              <w:jc w:val="center"/>
              <w:spacing w:after="0"/>
              <w:rPr>
                <w:sz w:val="20"/>
                <w:szCs w:val="20"/>
                <w:color w:val="auto"/>
              </w:rPr>
            </w:pPr>
            <w:r>
              <w:rPr>
                <w:rFonts w:ascii="Arial" w:cs="Arial" w:eastAsia="Arial" w:hAnsi="Arial"/>
                <w:sz w:val="13"/>
                <w:szCs w:val="13"/>
                <w:color w:val="auto"/>
              </w:rPr>
              <w:t>124.22</w:t>
            </w:r>
          </w:p>
        </w:tc>
        <w:tc>
          <w:tcPr>
            <w:tcW w:w="20" w:type="dxa"/>
            <w:vAlign w:val="bottom"/>
            <w:tcBorders>
              <w:bottom w:val="single" w:sz="8" w:color="898989"/>
            </w:tcBorders>
            <w:shd w:val="clear" w:color="auto" w:fill="898989"/>
          </w:tcPr>
          <w:p>
            <w:pPr>
              <w:spacing w:after="0"/>
              <w:rPr>
                <w:sz w:val="15"/>
                <w:szCs w:val="15"/>
                <w:color w:val="auto"/>
              </w:rPr>
            </w:pPr>
          </w:p>
        </w:tc>
        <w:tc>
          <w:tcPr>
            <w:tcW w:w="1080" w:type="dxa"/>
            <w:vAlign w:val="bottom"/>
            <w:tcBorders>
              <w:bottom w:val="single" w:sz="8" w:color="898989"/>
            </w:tcBorders>
          </w:tcPr>
          <w:p>
            <w:pPr>
              <w:jc w:val="center"/>
              <w:spacing w:after="0"/>
              <w:rPr>
                <w:sz w:val="20"/>
                <w:szCs w:val="20"/>
                <w:color w:val="auto"/>
              </w:rPr>
            </w:pPr>
            <w:r>
              <w:rPr>
                <w:rFonts w:ascii="Arial" w:cs="Arial" w:eastAsia="Arial" w:hAnsi="Arial"/>
                <w:sz w:val="13"/>
                <w:szCs w:val="13"/>
                <w:color w:val="auto"/>
                <w:w w:val="95"/>
              </w:rPr>
              <w:t>137.81</w:t>
            </w:r>
          </w:p>
        </w:tc>
        <w:tc>
          <w:tcPr>
            <w:tcW w:w="20" w:type="dxa"/>
            <w:vAlign w:val="bottom"/>
            <w:tcBorders>
              <w:bottom w:val="single" w:sz="8" w:color="898989"/>
            </w:tcBorders>
            <w:shd w:val="clear" w:color="auto" w:fill="898989"/>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-351790</wp:posOffset>
            </wp:positionV>
            <wp:extent cx="28575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extLst>
                    </a:blip>
                    <a:srcRect/>
                    <a:stretch>
                      <a:fillRect/>
                    </a:stretch>
                  </pic:blipFill>
                  <pic:spPr bwMode="auto">
                    <a:xfrm>
                      <a:off x="0" y="0"/>
                      <a:ext cx="285750" cy="4254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-228600</wp:posOffset>
            </wp:positionV>
            <wp:extent cx="321945" cy="641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extLst>
                    </a:blip>
                    <a:srcRect/>
                    <a:stretch>
                      <a:fillRect/>
                    </a:stretch>
                  </pic:blipFill>
                  <pic:spPr bwMode="auto">
                    <a:xfrm>
                      <a:off x="0" y="0"/>
                      <a:ext cx="321945" cy="6413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-99695</wp:posOffset>
            </wp:positionV>
            <wp:extent cx="321945" cy="590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extLst>
                    </a:blip>
                    <a:srcRect/>
                    <a:stretch>
                      <a:fillRect/>
                    </a:stretch>
                  </pic:blipFill>
                  <pic:spPr bwMode="auto">
                    <a:xfrm>
                      <a:off x="0" y="0"/>
                      <a:ext cx="321945" cy="59055"/>
                    </a:xfrm>
                    <a:prstGeom prst="rect">
                      <a:avLst/>
                    </a:prstGeom>
                    <a:noFill/>
                  </pic:spPr>
                </pic:pic>
              </a:graphicData>
            </a:graphic>
          </wp:anchor>
        </w:drawing>
        <w:drawing>
          <wp:anchor simplePos="0" relativeHeight="251657728" behindDoc="1" locked="0" layoutInCell="0" allowOverlap="1">
            <wp:simplePos x="0" y="0"/>
            <wp:positionH relativeFrom="column">
              <wp:posOffset>2174875</wp:posOffset>
            </wp:positionH>
            <wp:positionV relativeFrom="paragraph">
              <wp:posOffset>-1435100</wp:posOffset>
            </wp:positionV>
            <wp:extent cx="4212590" cy="922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a:extLst>
                        <a:ext uri="{28A0092B-C50C-407E-A947-70E740481C1C}"/>
                      </a:extLst>
                    </a:blip>
                    <a:srcRect/>
                    <a:stretch>
                      <a:fillRect/>
                    </a:stretch>
                  </pic:blipFill>
                  <pic:spPr bwMode="auto">
                    <a:xfrm>
                      <a:off x="0" y="0"/>
                      <a:ext cx="4212590" cy="922020"/>
                    </a:xfrm>
                    <a:prstGeom prst="rect">
                      <a:avLst/>
                    </a:prstGeom>
                    <a:noFill/>
                  </pic:spPr>
                </pic:pic>
              </a:graphicData>
            </a:graphic>
          </wp:anchor>
        </w:drawing>
      </w:r>
    </w:p>
    <w:p>
      <w:pPr>
        <w:spacing w:after="0" w:line="11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*$100 invested on 12/31/19 in stock or index, including reinvestment of dividends.</w:t>
      </w:r>
    </w:p>
    <w:p>
      <w:pPr>
        <w:ind w:left="100"/>
        <w:spacing w:after="0"/>
        <w:rPr>
          <w:sz w:val="20"/>
          <w:szCs w:val="20"/>
          <w:color w:val="auto"/>
        </w:rPr>
      </w:pPr>
      <w:r>
        <w:rPr>
          <w:rFonts w:ascii="Arial" w:cs="Arial" w:eastAsia="Arial" w:hAnsi="Arial"/>
          <w:sz w:val="13"/>
          <w:szCs w:val="13"/>
          <w:color w:val="auto"/>
        </w:rPr>
        <w:t>Fiscal year ending December 31.</w:t>
      </w:r>
    </w:p>
    <w:p>
      <w:pPr>
        <w:spacing w:after="0" w:line="291" w:lineRule="exact"/>
        <w:rPr>
          <w:sz w:val="20"/>
          <w:szCs w:val="20"/>
          <w:color w:val="auto"/>
        </w:rPr>
      </w:pPr>
    </w:p>
    <w:p>
      <w:pPr>
        <w:jc w:val="both"/>
        <w:ind w:left="20" w:right="20"/>
        <w:spacing w:after="0" w:line="265" w:lineRule="auto"/>
        <w:rPr>
          <w:sz w:val="20"/>
          <w:szCs w:val="20"/>
          <w:color w:val="auto"/>
        </w:rPr>
      </w:pPr>
      <w:r>
        <w:rPr>
          <w:rFonts w:ascii="Arial" w:cs="Arial" w:eastAsia="Arial" w:hAnsi="Arial"/>
          <w:sz w:val="20"/>
          <w:szCs w:val="20"/>
          <w:color w:val="auto"/>
        </w:rPr>
        <w:t>The information under the caption “Stock Performance Graph” above is not deemed to be “filed” as part of the Report and is not subject to the liability provisions of Section 18 of the Exchange Act. Such information will not be deemed incorporated by reference into any filing LivaNova makes under the Securities Act, unless LivaNova explicitly incorporates it into such filing at such time.</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ITEM 6. [RESERVED]</w:t>
      </w:r>
    </w:p>
    <w:p>
      <w:pPr>
        <w:sectPr>
          <w:pgSz w:w="11880" w:h="15480" w:orient="portrait"/>
          <w:cols w:equalWidth="0" w:num="1">
            <w:col w:w="10080"/>
          </w:cols>
          <w:pgMar w:left="900" w:top="64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880" w:h="15480" w:orient="portrait"/>
          <w:cols w:equalWidth="0" w:num="1">
            <w:col w:w="10080"/>
          </w:cols>
          <w:pgMar w:left="900" w:top="644" w:right="900" w:bottom="0" w:gutter="0" w:footer="0" w:header="0"/>
          <w:type w:val="continuous"/>
        </w:sectPr>
      </w:pPr>
    </w:p>
    <w:bookmarkStart w:id="38" w:name="page39"/>
    <w:bookmarkEnd w:id="38"/>
    <w:p>
      <w:pPr>
        <w:jc w:val="both"/>
        <w:spacing w:after="0" w:line="288" w:lineRule="auto"/>
        <w:rPr>
          <w:sz w:val="20"/>
          <w:szCs w:val="20"/>
          <w:color w:val="auto"/>
        </w:rPr>
      </w:pPr>
      <w:r>
        <w:rPr>
          <w:rFonts w:ascii="Arial" w:cs="Arial" w:eastAsia="Arial" w:hAnsi="Arial"/>
          <w:sz w:val="24"/>
          <w:szCs w:val="24"/>
          <w:b w:val="1"/>
          <w:bCs w:val="1"/>
          <w:color w:val="auto"/>
        </w:rPr>
        <w:t>ITEM 7. MANAGEMENT’S DISCUSSION AND ANALYSIS OF FINANCIAL CONDITION AND RESULTS OF OPERATIONS</w:t>
      </w:r>
    </w:p>
    <w:p>
      <w:pPr>
        <w:spacing w:after="0" w:line="64" w:lineRule="exact"/>
        <w:rPr>
          <w:sz w:val="20"/>
          <w:szCs w:val="20"/>
          <w:color w:val="auto"/>
        </w:rPr>
      </w:pPr>
    </w:p>
    <w:p>
      <w:pPr>
        <w:jc w:val="both"/>
        <w:ind w:right="20"/>
        <w:spacing w:after="0" w:line="262" w:lineRule="auto"/>
        <w:rPr>
          <w:sz w:val="20"/>
          <w:szCs w:val="20"/>
          <w:color w:val="auto"/>
        </w:rPr>
      </w:pPr>
      <w:r>
        <w:rPr>
          <w:rFonts w:ascii="Arial" w:cs="Arial" w:eastAsia="Arial" w:hAnsi="Arial"/>
          <w:sz w:val="20"/>
          <w:szCs w:val="20"/>
          <w:color w:val="auto"/>
        </w:rPr>
        <w:t>The following discussion and analysis should be read in conjunction with the consolidated financial statements and related notes, which appear elsewhere in this Report. Certain percentages presented in this discussion and analysis are calculated from the underlying whole-dollar amounts and therefore may not tie to percentages recalculated from the rounded numbers used for disclosure purposes. The following discussion, analysis, and comparisons generally focus on the operating results for 2024, 2023, and 2022.</w:t>
      </w:r>
    </w:p>
    <w:p>
      <w:pPr>
        <w:spacing w:after="0" w:line="87" w:lineRule="exact"/>
        <w:rPr>
          <w:sz w:val="20"/>
          <w:szCs w:val="20"/>
          <w:color w:val="auto"/>
        </w:rPr>
      </w:pPr>
    </w:p>
    <w:p>
      <w:pPr>
        <w:jc w:val="both"/>
        <w:ind w:right="20"/>
        <w:spacing w:after="0" w:line="265" w:lineRule="auto"/>
        <w:rPr>
          <w:sz w:val="20"/>
          <w:szCs w:val="20"/>
          <w:color w:val="auto"/>
        </w:rPr>
      </w:pPr>
      <w:r>
        <w:rPr>
          <w:rFonts w:ascii="Arial" w:cs="Arial" w:eastAsia="Arial" w:hAnsi="Arial"/>
          <w:sz w:val="20"/>
          <w:szCs w:val="20"/>
          <w:color w:val="auto"/>
        </w:rPr>
        <w:t>LivaNova has elected to omit certain discussions on the earliest of the three years covered in this Report. Refer to Item 7. Management’s Discussion and Analysis of Financial Condition and Results of Operations located in LivaNova’s Annual Report on Form 10-K for the year ended December 31, 2023, filed on February 29, 2024, for reference to discussion of 2022, the earliest of the three fiscal years presented.</w:t>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Description of the Business</w:t>
      </w:r>
    </w:p>
    <w:p>
      <w:pPr>
        <w:spacing w:after="0" w:line="148" w:lineRule="exact"/>
        <w:rPr>
          <w:sz w:val="20"/>
          <w:szCs w:val="20"/>
          <w:color w:val="auto"/>
        </w:rPr>
      </w:pPr>
    </w:p>
    <w:p>
      <w:pPr>
        <w:jc w:val="both"/>
        <w:ind w:right="20"/>
        <w:spacing w:after="0" w:line="319" w:lineRule="auto"/>
        <w:rPr>
          <w:sz w:val="20"/>
          <w:szCs w:val="20"/>
          <w:color w:val="auto"/>
        </w:rPr>
      </w:pPr>
      <w:r>
        <w:rPr>
          <w:rFonts w:ascii="Arial" w:cs="Arial" w:eastAsia="Arial" w:hAnsi="Arial"/>
          <w:sz w:val="17"/>
          <w:szCs w:val="17"/>
          <w:color w:val="auto"/>
        </w:rPr>
        <w:t>LivaNova PLC is a market-leading global medical technology company. The Company designs, develops, manufactures, markets, and sells products and therapies that are consistent with LivaNova’s mission to provide hope for patients and their families through medical technologies, delivering life-changing solutions in select neurological and cardiac conditions. LivaNova is a public limited company organized under the laws of England and Wales and is headquartered in London, England. LivaNova’s ordinary shares are listed for trading on the Nasdaq under the symbol “LIVN.”</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Macroeconomic Environment</w:t>
      </w:r>
    </w:p>
    <w:p>
      <w:pPr>
        <w:spacing w:after="0" w:line="148" w:lineRule="exact"/>
        <w:rPr>
          <w:sz w:val="20"/>
          <w:szCs w:val="20"/>
          <w:color w:val="auto"/>
        </w:rPr>
      </w:pPr>
    </w:p>
    <w:p>
      <w:pPr>
        <w:jc w:val="both"/>
        <w:ind w:right="20"/>
        <w:spacing w:after="0" w:line="275" w:lineRule="auto"/>
        <w:rPr>
          <w:sz w:val="20"/>
          <w:szCs w:val="20"/>
          <w:color w:val="auto"/>
        </w:rPr>
      </w:pPr>
      <w:r>
        <w:rPr>
          <w:rFonts w:ascii="Arial" w:cs="Arial" w:eastAsia="Arial" w:hAnsi="Arial"/>
          <w:sz w:val="19"/>
          <w:szCs w:val="19"/>
          <w:color w:val="auto"/>
        </w:rPr>
        <w:t>The current macroeconomic environment, including FX volatility, inflationary pressures, geopolitical instability, and supply chain challenges, has impacted and may continue to impact LivaNova’s business, results of operations, cash flows, and financial condition. Furthermore, LivaNova continues to experience logistical, capacity, and labor constraints. However, to date, the Company’s supply of raw materials and the production and distribution of finished products have not been materially affected. The Company continues to respond to such challenges, and while LivaNova has business continuity plans in place, the impact of the ongoing challenges the Company is navigating, along with their potential escalation, may adversely affect its business. For further discussion on these macroeconomic pressures and potential implications, refer to “Item 1A. Risk Factors” of this Report.</w:t>
      </w:r>
    </w:p>
    <w:p>
      <w:pPr>
        <w:spacing w:after="0" w:line="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Cybersecurity Incident</w:t>
      </w:r>
    </w:p>
    <w:p>
      <w:pPr>
        <w:spacing w:after="0" w:line="148" w:lineRule="exact"/>
        <w:rPr>
          <w:sz w:val="20"/>
          <w:szCs w:val="20"/>
          <w:color w:val="auto"/>
        </w:rPr>
      </w:pPr>
    </w:p>
    <w:p>
      <w:pPr>
        <w:jc w:val="both"/>
        <w:ind w:right="20"/>
        <w:spacing w:after="0" w:line="275" w:lineRule="auto"/>
        <w:rPr>
          <w:sz w:val="20"/>
          <w:szCs w:val="20"/>
          <w:color w:val="auto"/>
        </w:rPr>
      </w:pPr>
      <w:r>
        <w:rPr>
          <w:rFonts w:ascii="Arial" w:cs="Arial" w:eastAsia="Arial" w:hAnsi="Arial"/>
          <w:sz w:val="19"/>
          <w:szCs w:val="19"/>
          <w:color w:val="auto"/>
        </w:rPr>
        <w:t>As previously disclosed, in November 2023, LivaNova detected a cybersecurity incident that resulted in a disruption of portions of the Company’s information technology systems. Promptly after detecting the issue, LivaNova began an investigation with assistance from external cybersecurity experts and coordinated with law enforcement. The Company implemented remediation measures to mitigate the impact of the incident. The Company also assessed the nature and scope of the affected data, analyzed its statutory notification obligations, and notified affected individuals and regulators as required by applicable law. For further discussion on legal and regulatory developments, refer to “Note 11. Commitments and Contingencies” in LivaNova’s consolidated financial statements in this Report. The incident has been contained, and the Company’s mitigation efforts are considered complete.</w:t>
      </w:r>
    </w:p>
    <w:p>
      <w:pPr>
        <w:spacing w:after="0" w:line="75" w:lineRule="exact"/>
        <w:rPr>
          <w:sz w:val="20"/>
          <w:szCs w:val="20"/>
          <w:color w:val="auto"/>
        </w:rPr>
      </w:pPr>
    </w:p>
    <w:p>
      <w:pPr>
        <w:jc w:val="both"/>
        <w:ind w:right="20"/>
        <w:spacing w:after="0" w:line="272" w:lineRule="auto"/>
        <w:rPr>
          <w:sz w:val="20"/>
          <w:szCs w:val="20"/>
          <w:color w:val="auto"/>
        </w:rPr>
      </w:pPr>
      <w:r>
        <w:rPr>
          <w:rFonts w:ascii="Arial" w:cs="Arial" w:eastAsia="Arial" w:hAnsi="Arial"/>
          <w:sz w:val="19"/>
          <w:szCs w:val="19"/>
          <w:color w:val="auto"/>
        </w:rPr>
        <w:t>Through December 31, 2024, LivaNova incurred direct costs totaling $11.6 million in connection with this cybersecurity incident, including $9.0 million and $2.6 million during the twelve months ended December 31, 2024 and 2023, respectively. The total incurred direct costs primarily included external cybersecurity expert and legal fees, system restoration costs, and a $1.2 million provision related to the class action settlement, and do not include business interruption losses. The Company expects to incur additional costs related to this incident in the future. For further discussion on legal and regulatory developments, refer to “Note 11. Commitments and Contingencies” in LivaNova’s consolidated financial statements in this Report. LivaNova maintains insurance, including cyber insurance, which is subject to certain retentions and policy limitations that will likely limit the amount that the insurers may reimburse the Company. LivaNova has filed claims for insurance reimbursement of covered costs and business interruption losses related to this incident and has submitted additional claims and supplemental requests for reimbursement as new costs have been incurred. During 2024, LivaNova received $8.4 million, including $5.1 million in reimbursement of covered costs and $3.3 million in reimbursement of business interruption losses under the Company’s cyber insurance policy. The Company’s insurance coverage may be insufficient to cover all costs and expenses related to this cybersecurity incident or may be unavailable to cover all costs and expenses related to this cybersecurity incident.</w:t>
      </w:r>
    </w:p>
    <w:p>
      <w:pPr>
        <w:sectPr>
          <w:pgSz w:w="11880" w:h="15480" w:orient="portrait"/>
          <w:cols w:equalWidth="0" w:num="1">
            <w:col w:w="10060"/>
          </w:cols>
          <w:pgMar w:left="920" w:top="64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37</w:t>
      </w:r>
    </w:p>
    <w:p>
      <w:pPr>
        <w:sectPr>
          <w:pgSz w:w="11880" w:h="15480" w:orient="portrait"/>
          <w:cols w:equalWidth="0" w:num="1">
            <w:col w:w="10060"/>
          </w:cols>
          <w:pgMar w:left="920" w:top="644" w:right="900" w:bottom="0" w:gutter="0" w:footer="0" w:header="0"/>
          <w:type w:val="continuous"/>
        </w:sectPr>
      </w:pPr>
    </w:p>
    <w:bookmarkStart w:id="39" w:name="page40"/>
    <w:bookmarkEnd w:id="39"/>
    <w:p>
      <w:pPr>
        <w:spacing w:after="0"/>
        <w:rPr>
          <w:sz w:val="20"/>
          <w:szCs w:val="20"/>
          <w:color w:val="auto"/>
        </w:rPr>
      </w:pPr>
      <w:r>
        <w:rPr>
          <w:rFonts w:ascii="Arial" w:cs="Arial" w:eastAsia="Arial" w:hAnsi="Arial"/>
          <w:sz w:val="22"/>
          <w:szCs w:val="22"/>
          <w:b w:val="1"/>
          <w:bCs w:val="1"/>
          <w:color w:val="auto"/>
        </w:rPr>
        <w:t>Business Segments</w:t>
      </w:r>
    </w:p>
    <w:p>
      <w:pPr>
        <w:spacing w:after="0" w:line="148"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LivaNova identifies operating segments based on how it manages, evaluates, and internally reports its business activities to allocate resources, develop, and execute its strategy and assess performance. Prior to 2024, LivaNova operated through three segments: Cardiopulmonary, Neuromodulation, and ACS. During the first quarter of 2024, the Company reorganized its operating and reporting structure upon initiating the 2024 Restructuring Plan. This involved transitioning all ACS standalone cannulae and accessories, including ProtekDuo and transseptal (TandemHeart) cannulae, into its Cardiopulmonary segment. Operations for other ACS products, including LifeSPARC and Hemolung systems, were discontinued in 2024. For additional information, refer to “Note 4. Restructuring” in LivaNova’s consolidated financial statements in this Report. This restructuring, along with changes in how the Company’s CODM regularly reviews information, allocates resources, and assesses performance, resulted in modifications to LivaNova’s reportable segments. Specifically, LivaNova’s former ACS segment is now included in “Other,” excluding the ACS standalone cannulae and accessories business, which is now included in the Cardiopulmonary reportable segment. As a result, LivaNova now has two reportable segments: Cardiopulmonary and Neuromodulation. The segment financial information presented herein reflects these changes for all periods presented. For additional information regarding LivaNova’s reportable segments, historical financial information, and its methodology for the presentation of financial results, refer to the consolidated financial statements and accompanying notes of this Report.</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color w:val="auto"/>
        </w:rPr>
        <w:t>Cardiopulmonary</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LivaNova’s Cardiopulmonary segment is engaged in the design, development, manufacture, marketing, and sale of cardiopulmonary products, including HLMs, oxygenators, autotransfusion systems, perfusion tubing systems, cannulae, and other related accessories. In particular, the Cardiopulmonary segment includes the Essenz Perfusion System, the Company’s next-generation HLM with an embedded patient monitor for tailored patient care strategies and sensing technology for data-driven decision-making during CPB procedures.</w:t>
      </w:r>
    </w:p>
    <w:p>
      <w:pPr>
        <w:spacing w:after="0" w:line="8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Information on the Cardiopulmonary segment that could potentially impact LivaNova’s consolidated financial statements and related disclosures is incorporated by reference to “Note 11. Commitments and Contingencies: Product Liability Litigation” in the consolidated financial statements included in this Report.</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color w:val="auto"/>
        </w:rPr>
        <w:t>Neuromodulation</w:t>
      </w:r>
    </w:p>
    <w:p>
      <w:pPr>
        <w:spacing w:after="0" w:line="140" w:lineRule="exact"/>
        <w:rPr>
          <w:sz w:val="20"/>
          <w:szCs w:val="20"/>
          <w:color w:val="auto"/>
        </w:rPr>
      </w:pPr>
    </w:p>
    <w:p>
      <w:pPr>
        <w:jc w:val="both"/>
        <w:spacing w:after="0" w:line="310" w:lineRule="auto"/>
        <w:rPr>
          <w:sz w:val="20"/>
          <w:szCs w:val="20"/>
          <w:color w:val="auto"/>
        </w:rPr>
      </w:pPr>
      <w:r>
        <w:rPr>
          <w:rFonts w:ascii="Arial" w:cs="Arial" w:eastAsia="Arial" w:hAnsi="Arial"/>
          <w:sz w:val="17"/>
          <w:szCs w:val="17"/>
          <w:color w:val="auto"/>
        </w:rPr>
        <w:t>LivaNova’s Neuromodulation segment is engaged in the design, development, manufacture, marketing, and sale of devices that deliver neuromodulation therapy for treating DRE and DTD. LivaNova’s principal Neuromodulation product, the VNS Therapy System, consists of an implantable pulse generator and connective lead that stimulates the vagus nerve, surgical equipment to assist with the implant procedure, and equipment and instruction manuals that enable a treating physician to set parameters for a patient’s pulse generator. The lead does not need to be removed to replace a generator with a depleted battery. The Neuromodulation segment is also engaged in the development and management of clinical testing for LivaNova’s aura6000 System for treating OSA. The aura6000 device stimulates the hypoglossal nerve, which engages specific tongue and palate muscles to open the airway while a patient sleeps. LivaNova’s Neuromodulation segment also includes costs associated with the Company’s former heart failure program, which the Company wound down during 2023.</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Epilepsy</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LivaNova continues to make investments in R&amp;D focused on improving the VNS Therapy System with an enhanced pulse generator, lead, and programming software, and LivaNova is developing new products that provide additional features and functionality. LivaNova also supports studies for the Company’s product development efforts and to build clinical evidence for the VNS Therapy System.</w:t>
      </w:r>
    </w:p>
    <w:p>
      <w:pPr>
        <w:spacing w:after="0" w:line="82"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Peer reviewed evidence published in 2021 and 2022 continues to confirm the safety, efficacy, and cost effectiveness of VNS Therapy in both the adult and pediatric patient populations. In January 2022, the Journal of Neurology published a meta-analysis and systematic review that demonstrated the benefits of VNS Therapy in adults with DRE and improvements in seizure frequency without an increase in the rate of serious adverse events or discontinuations for that population. These data further support consideration of VNS Therapy for people who are not responding to ASMs and those unsuitable or unwilling to undergo surgery.</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Depression and Obstructive Sleep Apnea</w:t>
      </w:r>
    </w:p>
    <w:p>
      <w:pPr>
        <w:spacing w:after="0" w:line="136"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Discussions of Depression and Obstructive Sleep Apnea are incorporated by reference to the sections titled “Depression” and “Obstructive Sleep Apnea,” respectively, included within “Part I, Item 1. Business” in this Report.</w:t>
      </w:r>
    </w:p>
    <w:p>
      <w:pPr>
        <w:sectPr>
          <w:pgSz w:w="11880" w:h="15480" w:orient="portrait"/>
          <w:cols w:equalWidth="0" w:num="1">
            <w:col w:w="10040"/>
          </w:cols>
          <w:pgMar w:left="920" w:top="65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880" w:h="15480" w:orient="portrait"/>
          <w:cols w:equalWidth="0" w:num="1">
            <w:col w:w="10040"/>
          </w:cols>
          <w:pgMar w:left="920" w:top="650" w:right="920" w:bottom="0" w:gutter="0" w:footer="0" w:header="0"/>
          <w:type w:val="continuous"/>
        </w:sectPr>
      </w:pPr>
    </w:p>
    <w:bookmarkStart w:id="40" w:name="page41"/>
    <w:bookmarkEnd w:id="40"/>
    <w:p>
      <w:pPr>
        <w:spacing w:after="0"/>
        <w:rPr>
          <w:sz w:val="20"/>
          <w:szCs w:val="20"/>
          <w:color w:val="auto"/>
        </w:rPr>
      </w:pPr>
      <w:r>
        <w:rPr>
          <w:rFonts w:ascii="Arial" w:cs="Arial" w:eastAsia="Arial" w:hAnsi="Arial"/>
          <w:sz w:val="22"/>
          <w:szCs w:val="22"/>
          <w:b w:val="1"/>
          <w:bCs w:val="1"/>
          <w:color w:val="auto"/>
        </w:rPr>
        <w:t>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LivaNova’s annual consolidated results of operations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18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02"/>
              <w:spacing w:after="0"/>
              <w:rPr>
                <w:sz w:val="20"/>
                <w:szCs w:val="20"/>
                <w:color w:val="auto"/>
              </w:rPr>
            </w:pPr>
            <w:r>
              <w:rPr>
                <w:rFonts w:ascii="Arial" w:cs="Arial" w:eastAsia="Arial" w:hAnsi="Arial"/>
                <w:sz w:val="20"/>
                <w:szCs w:val="20"/>
                <w:b w:val="1"/>
                <w:bCs w:val="1"/>
                <w:color w:val="auto"/>
              </w:rPr>
              <w:t>2024</w:t>
            </w:r>
          </w:p>
        </w:tc>
        <w:tc>
          <w:tcPr>
            <w:tcW w:w="60" w:type="dxa"/>
            <w:vAlign w:val="bottom"/>
            <w:tcBorders>
              <w:bottom w:val="single" w:sz="8" w:color="E6E6E6"/>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2"/>
              <w:spacing w:after="0"/>
              <w:rPr>
                <w:sz w:val="20"/>
                <w:szCs w:val="20"/>
                <w:color w:val="auto"/>
              </w:rPr>
            </w:pPr>
            <w:r>
              <w:rPr>
                <w:rFonts w:ascii="Arial" w:cs="Arial" w:eastAsia="Arial" w:hAnsi="Arial"/>
                <w:sz w:val="20"/>
                <w:szCs w:val="20"/>
                <w:b w:val="1"/>
                <w:bCs w:val="1"/>
                <w:color w:val="auto"/>
              </w:rPr>
              <w:t>2023</w:t>
            </w:r>
          </w:p>
        </w:tc>
        <w:tc>
          <w:tcPr>
            <w:tcW w:w="8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2"/>
              <w:spacing w:after="0"/>
              <w:rPr>
                <w:sz w:val="20"/>
                <w:szCs w:val="20"/>
                <w:color w:val="auto"/>
              </w:rPr>
            </w:pPr>
            <w:r>
              <w:rPr>
                <w:rFonts w:ascii="Arial" w:cs="Arial" w:eastAsia="Arial" w:hAnsi="Arial"/>
                <w:sz w:val="20"/>
                <w:szCs w:val="20"/>
                <w:b w:val="1"/>
                <w:bCs w:val="1"/>
                <w:color w:val="auto"/>
              </w:rPr>
              <w:t>2022</w:t>
            </w:r>
          </w:p>
        </w:tc>
      </w:tr>
      <w:tr>
        <w:trPr>
          <w:trHeight w:val="270"/>
        </w:trPr>
        <w:tc>
          <w:tcPr>
            <w:tcW w:w="5200" w:type="dxa"/>
            <w:vAlign w:val="bottom"/>
            <w:gridSpan w:val="2"/>
            <w:shd w:val="clear" w:color="auto" w:fill="E6E6E6"/>
          </w:tcPr>
          <w:p>
            <w:pPr>
              <w:ind w:left="40"/>
              <w:spacing w:after="0"/>
              <w:rPr>
                <w:sz w:val="20"/>
                <w:szCs w:val="20"/>
                <w:color w:val="auto"/>
              </w:rPr>
            </w:pPr>
            <w:r>
              <w:rPr>
                <w:rFonts w:ascii="Arial" w:cs="Arial" w:eastAsia="Arial" w:hAnsi="Arial"/>
                <w:sz w:val="20"/>
                <w:szCs w:val="20"/>
                <w:color w:val="auto"/>
              </w:rPr>
              <w:t>Net revenue</w:t>
            </w:r>
          </w:p>
        </w:tc>
        <w:tc>
          <w:tcPr>
            <w:tcW w:w="360" w:type="dxa"/>
            <w:vAlign w:val="bottom"/>
            <w:shd w:val="clear" w:color="auto" w:fill="E6E6E6"/>
          </w:tcPr>
          <w:p>
            <w:pPr>
              <w:jc w:val="right"/>
              <w:ind w:right="122"/>
              <w:spacing w:after="0"/>
              <w:rPr>
                <w:sz w:val="20"/>
                <w:szCs w:val="20"/>
                <w:color w:val="auto"/>
              </w:rPr>
            </w:pPr>
            <w:r>
              <w:rPr>
                <w:rFonts w:ascii="Arial" w:cs="Arial" w:eastAsia="Arial" w:hAnsi="Arial"/>
                <w:sz w:val="20"/>
                <w:szCs w:val="20"/>
                <w:color w:val="auto"/>
              </w:rPr>
              <w:t>$</w:t>
            </w: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1,253,437</w:t>
            </w:r>
          </w:p>
        </w:tc>
        <w:tc>
          <w:tcPr>
            <w:tcW w:w="440" w:type="dxa"/>
            <w:vAlign w:val="bottom"/>
            <w:gridSpan w:val="2"/>
            <w:shd w:val="clear" w:color="auto" w:fill="E6E6E6"/>
          </w:tcPr>
          <w:p>
            <w:pPr>
              <w:jc w:val="right"/>
              <w:ind w:right="122"/>
              <w:spacing w:after="0"/>
              <w:rPr>
                <w:sz w:val="20"/>
                <w:szCs w:val="20"/>
                <w:color w:val="auto"/>
              </w:rPr>
            </w:pPr>
            <w:r>
              <w:rPr>
                <w:rFonts w:ascii="Arial" w:cs="Arial" w:eastAsia="Arial" w:hAnsi="Arial"/>
                <w:sz w:val="20"/>
                <w:szCs w:val="20"/>
                <w:color w:val="auto"/>
              </w:rPr>
              <w:t>$</w:t>
            </w: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1,153,545</w:t>
            </w:r>
          </w:p>
        </w:tc>
        <w:tc>
          <w:tcPr>
            <w:tcW w:w="440" w:type="dxa"/>
            <w:vAlign w:val="bottom"/>
            <w:gridSpan w:val="2"/>
            <w:shd w:val="clear" w:color="auto" w:fill="E6E6E6"/>
          </w:tcPr>
          <w:p>
            <w:pPr>
              <w:jc w:val="right"/>
              <w:ind w:right="122"/>
              <w:spacing w:after="0"/>
              <w:rPr>
                <w:sz w:val="20"/>
                <w:szCs w:val="20"/>
                <w:color w:val="auto"/>
              </w:rPr>
            </w:pPr>
            <w:r>
              <w:rPr>
                <w:rFonts w:ascii="Arial" w:cs="Arial" w:eastAsia="Arial" w:hAnsi="Arial"/>
                <w:sz w:val="20"/>
                <w:szCs w:val="20"/>
                <w:color w:val="auto"/>
              </w:rPr>
              <w:t>$</w:t>
            </w: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1,021,805</w:t>
            </w:r>
          </w:p>
        </w:tc>
      </w:tr>
      <w:tr>
        <w:trPr>
          <w:trHeight w:val="269"/>
        </w:trPr>
        <w:tc>
          <w:tcPr>
            <w:tcW w:w="5200" w:type="dxa"/>
            <w:vAlign w:val="bottom"/>
            <w:tcBorders>
              <w:bottom w:val="single" w:sz="8" w:color="E6E6E6"/>
            </w:tcBorders>
            <w:gridSpan w:val="2"/>
          </w:tcPr>
          <w:p>
            <w:pPr>
              <w:ind w:left="40"/>
              <w:spacing w:after="0"/>
              <w:rPr>
                <w:sz w:val="20"/>
                <w:szCs w:val="20"/>
                <w:color w:val="auto"/>
              </w:rPr>
            </w:pPr>
            <w:r>
              <w:rPr>
                <w:rFonts w:ascii="Arial" w:cs="Arial" w:eastAsia="Arial" w:hAnsi="Arial"/>
                <w:sz w:val="20"/>
                <w:szCs w:val="20"/>
                <w:color w:val="auto"/>
              </w:rPr>
              <w:t>Cost of sales</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382,564</w:t>
            </w:r>
          </w:p>
        </w:tc>
        <w:tc>
          <w:tcPr>
            <w:tcW w:w="60" w:type="dxa"/>
            <w:vAlign w:val="bottom"/>
            <w:tcBorders>
              <w:bottom w:val="single" w:sz="8" w:color="E6E6E6"/>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382,295</w:t>
            </w:r>
          </w:p>
        </w:tc>
        <w:tc>
          <w:tcPr>
            <w:tcW w:w="80" w:type="dxa"/>
            <w:vAlign w:val="bottom"/>
            <w:tcBorders>
              <w:bottom w:val="single" w:sz="8" w:color="E6E6E6"/>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314,577</w:t>
            </w:r>
          </w:p>
        </w:tc>
      </w:tr>
      <w:tr>
        <w:trPr>
          <w:trHeight w:val="270"/>
        </w:trPr>
        <w:tc>
          <w:tcPr>
            <w:tcW w:w="5200" w:type="dxa"/>
            <w:vAlign w:val="bottom"/>
            <w:gridSpan w:val="2"/>
            <w:shd w:val="clear" w:color="auto" w:fill="E6E6E6"/>
          </w:tcPr>
          <w:p>
            <w:pPr>
              <w:ind w:left="180"/>
              <w:spacing w:after="0"/>
              <w:rPr>
                <w:sz w:val="20"/>
                <w:szCs w:val="20"/>
                <w:color w:val="auto"/>
              </w:rPr>
            </w:pPr>
            <w:r>
              <w:rPr>
                <w:rFonts w:ascii="Arial" w:cs="Arial" w:eastAsia="Arial" w:hAnsi="Arial"/>
                <w:sz w:val="20"/>
                <w:szCs w:val="20"/>
                <w:color w:val="auto"/>
              </w:rPr>
              <w:t>Gross profit</w:t>
            </w:r>
          </w:p>
        </w:tc>
        <w:tc>
          <w:tcPr>
            <w:tcW w:w="360" w:type="dxa"/>
            <w:vAlign w:val="bottom"/>
            <w:shd w:val="clear" w:color="auto" w:fill="E6E6E6"/>
          </w:tcPr>
          <w:p>
            <w:pPr>
              <w:spacing w:after="0"/>
              <w:rPr>
                <w:sz w:val="23"/>
                <w:szCs w:val="23"/>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870,873</w:t>
            </w:r>
          </w:p>
        </w:tc>
        <w:tc>
          <w:tcPr>
            <w:tcW w:w="60" w:type="dxa"/>
            <w:vAlign w:val="bottom"/>
            <w:shd w:val="clear" w:color="auto" w:fill="E6E6E6"/>
          </w:tcPr>
          <w:p>
            <w:pPr>
              <w:spacing w:after="0"/>
              <w:rPr>
                <w:sz w:val="23"/>
                <w:szCs w:val="23"/>
                <w:color w:val="auto"/>
              </w:rPr>
            </w:pPr>
          </w:p>
        </w:tc>
        <w:tc>
          <w:tcPr>
            <w:tcW w:w="380" w:type="dxa"/>
            <w:vAlign w:val="bottom"/>
            <w:shd w:val="clear" w:color="auto" w:fill="E6E6E6"/>
          </w:tcPr>
          <w:p>
            <w:pPr>
              <w:spacing w:after="0"/>
              <w:rPr>
                <w:sz w:val="23"/>
                <w:szCs w:val="23"/>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771,250</w:t>
            </w:r>
          </w:p>
        </w:tc>
        <w:tc>
          <w:tcPr>
            <w:tcW w:w="80" w:type="dxa"/>
            <w:vAlign w:val="bottom"/>
            <w:shd w:val="clear" w:color="auto" w:fill="E6E6E6"/>
          </w:tcPr>
          <w:p>
            <w:pPr>
              <w:spacing w:after="0"/>
              <w:rPr>
                <w:sz w:val="23"/>
                <w:szCs w:val="23"/>
                <w:color w:val="auto"/>
              </w:rPr>
            </w:pPr>
          </w:p>
        </w:tc>
        <w:tc>
          <w:tcPr>
            <w:tcW w:w="360" w:type="dxa"/>
            <w:vAlign w:val="bottom"/>
            <w:shd w:val="clear" w:color="auto" w:fill="E6E6E6"/>
          </w:tcPr>
          <w:p>
            <w:pPr>
              <w:spacing w:after="0"/>
              <w:rPr>
                <w:sz w:val="23"/>
                <w:szCs w:val="23"/>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707,228</w:t>
            </w:r>
          </w:p>
        </w:tc>
      </w:tr>
      <w:tr>
        <w:trPr>
          <w:trHeight w:val="274"/>
        </w:trPr>
        <w:tc>
          <w:tcPr>
            <w:tcW w:w="5200" w:type="dxa"/>
            <w:vAlign w:val="bottom"/>
            <w:gridSpan w:val="2"/>
          </w:tcPr>
          <w:p>
            <w:pPr>
              <w:ind w:left="40"/>
              <w:spacing w:after="0"/>
              <w:rPr>
                <w:sz w:val="20"/>
                <w:szCs w:val="20"/>
                <w:color w:val="auto"/>
              </w:rPr>
            </w:pPr>
            <w:r>
              <w:rPr>
                <w:rFonts w:ascii="Arial" w:cs="Arial" w:eastAsia="Arial" w:hAnsi="Arial"/>
                <w:sz w:val="20"/>
                <w:szCs w:val="20"/>
                <w:color w:val="auto"/>
              </w:rPr>
              <w:t>Operating expenses:</w:t>
            </w: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85"/>
        </w:trPr>
        <w:tc>
          <w:tcPr>
            <w:tcW w:w="5200" w:type="dxa"/>
            <w:vAlign w:val="bottom"/>
            <w:gridSpan w:val="2"/>
            <w:shd w:val="clear" w:color="auto" w:fill="E6E6E6"/>
          </w:tcPr>
          <w:p>
            <w:pPr>
              <w:ind w:left="180"/>
              <w:spacing w:after="0"/>
              <w:rPr>
                <w:sz w:val="20"/>
                <w:szCs w:val="20"/>
                <w:color w:val="auto"/>
              </w:rPr>
            </w:pPr>
            <w:r>
              <w:rPr>
                <w:rFonts w:ascii="Arial" w:cs="Arial" w:eastAsia="Arial" w:hAnsi="Arial"/>
                <w:sz w:val="20"/>
                <w:szCs w:val="20"/>
                <w:color w:val="auto"/>
              </w:rPr>
              <w:t>Selling, general, and administrative</w:t>
            </w:r>
          </w:p>
        </w:tc>
        <w:tc>
          <w:tcPr>
            <w:tcW w:w="36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526,265</w:t>
            </w:r>
          </w:p>
        </w:tc>
        <w:tc>
          <w:tcPr>
            <w:tcW w:w="6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518,129</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469,243</w:t>
            </w:r>
          </w:p>
        </w:tc>
      </w:tr>
      <w:tr>
        <w:trPr>
          <w:trHeight w:val="274"/>
        </w:trPr>
        <w:tc>
          <w:tcPr>
            <w:tcW w:w="5200" w:type="dxa"/>
            <w:vAlign w:val="bottom"/>
            <w:gridSpan w:val="2"/>
          </w:tcPr>
          <w:p>
            <w:pPr>
              <w:ind w:left="180"/>
              <w:spacing w:after="0"/>
              <w:rPr>
                <w:sz w:val="20"/>
                <w:szCs w:val="20"/>
                <w:color w:val="auto"/>
              </w:rPr>
            </w:pPr>
            <w:r>
              <w:rPr>
                <w:rFonts w:ascii="Arial" w:cs="Arial" w:eastAsia="Arial" w:hAnsi="Arial"/>
                <w:sz w:val="20"/>
                <w:szCs w:val="20"/>
                <w:color w:val="auto"/>
              </w:rPr>
              <w:t>Research and development</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182,514</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193,817</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155,805</w:t>
            </w:r>
          </w:p>
        </w:tc>
      </w:tr>
      <w:tr>
        <w:trPr>
          <w:trHeight w:val="285"/>
        </w:trPr>
        <w:tc>
          <w:tcPr>
            <w:tcW w:w="5200" w:type="dxa"/>
            <w:vAlign w:val="bottom"/>
            <w:gridSpan w:val="2"/>
            <w:shd w:val="clear" w:color="auto" w:fill="E6E6E6"/>
          </w:tcPr>
          <w:p>
            <w:pPr>
              <w:ind w:left="180"/>
              <w:spacing w:after="0"/>
              <w:rPr>
                <w:sz w:val="20"/>
                <w:szCs w:val="20"/>
                <w:color w:val="auto"/>
              </w:rPr>
            </w:pPr>
            <w:r>
              <w:rPr>
                <w:rFonts w:ascii="Arial" w:cs="Arial" w:eastAsia="Arial" w:hAnsi="Arial"/>
                <w:sz w:val="20"/>
                <w:szCs w:val="20"/>
                <w:color w:val="auto"/>
              </w:rPr>
              <w:t>Impairment of goodwill</w:t>
            </w:r>
          </w:p>
        </w:tc>
        <w:tc>
          <w:tcPr>
            <w:tcW w:w="36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6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129,396</w:t>
            </w:r>
          </w:p>
        </w:tc>
      </w:tr>
      <w:tr>
        <w:trPr>
          <w:trHeight w:val="274"/>
        </w:trPr>
        <w:tc>
          <w:tcPr>
            <w:tcW w:w="5200" w:type="dxa"/>
            <w:vAlign w:val="bottom"/>
            <w:gridSpan w:val="2"/>
          </w:tcPr>
          <w:p>
            <w:pPr>
              <w:ind w:left="180"/>
              <w:spacing w:after="0"/>
              <w:rPr>
                <w:sz w:val="20"/>
                <w:szCs w:val="20"/>
                <w:color w:val="auto"/>
              </w:rPr>
            </w:pPr>
            <w:r>
              <w:rPr>
                <w:rFonts w:ascii="Arial" w:cs="Arial" w:eastAsia="Arial" w:hAnsi="Arial"/>
                <w:sz w:val="20"/>
                <w:szCs w:val="20"/>
                <w:color w:val="auto"/>
              </w:rPr>
              <w:t>Impairment of long-lived assets</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89,974</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5"/>
        </w:trPr>
        <w:tc>
          <w:tcPr>
            <w:tcW w:w="518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20"/>
                <w:szCs w:val="20"/>
                <w:color w:val="auto"/>
              </w:rPr>
              <w:t>Other operating expenses</w:t>
            </w:r>
          </w:p>
        </w:tc>
        <w:tc>
          <w:tcPr>
            <w:tcW w:w="20" w:type="dxa"/>
            <w:vAlign w:val="bottom"/>
            <w:tcBorders>
              <w:bottom w:val="single" w:sz="8" w:color="auto"/>
            </w:tcBorders>
            <w:shd w:val="clear" w:color="auto" w:fill="E6E6E6"/>
          </w:tcPr>
          <w:p>
            <w:pPr>
              <w:spacing w:after="0"/>
              <w:rPr>
                <w:sz w:val="23"/>
                <w:szCs w:val="23"/>
                <w:color w:val="auto"/>
              </w:rPr>
            </w:pPr>
          </w:p>
        </w:tc>
        <w:tc>
          <w:tcPr>
            <w:tcW w:w="360" w:type="dxa"/>
            <w:vAlign w:val="bottom"/>
            <w:tcBorders>
              <w:bottom w:val="single" w:sz="8" w:color="auto"/>
            </w:tcBorders>
            <w:shd w:val="clear" w:color="auto" w:fill="E6E6E6"/>
          </w:tcPr>
          <w:p>
            <w:pPr>
              <w:spacing w:after="0"/>
              <w:rPr>
                <w:sz w:val="23"/>
                <w:szCs w:val="23"/>
                <w:color w:val="auto"/>
              </w:rPr>
            </w:pPr>
          </w:p>
        </w:tc>
        <w:tc>
          <w:tcPr>
            <w:tcW w:w="1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33,043</w:t>
            </w:r>
          </w:p>
        </w:tc>
        <w:tc>
          <w:tcPr>
            <w:tcW w:w="60" w:type="dxa"/>
            <w:vAlign w:val="bottom"/>
            <w:tcBorders>
              <w:bottom w:val="single" w:sz="8" w:color="E6E6E6"/>
            </w:tcBorders>
            <w:shd w:val="clear" w:color="auto" w:fill="E6E6E6"/>
          </w:tcPr>
          <w:p>
            <w:pPr>
              <w:spacing w:after="0"/>
              <w:rPr>
                <w:sz w:val="23"/>
                <w:szCs w:val="23"/>
                <w:color w:val="auto"/>
              </w:rPr>
            </w:pPr>
          </w:p>
        </w:tc>
        <w:tc>
          <w:tcPr>
            <w:tcW w:w="380" w:type="dxa"/>
            <w:vAlign w:val="bottom"/>
            <w:tcBorders>
              <w:bottom w:val="single" w:sz="8" w:color="auto"/>
            </w:tcBorders>
            <w:shd w:val="clear" w:color="auto" w:fill="E6E6E6"/>
          </w:tcPr>
          <w:p>
            <w:pPr>
              <w:spacing w:after="0"/>
              <w:rPr>
                <w:sz w:val="23"/>
                <w:szCs w:val="23"/>
                <w:color w:val="auto"/>
              </w:rPr>
            </w:pPr>
          </w:p>
        </w:tc>
        <w:tc>
          <w:tcPr>
            <w:tcW w:w="1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37,828</w:t>
            </w:r>
          </w:p>
        </w:tc>
        <w:tc>
          <w:tcPr>
            <w:tcW w:w="80" w:type="dxa"/>
            <w:vAlign w:val="bottom"/>
            <w:tcBorders>
              <w:bottom w:val="single" w:sz="8" w:color="E6E6E6"/>
            </w:tcBorders>
            <w:shd w:val="clear" w:color="auto" w:fill="E6E6E6"/>
          </w:tcPr>
          <w:p>
            <w:pPr>
              <w:spacing w:after="0"/>
              <w:rPr>
                <w:sz w:val="23"/>
                <w:szCs w:val="23"/>
                <w:color w:val="auto"/>
              </w:rPr>
            </w:pPr>
          </w:p>
        </w:tc>
        <w:tc>
          <w:tcPr>
            <w:tcW w:w="360" w:type="dxa"/>
            <w:vAlign w:val="bottom"/>
            <w:tcBorders>
              <w:bottom w:val="single" w:sz="8" w:color="auto"/>
            </w:tcBorders>
            <w:shd w:val="clear" w:color="auto" w:fill="E6E6E6"/>
          </w:tcPr>
          <w:p>
            <w:pPr>
              <w:spacing w:after="0"/>
              <w:rPr>
                <w:sz w:val="23"/>
                <w:szCs w:val="23"/>
                <w:color w:val="auto"/>
              </w:rPr>
            </w:pPr>
          </w:p>
        </w:tc>
        <w:tc>
          <w:tcPr>
            <w:tcW w:w="1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29,536</w:t>
            </w:r>
          </w:p>
        </w:tc>
      </w:tr>
      <w:tr>
        <w:trPr>
          <w:trHeight w:val="264"/>
        </w:trPr>
        <w:tc>
          <w:tcPr>
            <w:tcW w:w="5200" w:type="dxa"/>
            <w:vAlign w:val="bottom"/>
            <w:gridSpan w:val="2"/>
          </w:tcPr>
          <w:p>
            <w:pPr>
              <w:ind w:left="260"/>
              <w:spacing w:after="0"/>
              <w:rPr>
                <w:sz w:val="20"/>
                <w:szCs w:val="20"/>
                <w:color w:val="auto"/>
              </w:rPr>
            </w:pPr>
            <w:r>
              <w:rPr>
                <w:rFonts w:ascii="Arial" w:cs="Arial" w:eastAsia="Arial" w:hAnsi="Arial"/>
                <w:sz w:val="20"/>
                <w:szCs w:val="20"/>
                <w:color w:val="auto"/>
              </w:rPr>
              <w:t>Operating income (loss)</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129,051</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(68,498)</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(76,752)</w:t>
            </w:r>
          </w:p>
        </w:tc>
      </w:tr>
      <w:tr>
        <w:trPr>
          <w:trHeight w:val="285"/>
        </w:trPr>
        <w:tc>
          <w:tcPr>
            <w:tcW w:w="5200" w:type="dxa"/>
            <w:vAlign w:val="bottom"/>
            <w:gridSpan w:val="2"/>
            <w:shd w:val="clear" w:color="auto" w:fill="E6E6E6"/>
          </w:tcPr>
          <w:p>
            <w:pPr>
              <w:ind w:left="40"/>
              <w:spacing w:after="0"/>
              <w:rPr>
                <w:sz w:val="20"/>
                <w:szCs w:val="20"/>
                <w:color w:val="auto"/>
              </w:rPr>
            </w:pPr>
            <w:r>
              <w:rPr>
                <w:rFonts w:ascii="Arial" w:cs="Arial" w:eastAsia="Arial" w:hAnsi="Arial"/>
                <w:sz w:val="20"/>
                <w:szCs w:val="20"/>
                <w:color w:val="auto"/>
              </w:rPr>
              <w:t>Interest expense</w:t>
            </w:r>
          </w:p>
        </w:tc>
        <w:tc>
          <w:tcPr>
            <w:tcW w:w="36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(63,070)</w:t>
            </w:r>
          </w:p>
        </w:tc>
        <w:tc>
          <w:tcPr>
            <w:tcW w:w="6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(58,853)</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(48,250)</w:t>
            </w:r>
          </w:p>
        </w:tc>
      </w:tr>
      <w:tr>
        <w:trPr>
          <w:trHeight w:val="274"/>
        </w:trPr>
        <w:tc>
          <w:tcPr>
            <w:tcW w:w="5200" w:type="dxa"/>
            <w:vAlign w:val="bottom"/>
            <w:gridSpan w:val="2"/>
          </w:tcPr>
          <w:p>
            <w:pPr>
              <w:ind w:left="40"/>
              <w:spacing w:after="0"/>
              <w:rPr>
                <w:sz w:val="20"/>
                <w:szCs w:val="20"/>
                <w:color w:val="auto"/>
              </w:rPr>
            </w:pPr>
            <w:r>
              <w:rPr>
                <w:rFonts w:ascii="Arial" w:cs="Arial" w:eastAsia="Arial" w:hAnsi="Arial"/>
                <w:sz w:val="20"/>
                <w:szCs w:val="20"/>
                <w:color w:val="auto"/>
              </w:rPr>
              <w:t>Loss on debt extinguishment</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(25,482)</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5"/>
        </w:trPr>
        <w:tc>
          <w:tcPr>
            <w:tcW w:w="518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Foreign exchange and other income/(expense)</w:t>
            </w:r>
          </w:p>
        </w:tc>
        <w:tc>
          <w:tcPr>
            <w:tcW w:w="20" w:type="dxa"/>
            <w:vAlign w:val="bottom"/>
            <w:tcBorders>
              <w:bottom w:val="single" w:sz="8" w:color="auto"/>
            </w:tcBorders>
            <w:shd w:val="clear" w:color="auto" w:fill="E6E6E6"/>
          </w:tcPr>
          <w:p>
            <w:pPr>
              <w:spacing w:after="0"/>
              <w:rPr>
                <w:sz w:val="23"/>
                <w:szCs w:val="23"/>
                <w:color w:val="auto"/>
              </w:rPr>
            </w:pPr>
          </w:p>
        </w:tc>
        <w:tc>
          <w:tcPr>
            <w:tcW w:w="360" w:type="dxa"/>
            <w:vAlign w:val="bottom"/>
            <w:tcBorders>
              <w:bottom w:val="single" w:sz="8" w:color="auto"/>
            </w:tcBorders>
            <w:shd w:val="clear" w:color="auto" w:fill="E6E6E6"/>
          </w:tcPr>
          <w:p>
            <w:pPr>
              <w:spacing w:after="0"/>
              <w:rPr>
                <w:sz w:val="23"/>
                <w:szCs w:val="23"/>
                <w:color w:val="auto"/>
              </w:rPr>
            </w:pPr>
          </w:p>
        </w:tc>
        <w:tc>
          <w:tcPr>
            <w:tcW w:w="1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47,811</w:t>
            </w:r>
          </w:p>
        </w:tc>
        <w:tc>
          <w:tcPr>
            <w:tcW w:w="60" w:type="dxa"/>
            <w:vAlign w:val="bottom"/>
            <w:tcBorders>
              <w:bottom w:val="single" w:sz="8" w:color="E6E6E6"/>
            </w:tcBorders>
            <w:shd w:val="clear" w:color="auto" w:fill="E6E6E6"/>
          </w:tcPr>
          <w:p>
            <w:pPr>
              <w:spacing w:after="0"/>
              <w:rPr>
                <w:sz w:val="23"/>
                <w:szCs w:val="23"/>
                <w:color w:val="auto"/>
              </w:rPr>
            </w:pPr>
          </w:p>
        </w:tc>
        <w:tc>
          <w:tcPr>
            <w:tcW w:w="380" w:type="dxa"/>
            <w:vAlign w:val="bottom"/>
            <w:tcBorders>
              <w:bottom w:val="single" w:sz="8" w:color="auto"/>
            </w:tcBorders>
            <w:shd w:val="clear" w:color="auto" w:fill="E6E6E6"/>
          </w:tcPr>
          <w:p>
            <w:pPr>
              <w:spacing w:after="0"/>
              <w:rPr>
                <w:sz w:val="23"/>
                <w:szCs w:val="23"/>
                <w:color w:val="auto"/>
              </w:rPr>
            </w:pPr>
          </w:p>
        </w:tc>
        <w:tc>
          <w:tcPr>
            <w:tcW w:w="1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46,125</w:t>
            </w:r>
          </w:p>
        </w:tc>
        <w:tc>
          <w:tcPr>
            <w:tcW w:w="80" w:type="dxa"/>
            <w:vAlign w:val="bottom"/>
            <w:tcBorders>
              <w:bottom w:val="single" w:sz="8" w:color="E6E6E6"/>
            </w:tcBorders>
            <w:shd w:val="clear" w:color="auto" w:fill="E6E6E6"/>
          </w:tcPr>
          <w:p>
            <w:pPr>
              <w:spacing w:after="0"/>
              <w:rPr>
                <w:sz w:val="23"/>
                <w:szCs w:val="23"/>
                <w:color w:val="auto"/>
              </w:rPr>
            </w:pPr>
          </w:p>
        </w:tc>
        <w:tc>
          <w:tcPr>
            <w:tcW w:w="360" w:type="dxa"/>
            <w:vAlign w:val="bottom"/>
            <w:tcBorders>
              <w:bottom w:val="single" w:sz="8" w:color="auto"/>
            </w:tcBorders>
            <w:shd w:val="clear" w:color="auto" w:fill="E6E6E6"/>
          </w:tcPr>
          <w:p>
            <w:pPr>
              <w:spacing w:after="0"/>
              <w:rPr>
                <w:sz w:val="23"/>
                <w:szCs w:val="23"/>
                <w:color w:val="auto"/>
              </w:rPr>
            </w:pPr>
          </w:p>
        </w:tc>
        <w:tc>
          <w:tcPr>
            <w:tcW w:w="1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49,860</w:t>
            </w:r>
          </w:p>
        </w:tc>
      </w:tr>
      <w:tr>
        <w:trPr>
          <w:trHeight w:val="264"/>
        </w:trPr>
        <w:tc>
          <w:tcPr>
            <w:tcW w:w="5200" w:type="dxa"/>
            <w:vAlign w:val="bottom"/>
            <w:gridSpan w:val="2"/>
          </w:tcPr>
          <w:p>
            <w:pPr>
              <w:ind w:left="180"/>
              <w:spacing w:after="0"/>
              <w:rPr>
                <w:sz w:val="20"/>
                <w:szCs w:val="20"/>
                <w:color w:val="auto"/>
              </w:rPr>
            </w:pPr>
            <w:r>
              <w:rPr>
                <w:rFonts w:ascii="Arial" w:cs="Arial" w:eastAsia="Arial" w:hAnsi="Arial"/>
                <w:sz w:val="20"/>
                <w:szCs w:val="20"/>
                <w:color w:val="auto"/>
              </w:rPr>
              <w:t>Income (loss) before tax</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88,310</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(81,226)</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(75,142)</w:t>
            </w:r>
          </w:p>
        </w:tc>
      </w:tr>
      <w:tr>
        <w:trPr>
          <w:trHeight w:val="285"/>
        </w:trPr>
        <w:tc>
          <w:tcPr>
            <w:tcW w:w="5200" w:type="dxa"/>
            <w:vAlign w:val="bottom"/>
            <w:gridSpan w:val="2"/>
            <w:shd w:val="clear" w:color="auto" w:fill="E6E6E6"/>
          </w:tcPr>
          <w:p>
            <w:pPr>
              <w:ind w:left="40"/>
              <w:spacing w:after="0"/>
              <w:rPr>
                <w:sz w:val="20"/>
                <w:szCs w:val="20"/>
                <w:color w:val="auto"/>
              </w:rPr>
            </w:pPr>
            <w:r>
              <w:rPr>
                <w:rFonts w:ascii="Arial" w:cs="Arial" w:eastAsia="Arial" w:hAnsi="Arial"/>
                <w:sz w:val="20"/>
                <w:szCs w:val="20"/>
                <w:color w:val="auto"/>
              </w:rPr>
              <w:t>Income tax expense (benefit)</w:t>
            </w:r>
          </w:p>
        </w:tc>
        <w:tc>
          <w:tcPr>
            <w:tcW w:w="36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25,058</w:t>
            </w:r>
          </w:p>
        </w:tc>
        <w:tc>
          <w:tcPr>
            <w:tcW w:w="6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(98,876)</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11,051</w:t>
            </w:r>
          </w:p>
        </w:tc>
      </w:tr>
      <w:tr>
        <w:trPr>
          <w:trHeight w:val="269"/>
        </w:trPr>
        <w:tc>
          <w:tcPr>
            <w:tcW w:w="5180" w:type="dxa"/>
            <w:vAlign w:val="bottom"/>
            <w:tcBorders>
              <w:bottom w:val="single" w:sz="8" w:color="E6E6E6"/>
            </w:tcBorders>
          </w:tcPr>
          <w:p>
            <w:pPr>
              <w:ind w:left="40"/>
              <w:spacing w:after="0"/>
              <w:rPr>
                <w:sz w:val="20"/>
                <w:szCs w:val="20"/>
                <w:color w:val="auto"/>
              </w:rPr>
            </w:pPr>
            <w:r>
              <w:rPr>
                <w:rFonts w:ascii="Arial" w:cs="Arial" w:eastAsia="Arial" w:hAnsi="Arial"/>
                <w:sz w:val="20"/>
                <w:szCs w:val="20"/>
                <w:color w:val="auto"/>
              </w:rPr>
              <w:t>Loss from equity method investments</w:t>
            </w: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w:t>
            </w:r>
          </w:p>
        </w:tc>
        <w:tc>
          <w:tcPr>
            <w:tcW w:w="60" w:type="dxa"/>
            <w:vAlign w:val="bottom"/>
            <w:tcBorders>
              <w:bottom w:val="single" w:sz="8" w:color="E6E6E6"/>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(104)</w:t>
            </w:r>
          </w:p>
        </w:tc>
        <w:tc>
          <w:tcPr>
            <w:tcW w:w="80" w:type="dxa"/>
            <w:vAlign w:val="bottom"/>
            <w:tcBorders>
              <w:bottom w:val="single" w:sz="8" w:color="E6E6E6"/>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w:t>
            </w:r>
          </w:p>
        </w:tc>
      </w:tr>
      <w:tr>
        <w:trPr>
          <w:trHeight w:val="279"/>
        </w:trPr>
        <w:tc>
          <w:tcPr>
            <w:tcW w:w="518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20"/>
                <w:szCs w:val="20"/>
                <w:color w:val="auto"/>
              </w:rPr>
              <w:t>Net income (loss)</w:t>
            </w:r>
          </w:p>
        </w:tc>
        <w:tc>
          <w:tcPr>
            <w:tcW w:w="20" w:type="dxa"/>
            <w:vAlign w:val="bottom"/>
            <w:tcBorders>
              <w:bottom w:val="single" w:sz="8" w:color="auto"/>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jc w:val="right"/>
              <w:ind w:right="122"/>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63,234</w:t>
            </w:r>
          </w:p>
        </w:tc>
        <w:tc>
          <w:tcPr>
            <w:tcW w:w="60" w:type="dxa"/>
            <w:vAlign w:val="bottom"/>
            <w:tcBorders>
              <w:bottom w:val="single" w:sz="8" w:color="E6E6E6"/>
            </w:tcBorders>
            <w:shd w:val="clear" w:color="auto" w:fill="E6E6E6"/>
          </w:tcPr>
          <w:p>
            <w:pPr>
              <w:spacing w:after="0"/>
              <w:rPr>
                <w:sz w:val="24"/>
                <w:szCs w:val="24"/>
                <w:color w:val="auto"/>
              </w:rPr>
            </w:pPr>
          </w:p>
        </w:tc>
        <w:tc>
          <w:tcPr>
            <w:tcW w:w="380" w:type="dxa"/>
            <w:vAlign w:val="bottom"/>
            <w:tcBorders>
              <w:bottom w:val="single" w:sz="8" w:color="auto"/>
            </w:tcBorders>
            <w:shd w:val="clear" w:color="auto" w:fill="E6E6E6"/>
          </w:tcPr>
          <w:p>
            <w:pPr>
              <w:jc w:val="right"/>
              <w:ind w:right="122"/>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17,546</w:t>
            </w:r>
          </w:p>
        </w:tc>
        <w:tc>
          <w:tcPr>
            <w:tcW w:w="8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jc w:val="right"/>
              <w:ind w:right="122"/>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(86,246)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3277870</wp:posOffset>
            </wp:positionH>
            <wp:positionV relativeFrom="paragraph">
              <wp:posOffset>-3046095</wp:posOffset>
            </wp:positionV>
            <wp:extent cx="311531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a:extLst>
                        <a:ext uri="{28A0092B-C50C-407E-A947-70E740481C1C}"/>
                      </a:extLst>
                    </a:blip>
                    <a:srcRect/>
                    <a:stretch>
                      <a:fillRect/>
                    </a:stretch>
                  </pic:blipFill>
                  <pic:spPr bwMode="auto">
                    <a:xfrm>
                      <a:off x="0" y="0"/>
                      <a:ext cx="3115310" cy="25400"/>
                    </a:xfrm>
                    <a:prstGeom prst="rect">
                      <a:avLst/>
                    </a:prstGeom>
                    <a:noFill/>
                  </pic:spPr>
                </pic:pic>
              </a:graphicData>
            </a:graphic>
          </wp:anchor>
        </w:drawing>
        <w:drawing>
          <wp:anchor simplePos="0" relativeHeight="251657728" behindDoc="1" locked="0" layoutInCell="0" allowOverlap="1">
            <wp:simplePos x="0" y="0"/>
            <wp:positionH relativeFrom="column">
              <wp:posOffset>3277870</wp:posOffset>
            </wp:positionH>
            <wp:positionV relativeFrom="paragraph">
              <wp:posOffset>-2691130</wp:posOffset>
            </wp:positionV>
            <wp:extent cx="311531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a:extLst>
                        <a:ext uri="{28A0092B-C50C-407E-A947-70E740481C1C}"/>
                      </a:extLst>
                    </a:blip>
                    <a:srcRect/>
                    <a:stretch>
                      <a:fillRect/>
                    </a:stretch>
                  </pic:blipFill>
                  <pic:spPr bwMode="auto">
                    <a:xfrm>
                      <a:off x="0" y="0"/>
                      <a:ext cx="3115310" cy="25400"/>
                    </a:xfrm>
                    <a:prstGeom prst="rect">
                      <a:avLst/>
                    </a:prstGeom>
                    <a:noFill/>
                  </pic:spPr>
                </pic:pic>
              </a:graphicData>
            </a:graphic>
          </wp:anchor>
        </w:drawing>
        <w:drawing>
          <wp:anchor simplePos="0" relativeHeight="251657728" behindDoc="1" locked="0" layoutInCell="0" allowOverlap="1">
            <wp:simplePos x="0" y="0"/>
            <wp:positionH relativeFrom="column">
              <wp:posOffset>3277870</wp:posOffset>
            </wp:positionH>
            <wp:positionV relativeFrom="paragraph">
              <wp:posOffset>-1449705</wp:posOffset>
            </wp:positionV>
            <wp:extent cx="311531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5">
                      <a:extLst>
                        <a:ext uri="{28A0092B-C50C-407E-A947-70E740481C1C}"/>
                      </a:extLst>
                    </a:blip>
                    <a:srcRect/>
                    <a:stretch>
                      <a:fillRect/>
                    </a:stretch>
                  </pic:blipFill>
                  <pic:spPr bwMode="auto">
                    <a:xfrm>
                      <a:off x="0" y="0"/>
                      <a:ext cx="3115310" cy="25400"/>
                    </a:xfrm>
                    <a:prstGeom prst="rect">
                      <a:avLst/>
                    </a:prstGeom>
                    <a:noFill/>
                  </pic:spPr>
                </pic:pic>
              </a:graphicData>
            </a:graphic>
          </wp:anchor>
        </w:drawing>
        <w:drawing>
          <wp:anchor simplePos="0" relativeHeight="251657728" behindDoc="1" locked="0" layoutInCell="0" allowOverlap="1">
            <wp:simplePos x="0" y="0"/>
            <wp:positionH relativeFrom="column">
              <wp:posOffset>3277870</wp:posOffset>
            </wp:positionH>
            <wp:positionV relativeFrom="paragraph">
              <wp:posOffset>-740410</wp:posOffset>
            </wp:positionV>
            <wp:extent cx="311531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a:extLst>
                        <a:ext uri="{28A0092B-C50C-407E-A947-70E740481C1C}"/>
                      </a:extLst>
                    </a:blip>
                    <a:srcRect/>
                    <a:stretch>
                      <a:fillRect/>
                    </a:stretch>
                  </pic:blipFill>
                  <pic:spPr bwMode="auto">
                    <a:xfrm>
                      <a:off x="0" y="0"/>
                      <a:ext cx="3115310" cy="25400"/>
                    </a:xfrm>
                    <a:prstGeom prst="rect">
                      <a:avLst/>
                    </a:prstGeom>
                    <a:noFill/>
                  </pic:spPr>
                </pic:pic>
              </a:graphicData>
            </a:graphic>
          </wp:anchor>
        </w:drawing>
        <w:drawing>
          <wp:anchor simplePos="0" relativeHeight="251657728" behindDoc="1" locked="0" layoutInCell="0" allowOverlap="1">
            <wp:simplePos x="0" y="0"/>
            <wp:positionH relativeFrom="column">
              <wp:posOffset>3277870</wp:posOffset>
            </wp:positionH>
            <wp:positionV relativeFrom="paragraph">
              <wp:posOffset>-208280</wp:posOffset>
            </wp:positionV>
            <wp:extent cx="311531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a:extLst>
                        <a:ext uri="{28A0092B-C50C-407E-A947-70E740481C1C}"/>
                      </a:extLst>
                    </a:blip>
                    <a:srcRect/>
                    <a:stretch>
                      <a:fillRect/>
                    </a:stretch>
                  </pic:blipFill>
                  <pic:spPr bwMode="auto">
                    <a:xfrm>
                      <a:off x="0" y="0"/>
                      <a:ext cx="3115310" cy="25400"/>
                    </a:xfrm>
                    <a:prstGeom prst="rect">
                      <a:avLst/>
                    </a:prstGeom>
                    <a:noFill/>
                  </pic:spPr>
                </pic:pic>
              </a:graphicData>
            </a:graphic>
          </wp:anchor>
        </w:drawing>
        <w:drawing>
          <wp:anchor simplePos="0" relativeHeight="251657728" behindDoc="1" locked="0" layoutInCell="0" allowOverlap="1">
            <wp:simplePos x="0" y="0"/>
            <wp:positionH relativeFrom="column">
              <wp:posOffset>3277870</wp:posOffset>
            </wp:positionH>
            <wp:positionV relativeFrom="paragraph">
              <wp:posOffset>-43180</wp:posOffset>
            </wp:positionV>
            <wp:extent cx="3115310" cy="501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
                      <a:extLst>
                        <a:ext uri="{28A0092B-C50C-407E-A947-70E740481C1C}"/>
                      </a:extLst>
                    </a:blip>
                    <a:srcRect/>
                    <a:stretch>
                      <a:fillRect/>
                    </a:stretch>
                  </pic:blipFill>
                  <pic:spPr bwMode="auto">
                    <a:xfrm>
                      <a:off x="0" y="0"/>
                      <a:ext cx="3115310" cy="50165"/>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Net Revenue</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net revenue by operating segment and geographic region (in thousands, except for percentages):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540" w:type="dxa"/>
            <w:vAlign w:val="bottom"/>
            <w:tcBorders>
              <w:bottom w:val="single" w:sz="8" w:color="auto"/>
            </w:tcBorders>
            <w:gridSpan w:val="3"/>
          </w:tcPr>
          <w:p>
            <w:pPr>
              <w:jc w:val="right"/>
              <w:ind w:right="722"/>
              <w:spacing w:after="0"/>
              <w:rPr>
                <w:sz w:val="20"/>
                <w:szCs w:val="20"/>
                <w:color w:val="auto"/>
              </w:rPr>
            </w:pPr>
            <w:r>
              <w:rPr>
                <w:rFonts w:ascii="Arial" w:cs="Arial" w:eastAsia="Arial" w:hAnsi="Arial"/>
                <w:sz w:val="20"/>
                <w:szCs w:val="20"/>
                <w:b w:val="1"/>
                <w:bCs w:val="1"/>
                <w:color w:val="auto"/>
              </w:rPr>
              <w:t>% Change</w:t>
            </w:r>
          </w:p>
        </w:tc>
      </w:tr>
      <w:tr>
        <w:trPr>
          <w:trHeight w:val="260"/>
        </w:trPr>
        <w:tc>
          <w:tcPr>
            <w:tcW w:w="3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82"/>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82"/>
              <w:spacing w:after="0"/>
              <w:rPr>
                <w:sz w:val="20"/>
                <w:szCs w:val="20"/>
                <w:color w:val="auto"/>
              </w:rPr>
            </w:pPr>
            <w:r>
              <w:rPr>
                <w:rFonts w:ascii="Arial" w:cs="Arial" w:eastAsia="Arial" w:hAnsi="Arial"/>
                <w:sz w:val="20"/>
                <w:szCs w:val="20"/>
                <w:b w:val="1"/>
                <w:bCs w:val="1"/>
                <w:color w:val="auto"/>
              </w:rPr>
              <w:t>2023</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82"/>
              <w:spacing w:after="0"/>
              <w:rPr>
                <w:sz w:val="20"/>
                <w:szCs w:val="20"/>
                <w:color w:val="auto"/>
              </w:rPr>
            </w:pPr>
            <w:r>
              <w:rPr>
                <w:rFonts w:ascii="Arial" w:cs="Arial" w:eastAsia="Arial" w:hAnsi="Arial"/>
                <w:sz w:val="20"/>
                <w:szCs w:val="20"/>
                <w:b w:val="1"/>
                <w:bCs w:val="1"/>
                <w:color w:val="auto"/>
              </w:rPr>
              <w:t>2022</w:t>
            </w:r>
          </w:p>
        </w:tc>
        <w:tc>
          <w:tcPr>
            <w:tcW w:w="60" w:type="dxa"/>
            <w:vAlign w:val="bottom"/>
          </w:tcPr>
          <w:p>
            <w:pPr>
              <w:spacing w:after="0"/>
              <w:rPr>
                <w:sz w:val="22"/>
                <w:szCs w:val="22"/>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b w:val="1"/>
                <w:bCs w:val="1"/>
                <w:color w:val="auto"/>
                <w:w w:val="91"/>
              </w:rPr>
              <w:t>2024 vs 2023</w:t>
            </w:r>
          </w:p>
        </w:tc>
        <w:tc>
          <w:tcPr>
            <w:tcW w:w="80" w:type="dxa"/>
            <w:vAlign w:val="bottom"/>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91"/>
              </w:rPr>
              <w:t>2023 vs 2022</w:t>
            </w:r>
          </w:p>
        </w:tc>
      </w:tr>
      <w:tr>
        <w:trPr>
          <w:trHeight w:val="263"/>
        </w:trPr>
        <w:tc>
          <w:tcPr>
            <w:tcW w:w="3280" w:type="dxa"/>
            <w:vAlign w:val="bottom"/>
            <w:gridSpan w:val="4"/>
          </w:tcPr>
          <w:p>
            <w:pPr>
              <w:ind w:left="40"/>
              <w:spacing w:after="0"/>
              <w:rPr>
                <w:sz w:val="20"/>
                <w:szCs w:val="20"/>
                <w:color w:val="auto"/>
              </w:rPr>
            </w:pPr>
            <w:r>
              <w:rPr>
                <w:rFonts w:ascii="Arial" w:cs="Arial" w:eastAsia="Arial" w:hAnsi="Arial"/>
                <w:sz w:val="20"/>
                <w:szCs w:val="20"/>
                <w:b w:val="1"/>
                <w:bCs w:val="1"/>
                <w:color w:val="auto"/>
              </w:rPr>
              <w:t>Cardiopulmonary</w:t>
            </w: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5"/>
        </w:trPr>
        <w:tc>
          <w:tcPr>
            <w:tcW w:w="3280" w:type="dxa"/>
            <w:vAlign w:val="bottom"/>
            <w:gridSpan w:val="4"/>
            <w:shd w:val="clear" w:color="auto" w:fill="E6E6E6"/>
          </w:tcPr>
          <w:p>
            <w:pPr>
              <w:ind w:left="280"/>
              <w:spacing w:after="0"/>
              <w:rPr>
                <w:sz w:val="20"/>
                <w:szCs w:val="20"/>
                <w:color w:val="auto"/>
              </w:rPr>
            </w:pPr>
            <w:r>
              <w:rPr>
                <w:rFonts w:ascii="Arial" w:cs="Arial" w:eastAsia="Arial" w:hAnsi="Arial"/>
                <w:sz w:val="20"/>
                <w:szCs w:val="20"/>
                <w:color w:val="auto"/>
              </w:rPr>
              <w:t>United States</w:t>
            </w:r>
          </w:p>
        </w:tc>
        <w:tc>
          <w:tcPr>
            <w:tcW w:w="260" w:type="dxa"/>
            <w:vAlign w:val="bottom"/>
            <w:shd w:val="clear" w:color="auto" w:fill="E6E6E6"/>
          </w:tcPr>
          <w:p>
            <w:pPr>
              <w:jc w:val="right"/>
              <w:ind w:right="62"/>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242,463</w:t>
            </w:r>
          </w:p>
        </w:tc>
        <w:tc>
          <w:tcPr>
            <w:tcW w:w="380" w:type="dxa"/>
            <w:vAlign w:val="bottom"/>
            <w:gridSpan w:val="2"/>
            <w:shd w:val="clear" w:color="auto" w:fill="E6E6E6"/>
          </w:tcPr>
          <w:p>
            <w:pPr>
              <w:jc w:val="right"/>
              <w:ind w:right="62"/>
              <w:spacing w:after="0"/>
              <w:rPr>
                <w:sz w:val="20"/>
                <w:szCs w:val="20"/>
                <w:color w:val="auto"/>
              </w:rPr>
            </w:pPr>
            <w:r>
              <w:rPr>
                <w:rFonts w:ascii="Arial" w:cs="Arial" w:eastAsia="Arial" w:hAnsi="Arial"/>
                <w:sz w:val="20"/>
                <w:szCs w:val="20"/>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202,358</w:t>
            </w:r>
          </w:p>
        </w:tc>
        <w:tc>
          <w:tcPr>
            <w:tcW w:w="400" w:type="dxa"/>
            <w:vAlign w:val="bottom"/>
            <w:gridSpan w:val="2"/>
            <w:shd w:val="clear" w:color="auto" w:fill="E6E6E6"/>
          </w:tcPr>
          <w:p>
            <w:pPr>
              <w:jc w:val="right"/>
              <w:ind w:right="82"/>
              <w:spacing w:after="0"/>
              <w:rPr>
                <w:sz w:val="20"/>
                <w:szCs w:val="20"/>
                <w:color w:val="auto"/>
              </w:rPr>
            </w:pPr>
            <w:r>
              <w:rPr>
                <w:rFonts w:ascii="Arial" w:cs="Arial" w:eastAsia="Arial" w:hAnsi="Arial"/>
                <w:sz w:val="20"/>
                <w:szCs w:val="20"/>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171,632</w:t>
            </w:r>
          </w:p>
        </w:tc>
        <w:tc>
          <w:tcPr>
            <w:tcW w:w="60" w:type="dxa"/>
            <w:vAlign w:val="bottom"/>
            <w:shd w:val="clear" w:color="auto" w:fill="E6E6E6"/>
          </w:tcPr>
          <w:p>
            <w:pPr>
              <w:spacing w:after="0"/>
              <w:rPr>
                <w:sz w:val="24"/>
                <w:szCs w:val="24"/>
                <w:color w:val="auto"/>
              </w:rPr>
            </w:pPr>
          </w:p>
        </w:tc>
        <w:tc>
          <w:tcPr>
            <w:tcW w:w="12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19.8 %</w:t>
            </w:r>
          </w:p>
        </w:tc>
        <w:tc>
          <w:tcPr>
            <w:tcW w:w="130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17.9 %</w:t>
            </w:r>
          </w:p>
        </w:tc>
      </w:tr>
      <w:tr>
        <w:trPr>
          <w:trHeight w:val="279"/>
        </w:trPr>
        <w:tc>
          <w:tcPr>
            <w:tcW w:w="3280" w:type="dxa"/>
            <w:vAlign w:val="bottom"/>
            <w:gridSpan w:val="4"/>
          </w:tcPr>
          <w:p>
            <w:pPr>
              <w:ind w:left="260"/>
              <w:spacing w:after="0" w:line="280" w:lineRule="exact"/>
              <w:rPr>
                <w:sz w:val="20"/>
                <w:szCs w:val="20"/>
                <w:color w:val="auto"/>
              </w:rPr>
            </w:pPr>
            <w:r>
              <w:rPr>
                <w:rFonts w:ascii="Arial" w:cs="Arial" w:eastAsia="Arial" w:hAnsi="Arial"/>
                <w:sz w:val="20"/>
                <w:szCs w:val="20"/>
                <w:color w:val="auto"/>
              </w:rPr>
              <w:t xml:space="preserve">Europe </w:t>
            </w:r>
            <w:r>
              <w:rPr>
                <w:rFonts w:ascii="Arial" w:cs="Arial" w:eastAsia="Arial" w:hAnsi="Arial"/>
                <w:sz w:val="25"/>
                <w:szCs w:val="25"/>
                <w:color w:val="auto"/>
                <w:vertAlign w:val="superscript"/>
              </w:rPr>
              <w:t>(1)</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168,024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157,414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128,545</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6.7 %</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22.5 %</w:t>
            </w:r>
          </w:p>
        </w:tc>
      </w:tr>
      <w:tr>
        <w:trPr>
          <w:trHeight w:val="290"/>
        </w:trPr>
        <w:tc>
          <w:tcPr>
            <w:tcW w:w="3280" w:type="dxa"/>
            <w:vAlign w:val="bottom"/>
            <w:gridSpan w:val="4"/>
            <w:shd w:val="clear" w:color="auto" w:fill="E6E6E6"/>
          </w:tcPr>
          <w:p>
            <w:pPr>
              <w:ind w:left="280"/>
              <w:spacing w:after="0" w:line="269" w:lineRule="exact"/>
              <w:rPr>
                <w:sz w:val="20"/>
                <w:szCs w:val="20"/>
                <w:color w:val="auto"/>
              </w:rPr>
            </w:pPr>
            <w:r>
              <w:rPr>
                <w:rFonts w:ascii="Arial" w:cs="Arial" w:eastAsia="Arial" w:hAnsi="Arial"/>
                <w:sz w:val="20"/>
                <w:szCs w:val="20"/>
                <w:color w:val="auto"/>
              </w:rPr>
              <w:t xml:space="preserve">Rest of World </w:t>
            </w:r>
            <w:r>
              <w:rPr>
                <w:rFonts w:ascii="Arial" w:cs="Arial" w:eastAsia="Arial" w:hAnsi="Arial"/>
                <w:sz w:val="25"/>
                <w:szCs w:val="25"/>
                <w:color w:val="auto"/>
                <w:vertAlign w:val="superscript"/>
              </w:rPr>
              <w:t>(1)</w:t>
            </w:r>
          </w:p>
        </w:tc>
        <w:tc>
          <w:tcPr>
            <w:tcW w:w="26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273,025</w:t>
            </w:r>
          </w:p>
        </w:tc>
        <w:tc>
          <w:tcPr>
            <w:tcW w:w="8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244,340</w:t>
            </w: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214,021</w:t>
            </w:r>
          </w:p>
        </w:tc>
        <w:tc>
          <w:tcPr>
            <w:tcW w:w="60" w:type="dxa"/>
            <w:vAlign w:val="bottom"/>
            <w:shd w:val="clear" w:color="auto" w:fill="E6E6E6"/>
          </w:tcPr>
          <w:p>
            <w:pPr>
              <w:spacing w:after="0"/>
              <w:rPr>
                <w:sz w:val="24"/>
                <w:szCs w:val="24"/>
                <w:color w:val="auto"/>
              </w:rPr>
            </w:pPr>
          </w:p>
        </w:tc>
        <w:tc>
          <w:tcPr>
            <w:tcW w:w="12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11.7 %</w:t>
            </w:r>
          </w:p>
        </w:tc>
        <w:tc>
          <w:tcPr>
            <w:tcW w:w="130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14.2 %</w:t>
            </w:r>
          </w:p>
        </w:tc>
      </w:tr>
      <w:tr>
        <w:trPr>
          <w:trHeight w:val="239"/>
        </w:trPr>
        <w:tc>
          <w:tcPr>
            <w:tcW w:w="3220" w:type="dxa"/>
            <w:vAlign w:val="bottom"/>
            <w:tcBorders>
              <w:top w:val="single" w:sz="8" w:color="E6E6E6"/>
              <w:bottom w:val="single" w:sz="8" w:color="E6E6E6"/>
            </w:tcBorders>
          </w:tcPr>
          <w:p>
            <w:pPr>
              <w:spacing w:after="0"/>
              <w:rPr>
                <w:sz w:val="20"/>
                <w:szCs w:val="20"/>
                <w:color w:val="auto"/>
              </w:rPr>
            </w:pPr>
          </w:p>
        </w:tc>
        <w:tc>
          <w:tcPr>
            <w:tcW w:w="20" w:type="dxa"/>
            <w:vAlign w:val="bottom"/>
            <w:tcBorders>
              <w:top w:val="single" w:sz="8" w:color="E6E6E6"/>
              <w:bottom w:val="single" w:sz="8" w:color="E6E6E6"/>
            </w:tcBorders>
          </w:tcPr>
          <w:p>
            <w:pPr>
              <w:spacing w:after="0"/>
              <w:rPr>
                <w:sz w:val="20"/>
                <w:szCs w:val="20"/>
                <w:color w:val="auto"/>
              </w:rPr>
            </w:pPr>
          </w:p>
        </w:tc>
        <w:tc>
          <w:tcPr>
            <w:tcW w:w="20" w:type="dxa"/>
            <w:vAlign w:val="bottom"/>
            <w:tcBorders>
              <w:top w:val="single" w:sz="8" w:color="E6E6E6"/>
              <w:bottom w:val="single" w:sz="8" w:color="E6E6E6"/>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683,512</w:t>
            </w:r>
          </w:p>
        </w:tc>
        <w:tc>
          <w:tcPr>
            <w:tcW w:w="80" w:type="dxa"/>
            <w:vAlign w:val="bottom"/>
            <w:tcBorders>
              <w:top w:val="single" w:sz="8" w:color="E6E6E6"/>
              <w:bottom w:val="single" w:sz="8" w:color="E6E6E6"/>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604,112</w:t>
            </w:r>
          </w:p>
        </w:tc>
        <w:tc>
          <w:tcPr>
            <w:tcW w:w="80" w:type="dxa"/>
            <w:vAlign w:val="bottom"/>
            <w:tcBorders>
              <w:top w:val="single" w:sz="8" w:color="E6E6E6"/>
              <w:bottom w:val="single" w:sz="8" w:color="E6E6E6"/>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514,198</w:t>
            </w:r>
          </w:p>
        </w:tc>
        <w:tc>
          <w:tcPr>
            <w:tcW w:w="60" w:type="dxa"/>
            <w:vAlign w:val="bottom"/>
            <w:tcBorders>
              <w:top w:val="single" w:sz="8" w:color="E6E6E6"/>
              <w:bottom w:val="single" w:sz="8" w:color="E6E6E6"/>
            </w:tcBorders>
          </w:tcPr>
          <w:p>
            <w:pPr>
              <w:spacing w:after="0"/>
              <w:rPr>
                <w:sz w:val="20"/>
                <w:szCs w:val="20"/>
                <w:color w:val="auto"/>
              </w:rPr>
            </w:pPr>
          </w:p>
        </w:tc>
        <w:tc>
          <w:tcPr>
            <w:tcW w:w="1240" w:type="dxa"/>
            <w:vAlign w:val="bottom"/>
            <w:tcBorders>
              <w:top w:val="single" w:sz="8" w:color="E6E6E6"/>
              <w:bottom w:val="single" w:sz="8" w:color="E6E6E6"/>
            </w:tcBorders>
          </w:tcPr>
          <w:p>
            <w:pPr>
              <w:jc w:val="right"/>
              <w:spacing w:after="0"/>
              <w:rPr>
                <w:sz w:val="20"/>
                <w:szCs w:val="20"/>
                <w:color w:val="auto"/>
              </w:rPr>
            </w:pPr>
            <w:r>
              <w:rPr>
                <w:rFonts w:ascii="Arial" w:cs="Arial" w:eastAsia="Arial" w:hAnsi="Arial"/>
                <w:sz w:val="20"/>
                <w:szCs w:val="20"/>
                <w:color w:val="auto"/>
              </w:rPr>
              <w:t>13.1 %</w:t>
            </w:r>
          </w:p>
        </w:tc>
        <w:tc>
          <w:tcPr>
            <w:tcW w:w="1300" w:type="dxa"/>
            <w:vAlign w:val="bottom"/>
            <w:tcBorders>
              <w:top w:val="single" w:sz="8" w:color="E6E6E6"/>
              <w:bottom w:val="single" w:sz="8" w:color="E6E6E6"/>
            </w:tcBorders>
            <w:gridSpan w:val="2"/>
          </w:tcPr>
          <w:p>
            <w:pPr>
              <w:jc w:val="right"/>
              <w:spacing w:after="0"/>
              <w:rPr>
                <w:sz w:val="20"/>
                <w:szCs w:val="20"/>
                <w:color w:val="auto"/>
              </w:rPr>
            </w:pPr>
            <w:r>
              <w:rPr>
                <w:rFonts w:ascii="Arial" w:cs="Arial" w:eastAsia="Arial" w:hAnsi="Arial"/>
                <w:sz w:val="20"/>
                <w:szCs w:val="20"/>
                <w:color w:val="auto"/>
              </w:rPr>
              <w:t>17.5 %</w:t>
            </w:r>
          </w:p>
        </w:tc>
      </w:tr>
      <w:tr>
        <w:trPr>
          <w:trHeight w:val="270"/>
        </w:trPr>
        <w:tc>
          <w:tcPr>
            <w:tcW w:w="3260" w:type="dxa"/>
            <w:vAlign w:val="bottom"/>
            <w:gridSpan w:val="3"/>
            <w:shd w:val="clear" w:color="auto" w:fill="E6E6E6"/>
          </w:tcPr>
          <w:p>
            <w:pPr>
              <w:ind w:left="40"/>
              <w:spacing w:after="0"/>
              <w:rPr>
                <w:sz w:val="20"/>
                <w:szCs w:val="20"/>
                <w:color w:val="auto"/>
              </w:rPr>
            </w:pPr>
            <w:r>
              <w:rPr>
                <w:rFonts w:ascii="Arial" w:cs="Arial" w:eastAsia="Arial" w:hAnsi="Arial"/>
                <w:sz w:val="20"/>
                <w:szCs w:val="20"/>
                <w:b w:val="1"/>
                <w:bCs w:val="1"/>
                <w:color w:val="auto"/>
              </w:rPr>
              <w:t>Neuromodulation</w:t>
            </w:r>
          </w:p>
        </w:tc>
        <w:tc>
          <w:tcPr>
            <w:tcW w:w="20" w:type="dxa"/>
            <w:vAlign w:val="bottom"/>
            <w:shd w:val="clear" w:color="auto" w:fill="E6E6E6"/>
          </w:tcPr>
          <w:p>
            <w:pPr>
              <w:spacing w:after="0"/>
              <w:rPr>
                <w:sz w:val="23"/>
                <w:szCs w:val="23"/>
                <w:color w:val="auto"/>
              </w:rPr>
            </w:pPr>
          </w:p>
        </w:tc>
        <w:tc>
          <w:tcPr>
            <w:tcW w:w="260" w:type="dxa"/>
            <w:vAlign w:val="bottom"/>
            <w:shd w:val="clear" w:color="auto" w:fill="E6E6E6"/>
          </w:tcPr>
          <w:p>
            <w:pPr>
              <w:spacing w:after="0"/>
              <w:rPr>
                <w:sz w:val="23"/>
                <w:szCs w:val="23"/>
                <w:color w:val="auto"/>
              </w:rPr>
            </w:pPr>
          </w:p>
        </w:tc>
        <w:tc>
          <w:tcPr>
            <w:tcW w:w="104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300" w:type="dxa"/>
            <w:vAlign w:val="bottom"/>
            <w:shd w:val="clear" w:color="auto" w:fill="E6E6E6"/>
          </w:tcPr>
          <w:p>
            <w:pPr>
              <w:spacing w:after="0"/>
              <w:rPr>
                <w:sz w:val="23"/>
                <w:szCs w:val="23"/>
                <w:color w:val="auto"/>
              </w:rPr>
            </w:pPr>
          </w:p>
        </w:tc>
        <w:tc>
          <w:tcPr>
            <w:tcW w:w="104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320" w:type="dxa"/>
            <w:vAlign w:val="bottom"/>
            <w:shd w:val="clear" w:color="auto" w:fill="E6E6E6"/>
          </w:tcPr>
          <w:p>
            <w:pPr>
              <w:spacing w:after="0"/>
              <w:rPr>
                <w:sz w:val="23"/>
                <w:szCs w:val="23"/>
                <w:color w:val="auto"/>
              </w:rPr>
            </w:pPr>
          </w:p>
        </w:tc>
        <w:tc>
          <w:tcPr>
            <w:tcW w:w="104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124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1220" w:type="dxa"/>
            <w:vAlign w:val="bottom"/>
            <w:shd w:val="clear" w:color="auto" w:fill="E6E6E6"/>
          </w:tcPr>
          <w:p>
            <w:pPr>
              <w:spacing w:after="0"/>
              <w:rPr>
                <w:sz w:val="23"/>
                <w:szCs w:val="23"/>
                <w:color w:val="auto"/>
              </w:rPr>
            </w:pPr>
          </w:p>
        </w:tc>
      </w:tr>
      <w:tr>
        <w:trPr>
          <w:trHeight w:val="274"/>
        </w:trPr>
        <w:tc>
          <w:tcPr>
            <w:tcW w:w="3280" w:type="dxa"/>
            <w:vAlign w:val="bottom"/>
            <w:gridSpan w:val="4"/>
          </w:tcPr>
          <w:p>
            <w:pPr>
              <w:ind w:left="260"/>
              <w:spacing w:after="0"/>
              <w:rPr>
                <w:sz w:val="20"/>
                <w:szCs w:val="20"/>
                <w:color w:val="auto"/>
              </w:rPr>
            </w:pPr>
            <w:r>
              <w:rPr>
                <w:rFonts w:ascii="Arial" w:cs="Arial" w:eastAsia="Arial" w:hAnsi="Arial"/>
                <w:sz w:val="20"/>
                <w:szCs w:val="20"/>
                <w:color w:val="auto"/>
              </w:rPr>
              <w:t>United States</w:t>
            </w: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441,022</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407,493</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374,542</w:t>
            </w:r>
          </w:p>
        </w:tc>
        <w:tc>
          <w:tcPr>
            <w:tcW w:w="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8.2 %</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8.8 %</w:t>
            </w:r>
          </w:p>
        </w:tc>
      </w:tr>
      <w:tr>
        <w:trPr>
          <w:trHeight w:val="285"/>
        </w:trPr>
        <w:tc>
          <w:tcPr>
            <w:tcW w:w="3280" w:type="dxa"/>
            <w:vAlign w:val="bottom"/>
            <w:gridSpan w:val="4"/>
            <w:shd w:val="clear" w:color="auto" w:fill="E6E6E6"/>
          </w:tcPr>
          <w:p>
            <w:pPr>
              <w:ind w:left="260"/>
              <w:spacing w:after="0" w:line="284" w:lineRule="exact"/>
              <w:rPr>
                <w:sz w:val="20"/>
                <w:szCs w:val="20"/>
                <w:color w:val="auto"/>
              </w:rPr>
            </w:pPr>
            <w:r>
              <w:rPr>
                <w:rFonts w:ascii="Arial" w:cs="Arial" w:eastAsia="Arial" w:hAnsi="Arial"/>
                <w:sz w:val="20"/>
                <w:szCs w:val="20"/>
                <w:color w:val="auto"/>
              </w:rPr>
              <w:t xml:space="preserve">Europe </w:t>
            </w:r>
            <w:r>
              <w:rPr>
                <w:rFonts w:ascii="Arial" w:cs="Arial" w:eastAsia="Arial" w:hAnsi="Arial"/>
                <w:sz w:val="25"/>
                <w:szCs w:val="25"/>
                <w:color w:val="auto"/>
                <w:vertAlign w:val="superscript"/>
              </w:rPr>
              <w:t>(1)</w:t>
            </w:r>
          </w:p>
        </w:tc>
        <w:tc>
          <w:tcPr>
            <w:tcW w:w="26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54,899</w:t>
            </w:r>
          </w:p>
        </w:tc>
        <w:tc>
          <w:tcPr>
            <w:tcW w:w="8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57,435</w:t>
            </w: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50,291</w:t>
            </w:r>
          </w:p>
        </w:tc>
        <w:tc>
          <w:tcPr>
            <w:tcW w:w="60" w:type="dxa"/>
            <w:vAlign w:val="bottom"/>
            <w:shd w:val="clear" w:color="auto" w:fill="E6E6E6"/>
          </w:tcPr>
          <w:p>
            <w:pPr>
              <w:spacing w:after="0"/>
              <w:rPr>
                <w:sz w:val="24"/>
                <w:szCs w:val="24"/>
                <w:color w:val="auto"/>
              </w:rPr>
            </w:pPr>
          </w:p>
        </w:tc>
        <w:tc>
          <w:tcPr>
            <w:tcW w:w="12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(4.4)%</w:t>
            </w:r>
          </w:p>
        </w:tc>
        <w:tc>
          <w:tcPr>
            <w:tcW w:w="130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14.2 %</w:t>
            </w:r>
          </w:p>
        </w:tc>
      </w:tr>
      <w:tr>
        <w:trPr>
          <w:trHeight w:val="269"/>
        </w:trPr>
        <w:tc>
          <w:tcPr>
            <w:tcW w:w="3280" w:type="dxa"/>
            <w:vAlign w:val="bottom"/>
            <w:gridSpan w:val="4"/>
          </w:tcPr>
          <w:p>
            <w:pPr>
              <w:ind w:left="260"/>
              <w:spacing w:after="0" w:line="269" w:lineRule="exact"/>
              <w:rPr>
                <w:sz w:val="20"/>
                <w:szCs w:val="20"/>
                <w:color w:val="auto"/>
              </w:rPr>
            </w:pPr>
            <w:r>
              <w:rPr>
                <w:rFonts w:ascii="Arial" w:cs="Arial" w:eastAsia="Arial" w:hAnsi="Arial"/>
                <w:sz w:val="20"/>
                <w:szCs w:val="20"/>
                <w:color w:val="auto"/>
              </w:rPr>
              <w:t xml:space="preserve">Rest of World </w:t>
            </w:r>
            <w:r>
              <w:rPr>
                <w:rFonts w:ascii="Arial" w:cs="Arial" w:eastAsia="Arial" w:hAnsi="Arial"/>
                <w:sz w:val="25"/>
                <w:szCs w:val="25"/>
                <w:color w:val="auto"/>
                <w:vertAlign w:val="superscript"/>
              </w:rPr>
              <w:t>(1)</w:t>
            </w: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58,302</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54,782</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52,160</w:t>
            </w:r>
          </w:p>
        </w:tc>
        <w:tc>
          <w:tcPr>
            <w:tcW w:w="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6.4 %</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5.0 %</w:t>
            </w:r>
          </w:p>
        </w:tc>
      </w:tr>
      <w:tr>
        <w:trPr>
          <w:trHeight w:val="278"/>
        </w:trPr>
        <w:tc>
          <w:tcPr>
            <w:tcW w:w="3220" w:type="dxa"/>
            <w:vAlign w:val="bottom"/>
            <w:tcBorders>
              <w:top w:val="single" w:sz="8" w:color="E6E6E6"/>
              <w:bottom w:val="single" w:sz="8" w:color="E6E6E6"/>
            </w:tcBorders>
            <w:shd w:val="clear" w:color="auto" w:fill="E6E6E6"/>
          </w:tcPr>
          <w:p>
            <w:pPr>
              <w:spacing w:after="0"/>
              <w:rPr>
                <w:sz w:val="24"/>
                <w:szCs w:val="24"/>
                <w:color w:val="auto"/>
              </w:rPr>
            </w:pPr>
          </w:p>
        </w:tc>
        <w:tc>
          <w:tcPr>
            <w:tcW w:w="20" w:type="dxa"/>
            <w:vAlign w:val="bottom"/>
            <w:tcBorders>
              <w:top w:val="single" w:sz="8" w:color="E6E6E6"/>
              <w:bottom w:val="single" w:sz="8" w:color="E6E6E6"/>
            </w:tcBorders>
            <w:shd w:val="clear" w:color="auto" w:fill="E6E6E6"/>
          </w:tcPr>
          <w:p>
            <w:pPr>
              <w:spacing w:after="0"/>
              <w:rPr>
                <w:sz w:val="24"/>
                <w:szCs w:val="24"/>
                <w:color w:val="auto"/>
              </w:rPr>
            </w:pPr>
          </w:p>
        </w:tc>
        <w:tc>
          <w:tcPr>
            <w:tcW w:w="20" w:type="dxa"/>
            <w:vAlign w:val="bottom"/>
            <w:tcBorders>
              <w:top w:val="single" w:sz="8" w:color="E6E6E6"/>
              <w:bottom w:val="single" w:sz="8" w:color="auto"/>
            </w:tcBorders>
            <w:shd w:val="clear" w:color="auto" w:fill="E6E6E6"/>
          </w:tcPr>
          <w:p>
            <w:pPr>
              <w:spacing w:after="0"/>
              <w:rPr>
                <w:sz w:val="24"/>
                <w:szCs w:val="24"/>
                <w:color w:val="auto"/>
              </w:rPr>
            </w:pPr>
          </w:p>
        </w:tc>
        <w:tc>
          <w:tcPr>
            <w:tcW w:w="20" w:type="dxa"/>
            <w:vAlign w:val="bottom"/>
            <w:tcBorders>
              <w:top w:val="single" w:sz="8" w:color="auto"/>
              <w:bottom w:val="single" w:sz="8" w:color="auto"/>
            </w:tcBorders>
            <w:shd w:val="clear" w:color="auto" w:fill="E6E6E6"/>
          </w:tcPr>
          <w:p>
            <w:pPr>
              <w:spacing w:after="0"/>
              <w:rPr>
                <w:sz w:val="24"/>
                <w:szCs w:val="24"/>
                <w:color w:val="auto"/>
              </w:rPr>
            </w:pPr>
          </w:p>
        </w:tc>
        <w:tc>
          <w:tcPr>
            <w:tcW w:w="260" w:type="dxa"/>
            <w:vAlign w:val="bottom"/>
            <w:tcBorders>
              <w:top w:val="single" w:sz="8" w:color="auto"/>
              <w:bottom w:val="single" w:sz="8" w:color="auto"/>
            </w:tcBorders>
            <w:shd w:val="clear" w:color="auto" w:fill="E6E6E6"/>
          </w:tcPr>
          <w:p>
            <w:pPr>
              <w:spacing w:after="0"/>
              <w:rPr>
                <w:sz w:val="24"/>
                <w:szCs w:val="24"/>
                <w:color w:val="auto"/>
              </w:rPr>
            </w:pPr>
          </w:p>
        </w:tc>
        <w:tc>
          <w:tcPr>
            <w:tcW w:w="104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554,223</w:t>
            </w:r>
          </w:p>
        </w:tc>
        <w:tc>
          <w:tcPr>
            <w:tcW w:w="80" w:type="dxa"/>
            <w:vAlign w:val="bottom"/>
            <w:tcBorders>
              <w:top w:val="single" w:sz="8" w:color="E6E6E6"/>
              <w:bottom w:val="single" w:sz="8" w:color="E6E6E6"/>
            </w:tcBorders>
            <w:shd w:val="clear" w:color="auto" w:fill="E6E6E6"/>
          </w:tcPr>
          <w:p>
            <w:pPr>
              <w:spacing w:after="0"/>
              <w:rPr>
                <w:sz w:val="24"/>
                <w:szCs w:val="24"/>
                <w:color w:val="auto"/>
              </w:rPr>
            </w:pPr>
          </w:p>
        </w:tc>
        <w:tc>
          <w:tcPr>
            <w:tcW w:w="300" w:type="dxa"/>
            <w:vAlign w:val="bottom"/>
            <w:tcBorders>
              <w:top w:val="single" w:sz="8" w:color="auto"/>
              <w:bottom w:val="single" w:sz="8" w:color="auto"/>
            </w:tcBorders>
            <w:shd w:val="clear" w:color="auto" w:fill="E6E6E6"/>
          </w:tcPr>
          <w:p>
            <w:pPr>
              <w:spacing w:after="0"/>
              <w:rPr>
                <w:sz w:val="24"/>
                <w:szCs w:val="24"/>
                <w:color w:val="auto"/>
              </w:rPr>
            </w:pPr>
          </w:p>
        </w:tc>
        <w:tc>
          <w:tcPr>
            <w:tcW w:w="104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519,710</w:t>
            </w:r>
          </w:p>
        </w:tc>
        <w:tc>
          <w:tcPr>
            <w:tcW w:w="80" w:type="dxa"/>
            <w:vAlign w:val="bottom"/>
            <w:tcBorders>
              <w:top w:val="single" w:sz="8" w:color="E6E6E6"/>
              <w:bottom w:val="single" w:sz="8" w:color="E6E6E6"/>
            </w:tcBorders>
            <w:shd w:val="clear" w:color="auto" w:fill="E6E6E6"/>
          </w:tcPr>
          <w:p>
            <w:pPr>
              <w:spacing w:after="0"/>
              <w:rPr>
                <w:sz w:val="24"/>
                <w:szCs w:val="24"/>
                <w:color w:val="auto"/>
              </w:rPr>
            </w:pPr>
          </w:p>
        </w:tc>
        <w:tc>
          <w:tcPr>
            <w:tcW w:w="320" w:type="dxa"/>
            <w:vAlign w:val="bottom"/>
            <w:tcBorders>
              <w:top w:val="single" w:sz="8" w:color="auto"/>
              <w:bottom w:val="single" w:sz="8" w:color="auto"/>
            </w:tcBorders>
            <w:shd w:val="clear" w:color="auto" w:fill="E6E6E6"/>
          </w:tcPr>
          <w:p>
            <w:pPr>
              <w:spacing w:after="0"/>
              <w:rPr>
                <w:sz w:val="24"/>
                <w:szCs w:val="24"/>
                <w:color w:val="auto"/>
              </w:rPr>
            </w:pPr>
          </w:p>
        </w:tc>
        <w:tc>
          <w:tcPr>
            <w:tcW w:w="104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476,993</w:t>
            </w:r>
          </w:p>
        </w:tc>
        <w:tc>
          <w:tcPr>
            <w:tcW w:w="60" w:type="dxa"/>
            <w:vAlign w:val="bottom"/>
            <w:tcBorders>
              <w:top w:val="single" w:sz="8" w:color="E6E6E6"/>
              <w:bottom w:val="single" w:sz="8" w:color="E6E6E6"/>
            </w:tcBorders>
            <w:shd w:val="clear" w:color="auto" w:fill="E6E6E6"/>
          </w:tcPr>
          <w:p>
            <w:pPr>
              <w:spacing w:after="0"/>
              <w:rPr>
                <w:sz w:val="24"/>
                <w:szCs w:val="24"/>
                <w:color w:val="auto"/>
              </w:rPr>
            </w:pPr>
          </w:p>
        </w:tc>
        <w:tc>
          <w:tcPr>
            <w:tcW w:w="1240" w:type="dxa"/>
            <w:vAlign w:val="bottom"/>
            <w:tcBorders>
              <w:top w:val="single" w:sz="8" w:color="E6E6E6"/>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6.6 %</w:t>
            </w:r>
          </w:p>
        </w:tc>
        <w:tc>
          <w:tcPr>
            <w:tcW w:w="1300" w:type="dxa"/>
            <w:vAlign w:val="bottom"/>
            <w:tcBorders>
              <w:top w:val="single" w:sz="8" w:color="E6E6E6"/>
              <w:bottom w:val="single" w:sz="8" w:color="E6E6E6"/>
            </w:tcBorders>
            <w:gridSpan w:val="2"/>
            <w:shd w:val="clear" w:color="auto" w:fill="E6E6E6"/>
          </w:tcPr>
          <w:p>
            <w:pPr>
              <w:jc w:val="right"/>
              <w:spacing w:after="0"/>
              <w:rPr>
                <w:sz w:val="20"/>
                <w:szCs w:val="20"/>
                <w:color w:val="auto"/>
              </w:rPr>
            </w:pPr>
            <w:r>
              <w:rPr>
                <w:rFonts w:ascii="Arial" w:cs="Arial" w:eastAsia="Arial" w:hAnsi="Arial"/>
                <w:sz w:val="20"/>
                <w:szCs w:val="20"/>
                <w:color w:val="auto"/>
              </w:rPr>
              <w:t>9.0 %</w:t>
            </w:r>
          </w:p>
        </w:tc>
      </w:tr>
      <w:tr>
        <w:trPr>
          <w:trHeight w:val="240"/>
        </w:trPr>
        <w:tc>
          <w:tcPr>
            <w:tcW w:w="3240" w:type="dxa"/>
            <w:vAlign w:val="bottom"/>
            <w:tcBorders>
              <w:bottom w:val="single" w:sz="8" w:color="E6E6E6"/>
            </w:tcBorders>
            <w:gridSpan w:val="2"/>
          </w:tcPr>
          <w:p>
            <w:pPr>
              <w:ind w:left="40"/>
              <w:spacing w:after="0" w:line="240" w:lineRule="exact"/>
              <w:rPr>
                <w:sz w:val="20"/>
                <w:szCs w:val="20"/>
                <w:color w:val="auto"/>
              </w:rPr>
            </w:pPr>
            <w:r>
              <w:rPr>
                <w:rFonts w:ascii="Arial" w:cs="Arial" w:eastAsia="Arial" w:hAnsi="Arial"/>
                <w:sz w:val="20"/>
                <w:szCs w:val="20"/>
                <w:b w:val="1"/>
                <w:bCs w:val="1"/>
                <w:color w:val="auto"/>
              </w:rPr>
              <w:t xml:space="preserve">Other Revenue </w:t>
            </w:r>
            <w:r>
              <w:rPr>
                <w:rFonts w:ascii="Arial" w:cs="Arial" w:eastAsia="Arial" w:hAnsi="Arial"/>
                <w:sz w:val="25"/>
                <w:szCs w:val="25"/>
                <w:b w:val="1"/>
                <w:bCs w:val="1"/>
                <w:color w:val="auto"/>
                <w:vertAlign w:val="superscript"/>
              </w:rPr>
              <w:t>(2)</w:t>
            </w:r>
          </w:p>
        </w:tc>
        <w:tc>
          <w:tcPr>
            <w:tcW w:w="40" w:type="dxa"/>
            <w:vAlign w:val="bottom"/>
            <w:tcBorders>
              <w:bottom w:val="single" w:sz="8" w:color="auto"/>
            </w:tcBorders>
            <w:gridSpan w:val="2"/>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15,702</w:t>
            </w:r>
          </w:p>
        </w:tc>
        <w:tc>
          <w:tcPr>
            <w:tcW w:w="80" w:type="dxa"/>
            <w:vAlign w:val="bottom"/>
            <w:tcBorders>
              <w:bottom w:val="single" w:sz="8" w:color="E6E6E6"/>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29,723</w:t>
            </w:r>
          </w:p>
        </w:tc>
        <w:tc>
          <w:tcPr>
            <w:tcW w:w="80" w:type="dxa"/>
            <w:vAlign w:val="bottom"/>
            <w:tcBorders>
              <w:bottom w:val="single" w:sz="8" w:color="E6E6E6"/>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30,614</w:t>
            </w:r>
          </w:p>
        </w:tc>
        <w:tc>
          <w:tcPr>
            <w:tcW w:w="60" w:type="dxa"/>
            <w:vAlign w:val="bottom"/>
            <w:tcBorders>
              <w:bottom w:val="single" w:sz="8" w:color="E6E6E6"/>
            </w:tcBorders>
          </w:tcPr>
          <w:p>
            <w:pPr>
              <w:spacing w:after="0"/>
              <w:rPr>
                <w:sz w:val="20"/>
                <w:szCs w:val="20"/>
                <w:color w:val="auto"/>
              </w:rPr>
            </w:pPr>
          </w:p>
        </w:tc>
        <w:tc>
          <w:tcPr>
            <w:tcW w:w="1240" w:type="dxa"/>
            <w:vAlign w:val="bottom"/>
            <w:tcBorders>
              <w:bottom w:val="single" w:sz="8" w:color="E6E6E6"/>
            </w:tcBorders>
          </w:tcPr>
          <w:p>
            <w:pPr>
              <w:jc w:val="right"/>
              <w:spacing w:after="0"/>
              <w:rPr>
                <w:sz w:val="20"/>
                <w:szCs w:val="20"/>
                <w:color w:val="auto"/>
              </w:rPr>
            </w:pPr>
            <w:r>
              <w:rPr>
                <w:rFonts w:ascii="Arial" w:cs="Arial" w:eastAsia="Arial" w:hAnsi="Arial"/>
                <w:sz w:val="20"/>
                <w:szCs w:val="20"/>
                <w:color w:val="auto"/>
              </w:rPr>
              <w:t>(47.2)%</w:t>
            </w:r>
          </w:p>
        </w:tc>
        <w:tc>
          <w:tcPr>
            <w:tcW w:w="1300" w:type="dxa"/>
            <w:vAlign w:val="bottom"/>
            <w:tcBorders>
              <w:bottom w:val="single" w:sz="8" w:color="E6E6E6"/>
            </w:tcBorders>
            <w:gridSpan w:val="2"/>
          </w:tcPr>
          <w:p>
            <w:pPr>
              <w:jc w:val="right"/>
              <w:spacing w:after="0"/>
              <w:rPr>
                <w:sz w:val="20"/>
                <w:szCs w:val="20"/>
                <w:color w:val="auto"/>
              </w:rPr>
            </w:pPr>
            <w:r>
              <w:rPr>
                <w:rFonts w:ascii="Arial" w:cs="Arial" w:eastAsia="Arial" w:hAnsi="Arial"/>
                <w:sz w:val="20"/>
                <w:szCs w:val="20"/>
                <w:color w:val="auto"/>
              </w:rPr>
              <w:t>(2.9)%</w:t>
            </w:r>
          </w:p>
        </w:tc>
      </w:tr>
      <w:tr>
        <w:trPr>
          <w:trHeight w:val="269"/>
        </w:trPr>
        <w:tc>
          <w:tcPr>
            <w:tcW w:w="3240" w:type="dxa"/>
            <w:vAlign w:val="bottom"/>
            <w:gridSpan w:val="2"/>
            <w:shd w:val="clear" w:color="auto" w:fill="E6E6E6"/>
          </w:tcPr>
          <w:p>
            <w:pPr>
              <w:ind w:left="40"/>
              <w:spacing w:after="0"/>
              <w:rPr>
                <w:sz w:val="20"/>
                <w:szCs w:val="20"/>
                <w:color w:val="auto"/>
              </w:rPr>
            </w:pPr>
            <w:r>
              <w:rPr>
                <w:rFonts w:ascii="Arial" w:cs="Arial" w:eastAsia="Arial" w:hAnsi="Arial"/>
                <w:sz w:val="20"/>
                <w:szCs w:val="20"/>
                <w:b w:val="1"/>
                <w:bCs w:val="1"/>
                <w:color w:val="auto"/>
              </w:rPr>
              <w:t>Totals</w:t>
            </w:r>
          </w:p>
        </w:tc>
        <w:tc>
          <w:tcPr>
            <w:tcW w:w="40" w:type="dxa"/>
            <w:vAlign w:val="bottom"/>
            <w:gridSpan w:val="2"/>
            <w:shd w:val="clear" w:color="auto" w:fill="E6E6E6"/>
          </w:tcPr>
          <w:p>
            <w:pPr>
              <w:spacing w:after="0"/>
              <w:rPr>
                <w:sz w:val="23"/>
                <w:szCs w:val="23"/>
                <w:color w:val="auto"/>
              </w:rPr>
            </w:pPr>
          </w:p>
        </w:tc>
        <w:tc>
          <w:tcPr>
            <w:tcW w:w="260" w:type="dxa"/>
            <w:vAlign w:val="bottom"/>
            <w:shd w:val="clear" w:color="auto" w:fill="E6E6E6"/>
          </w:tcPr>
          <w:p>
            <w:pPr>
              <w:spacing w:after="0"/>
              <w:rPr>
                <w:sz w:val="23"/>
                <w:szCs w:val="23"/>
                <w:color w:val="auto"/>
              </w:rPr>
            </w:pPr>
          </w:p>
        </w:tc>
        <w:tc>
          <w:tcPr>
            <w:tcW w:w="104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300" w:type="dxa"/>
            <w:vAlign w:val="bottom"/>
            <w:shd w:val="clear" w:color="auto" w:fill="E6E6E6"/>
          </w:tcPr>
          <w:p>
            <w:pPr>
              <w:spacing w:after="0"/>
              <w:rPr>
                <w:sz w:val="23"/>
                <w:szCs w:val="23"/>
                <w:color w:val="auto"/>
              </w:rPr>
            </w:pPr>
          </w:p>
        </w:tc>
        <w:tc>
          <w:tcPr>
            <w:tcW w:w="104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320" w:type="dxa"/>
            <w:vAlign w:val="bottom"/>
            <w:shd w:val="clear" w:color="auto" w:fill="E6E6E6"/>
          </w:tcPr>
          <w:p>
            <w:pPr>
              <w:spacing w:after="0"/>
              <w:rPr>
                <w:sz w:val="23"/>
                <w:szCs w:val="23"/>
                <w:color w:val="auto"/>
              </w:rPr>
            </w:pPr>
          </w:p>
        </w:tc>
        <w:tc>
          <w:tcPr>
            <w:tcW w:w="104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124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1220" w:type="dxa"/>
            <w:vAlign w:val="bottom"/>
            <w:shd w:val="clear" w:color="auto" w:fill="E6E6E6"/>
          </w:tcPr>
          <w:p>
            <w:pPr>
              <w:spacing w:after="0"/>
              <w:rPr>
                <w:sz w:val="23"/>
                <w:szCs w:val="23"/>
                <w:color w:val="auto"/>
              </w:rPr>
            </w:pPr>
          </w:p>
        </w:tc>
      </w:tr>
      <w:tr>
        <w:trPr>
          <w:trHeight w:val="274"/>
        </w:trPr>
        <w:tc>
          <w:tcPr>
            <w:tcW w:w="3280" w:type="dxa"/>
            <w:vAlign w:val="bottom"/>
            <w:gridSpan w:val="4"/>
          </w:tcPr>
          <w:p>
            <w:pPr>
              <w:ind w:left="260"/>
              <w:spacing w:after="0"/>
              <w:rPr>
                <w:sz w:val="20"/>
                <w:szCs w:val="20"/>
                <w:color w:val="auto"/>
              </w:rPr>
            </w:pPr>
            <w:r>
              <w:rPr>
                <w:rFonts w:ascii="Arial" w:cs="Arial" w:eastAsia="Arial" w:hAnsi="Arial"/>
                <w:sz w:val="20"/>
                <w:szCs w:val="20"/>
                <w:color w:val="auto"/>
              </w:rPr>
              <w:t>United States</w:t>
            </w: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695,083</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635,044</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571,558</w:t>
            </w:r>
          </w:p>
        </w:tc>
        <w:tc>
          <w:tcPr>
            <w:tcW w:w="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9.5 %</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11.1 %</w:t>
            </w:r>
          </w:p>
        </w:tc>
      </w:tr>
      <w:tr>
        <w:trPr>
          <w:trHeight w:val="285"/>
        </w:trPr>
        <w:tc>
          <w:tcPr>
            <w:tcW w:w="3280" w:type="dxa"/>
            <w:vAlign w:val="bottom"/>
            <w:gridSpan w:val="4"/>
            <w:shd w:val="clear" w:color="auto" w:fill="E6E6E6"/>
          </w:tcPr>
          <w:p>
            <w:pPr>
              <w:ind w:left="260"/>
              <w:spacing w:after="0" w:line="284" w:lineRule="exact"/>
              <w:rPr>
                <w:sz w:val="20"/>
                <w:szCs w:val="20"/>
                <w:color w:val="auto"/>
              </w:rPr>
            </w:pPr>
            <w:r>
              <w:rPr>
                <w:rFonts w:ascii="Arial" w:cs="Arial" w:eastAsia="Arial" w:hAnsi="Arial"/>
                <w:sz w:val="20"/>
                <w:szCs w:val="20"/>
                <w:color w:val="auto"/>
              </w:rPr>
              <w:t xml:space="preserve">Europe </w:t>
            </w:r>
            <w:r>
              <w:rPr>
                <w:rFonts w:ascii="Arial" w:cs="Arial" w:eastAsia="Arial" w:hAnsi="Arial"/>
                <w:sz w:val="25"/>
                <w:szCs w:val="25"/>
                <w:color w:val="auto"/>
                <w:vertAlign w:val="superscript"/>
              </w:rPr>
              <w:t>(1)</w:t>
            </w:r>
          </w:p>
        </w:tc>
        <w:tc>
          <w:tcPr>
            <w:tcW w:w="26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220,032</w:t>
            </w:r>
          </w:p>
        </w:tc>
        <w:tc>
          <w:tcPr>
            <w:tcW w:w="8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214,792</w:t>
            </w: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178,802</w:t>
            </w:r>
          </w:p>
        </w:tc>
        <w:tc>
          <w:tcPr>
            <w:tcW w:w="60" w:type="dxa"/>
            <w:vAlign w:val="bottom"/>
            <w:shd w:val="clear" w:color="auto" w:fill="E6E6E6"/>
          </w:tcPr>
          <w:p>
            <w:pPr>
              <w:spacing w:after="0"/>
              <w:rPr>
                <w:sz w:val="24"/>
                <w:szCs w:val="24"/>
                <w:color w:val="auto"/>
              </w:rPr>
            </w:pPr>
          </w:p>
        </w:tc>
        <w:tc>
          <w:tcPr>
            <w:tcW w:w="12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2.4 %</w:t>
            </w:r>
          </w:p>
        </w:tc>
        <w:tc>
          <w:tcPr>
            <w:tcW w:w="130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20.1 %</w:t>
            </w:r>
          </w:p>
        </w:tc>
      </w:tr>
      <w:tr>
        <w:trPr>
          <w:trHeight w:val="269"/>
        </w:trPr>
        <w:tc>
          <w:tcPr>
            <w:tcW w:w="3220" w:type="dxa"/>
            <w:vAlign w:val="bottom"/>
            <w:tcBorders>
              <w:bottom w:val="single" w:sz="8" w:color="E6E6E6"/>
            </w:tcBorders>
          </w:tcPr>
          <w:p>
            <w:pPr>
              <w:ind w:left="260"/>
              <w:spacing w:after="0" w:line="269" w:lineRule="exact"/>
              <w:rPr>
                <w:sz w:val="20"/>
                <w:szCs w:val="20"/>
                <w:color w:val="auto"/>
              </w:rPr>
            </w:pPr>
            <w:r>
              <w:rPr>
                <w:rFonts w:ascii="Arial" w:cs="Arial" w:eastAsia="Arial" w:hAnsi="Arial"/>
                <w:sz w:val="20"/>
                <w:szCs w:val="20"/>
                <w:color w:val="auto"/>
              </w:rPr>
              <w:t xml:space="preserve">Rest of World </w:t>
            </w:r>
            <w:r>
              <w:rPr>
                <w:rFonts w:ascii="Arial" w:cs="Arial" w:eastAsia="Arial" w:hAnsi="Arial"/>
                <w:sz w:val="25"/>
                <w:szCs w:val="25"/>
                <w:color w:val="auto"/>
                <w:vertAlign w:val="superscript"/>
              </w:rPr>
              <w:t>(1)</w:t>
            </w:r>
          </w:p>
        </w:tc>
        <w:tc>
          <w:tcPr>
            <w:tcW w:w="60" w:type="dxa"/>
            <w:vAlign w:val="bottom"/>
            <w:tcBorders>
              <w:bottom w:val="single" w:sz="8" w:color="auto"/>
            </w:tcBorders>
            <w:gridSpan w:val="3"/>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338,322</w:t>
            </w:r>
          </w:p>
        </w:tc>
        <w:tc>
          <w:tcPr>
            <w:tcW w:w="80" w:type="dxa"/>
            <w:vAlign w:val="bottom"/>
            <w:tcBorders>
              <w:bottom w:val="single" w:sz="8" w:color="E6E6E6"/>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303,709</w:t>
            </w:r>
          </w:p>
        </w:tc>
        <w:tc>
          <w:tcPr>
            <w:tcW w:w="80" w:type="dxa"/>
            <w:vAlign w:val="bottom"/>
            <w:tcBorders>
              <w:bottom w:val="single" w:sz="8" w:color="E6E6E6"/>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271,445</w:t>
            </w:r>
          </w:p>
        </w:tc>
        <w:tc>
          <w:tcPr>
            <w:tcW w:w="60" w:type="dxa"/>
            <w:vAlign w:val="bottom"/>
            <w:tcBorders>
              <w:bottom w:val="single" w:sz="8" w:color="E6E6E6"/>
            </w:tcBorders>
          </w:tcPr>
          <w:p>
            <w:pPr>
              <w:spacing w:after="0"/>
              <w:rPr>
                <w:sz w:val="23"/>
                <w:szCs w:val="23"/>
                <w:color w:val="auto"/>
              </w:rPr>
            </w:pPr>
          </w:p>
        </w:tc>
        <w:tc>
          <w:tcPr>
            <w:tcW w:w="1240" w:type="dxa"/>
            <w:vAlign w:val="bottom"/>
            <w:tcBorders>
              <w:bottom w:val="single" w:sz="8" w:color="E6E6E6"/>
            </w:tcBorders>
          </w:tcPr>
          <w:p>
            <w:pPr>
              <w:jc w:val="right"/>
              <w:spacing w:after="0"/>
              <w:rPr>
                <w:sz w:val="20"/>
                <w:szCs w:val="20"/>
                <w:color w:val="auto"/>
              </w:rPr>
            </w:pPr>
            <w:r>
              <w:rPr>
                <w:rFonts w:ascii="Arial" w:cs="Arial" w:eastAsia="Arial" w:hAnsi="Arial"/>
                <w:sz w:val="20"/>
                <w:szCs w:val="20"/>
                <w:color w:val="auto"/>
              </w:rPr>
              <w:t>11.4 %</w:t>
            </w:r>
          </w:p>
        </w:tc>
        <w:tc>
          <w:tcPr>
            <w:tcW w:w="1300" w:type="dxa"/>
            <w:vAlign w:val="bottom"/>
            <w:tcBorders>
              <w:bottom w:val="single" w:sz="8" w:color="E6E6E6"/>
            </w:tcBorders>
            <w:gridSpan w:val="2"/>
          </w:tcPr>
          <w:p>
            <w:pPr>
              <w:jc w:val="right"/>
              <w:spacing w:after="0"/>
              <w:rPr>
                <w:sz w:val="20"/>
                <w:szCs w:val="20"/>
                <w:color w:val="auto"/>
              </w:rPr>
            </w:pPr>
            <w:r>
              <w:rPr>
                <w:rFonts w:ascii="Arial" w:cs="Arial" w:eastAsia="Arial" w:hAnsi="Arial"/>
                <w:sz w:val="20"/>
                <w:szCs w:val="20"/>
                <w:color w:val="auto"/>
              </w:rPr>
              <w:t>11.9 %</w:t>
            </w:r>
          </w:p>
        </w:tc>
      </w:tr>
      <w:tr>
        <w:trPr>
          <w:trHeight w:val="279"/>
        </w:trPr>
        <w:tc>
          <w:tcPr>
            <w:tcW w:w="32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jc w:val="right"/>
              <w:ind w:right="62"/>
              <w:spacing w:after="0"/>
              <w:rPr>
                <w:sz w:val="20"/>
                <w:szCs w:val="20"/>
                <w:color w:val="auto"/>
              </w:rPr>
            </w:pPr>
            <w:r>
              <w:rPr>
                <w:rFonts w:ascii="Arial" w:cs="Arial" w:eastAsia="Arial" w:hAnsi="Arial"/>
                <w:sz w:val="20"/>
                <w:szCs w:val="20"/>
                <w:color w:val="auto"/>
                <w:w w:val="71"/>
              </w:rPr>
              <w:t>$</w:t>
            </w: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1,253,437</w:t>
            </w:r>
          </w:p>
        </w:tc>
        <w:tc>
          <w:tcPr>
            <w:tcW w:w="8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jc w:val="right"/>
              <w:ind w:right="62"/>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1,153,545</w:t>
            </w:r>
          </w:p>
        </w:tc>
        <w:tc>
          <w:tcPr>
            <w:tcW w:w="8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jc w:val="right"/>
              <w:ind w:right="82"/>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1,021,805</w:t>
            </w:r>
          </w:p>
        </w:tc>
        <w:tc>
          <w:tcPr>
            <w:tcW w:w="60" w:type="dxa"/>
            <w:vAlign w:val="bottom"/>
            <w:tcBorders>
              <w:bottom w:val="single" w:sz="8" w:color="E6E6E6"/>
            </w:tcBorders>
            <w:shd w:val="clear" w:color="auto" w:fill="E6E6E6"/>
          </w:tcPr>
          <w:p>
            <w:pPr>
              <w:spacing w:after="0"/>
              <w:rPr>
                <w:sz w:val="24"/>
                <w:szCs w:val="24"/>
                <w:color w:val="auto"/>
              </w:rPr>
            </w:pPr>
          </w:p>
        </w:tc>
        <w:tc>
          <w:tcPr>
            <w:tcW w:w="12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8.7 %</w:t>
            </w:r>
          </w:p>
        </w:tc>
        <w:tc>
          <w:tcPr>
            <w:tcW w:w="130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20"/>
                <w:szCs w:val="20"/>
                <w:color w:val="auto"/>
              </w:rPr>
              <w:t>12.9 %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2036445</wp:posOffset>
            </wp:positionH>
            <wp:positionV relativeFrom="paragraph">
              <wp:posOffset>-2159000</wp:posOffset>
            </wp:positionV>
            <wp:extent cx="269494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9">
                      <a:extLst>
                        <a:ext uri="{28A0092B-C50C-407E-A947-70E740481C1C}"/>
                      </a:extLst>
                    </a:blip>
                    <a:srcRect/>
                    <a:stretch>
                      <a:fillRect/>
                    </a:stretch>
                  </pic:blipFill>
                  <pic:spPr bwMode="auto">
                    <a:xfrm>
                      <a:off x="0" y="0"/>
                      <a:ext cx="2694940" cy="25400"/>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-1981835</wp:posOffset>
            </wp:positionV>
            <wp:extent cx="269494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0">
                      <a:extLst>
                        <a:ext uri="{28A0092B-C50C-407E-A947-70E740481C1C}"/>
                      </a:extLst>
                    </a:blip>
                    <a:srcRect/>
                    <a:stretch>
                      <a:fillRect/>
                    </a:stretch>
                  </pic:blipFill>
                  <pic:spPr bwMode="auto">
                    <a:xfrm>
                      <a:off x="0" y="0"/>
                      <a:ext cx="2694940" cy="25400"/>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-1271905</wp:posOffset>
            </wp:positionV>
            <wp:extent cx="269494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1">
                      <a:extLst>
                        <a:ext uri="{28A0092B-C50C-407E-A947-70E740481C1C}"/>
                      </a:extLst>
                    </a:blip>
                    <a:srcRect/>
                    <a:stretch>
                      <a:fillRect/>
                    </a:stretch>
                  </pic:blipFill>
                  <pic:spPr bwMode="auto">
                    <a:xfrm>
                      <a:off x="0" y="0"/>
                      <a:ext cx="2694940" cy="25400"/>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-1094740</wp:posOffset>
            </wp:positionV>
            <wp:extent cx="269494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2">
                      <a:extLst>
                        <a:ext uri="{28A0092B-C50C-407E-A947-70E740481C1C}"/>
                      </a:extLst>
                    </a:blip>
                    <a:srcRect/>
                    <a:stretch>
                      <a:fillRect/>
                    </a:stretch>
                  </pic:blipFill>
                  <pic:spPr bwMode="auto">
                    <a:xfrm>
                      <a:off x="0" y="0"/>
                      <a:ext cx="2694940" cy="25400"/>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-917575</wp:posOffset>
            </wp:positionV>
            <wp:extent cx="269494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3">
                      <a:extLst>
                        <a:ext uri="{28A0092B-C50C-407E-A947-70E740481C1C}"/>
                      </a:extLst>
                    </a:blip>
                    <a:srcRect/>
                    <a:stretch>
                      <a:fillRect/>
                    </a:stretch>
                  </pic:blipFill>
                  <pic:spPr bwMode="auto">
                    <a:xfrm>
                      <a:off x="0" y="0"/>
                      <a:ext cx="2694940" cy="25400"/>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-208280</wp:posOffset>
            </wp:positionV>
            <wp:extent cx="269494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4">
                      <a:extLst>
                        <a:ext uri="{28A0092B-C50C-407E-A947-70E740481C1C}"/>
                      </a:extLst>
                    </a:blip>
                    <a:srcRect/>
                    <a:stretch>
                      <a:fillRect/>
                    </a:stretch>
                  </pic:blipFill>
                  <pic:spPr bwMode="auto">
                    <a:xfrm>
                      <a:off x="0" y="0"/>
                      <a:ext cx="2694940" cy="25400"/>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-43180</wp:posOffset>
            </wp:positionV>
            <wp:extent cx="2694940" cy="501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5">
                      <a:extLst>
                        <a:ext uri="{28A0092B-C50C-407E-A947-70E740481C1C}"/>
                      </a:extLst>
                    </a:blip>
                    <a:srcRect/>
                    <a:stretch>
                      <a:fillRect/>
                    </a:stretch>
                  </pic:blipFill>
                  <pic:spPr bwMode="auto">
                    <a:xfrm>
                      <a:off x="0" y="0"/>
                      <a:ext cx="2694940" cy="50165"/>
                    </a:xfrm>
                    <a:prstGeom prst="rect">
                      <a:avLst/>
                    </a:prstGeom>
                    <a:noFill/>
                  </pic:spPr>
                </pic:pic>
              </a:graphicData>
            </a:graphic>
          </wp:anchor>
        </w:drawing>
      </w:r>
    </w:p>
    <w:p>
      <w:pPr>
        <w:sectPr>
          <w:pgSz w:w="11880" w:h="15480" w:orient="portrait"/>
          <w:cols w:equalWidth="0" w:num="1">
            <w:col w:w="10040"/>
          </w:cols>
          <w:pgMar w:left="920" w:top="65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880" w:h="15480" w:orient="portrait"/>
          <w:cols w:equalWidth="0" w:num="1">
            <w:col w:w="10040"/>
          </w:cols>
          <w:pgMar w:left="920" w:top="650" w:right="920" w:bottom="0" w:gutter="0" w:footer="0" w:header="0"/>
          <w:type w:val="continuous"/>
        </w:sectPr>
      </w:pPr>
    </w:p>
    <w:bookmarkStart w:id="41" w:name="page42"/>
    <w:bookmarkEnd w:id="41"/>
    <w:p>
      <w:pPr>
        <w:jc w:val="both"/>
        <w:ind w:left="700" w:right="520" w:hanging="355"/>
        <w:spacing w:after="0" w:line="234" w:lineRule="auto"/>
        <w:tabs>
          <w:tab w:leader="none" w:pos="70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“Europe” includes the UK, Germany, France, Italy, the Netherlands, Spain, Belgium, Poland, Sweden, Switzerland, Austria, Norway, Portugal, Finland, and Denmark. Excluding Europe and the U.S., “Rest of World” includes all other countries where LivaNova operates.</w:t>
      </w:r>
    </w:p>
    <w:p>
      <w:pPr>
        <w:ind w:left="700" w:right="520" w:hanging="355"/>
        <w:spacing w:after="0" w:line="230" w:lineRule="auto"/>
        <w:tabs>
          <w:tab w:leader="none" w:pos="70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“Other Revenue” includes revenue from the Company’s former ACS reportable segment, as discussed above, as well as rental and site services income not allocated to segments.</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The following table presents segment income </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(in thousands, except for percentages):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0" w:type="dxa"/>
            <w:vAlign w:val="bottom"/>
            <w:tcBorders>
              <w:bottom w:val="single" w:sz="8" w:color="auto"/>
            </w:tcBorders>
            <w:gridSpan w:val="3"/>
          </w:tcPr>
          <w:p>
            <w:pPr>
              <w:jc w:val="right"/>
              <w:ind w:right="862"/>
              <w:spacing w:after="0"/>
              <w:rPr>
                <w:sz w:val="20"/>
                <w:szCs w:val="20"/>
                <w:color w:val="auto"/>
              </w:rPr>
            </w:pPr>
            <w:r>
              <w:rPr>
                <w:rFonts w:ascii="Arial" w:cs="Arial" w:eastAsia="Arial" w:hAnsi="Arial"/>
                <w:sz w:val="20"/>
                <w:szCs w:val="20"/>
                <w:b w:val="1"/>
                <w:bCs w:val="1"/>
                <w:color w:val="auto"/>
              </w:rPr>
              <w:t>% Change</w:t>
            </w:r>
          </w:p>
        </w:tc>
      </w:tr>
      <w:tr>
        <w:trPr>
          <w:trHeight w:val="260"/>
        </w:trPr>
        <w:tc>
          <w:tcPr>
            <w:tcW w:w="318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2"/>
              <w:spacing w:after="0"/>
              <w:rPr>
                <w:sz w:val="20"/>
                <w:szCs w:val="20"/>
                <w:color w:val="auto"/>
              </w:rPr>
            </w:pPr>
            <w:r>
              <w:rPr>
                <w:rFonts w:ascii="Arial" w:cs="Arial" w:eastAsia="Arial" w:hAnsi="Arial"/>
                <w:sz w:val="20"/>
                <w:szCs w:val="20"/>
                <w:b w:val="1"/>
                <w:bCs w:val="1"/>
                <w:color w:val="auto"/>
              </w:rPr>
              <w:t>2024</w:t>
            </w:r>
          </w:p>
        </w:tc>
        <w:tc>
          <w:tcPr>
            <w:tcW w:w="80" w:type="dxa"/>
            <w:vAlign w:val="bottom"/>
            <w:tcBorders>
              <w:bottom w:val="single" w:sz="8" w:color="E6E6E6"/>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2"/>
              <w:spacing w:after="0"/>
              <w:rPr>
                <w:sz w:val="20"/>
                <w:szCs w:val="20"/>
                <w:color w:val="auto"/>
              </w:rPr>
            </w:pPr>
            <w:r>
              <w:rPr>
                <w:rFonts w:ascii="Arial" w:cs="Arial" w:eastAsia="Arial" w:hAnsi="Arial"/>
                <w:sz w:val="20"/>
                <w:szCs w:val="20"/>
                <w:b w:val="1"/>
                <w:bCs w:val="1"/>
                <w:color w:val="auto"/>
              </w:rPr>
              <w:t>2023</w:t>
            </w:r>
          </w:p>
        </w:tc>
        <w:tc>
          <w:tcPr>
            <w:tcW w:w="60" w:type="dxa"/>
            <w:vAlign w:val="bottom"/>
            <w:tcBorders>
              <w:bottom w:val="single" w:sz="8" w:color="E6E6E6"/>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2"/>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bottom w:val="single" w:sz="8" w:color="E6E6E6"/>
            </w:tcBorders>
          </w:tcPr>
          <w:p>
            <w:pPr>
              <w:spacing w:after="0"/>
              <w:rPr>
                <w:sz w:val="22"/>
                <w:szCs w:val="22"/>
                <w:color w:val="auto"/>
              </w:rPr>
            </w:pPr>
          </w:p>
        </w:tc>
        <w:tc>
          <w:tcPr>
            <w:tcW w:w="136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b w:val="1"/>
                <w:bCs w:val="1"/>
                <w:color w:val="auto"/>
                <w:w w:val="98"/>
              </w:rPr>
              <w:t>2024 vs 2023</w:t>
            </w:r>
          </w:p>
        </w:tc>
        <w:tc>
          <w:tcPr>
            <w:tcW w:w="80" w:type="dxa"/>
            <w:vAlign w:val="bottom"/>
            <w:tcBorders>
              <w:bottom w:val="single" w:sz="8" w:color="E6E6E6"/>
            </w:tcBorders>
          </w:tcPr>
          <w:p>
            <w:pPr>
              <w:spacing w:after="0"/>
              <w:rPr>
                <w:sz w:val="22"/>
                <w:szCs w:val="22"/>
                <w:color w:val="auto"/>
              </w:rPr>
            </w:pPr>
          </w:p>
        </w:tc>
        <w:tc>
          <w:tcPr>
            <w:tcW w:w="136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b w:val="1"/>
                <w:bCs w:val="1"/>
                <w:color w:val="auto"/>
                <w:w w:val="98"/>
              </w:rPr>
              <w:t>2023 vs 2022</w:t>
            </w:r>
          </w:p>
        </w:tc>
      </w:tr>
      <w:tr>
        <w:trPr>
          <w:trHeight w:val="269"/>
        </w:trPr>
        <w:tc>
          <w:tcPr>
            <w:tcW w:w="3200" w:type="dxa"/>
            <w:vAlign w:val="bottom"/>
            <w:gridSpan w:val="2"/>
            <w:shd w:val="clear" w:color="auto" w:fill="E6E6E6"/>
          </w:tcPr>
          <w:p>
            <w:pPr>
              <w:ind w:left="40"/>
              <w:spacing w:after="0"/>
              <w:rPr>
                <w:sz w:val="20"/>
                <w:szCs w:val="20"/>
                <w:color w:val="auto"/>
              </w:rPr>
            </w:pPr>
            <w:r>
              <w:rPr>
                <w:rFonts w:ascii="Arial" w:cs="Arial" w:eastAsia="Arial" w:hAnsi="Arial"/>
                <w:sz w:val="20"/>
                <w:szCs w:val="20"/>
                <w:color w:val="auto"/>
              </w:rPr>
              <w:t>Cardiopulmonary</w:t>
            </w:r>
          </w:p>
        </w:tc>
        <w:tc>
          <w:tcPr>
            <w:tcW w:w="280" w:type="dxa"/>
            <w:vAlign w:val="bottom"/>
            <w:shd w:val="clear" w:color="auto" w:fill="E6E6E6"/>
          </w:tcPr>
          <w:p>
            <w:pPr>
              <w:jc w:val="right"/>
              <w:ind w:right="42"/>
              <w:spacing w:after="0"/>
              <w:rPr>
                <w:sz w:val="20"/>
                <w:szCs w:val="20"/>
                <w:color w:val="auto"/>
              </w:rPr>
            </w:pPr>
            <w:r>
              <w:rPr>
                <w:rFonts w:ascii="Arial" w:cs="Arial" w:eastAsia="Arial" w:hAnsi="Arial"/>
                <w:sz w:val="20"/>
                <w:szCs w:val="20"/>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76,848</w:t>
            </w:r>
          </w:p>
        </w:tc>
        <w:tc>
          <w:tcPr>
            <w:tcW w:w="380" w:type="dxa"/>
            <w:vAlign w:val="bottom"/>
            <w:gridSpan w:val="2"/>
            <w:shd w:val="clear" w:color="auto" w:fill="E6E6E6"/>
          </w:tcPr>
          <w:p>
            <w:pPr>
              <w:jc w:val="right"/>
              <w:ind w:right="62"/>
              <w:spacing w:after="0"/>
              <w:rPr>
                <w:sz w:val="20"/>
                <w:szCs w:val="20"/>
                <w:color w:val="auto"/>
              </w:rPr>
            </w:pPr>
            <w:r>
              <w:rPr>
                <w:rFonts w:ascii="Arial" w:cs="Arial" w:eastAsia="Arial" w:hAnsi="Arial"/>
                <w:sz w:val="20"/>
                <w:szCs w:val="20"/>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26,407</w:t>
            </w:r>
          </w:p>
        </w:tc>
        <w:tc>
          <w:tcPr>
            <w:tcW w:w="360" w:type="dxa"/>
            <w:vAlign w:val="bottom"/>
            <w:gridSpan w:val="2"/>
            <w:shd w:val="clear" w:color="auto" w:fill="E6E6E6"/>
          </w:tcPr>
          <w:p>
            <w:pPr>
              <w:jc w:val="right"/>
              <w:ind w:right="42"/>
              <w:spacing w:after="0"/>
              <w:rPr>
                <w:sz w:val="20"/>
                <w:szCs w:val="20"/>
                <w:color w:val="auto"/>
              </w:rPr>
            </w:pPr>
            <w:r>
              <w:rPr>
                <w:rFonts w:ascii="Arial" w:cs="Arial" w:eastAsia="Arial" w:hAnsi="Arial"/>
                <w:sz w:val="20"/>
                <w:szCs w:val="20"/>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17,106</w:t>
            </w:r>
          </w:p>
        </w:tc>
        <w:tc>
          <w:tcPr>
            <w:tcW w:w="80" w:type="dxa"/>
            <w:vAlign w:val="bottom"/>
            <w:shd w:val="clear" w:color="auto" w:fill="E6E6E6"/>
          </w:tcPr>
          <w:p>
            <w:pPr>
              <w:spacing w:after="0"/>
              <w:rPr>
                <w:sz w:val="23"/>
                <w:szCs w:val="23"/>
                <w:color w:val="auto"/>
              </w:rPr>
            </w:pPr>
          </w:p>
        </w:tc>
        <w:tc>
          <w:tcPr>
            <w:tcW w:w="13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191.0 %</w:t>
            </w:r>
          </w:p>
        </w:tc>
        <w:tc>
          <w:tcPr>
            <w:tcW w:w="144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54.4 %</w:t>
            </w:r>
          </w:p>
        </w:tc>
      </w:tr>
      <w:tr>
        <w:trPr>
          <w:trHeight w:val="269"/>
        </w:trPr>
        <w:tc>
          <w:tcPr>
            <w:tcW w:w="3180" w:type="dxa"/>
            <w:vAlign w:val="bottom"/>
            <w:tcBorders>
              <w:bottom w:val="single" w:sz="8" w:color="E6E6E6"/>
            </w:tcBorders>
          </w:tcPr>
          <w:p>
            <w:pPr>
              <w:ind w:left="40"/>
              <w:spacing w:after="0"/>
              <w:rPr>
                <w:sz w:val="20"/>
                <w:szCs w:val="20"/>
                <w:color w:val="auto"/>
              </w:rPr>
            </w:pPr>
            <w:r>
              <w:rPr>
                <w:rFonts w:ascii="Arial" w:cs="Arial" w:eastAsia="Arial" w:hAnsi="Arial"/>
                <w:sz w:val="20"/>
                <w:szCs w:val="20"/>
                <w:color w:val="auto"/>
              </w:rPr>
              <w:t>Neuromodulation</w:t>
            </w: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195,309</w:t>
            </w:r>
          </w:p>
        </w:tc>
        <w:tc>
          <w:tcPr>
            <w:tcW w:w="80" w:type="dxa"/>
            <w:vAlign w:val="bottom"/>
            <w:tcBorders>
              <w:bottom w:val="single" w:sz="8" w:color="E6E6E6"/>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153,384</w:t>
            </w:r>
          </w:p>
        </w:tc>
        <w:tc>
          <w:tcPr>
            <w:tcW w:w="60" w:type="dxa"/>
            <w:vAlign w:val="bottom"/>
            <w:tcBorders>
              <w:bottom w:val="single" w:sz="8" w:color="E6E6E6"/>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172,775</w:t>
            </w:r>
          </w:p>
        </w:tc>
        <w:tc>
          <w:tcPr>
            <w:tcW w:w="80" w:type="dxa"/>
            <w:vAlign w:val="bottom"/>
            <w:tcBorders>
              <w:bottom w:val="single" w:sz="8" w:color="E6E6E6"/>
            </w:tcBorders>
          </w:tcPr>
          <w:p>
            <w:pPr>
              <w:spacing w:after="0"/>
              <w:rPr>
                <w:sz w:val="23"/>
                <w:szCs w:val="23"/>
                <w:color w:val="auto"/>
              </w:rPr>
            </w:pPr>
          </w:p>
        </w:tc>
        <w:tc>
          <w:tcPr>
            <w:tcW w:w="1360" w:type="dxa"/>
            <w:vAlign w:val="bottom"/>
            <w:tcBorders>
              <w:bottom w:val="single" w:sz="8" w:color="E6E6E6"/>
            </w:tcBorders>
          </w:tcPr>
          <w:p>
            <w:pPr>
              <w:jc w:val="right"/>
              <w:spacing w:after="0"/>
              <w:rPr>
                <w:sz w:val="20"/>
                <w:szCs w:val="20"/>
                <w:color w:val="auto"/>
              </w:rPr>
            </w:pPr>
            <w:r>
              <w:rPr>
                <w:rFonts w:ascii="Arial" w:cs="Arial" w:eastAsia="Arial" w:hAnsi="Arial"/>
                <w:sz w:val="20"/>
                <w:szCs w:val="20"/>
                <w:color w:val="auto"/>
              </w:rPr>
              <w:t>27.3 %</w:t>
            </w:r>
          </w:p>
        </w:tc>
        <w:tc>
          <w:tcPr>
            <w:tcW w:w="1440" w:type="dxa"/>
            <w:vAlign w:val="bottom"/>
            <w:tcBorders>
              <w:bottom w:val="single" w:sz="8" w:color="E6E6E6"/>
            </w:tcBorders>
            <w:gridSpan w:val="2"/>
          </w:tcPr>
          <w:p>
            <w:pPr>
              <w:jc w:val="right"/>
              <w:spacing w:after="0"/>
              <w:rPr>
                <w:sz w:val="20"/>
                <w:szCs w:val="20"/>
                <w:color w:val="auto"/>
              </w:rPr>
            </w:pPr>
            <w:r>
              <w:rPr>
                <w:rFonts w:ascii="Arial" w:cs="Arial" w:eastAsia="Arial" w:hAnsi="Arial"/>
                <w:sz w:val="20"/>
                <w:szCs w:val="20"/>
                <w:color w:val="auto"/>
              </w:rPr>
              <w:t>(11.2)%</w:t>
            </w:r>
          </w:p>
        </w:tc>
      </w:tr>
      <w:tr>
        <w:trPr>
          <w:trHeight w:val="279"/>
        </w:trPr>
        <w:tc>
          <w:tcPr>
            <w:tcW w:w="31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280" w:type="dxa"/>
            <w:vAlign w:val="bottom"/>
            <w:tcBorders>
              <w:bottom w:val="single" w:sz="8" w:color="auto"/>
            </w:tcBorders>
            <w:shd w:val="clear" w:color="auto" w:fill="E6E6E6"/>
          </w:tcPr>
          <w:p>
            <w:pPr>
              <w:jc w:val="right"/>
              <w:ind w:right="42"/>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272,157</w:t>
            </w:r>
          </w:p>
        </w:tc>
        <w:tc>
          <w:tcPr>
            <w:tcW w:w="8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jc w:val="right"/>
              <w:ind w:right="62"/>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179,791</w:t>
            </w:r>
          </w:p>
        </w:tc>
        <w:tc>
          <w:tcPr>
            <w:tcW w:w="6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jc w:val="right"/>
              <w:ind w:right="42"/>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189,881</w:t>
            </w:r>
          </w:p>
        </w:tc>
        <w:tc>
          <w:tcPr>
            <w:tcW w:w="80" w:type="dxa"/>
            <w:vAlign w:val="bottom"/>
            <w:tcBorders>
              <w:bottom w:val="single" w:sz="8" w:color="E6E6E6"/>
            </w:tcBorders>
            <w:shd w:val="clear" w:color="auto" w:fill="E6E6E6"/>
          </w:tcPr>
          <w:p>
            <w:pPr>
              <w:spacing w:after="0"/>
              <w:rPr>
                <w:sz w:val="24"/>
                <w:szCs w:val="24"/>
                <w:color w:val="auto"/>
              </w:rPr>
            </w:pPr>
          </w:p>
        </w:tc>
        <w:tc>
          <w:tcPr>
            <w:tcW w:w="13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51.4 %</w:t>
            </w:r>
          </w:p>
        </w:tc>
        <w:tc>
          <w:tcPr>
            <w:tcW w:w="144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20"/>
                <w:szCs w:val="20"/>
                <w:color w:val="auto"/>
              </w:rPr>
              <w:t>(5.3)%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2008505</wp:posOffset>
            </wp:positionH>
            <wp:positionV relativeFrom="paragraph">
              <wp:posOffset>-562610</wp:posOffset>
            </wp:positionV>
            <wp:extent cx="438467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6">
                      <a:extLst>
                        <a:ext uri="{28A0092B-C50C-407E-A947-70E740481C1C}"/>
                      </a:extLst>
                    </a:blip>
                    <a:srcRect/>
                    <a:stretch>
                      <a:fillRect/>
                    </a:stretch>
                  </pic:blipFill>
                  <pic:spPr bwMode="auto">
                    <a:xfrm>
                      <a:off x="0" y="0"/>
                      <a:ext cx="4384675" cy="25400"/>
                    </a:xfrm>
                    <a:prstGeom prst="rect">
                      <a:avLst/>
                    </a:prstGeom>
                    <a:noFill/>
                  </pic:spPr>
                </pic:pic>
              </a:graphicData>
            </a:graphic>
          </wp:anchor>
        </w:drawing>
        <w:drawing>
          <wp:anchor simplePos="0" relativeHeight="251657728" behindDoc="1" locked="0" layoutInCell="0" allowOverlap="1">
            <wp:simplePos x="0" y="0"/>
            <wp:positionH relativeFrom="column">
              <wp:posOffset>2008505</wp:posOffset>
            </wp:positionH>
            <wp:positionV relativeFrom="paragraph">
              <wp:posOffset>-208280</wp:posOffset>
            </wp:positionV>
            <wp:extent cx="255524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7">
                      <a:extLst>
                        <a:ext uri="{28A0092B-C50C-407E-A947-70E740481C1C}"/>
                      </a:extLst>
                    </a:blip>
                    <a:srcRect/>
                    <a:stretch>
                      <a:fillRect/>
                    </a:stretch>
                  </pic:blipFill>
                  <pic:spPr bwMode="auto">
                    <a:xfrm>
                      <a:off x="0" y="0"/>
                      <a:ext cx="2555240" cy="25400"/>
                    </a:xfrm>
                    <a:prstGeom prst="rect">
                      <a:avLst/>
                    </a:prstGeom>
                    <a:noFill/>
                  </pic:spPr>
                </pic:pic>
              </a:graphicData>
            </a:graphic>
          </wp:anchor>
        </w:drawing>
        <w:drawing>
          <wp:anchor simplePos="0" relativeHeight="251657728" behindDoc="1" locked="0" layoutInCell="0" allowOverlap="1">
            <wp:simplePos x="0" y="0"/>
            <wp:positionH relativeFrom="column">
              <wp:posOffset>2008505</wp:posOffset>
            </wp:positionH>
            <wp:positionV relativeFrom="paragraph">
              <wp:posOffset>-43180</wp:posOffset>
            </wp:positionV>
            <wp:extent cx="2555240" cy="501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8">
                      <a:extLst>
                        <a:ext uri="{28A0092B-C50C-407E-A947-70E740481C1C}"/>
                      </a:extLst>
                    </a:blip>
                    <a:srcRect/>
                    <a:stretch>
                      <a:fillRect/>
                    </a:stretch>
                  </pic:blipFill>
                  <pic:spPr bwMode="auto">
                    <a:xfrm>
                      <a:off x="0" y="0"/>
                      <a:ext cx="2555240" cy="50165"/>
                    </a:xfrm>
                    <a:prstGeom prst="rect">
                      <a:avLst/>
                    </a:prstGeom>
                    <a:noFill/>
                  </pic:spPr>
                </pic:pic>
              </a:graphicData>
            </a:graphic>
          </wp:anchor>
        </w:drawing>
      </w:r>
    </w:p>
    <w:p>
      <w:pPr>
        <w:spacing w:after="0" w:line="111" w:lineRule="exact"/>
        <w:rPr>
          <w:sz w:val="20"/>
          <w:szCs w:val="20"/>
          <w:color w:val="auto"/>
        </w:rPr>
      </w:pPr>
    </w:p>
    <w:p>
      <w:pPr>
        <w:ind w:left="700" w:hanging="355"/>
        <w:spacing w:after="0" w:line="230" w:lineRule="auto"/>
        <w:tabs>
          <w:tab w:leader="none" w:pos="700"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For a reconciliation of segment income to consolidated income (loss) before tax, refer to “Note 17. Geographic and Segment Information” in LivaNova’s consolidated financial statements included in this Report.</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Cardiopulmonary</w:t>
      </w:r>
    </w:p>
    <w:p>
      <w:pPr>
        <w:spacing w:after="0" w:line="140"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Cardiopulmonary net revenue for the year ended December 31, 2024 increased 13.1% to $683.5 million compared to the year ended December 31, 2023, with growth across all regions, driven by strong consumables demand and Essenz Perfusion System sales.</w:t>
      </w:r>
    </w:p>
    <w:p>
      <w:pPr>
        <w:spacing w:after="0" w:line="79" w:lineRule="exact"/>
        <w:rPr>
          <w:sz w:val="20"/>
          <w:szCs w:val="20"/>
          <w:color w:val="auto"/>
        </w:rPr>
      </w:pPr>
    </w:p>
    <w:p>
      <w:pPr>
        <w:jc w:val="both"/>
        <w:spacing w:after="0" w:line="326" w:lineRule="auto"/>
        <w:rPr>
          <w:sz w:val="20"/>
          <w:szCs w:val="20"/>
          <w:color w:val="auto"/>
        </w:rPr>
      </w:pPr>
      <w:r>
        <w:rPr>
          <w:rFonts w:ascii="Arial" w:cs="Arial" w:eastAsia="Arial" w:hAnsi="Arial"/>
          <w:sz w:val="17"/>
          <w:szCs w:val="17"/>
          <w:color w:val="auto"/>
        </w:rPr>
        <w:t>Cardiopulmonary segment income for the year ended December 31, 2024 was $76.8 million, compared to $26.4 million for the year ended December 31, 2023. The increase in segment income was primarily due to an increase in net revenue, as described above, as well as a decrease in the litigation provision related to LivaNova’s 3T Heater-Cooler device of $14.8 million. These increases in segment income were partially offset by increases in sales and marketing and R&amp;D expenses.</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color w:val="auto"/>
        </w:rPr>
        <w:t>Neuromodulation</w:t>
      </w:r>
    </w:p>
    <w:p>
      <w:pPr>
        <w:spacing w:after="0" w:line="140" w:lineRule="exact"/>
        <w:rPr>
          <w:sz w:val="20"/>
          <w:szCs w:val="20"/>
          <w:color w:val="auto"/>
        </w:rPr>
      </w:pPr>
    </w:p>
    <w:p>
      <w:pPr>
        <w:jc w:val="both"/>
        <w:spacing w:after="0" w:line="373" w:lineRule="auto"/>
        <w:rPr>
          <w:sz w:val="20"/>
          <w:szCs w:val="20"/>
          <w:color w:val="auto"/>
        </w:rPr>
      </w:pPr>
      <w:r>
        <w:rPr>
          <w:rFonts w:ascii="Arial" w:cs="Arial" w:eastAsia="Arial" w:hAnsi="Arial"/>
          <w:sz w:val="17"/>
          <w:szCs w:val="17"/>
          <w:color w:val="auto"/>
        </w:rPr>
        <w:t>Neuromodulation net revenue for the year ended December 31, 2024 increased 6.6% to $554.2 million compared to the year ended December 31, 2023, with growth in the Rest of World and U.S. regions, partially offset by a decline in Europe.</w:t>
      </w:r>
    </w:p>
    <w:p>
      <w:pPr>
        <w:jc w:val="both"/>
        <w:spacing w:after="0" w:line="262" w:lineRule="auto"/>
        <w:rPr>
          <w:sz w:val="20"/>
          <w:szCs w:val="20"/>
          <w:color w:val="auto"/>
        </w:rPr>
      </w:pPr>
      <w:r>
        <w:rPr>
          <w:rFonts w:ascii="Arial" w:cs="Arial" w:eastAsia="Arial" w:hAnsi="Arial"/>
          <w:sz w:val="20"/>
          <w:szCs w:val="20"/>
          <w:color w:val="auto"/>
        </w:rPr>
        <w:t>Neuromodulation segment income for the year ended December 31, 2024 was $195.3 million compared to $153.4 million for the year ended December 31, 2023. The increase in segment income was primarily due to an increase in net revenue, as described above, as well as a net decrease in R&amp;D expense, primarily associated with the winding down of the Company’s heart failure program of $24.8 million. These increases in segment income were partially offset by an increase in sales and marketing expense to support the increased revenue.</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color w:val="auto"/>
        </w:rPr>
        <w:t>Cost of Sales and Expenses</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costs and expenses as a percentage of net revenue: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180" w:type="dxa"/>
            <w:vAlign w:val="bottom"/>
            <w:tcBorders>
              <w:bottom w:val="single" w:sz="8" w:color="E6E6E6"/>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2024</w:t>
            </w:r>
          </w:p>
        </w:tc>
        <w:tc>
          <w:tcPr>
            <w:tcW w:w="600" w:type="dxa"/>
            <w:vAlign w:val="bottom"/>
            <w:tcBorders>
              <w:bottom w:val="single" w:sz="8" w:color="auto"/>
            </w:tcBorders>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2023</w:t>
            </w:r>
          </w:p>
        </w:tc>
        <w:tc>
          <w:tcPr>
            <w:tcW w:w="580" w:type="dxa"/>
            <w:vAlign w:val="bottom"/>
            <w:tcBorders>
              <w:bottom w:val="single" w:sz="8" w:color="auto"/>
            </w:tcBorders>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1560" w:type="dxa"/>
            <w:vAlign w:val="bottom"/>
            <w:tcBorders>
              <w:bottom w:val="single" w:sz="8" w:color="auto"/>
            </w:tcBorders>
          </w:tcPr>
          <w:p>
            <w:pPr>
              <w:jc w:val="right"/>
              <w:ind w:right="482"/>
              <w:spacing w:after="0"/>
              <w:rPr>
                <w:sz w:val="20"/>
                <w:szCs w:val="20"/>
                <w:color w:val="auto"/>
              </w:rPr>
            </w:pPr>
            <w:r>
              <w:rPr>
                <w:rFonts w:ascii="Arial" w:cs="Arial" w:eastAsia="Arial" w:hAnsi="Arial"/>
                <w:sz w:val="20"/>
                <w:szCs w:val="20"/>
                <w:b w:val="1"/>
                <w:bCs w:val="1"/>
                <w:color w:val="auto"/>
              </w:rPr>
              <w:t>2022</w:t>
            </w:r>
          </w:p>
        </w:tc>
      </w:tr>
      <w:tr>
        <w:trPr>
          <w:trHeight w:val="270"/>
        </w:trPr>
        <w:tc>
          <w:tcPr>
            <w:tcW w:w="6160" w:type="dxa"/>
            <w:vAlign w:val="bottom"/>
            <w:gridSpan w:val="2"/>
            <w:shd w:val="clear" w:color="auto" w:fill="E6E6E6"/>
          </w:tcPr>
          <w:p>
            <w:pPr>
              <w:ind w:left="40"/>
              <w:spacing w:after="0"/>
              <w:rPr>
                <w:sz w:val="20"/>
                <w:szCs w:val="20"/>
                <w:color w:val="auto"/>
              </w:rPr>
            </w:pPr>
            <w:r>
              <w:rPr>
                <w:rFonts w:ascii="Arial" w:cs="Arial" w:eastAsia="Arial" w:hAnsi="Arial"/>
                <w:sz w:val="20"/>
                <w:szCs w:val="20"/>
                <w:color w:val="auto"/>
              </w:rPr>
              <w:t>Cost of sales</w:t>
            </w:r>
          </w:p>
        </w:tc>
        <w:tc>
          <w:tcPr>
            <w:tcW w:w="600" w:type="dxa"/>
            <w:vAlign w:val="bottom"/>
            <w:shd w:val="clear" w:color="auto" w:fill="E6E6E6"/>
          </w:tcPr>
          <w:p>
            <w:pPr>
              <w:jc w:val="right"/>
              <w:spacing w:after="0"/>
              <w:rPr>
                <w:sz w:val="20"/>
                <w:szCs w:val="20"/>
                <w:color w:val="auto"/>
              </w:rPr>
            </w:pPr>
            <w:r>
              <w:rPr>
                <w:rFonts w:ascii="Arial" w:cs="Arial" w:eastAsia="Arial" w:hAnsi="Arial"/>
                <w:sz w:val="20"/>
                <w:szCs w:val="20"/>
                <w:color w:val="auto"/>
                <w:w w:val="89"/>
              </w:rPr>
              <w:t>30.5 %</w:t>
            </w:r>
          </w:p>
        </w:tc>
        <w:tc>
          <w:tcPr>
            <w:tcW w:w="60" w:type="dxa"/>
            <w:vAlign w:val="bottom"/>
            <w:shd w:val="clear" w:color="auto" w:fill="E6E6E6"/>
          </w:tcPr>
          <w:p>
            <w:pPr>
              <w:spacing w:after="0"/>
              <w:rPr>
                <w:sz w:val="23"/>
                <w:szCs w:val="23"/>
                <w:color w:val="auto"/>
              </w:rPr>
            </w:pPr>
          </w:p>
        </w:tc>
        <w:tc>
          <w:tcPr>
            <w:tcW w:w="1000" w:type="dxa"/>
            <w:vAlign w:val="bottom"/>
            <w:shd w:val="clear" w:color="auto" w:fill="E6E6E6"/>
          </w:tcPr>
          <w:p>
            <w:pPr>
              <w:spacing w:after="0"/>
              <w:rPr>
                <w:sz w:val="23"/>
                <w:szCs w:val="23"/>
                <w:color w:val="auto"/>
              </w:rPr>
            </w:pPr>
          </w:p>
        </w:tc>
        <w:tc>
          <w:tcPr>
            <w:tcW w:w="580" w:type="dxa"/>
            <w:vAlign w:val="bottom"/>
            <w:shd w:val="clear" w:color="auto" w:fill="E6E6E6"/>
          </w:tcPr>
          <w:p>
            <w:pPr>
              <w:jc w:val="right"/>
              <w:spacing w:after="0"/>
              <w:rPr>
                <w:sz w:val="20"/>
                <w:szCs w:val="20"/>
                <w:color w:val="auto"/>
              </w:rPr>
            </w:pPr>
            <w:r>
              <w:rPr>
                <w:rFonts w:ascii="Arial" w:cs="Arial" w:eastAsia="Arial" w:hAnsi="Arial"/>
                <w:sz w:val="20"/>
                <w:szCs w:val="20"/>
                <w:color w:val="auto"/>
                <w:w w:val="86"/>
              </w:rPr>
              <w:t>33.1 %</w:t>
            </w:r>
          </w:p>
        </w:tc>
        <w:tc>
          <w:tcPr>
            <w:tcW w:w="164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30.8 %</w:t>
            </w:r>
          </w:p>
        </w:tc>
      </w:tr>
      <w:tr>
        <w:trPr>
          <w:trHeight w:val="274"/>
        </w:trPr>
        <w:tc>
          <w:tcPr>
            <w:tcW w:w="6160" w:type="dxa"/>
            <w:vAlign w:val="bottom"/>
            <w:gridSpan w:val="2"/>
          </w:tcPr>
          <w:p>
            <w:pPr>
              <w:ind w:left="40"/>
              <w:spacing w:after="0"/>
              <w:rPr>
                <w:sz w:val="20"/>
                <w:szCs w:val="20"/>
                <w:color w:val="auto"/>
              </w:rPr>
            </w:pPr>
            <w:r>
              <w:rPr>
                <w:rFonts w:ascii="Arial" w:cs="Arial" w:eastAsia="Arial" w:hAnsi="Arial"/>
                <w:sz w:val="20"/>
                <w:szCs w:val="20"/>
                <w:color w:val="auto"/>
              </w:rPr>
              <w:t>Selling, general, and administrative</w:t>
            </w:r>
          </w:p>
        </w:tc>
        <w:tc>
          <w:tcPr>
            <w:tcW w:w="600" w:type="dxa"/>
            <w:vAlign w:val="bottom"/>
          </w:tcPr>
          <w:p>
            <w:pPr>
              <w:jc w:val="right"/>
              <w:spacing w:after="0"/>
              <w:rPr>
                <w:sz w:val="20"/>
                <w:szCs w:val="20"/>
                <w:color w:val="auto"/>
              </w:rPr>
            </w:pPr>
            <w:r>
              <w:rPr>
                <w:rFonts w:ascii="Arial" w:cs="Arial" w:eastAsia="Arial" w:hAnsi="Arial"/>
                <w:sz w:val="20"/>
                <w:szCs w:val="20"/>
                <w:color w:val="auto"/>
                <w:w w:val="89"/>
              </w:rPr>
              <w:t>42.0 %</w:t>
            </w: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w w:val="86"/>
              </w:rPr>
              <w:t>44.9 %</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45.9 %</w:t>
            </w:r>
          </w:p>
        </w:tc>
      </w:tr>
      <w:tr>
        <w:trPr>
          <w:trHeight w:val="285"/>
        </w:trPr>
        <w:tc>
          <w:tcPr>
            <w:tcW w:w="6160" w:type="dxa"/>
            <w:vAlign w:val="bottom"/>
            <w:gridSpan w:val="2"/>
            <w:shd w:val="clear" w:color="auto" w:fill="E6E6E6"/>
          </w:tcPr>
          <w:p>
            <w:pPr>
              <w:ind w:left="40"/>
              <w:spacing w:after="0"/>
              <w:rPr>
                <w:sz w:val="20"/>
                <w:szCs w:val="20"/>
                <w:color w:val="auto"/>
              </w:rPr>
            </w:pPr>
            <w:r>
              <w:rPr>
                <w:rFonts w:ascii="Arial" w:cs="Arial" w:eastAsia="Arial" w:hAnsi="Arial"/>
                <w:sz w:val="20"/>
                <w:szCs w:val="20"/>
                <w:color w:val="auto"/>
              </w:rPr>
              <w:t>Research and development</w:t>
            </w:r>
          </w:p>
        </w:tc>
        <w:tc>
          <w:tcPr>
            <w:tcW w:w="600" w:type="dxa"/>
            <w:vAlign w:val="bottom"/>
            <w:shd w:val="clear" w:color="auto" w:fill="E6E6E6"/>
          </w:tcPr>
          <w:p>
            <w:pPr>
              <w:jc w:val="right"/>
              <w:spacing w:after="0"/>
              <w:rPr>
                <w:sz w:val="20"/>
                <w:szCs w:val="20"/>
                <w:color w:val="auto"/>
              </w:rPr>
            </w:pPr>
            <w:r>
              <w:rPr>
                <w:rFonts w:ascii="Arial" w:cs="Arial" w:eastAsia="Arial" w:hAnsi="Arial"/>
                <w:sz w:val="20"/>
                <w:szCs w:val="20"/>
                <w:color w:val="auto"/>
                <w:w w:val="89"/>
              </w:rPr>
              <w:t>14.6 %</w:t>
            </w:r>
          </w:p>
        </w:tc>
        <w:tc>
          <w:tcPr>
            <w:tcW w:w="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580" w:type="dxa"/>
            <w:vAlign w:val="bottom"/>
            <w:shd w:val="clear" w:color="auto" w:fill="E6E6E6"/>
          </w:tcPr>
          <w:p>
            <w:pPr>
              <w:jc w:val="right"/>
              <w:spacing w:after="0"/>
              <w:rPr>
                <w:sz w:val="20"/>
                <w:szCs w:val="20"/>
                <w:color w:val="auto"/>
              </w:rPr>
            </w:pPr>
            <w:r>
              <w:rPr>
                <w:rFonts w:ascii="Arial" w:cs="Arial" w:eastAsia="Arial" w:hAnsi="Arial"/>
                <w:sz w:val="20"/>
                <w:szCs w:val="20"/>
                <w:color w:val="auto"/>
                <w:w w:val="86"/>
              </w:rPr>
              <w:t>16.8 %</w:t>
            </w:r>
          </w:p>
        </w:tc>
        <w:tc>
          <w:tcPr>
            <w:tcW w:w="164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15.2 %</w:t>
            </w:r>
          </w:p>
        </w:tc>
      </w:tr>
      <w:tr>
        <w:trPr>
          <w:trHeight w:val="274"/>
        </w:trPr>
        <w:tc>
          <w:tcPr>
            <w:tcW w:w="6160" w:type="dxa"/>
            <w:vAlign w:val="bottom"/>
            <w:gridSpan w:val="2"/>
          </w:tcPr>
          <w:p>
            <w:pPr>
              <w:ind w:left="40"/>
              <w:spacing w:after="0"/>
              <w:rPr>
                <w:sz w:val="20"/>
                <w:szCs w:val="20"/>
                <w:color w:val="auto"/>
              </w:rPr>
            </w:pPr>
            <w:r>
              <w:rPr>
                <w:rFonts w:ascii="Arial" w:cs="Arial" w:eastAsia="Arial" w:hAnsi="Arial"/>
                <w:sz w:val="20"/>
                <w:szCs w:val="20"/>
                <w:color w:val="auto"/>
              </w:rPr>
              <w:t>Impairment of goodwill</w:t>
            </w:r>
          </w:p>
        </w:tc>
        <w:tc>
          <w:tcPr>
            <w:tcW w:w="1660" w:type="dxa"/>
            <w:vAlign w:val="bottom"/>
            <w:gridSpan w:val="3"/>
          </w:tcPr>
          <w:p>
            <w:pPr>
              <w:jc w:val="right"/>
              <w:ind w:right="982"/>
              <w:spacing w:after="0"/>
              <w:rPr>
                <w:sz w:val="20"/>
                <w:szCs w:val="20"/>
                <w:color w:val="auto"/>
              </w:rPr>
            </w:pPr>
            <w:r>
              <w:rPr>
                <w:rFonts w:ascii="Arial" w:cs="Arial" w:eastAsia="Arial" w:hAnsi="Arial"/>
                <w:sz w:val="20"/>
                <w:szCs w:val="20"/>
                <w:color w:val="auto"/>
              </w:rPr>
              <w:t>— %</w:t>
            </w:r>
          </w:p>
        </w:tc>
        <w:tc>
          <w:tcPr>
            <w:tcW w:w="580" w:type="dxa"/>
            <w:vAlign w:val="bottom"/>
          </w:tcPr>
          <w:p>
            <w:pPr>
              <w:jc w:val="right"/>
              <w:spacing w:after="0"/>
              <w:rPr>
                <w:sz w:val="20"/>
                <w:szCs w:val="20"/>
                <w:color w:val="auto"/>
              </w:rPr>
            </w:pPr>
            <w:r>
              <w:rPr>
                <w:rFonts w:ascii="Arial" w:cs="Arial" w:eastAsia="Arial" w:hAnsi="Arial"/>
                <w:sz w:val="20"/>
                <w:szCs w:val="20"/>
                <w:color w:val="auto"/>
              </w:rPr>
              <w:t>— %</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12.7 %</w:t>
            </w:r>
          </w:p>
        </w:tc>
      </w:tr>
      <w:tr>
        <w:trPr>
          <w:trHeight w:val="285"/>
        </w:trPr>
        <w:tc>
          <w:tcPr>
            <w:tcW w:w="6160" w:type="dxa"/>
            <w:vAlign w:val="bottom"/>
            <w:gridSpan w:val="2"/>
            <w:shd w:val="clear" w:color="auto" w:fill="E6E6E6"/>
          </w:tcPr>
          <w:p>
            <w:pPr>
              <w:ind w:left="40"/>
              <w:spacing w:after="0"/>
              <w:rPr>
                <w:sz w:val="20"/>
                <w:szCs w:val="20"/>
                <w:color w:val="auto"/>
              </w:rPr>
            </w:pPr>
            <w:r>
              <w:rPr>
                <w:rFonts w:ascii="Arial" w:cs="Arial" w:eastAsia="Arial" w:hAnsi="Arial"/>
                <w:sz w:val="20"/>
                <w:szCs w:val="20"/>
                <w:color w:val="auto"/>
              </w:rPr>
              <w:t>Impairment of long-lived assets</w:t>
            </w:r>
          </w:p>
        </w:tc>
        <w:tc>
          <w:tcPr>
            <w:tcW w:w="1660" w:type="dxa"/>
            <w:vAlign w:val="bottom"/>
            <w:gridSpan w:val="3"/>
            <w:shd w:val="clear" w:color="auto" w:fill="E6E6E6"/>
          </w:tcPr>
          <w:p>
            <w:pPr>
              <w:jc w:val="right"/>
              <w:ind w:right="982"/>
              <w:spacing w:after="0"/>
              <w:rPr>
                <w:sz w:val="20"/>
                <w:szCs w:val="20"/>
                <w:color w:val="auto"/>
              </w:rPr>
            </w:pPr>
            <w:r>
              <w:rPr>
                <w:rFonts w:ascii="Arial" w:cs="Arial" w:eastAsia="Arial" w:hAnsi="Arial"/>
                <w:sz w:val="20"/>
                <w:szCs w:val="20"/>
                <w:color w:val="auto"/>
              </w:rPr>
              <w:t>— %</w:t>
            </w:r>
          </w:p>
        </w:tc>
        <w:tc>
          <w:tcPr>
            <w:tcW w:w="5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7.8 %</w:t>
            </w:r>
          </w:p>
        </w:tc>
        <w:tc>
          <w:tcPr>
            <w:tcW w:w="80" w:type="dxa"/>
            <w:vAlign w:val="bottom"/>
            <w:shd w:val="clear" w:color="auto" w:fill="E6E6E6"/>
          </w:tcPr>
          <w:p>
            <w:pPr>
              <w:spacing w:after="0"/>
              <w:rPr>
                <w:sz w:val="24"/>
                <w:szCs w:val="24"/>
                <w:color w:val="auto"/>
              </w:rPr>
            </w:pPr>
          </w:p>
        </w:tc>
        <w:tc>
          <w:tcPr>
            <w:tcW w:w="15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 %</w:t>
            </w:r>
          </w:p>
        </w:tc>
      </w:tr>
      <w:tr>
        <w:trPr>
          <w:trHeight w:val="268"/>
        </w:trPr>
        <w:tc>
          <w:tcPr>
            <w:tcW w:w="6160" w:type="dxa"/>
            <w:vAlign w:val="bottom"/>
            <w:gridSpan w:val="2"/>
          </w:tcPr>
          <w:p>
            <w:pPr>
              <w:ind w:left="40"/>
              <w:spacing w:after="0"/>
              <w:rPr>
                <w:sz w:val="20"/>
                <w:szCs w:val="20"/>
                <w:color w:val="auto"/>
              </w:rPr>
            </w:pPr>
            <w:r>
              <w:rPr>
                <w:rFonts w:ascii="Arial" w:cs="Arial" w:eastAsia="Arial" w:hAnsi="Arial"/>
                <w:sz w:val="20"/>
                <w:szCs w:val="20"/>
                <w:color w:val="auto"/>
              </w:rPr>
              <w:t>Other operating expenses</w:t>
            </w:r>
          </w:p>
        </w:tc>
        <w:tc>
          <w:tcPr>
            <w:tcW w:w="600" w:type="dxa"/>
            <w:vAlign w:val="bottom"/>
          </w:tcPr>
          <w:p>
            <w:pPr>
              <w:jc w:val="right"/>
              <w:spacing w:after="0"/>
              <w:rPr>
                <w:sz w:val="20"/>
                <w:szCs w:val="20"/>
                <w:color w:val="auto"/>
              </w:rPr>
            </w:pPr>
            <w:r>
              <w:rPr>
                <w:rFonts w:ascii="Arial" w:cs="Arial" w:eastAsia="Arial" w:hAnsi="Arial"/>
                <w:sz w:val="20"/>
                <w:szCs w:val="20"/>
                <w:color w:val="auto"/>
              </w:rPr>
              <w:t>2.6 %</w:t>
            </w: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3.3 %</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2.9 %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3277870</wp:posOffset>
            </wp:positionH>
            <wp:positionV relativeFrom="paragraph">
              <wp:posOffset>-1068705</wp:posOffset>
            </wp:positionV>
            <wp:extent cx="311531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9">
                      <a:extLst>
                        <a:ext uri="{28A0092B-C50C-407E-A947-70E740481C1C}"/>
                      </a:extLst>
                    </a:blip>
                    <a:srcRect/>
                    <a:stretch>
                      <a:fillRect/>
                    </a:stretch>
                  </pic:blipFill>
                  <pic:spPr bwMode="auto">
                    <a:xfrm>
                      <a:off x="0" y="0"/>
                      <a:ext cx="3115310" cy="25400"/>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Cost of Sales</w:t>
      </w:r>
    </w:p>
    <w:p>
      <w:pPr>
        <w:spacing w:after="0" w:line="140"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Cost of sales consists primarily of direct labor, allocated manufacturing overhead, and the acquisition of raw materials and components.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Cost of sales as a percentage of net revenue was 30.5% for the year ended December 31, 2024, a decrease of 2.6 percentage points compared to the year ended December 31, 2023. The decrease was primarily due to an inventory obsolescence adjustment of $12.6 million during the year ended December 31, 2023 associated with the wind down of LivaNova’s ACS segment, as well as a decrease in amortization resulting from the impairment of the ACS segment’s developed technology intangible asset in 2023.</w:t>
      </w:r>
    </w:p>
    <w:p>
      <w:pPr>
        <w:sectPr>
          <w:pgSz w:w="11880" w:h="15480" w:orient="portrait"/>
          <w:cols w:equalWidth="0" w:num="1">
            <w:col w:w="10040"/>
          </w:cols>
          <w:pgMar w:left="920" w:top="67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880" w:h="15480" w:orient="portrait"/>
          <w:cols w:equalWidth="0" w:num="1">
            <w:col w:w="10040"/>
          </w:cols>
          <w:pgMar w:left="920" w:top="670" w:right="920" w:bottom="0" w:gutter="0" w:footer="0" w:header="0"/>
          <w:type w:val="continuous"/>
        </w:sectPr>
      </w:pPr>
    </w:p>
    <w:bookmarkStart w:id="42" w:name="page43"/>
    <w:bookmarkEnd w:id="42"/>
    <w:p>
      <w:pPr>
        <w:spacing w:after="0"/>
        <w:rPr>
          <w:sz w:val="20"/>
          <w:szCs w:val="20"/>
          <w:color w:val="auto"/>
        </w:rPr>
      </w:pPr>
      <w:r>
        <w:rPr>
          <w:rFonts w:ascii="Arial" w:cs="Arial" w:eastAsia="Arial" w:hAnsi="Arial"/>
          <w:sz w:val="22"/>
          <w:szCs w:val="22"/>
          <w:color w:val="auto"/>
        </w:rPr>
        <w:t>Selling, General, and Administrative Expense</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color w:val="auto"/>
        </w:rPr>
        <w:t>SG&amp;A expenses are comprised of sales, marketing, general, and administrative activities.</w:t>
      </w:r>
    </w:p>
    <w:p>
      <w:pPr>
        <w:spacing w:after="0" w:line="13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SG&amp;A expenses as a percentage of net revenue were 42.0% for the year ended December 31, 2024, a decrease of 2.9 percentage points compared to the year ended December 31, 2023. The decrease was primarily due to a decrease in sales and marketing expenses driven by the winding down of the ACS segment, as described above, as well as favorable volume leverage.</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color w:val="auto"/>
        </w:rPr>
        <w:t>Research and Development Expense</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color w:val="auto"/>
        </w:rPr>
        <w:t>R&amp;D expenses consist of product design and development efforts, clinical study programs, and regulatory activities.</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R&amp;D expenses as a percentage of net revenue were 14.6% for the year ended December 31, 2024, a decrease of 2.2 percentage points compared to the year ended December 31, 2023. The decrease was primarily due to a decline in R&amp;D expense of $24.8 million associated with winding down the Company’s heart failure program, which was completed during the fourth quarter of 2023, as well as a decline of $6.3 million associated with winding down the Company’s ACS segment, as described above.</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color w:val="auto"/>
        </w:rPr>
        <w:t>Impairment of Long-Lived Assets</w:t>
      </w:r>
    </w:p>
    <w:p>
      <w:pPr>
        <w:spacing w:after="0" w:line="140"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LivaNova tests goodwill and indefinite-lived intangible assets for impairment on an annual basis on October 1, or when events or changes in circumstances indicate that a potential impairment exists.</w:t>
      </w:r>
    </w:p>
    <w:p>
      <w:pPr>
        <w:spacing w:after="0" w:line="6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On January 5, 2024, the Board of Directors of LivaNova PLC approved the 2024 Restructuring Plan to enhance the Company’s focus on its core Cardiopulmonary and Neuromodulation segments. The main component of the 2024 Restructuring Plan was to wind down the ACS segment, which was substantially completed in 2024. The Company determined that it was more likely than not that the carrying amounts associated with the ACS segment, including the long-lived assets (asset group), may not be recoverable. This was determined to be a triggering event occurring in the fourth quarter of 2023 requiring an impairment assessment, based on certain factors, including the results of an updated long-term financial outlook for the ACS segment. As such, LivaNova recorded impairments of the following long-lived assets during the year ended December 31, 2023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83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20"/>
                <w:szCs w:val="20"/>
                <w:b w:val="1"/>
                <w:bCs w:val="1"/>
                <w:color w:val="auto"/>
              </w:rPr>
              <w:t>2023</w:t>
            </w:r>
          </w:p>
        </w:tc>
      </w:tr>
      <w:tr>
        <w:trPr>
          <w:trHeight w:val="238"/>
        </w:trPr>
        <w:tc>
          <w:tcPr>
            <w:tcW w:w="8380" w:type="dxa"/>
            <w:vAlign w:val="bottom"/>
          </w:tcPr>
          <w:p>
            <w:pPr>
              <w:ind w:left="40"/>
              <w:spacing w:after="0"/>
              <w:rPr>
                <w:sz w:val="20"/>
                <w:szCs w:val="20"/>
                <w:color w:val="auto"/>
              </w:rPr>
            </w:pPr>
            <w:r>
              <w:rPr>
                <w:rFonts w:ascii="Arial" w:cs="Arial" w:eastAsia="Arial" w:hAnsi="Arial"/>
                <w:sz w:val="20"/>
                <w:szCs w:val="20"/>
                <w:color w:val="auto"/>
              </w:rPr>
              <w:t>Intangible assets:</w:t>
            </w: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2"/>
        </w:trPr>
        <w:tc>
          <w:tcPr>
            <w:tcW w:w="8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9"/>
        </w:trPr>
        <w:tc>
          <w:tcPr>
            <w:tcW w:w="8380" w:type="dxa"/>
            <w:vAlign w:val="bottom"/>
            <w:shd w:val="clear" w:color="auto" w:fill="E6E6E6"/>
          </w:tcPr>
          <w:p>
            <w:pPr>
              <w:ind w:left="160"/>
              <w:spacing w:after="0"/>
              <w:rPr>
                <w:sz w:val="20"/>
                <w:szCs w:val="20"/>
                <w:color w:val="auto"/>
              </w:rPr>
            </w:pPr>
            <w:r>
              <w:rPr>
                <w:rFonts w:ascii="Arial" w:cs="Arial" w:eastAsia="Arial" w:hAnsi="Arial"/>
                <w:sz w:val="20"/>
                <w:szCs w:val="20"/>
                <w:color w:val="auto"/>
              </w:rPr>
              <w:t>Developed technology</w:t>
            </w:r>
          </w:p>
        </w:tc>
        <w:tc>
          <w:tcPr>
            <w:tcW w:w="400" w:type="dxa"/>
            <w:vAlign w:val="bottom"/>
            <w:shd w:val="clear" w:color="auto" w:fill="E6E6E6"/>
          </w:tcPr>
          <w:p>
            <w:pPr>
              <w:jc w:val="right"/>
              <w:ind w:right="142"/>
              <w:spacing w:after="0"/>
              <w:rPr>
                <w:sz w:val="20"/>
                <w:szCs w:val="20"/>
                <w:color w:val="auto"/>
              </w:rPr>
            </w:pPr>
            <w:r>
              <w:rPr>
                <w:rFonts w:ascii="Arial" w:cs="Arial" w:eastAsia="Arial" w:hAnsi="Arial"/>
                <w:sz w:val="20"/>
                <w:szCs w:val="20"/>
                <w:color w:val="auto"/>
              </w:rPr>
              <w:t>$</w:t>
            </w:r>
          </w:p>
        </w:tc>
        <w:tc>
          <w:tcPr>
            <w:tcW w:w="12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78,067</w:t>
            </w:r>
          </w:p>
        </w:tc>
      </w:tr>
      <w:tr>
        <w:trPr>
          <w:trHeight w:val="274"/>
        </w:trPr>
        <w:tc>
          <w:tcPr>
            <w:tcW w:w="8380" w:type="dxa"/>
            <w:vAlign w:val="bottom"/>
          </w:tcPr>
          <w:p>
            <w:pPr>
              <w:ind w:left="160"/>
              <w:spacing w:after="0"/>
              <w:rPr>
                <w:sz w:val="20"/>
                <w:szCs w:val="20"/>
                <w:color w:val="auto"/>
              </w:rPr>
            </w:pPr>
            <w:r>
              <w:rPr>
                <w:rFonts w:ascii="Arial" w:cs="Arial" w:eastAsia="Arial" w:hAnsi="Arial"/>
                <w:sz w:val="20"/>
                <w:szCs w:val="20"/>
                <w:color w:val="auto"/>
              </w:rPr>
              <w:t>Trade names</w:t>
            </w:r>
          </w:p>
        </w:tc>
        <w:tc>
          <w:tcPr>
            <w:tcW w:w="4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7,117</w:t>
            </w:r>
          </w:p>
        </w:tc>
      </w:tr>
      <w:tr>
        <w:trPr>
          <w:trHeight w:val="285"/>
        </w:trPr>
        <w:tc>
          <w:tcPr>
            <w:tcW w:w="8380" w:type="dxa"/>
            <w:vAlign w:val="bottom"/>
            <w:shd w:val="clear" w:color="auto" w:fill="E6E6E6"/>
          </w:tcPr>
          <w:p>
            <w:pPr>
              <w:ind w:left="40"/>
              <w:spacing w:after="0"/>
              <w:rPr>
                <w:sz w:val="20"/>
                <w:szCs w:val="20"/>
                <w:color w:val="auto"/>
              </w:rPr>
            </w:pPr>
            <w:r>
              <w:rPr>
                <w:rFonts w:ascii="Arial" w:cs="Arial" w:eastAsia="Arial" w:hAnsi="Arial"/>
                <w:sz w:val="20"/>
                <w:szCs w:val="20"/>
                <w:color w:val="auto"/>
              </w:rPr>
              <w:t>Property, plant, and equipment</w:t>
            </w:r>
          </w:p>
        </w:tc>
        <w:tc>
          <w:tcPr>
            <w:tcW w:w="400" w:type="dxa"/>
            <w:vAlign w:val="bottom"/>
            <w:shd w:val="clear" w:color="auto" w:fill="E6E6E6"/>
          </w:tcPr>
          <w:p>
            <w:pPr>
              <w:spacing w:after="0"/>
              <w:rPr>
                <w:sz w:val="24"/>
                <w:szCs w:val="24"/>
                <w:color w:val="auto"/>
              </w:rPr>
            </w:pPr>
          </w:p>
        </w:tc>
        <w:tc>
          <w:tcPr>
            <w:tcW w:w="12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3,894</w:t>
            </w:r>
          </w:p>
        </w:tc>
      </w:tr>
      <w:tr>
        <w:trPr>
          <w:trHeight w:val="269"/>
        </w:trPr>
        <w:tc>
          <w:tcPr>
            <w:tcW w:w="8380" w:type="dxa"/>
            <w:vAlign w:val="bottom"/>
            <w:tcBorders>
              <w:bottom w:val="single" w:sz="8" w:color="E6E6E6"/>
            </w:tcBorders>
          </w:tcPr>
          <w:p>
            <w:pPr>
              <w:ind w:left="40"/>
              <w:spacing w:after="0"/>
              <w:rPr>
                <w:sz w:val="20"/>
                <w:szCs w:val="20"/>
                <w:color w:val="auto"/>
              </w:rPr>
            </w:pPr>
            <w:r>
              <w:rPr>
                <w:rFonts w:ascii="Arial" w:cs="Arial" w:eastAsia="Arial" w:hAnsi="Arial"/>
                <w:sz w:val="20"/>
                <w:szCs w:val="20"/>
                <w:color w:val="auto"/>
              </w:rPr>
              <w:t>Operating lease assets</w:t>
            </w:r>
          </w:p>
        </w:tc>
        <w:tc>
          <w:tcPr>
            <w:tcW w:w="4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896</w:t>
            </w:r>
          </w:p>
        </w:tc>
      </w:tr>
      <w:tr>
        <w:trPr>
          <w:trHeight w:val="279"/>
        </w:trPr>
        <w:tc>
          <w:tcPr>
            <w:tcW w:w="838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auto"/>
            </w:tcBorders>
            <w:shd w:val="clear" w:color="auto" w:fill="E6E6E6"/>
          </w:tcPr>
          <w:p>
            <w:pPr>
              <w:jc w:val="right"/>
              <w:ind w:right="142"/>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89,974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5312410</wp:posOffset>
            </wp:positionH>
            <wp:positionV relativeFrom="paragraph">
              <wp:posOffset>-208280</wp:posOffset>
            </wp:positionV>
            <wp:extent cx="108013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0">
                      <a:extLst>
                        <a:ext uri="{28A0092B-C50C-407E-A947-70E740481C1C}"/>
                      </a:extLst>
                    </a:blip>
                    <a:srcRect/>
                    <a:stretch>
                      <a:fillRect/>
                    </a:stretch>
                  </pic:blipFill>
                  <pic:spPr bwMode="auto">
                    <a:xfrm>
                      <a:off x="0" y="0"/>
                      <a:ext cx="1080135" cy="25400"/>
                    </a:xfrm>
                    <a:prstGeom prst="rect">
                      <a:avLst/>
                    </a:prstGeom>
                    <a:noFill/>
                  </pic:spPr>
                </pic:pic>
              </a:graphicData>
            </a:graphic>
          </wp:anchor>
        </w:drawing>
        <w:drawing>
          <wp:anchor simplePos="0" relativeHeight="251657728" behindDoc="1" locked="0" layoutInCell="0" allowOverlap="1">
            <wp:simplePos x="0" y="0"/>
            <wp:positionH relativeFrom="column">
              <wp:posOffset>5312410</wp:posOffset>
            </wp:positionH>
            <wp:positionV relativeFrom="paragraph">
              <wp:posOffset>-43180</wp:posOffset>
            </wp:positionV>
            <wp:extent cx="1080135" cy="501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1">
                      <a:extLst>
                        <a:ext uri="{28A0092B-C50C-407E-A947-70E740481C1C}"/>
                      </a:extLst>
                    </a:blip>
                    <a:srcRect/>
                    <a:stretch>
                      <a:fillRect/>
                    </a:stretch>
                  </pic:blipFill>
                  <pic:spPr bwMode="auto">
                    <a:xfrm>
                      <a:off x="0" y="0"/>
                      <a:ext cx="1080135" cy="50165"/>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Other Operating Expenses</w:t>
      </w:r>
    </w:p>
    <w:p>
      <w:pPr>
        <w:spacing w:after="0" w:line="140"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Other operating expenses primarily consist of the provision for litigation involving LivaNova’s 3T Heater-Cooler device, the Saluggia site remediation provision, and restructuring expense.</w:t>
      </w:r>
    </w:p>
    <w:p>
      <w:pPr>
        <w:spacing w:after="0" w:line="6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Other operating expenses as a percentage of net revenue were 2.6% for the year ended December 31, 2024, a decrease of 0.7 percentage points compared to the year ended December 31, 2023. The decrease was primarily due to a decrease in the amount recorded for the litigation provision related to LivaNova’s 3T Heater-Cooler device of $14.8 million and a decrease in the amount recorded for the Saluggia site decommissioning provision of $2.3 million. These decreases were partially offset by an increase in restructuring expense of $12.4 million resulting from the 2024 Restructuring Plan. For additional information, refer to “Note 4. Restructuring” and “Note 11. Commitments and Contingencies” in the consolidated financial statements in this Report.</w:t>
      </w:r>
    </w:p>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Interest Expense</w:t>
      </w:r>
    </w:p>
    <w:p>
      <w:pPr>
        <w:spacing w:after="0" w:line="140"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LivaNova incurred interest expense of $63.1 million for the year ended December 31, 2024, compared to $58.9 million for the year ended December 31, 2023. The increase was primarily due to increases in average borrowings and the amortization of debt issuance costs.</w:t>
      </w:r>
    </w:p>
    <w:p>
      <w:pPr>
        <w:sectPr>
          <w:pgSz w:w="11880" w:h="15480" w:orient="portrait"/>
          <w:cols w:equalWidth="0" w:num="1">
            <w:col w:w="10040"/>
          </w:cols>
          <w:pgMar w:left="920" w:top="65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880" w:h="15480" w:orient="portrait"/>
          <w:cols w:equalWidth="0" w:num="1">
            <w:col w:w="10040"/>
          </w:cols>
          <w:pgMar w:left="920" w:top="658" w:right="920" w:bottom="0" w:gutter="0" w:footer="0" w:header="0"/>
          <w:type w:val="continuous"/>
        </w:sectPr>
      </w:pPr>
    </w:p>
    <w:bookmarkStart w:id="43" w:name="page44"/>
    <w:bookmarkEnd w:id="43"/>
    <w:p>
      <w:pPr>
        <w:spacing w:after="0"/>
        <w:rPr>
          <w:sz w:val="20"/>
          <w:szCs w:val="20"/>
          <w:color w:val="auto"/>
        </w:rPr>
      </w:pPr>
      <w:r>
        <w:rPr>
          <w:rFonts w:ascii="Arial" w:cs="Arial" w:eastAsia="Arial" w:hAnsi="Arial"/>
          <w:sz w:val="22"/>
          <w:szCs w:val="22"/>
          <w:color w:val="auto"/>
        </w:rPr>
        <w:t>Loss on Debt Extinguishment</w:t>
      </w:r>
    </w:p>
    <w:p>
      <w:pPr>
        <w:spacing w:after="0" w:line="140"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In connection with the 2025 Notes Repurchase Transaction, during the year ended December 31, 2024, LivaNova incurred a loss on debt extinguishment of $25.5 million. For additional information, refer to “Note 9. Financing Arrangements” in the consolidated financial statements in this Report.</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color w:val="auto"/>
        </w:rPr>
        <w:t>Foreign Exchange and Other Income/(Expense)</w:t>
      </w:r>
    </w:p>
    <w:p>
      <w:pPr>
        <w:spacing w:after="0" w:line="140" w:lineRule="exact"/>
        <w:rPr>
          <w:sz w:val="20"/>
          <w:szCs w:val="20"/>
          <w:color w:val="auto"/>
        </w:rPr>
      </w:pPr>
    </w:p>
    <w:p>
      <w:pPr>
        <w:jc w:val="both"/>
        <w:spacing w:after="0" w:line="338" w:lineRule="auto"/>
        <w:rPr>
          <w:sz w:val="20"/>
          <w:szCs w:val="20"/>
          <w:color w:val="auto"/>
        </w:rPr>
      </w:pPr>
      <w:r>
        <w:rPr>
          <w:rFonts w:ascii="Arial" w:cs="Arial" w:eastAsia="Arial" w:hAnsi="Arial"/>
          <w:sz w:val="17"/>
          <w:szCs w:val="17"/>
          <w:color w:val="auto"/>
        </w:rPr>
        <w:t>Foreign exchange and other income/(expense) consists primarily of gains and losses arising from transactions denominated in a currency different from an entity’s functional currency, FX derivative gains and losses, interest income, changes in the fair value of embedded and capped call derivatives, and gains and losses associated with LivaNova’s investments.</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Foreign exchange and other income/(expense) was income of $47.8 million and $46.1 million for the years ended December 31, 2024 and 2023, respectively. For further details, refer to “Note 18. Supplemental Financial Information” in LivaNova’s consolidated financial statements included in this Report.</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color w:val="auto"/>
        </w:rPr>
        <w:t>Income Taxes</w:t>
      </w:r>
    </w:p>
    <w:p>
      <w:pPr>
        <w:spacing w:after="0" w:line="140"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LivaNova PLC is resident in the UK. LivaNova’s effective income tax rate fluctuates based on, among other factors, changes in pre-tax income in countries with varying statutory tax rates, valuation allowances, tax credits and incentives, unrecognized tax benefits associated with uncertain tax positions, and tax laws. LivaNova’s tax returns are periodically audited or subjected to review by tax authorities. The Company operates in multiple jurisdictions worldwide and assesses the recoverability of its deferred tax assets for each period and jurisdiction by considering whether it is more likely than not that all or a portion of the deferred tax assets will not be realized. The Company considers all available evidence (both positive and negative) in determining whether a valuation allowance is required.</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LivaNova’s effective income tax rate was 28.4% and 121.7% for the years ended December 31, 2024 and 2023, respectively. Compared with the year ended December 31, 2023, the change in the effective tax rate for 2024 was primarily attributable to changes in the mix of taxable income in various jurisdictions, non-deductible interest and premiums, and changes in tax valuation allowances. For additional information, please refer to “Note 15. Income Taxes” in LivaNova’s consolidated financial statements included in this Report.</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Estimates</w:t>
      </w:r>
    </w:p>
    <w:p>
      <w:pPr>
        <w:spacing w:after="0" w:line="148"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LivaNova has adopted various accounting policies to prepare the consolidated financial statements in accordance with U.S. GAAP. The Company’s most significant accounting policies are disclosed in “Note 2. Basis of Presentation, Use of Accounting Estimates, and Significant Accounting Policies” and “Note 3. Revenue Recognition” in LivaNova’s consolidated financial statements included in this Report.</w:t>
      </w:r>
    </w:p>
    <w:p>
      <w:pPr>
        <w:spacing w:after="0" w:line="82"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To prepare LivaNova’s consolidated financial statements in conformity with U.S. GAAP, management makes estimates and assumptions that may affect the reported amounts of the Company’s assets and liabilities, the disclosure of contingent liabilities as of the date of its consolidated financial statements, and the reported amounts of its revenue and expenses during the reporting period. LivaNova’s actual results may differ from these estimates. LivaNova considers estimates to be critical if the Company is required to make assumptions about material matters that are uncertain at the time of estimation, or if materially different estimates could have been made or it is reasonably likely that the accounting estimate may change from period to period. The following are areas requiring management’s judgment that LivaNova considers critical:</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color w:val="auto"/>
        </w:rPr>
        <w:t>Goodwill and Long-Lived Assets</w:t>
      </w:r>
    </w:p>
    <w:p>
      <w:pPr>
        <w:spacing w:after="0" w:line="140"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LivaNova allocates the purchase price consideration of an acquisition to the assets acquired and liabilities assumed based on their fair values at the date of acquisition, including property, plant, and equipment; inventories; accounts receivable; long-term debt; and identifiable intangible assets which either arise from a contractual or legal right or are separable from goodwill. LivaNova allocates any excess purchase price over the fair value of the net tangible and identifiable intangible assets acquired to goodwill. LivaNova bases the fair value of identifiable intangible assets acquired in a business combination, including IPR&amp;D, on valuations that use information and assumptions provided by management, which consider management’s best estimates of inputs and assumptions that a market participant would use.</w:t>
      </w:r>
    </w:p>
    <w:p>
      <w:pPr>
        <w:spacing w:after="0" w:line="48"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Intangible assets shown on the consolidated balance sheets consist of finite-lived and indefinite-lived assets expected to generate future economic benefits and are recorded at their respective fair values as of their acquisition date. Finite-lived intangible assets consist primarily of developed technology and technical capabilities, including patents, related know-how and licensed patent rights, trade names, and customer relationships. Customer relationships consist of relationships with hospitals and surgeons in the countries where LivaNova operates. Indefinite-lived intangible assets other than goodwill are composed of IPR&amp;D assets acquired in acquisitions.</w:t>
      </w:r>
    </w:p>
    <w:p>
      <w:pPr>
        <w:sectPr>
          <w:pgSz w:w="11880" w:h="15480" w:orient="portrait"/>
          <w:cols w:equalWidth="0" w:num="1">
            <w:col w:w="10040"/>
          </w:cols>
          <w:pgMar w:left="920" w:top="658" w:right="920" w:bottom="0" w:gutter="0" w:footer="0" w:header="0"/>
        </w:sect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880" w:h="15480" w:orient="portrait"/>
          <w:cols w:equalWidth="0" w:num="1">
            <w:col w:w="10040"/>
          </w:cols>
          <w:pgMar w:left="920" w:top="658" w:right="920" w:bottom="0" w:gutter="0" w:footer="0" w:header="0"/>
          <w:type w:val="continuous"/>
        </w:sectPr>
      </w:pPr>
    </w:p>
    <w:bookmarkStart w:id="44" w:name="page45"/>
    <w:bookmarkEnd w:id="44"/>
    <w:p>
      <w:pPr>
        <w:jc w:val="both"/>
        <w:spacing w:after="0" w:line="274" w:lineRule="auto"/>
        <w:rPr>
          <w:sz w:val="20"/>
          <w:szCs w:val="20"/>
          <w:color w:val="auto"/>
        </w:rPr>
      </w:pPr>
      <w:r>
        <w:rPr>
          <w:rFonts w:ascii="Arial" w:cs="Arial" w:eastAsia="Arial" w:hAnsi="Arial"/>
          <w:sz w:val="19"/>
          <w:szCs w:val="19"/>
          <w:color w:val="auto"/>
        </w:rPr>
        <w:t>Each reporting period, LivaNova determines whether there are circumstances that warrant an evaluation of the carrying amounts of LivaNova’s property and equipment and its finite-lived intangible assets to determine whether such carrying amounts continue to be recoverable. Such changes in circumstance may include, among other items, an expectation of a sale or disposal of a long-lived asset or asset group, adverse changes in market or competitive conditions, an adverse change in legal factors or business climate in the markets in which LivaNova operates, and operating or cash flow losses. Long-lived assets held and used are assessed for possible impairment by comparing their carrying values with their associated undiscounted, future cash flows. In order to calculate the impairment charge, LivaNova generally measures fair value by considering sale prices for similar assets, discounted estimated future cash flows using an appropriate discount rate, and/or estimated replacement cost.</w:t>
      </w:r>
    </w:p>
    <w:p>
      <w:pPr>
        <w:spacing w:after="0" w:line="78"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LivaNova estimates the useful lives of its finite-lived intangible assets, which requires significant management judgment, and evaluates its intangible assets each reporting period to determine whether events and circumstances indicate a different useful life.</w:t>
      </w:r>
    </w:p>
    <w:p>
      <w:pPr>
        <w:spacing w:after="0" w:line="79" w:lineRule="exact"/>
        <w:rPr>
          <w:sz w:val="20"/>
          <w:szCs w:val="20"/>
          <w:color w:val="auto"/>
        </w:rPr>
      </w:pPr>
    </w:p>
    <w:p>
      <w:pPr>
        <w:jc w:val="both"/>
        <w:spacing w:after="0" w:line="311" w:lineRule="auto"/>
        <w:rPr>
          <w:sz w:val="20"/>
          <w:szCs w:val="20"/>
          <w:color w:val="auto"/>
        </w:rPr>
      </w:pPr>
      <w:r>
        <w:rPr>
          <w:rFonts w:ascii="Arial" w:cs="Arial" w:eastAsia="Arial" w:hAnsi="Arial"/>
          <w:sz w:val="17"/>
          <w:szCs w:val="17"/>
          <w:color w:val="auto"/>
        </w:rPr>
        <w:t>LivaNova evaluates the goodwill and indefinite-lived intangible assets for impairment annually on October 1st and whenever other facts and circumstances indicate that the carrying amounts of goodwill and other indefinite-lived intangible assets may not be recoverable. Estimating the fair value of goodwill and indefinite-lived intangible assets requires various assumptions, including revenue growth rates and discount rates. LivaNova performed a quantitative goodwill impairment assessment for its Cardiopulmonary and Neuromodulation reporting units as of October 1, 2024, including sensitivity analyses of key assumptions. The assessment was conducted using management’s current estimate of future cash flows. LivaNova concluded that the fair value of its Cardiopulmonary and Neuromodulation reporting units exceeded the carrying value of the respective reporting units and were, therefore, not impaired on the October 1, 2024 test date.</w:t>
      </w:r>
    </w:p>
    <w:p>
      <w:pPr>
        <w:spacing w:after="0" w:line="45" w:lineRule="exact"/>
        <w:rPr>
          <w:sz w:val="20"/>
          <w:szCs w:val="20"/>
          <w:color w:val="auto"/>
        </w:rPr>
      </w:pPr>
    </w:p>
    <w:p>
      <w:pPr>
        <w:spacing w:after="0"/>
        <w:rPr>
          <w:sz w:val="20"/>
          <w:szCs w:val="20"/>
          <w:color w:val="auto"/>
        </w:rPr>
      </w:pPr>
      <w:r>
        <w:rPr>
          <w:rFonts w:ascii="Arial" w:cs="Arial" w:eastAsia="Arial" w:hAnsi="Arial"/>
          <w:sz w:val="22"/>
          <w:szCs w:val="22"/>
          <w:color w:val="auto"/>
        </w:rPr>
        <w:t>Income Taxes</w:t>
      </w:r>
    </w:p>
    <w:p>
      <w:pPr>
        <w:spacing w:after="0" w:line="14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LivaNova is a UK corporation and operates through the Company’s various subsidiaries in a number of countries throughout the world. LivaNova’s provision for income taxes is based on the tax laws and rates applicable in the jurisdictions in which the Company operates and earns income. LivaNova uses significant judgment and estimates in accounting for the Company’s income taxes. The Company recognizes deferred tax assets and liabilities for the anticipated future tax effects of temporary differences between the financial statements basis and the tax basis of LivaNova’s assets and liabilities, which are measured using enacted tax rates expected to apply to taxable income in the years in which those temporary differences are expected to be recovered or settled.</w:t>
      </w:r>
    </w:p>
    <w:p>
      <w:pPr>
        <w:spacing w:after="0" w:line="89"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LivaNova files federal and local tax returns in many jurisdictions throughout the world and is subject to income tax examinations for its fiscal year 2019 and subsequent years, with certain exceptions. While LivaNova believes that its tax return positions are fully supported, tax authorities may disagree with certain positions the Company has taken and assess additional taxes, and, as a result, LivaNova may establish reserves for uncertain tax positions, which require a significant degree of management judgment. LivaNova regularly assesses the likely outcomes of its tax positions to determine the appropriateness of the Company’s reserves; however, the actual outcome of an audit can be significantly different from LivaNova’s expectations, which could have a material impact on the Company’s tax provision. The Company has accrued $15.2 million, of which $14.1 million is unrecognized tax benefit, as of December 31, 2024.</w:t>
      </w:r>
    </w:p>
    <w:p>
      <w:pPr>
        <w:spacing w:after="0" w:line="75"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LivaNova periodically assesses the recoverability of its deferred tax assets by considering whether it is more likely than not that some or all of the actual benefit of those assets will be realized. To the extent that realization does not meet the “more-likely-than-not” criterion, the Company establishes a valuation allowance. LivaNova periodically reviews the adequacy and necessity of the valuation allowance by considering significant positive and negative evidence relative to its ability to recover deferred tax assets and to determine the timing and amount of valuation allowance that should be released. This evidence includes: profitability in the most recent quarters; internal profitability forecasts for the current and next two future years; the amount of deferred tax asset relative to estimated profitability; the potential effects on future profitability from increasing competition, healthcare reforms, and overall economic conditions; limitations and potential limitations on the use of LivaNova’s net operating losses due to ownership changes, pursuant to IRC Section 382; and the implementation of prudent and feasible tax planning strategies, if any. For additional information, please refer to “Note 15. Income Taxes” in LivaNova’s consolidated financial statements included in this Report.</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color w:val="auto"/>
        </w:rPr>
        <w:t>Legal and Other Contingencies</w:t>
      </w:r>
    </w:p>
    <w:p>
      <w:pPr>
        <w:spacing w:after="0" w:line="140" w:lineRule="exact"/>
        <w:rPr>
          <w:sz w:val="20"/>
          <w:szCs w:val="20"/>
          <w:color w:val="auto"/>
        </w:rPr>
      </w:pPr>
    </w:p>
    <w:p>
      <w:pPr>
        <w:jc w:val="both"/>
        <w:spacing w:after="0" w:line="338" w:lineRule="auto"/>
        <w:rPr>
          <w:sz w:val="20"/>
          <w:szCs w:val="20"/>
          <w:color w:val="auto"/>
        </w:rPr>
      </w:pPr>
      <w:r>
        <w:rPr>
          <w:rFonts w:ascii="Arial" w:cs="Arial" w:eastAsia="Arial" w:hAnsi="Arial"/>
          <w:sz w:val="17"/>
          <w:szCs w:val="17"/>
          <w:color w:val="auto"/>
        </w:rPr>
        <w:t>Provisions for legal contingencies are recognized when the Company determines it is probable that a loss has been incurred and the amount is reasonably estimable, the determination of which requires significant judgment. Estimates are used in assessing the likelihood of a loss being incurred and when determining a reasonable estimate of the loss for each claim. Final settlement</w:t>
      </w:r>
    </w:p>
    <w:p>
      <w:pPr>
        <w:sectPr>
          <w:pgSz w:w="11880" w:h="15480" w:orient="portrait"/>
          <w:cols w:equalWidth="0" w:num="1">
            <w:col w:w="10040"/>
          </w:cols>
          <w:pgMar w:left="920" w:top="66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880" w:h="15480" w:orient="portrait"/>
          <w:cols w:equalWidth="0" w:num="1">
            <w:col w:w="10040"/>
          </w:cols>
          <w:pgMar w:left="920" w:top="664" w:right="920" w:bottom="0" w:gutter="0" w:footer="0" w:header="0"/>
          <w:type w:val="continuous"/>
        </w:sectPr>
      </w:pPr>
    </w:p>
    <w:bookmarkStart w:id="45" w:name="page46"/>
    <w:bookmarkEnd w:id="45"/>
    <w:p>
      <w:pPr>
        <w:spacing w:after="0"/>
        <w:rPr>
          <w:sz w:val="20"/>
          <w:szCs w:val="20"/>
          <w:color w:val="auto"/>
        </w:rPr>
      </w:pPr>
      <w:r>
        <w:rPr>
          <w:rFonts w:ascii="Arial" w:cs="Arial" w:eastAsia="Arial" w:hAnsi="Arial"/>
          <w:sz w:val="19"/>
          <w:szCs w:val="19"/>
          <w:color w:val="auto"/>
        </w:rPr>
        <w:t>amounts may be materially different from the provision recorded. For additional information, please refer to “Note 11.</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Commitments and Contingencies” in LivaNova’s consolidated financial statements included in this Report.</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color w:val="auto"/>
        </w:rPr>
        <w:t>Contingent Consideration Liabilities</w:t>
      </w:r>
    </w:p>
    <w:p>
      <w:pPr>
        <w:spacing w:after="0" w:line="140"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Contingent consideration liabilities result from acquisition agreements that include potential future payment of consideration that is contingent upon the achievement of performance milestones and/or sales-based earnouts. Contingent consideration liabilities are measured at fair value each reporting period, the determination of which requires significant judgments and estimates. The fair value of contingent consideration is determined based on the consideration expected to be transferred based on estimated future cash flows of the acquired business, discounted to present value in accordance with accepted valuation methodologies. For additional information, please refer to “Note 8. Fair Value Measurements” in LivaNova’s consolidated financial statements included in this Report.</w:t>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color w:val="auto"/>
        </w:rPr>
        <w:t>Embedded and Capped Call Derivatives</w:t>
      </w:r>
    </w:p>
    <w:p>
      <w:pPr>
        <w:spacing w:after="0" w:line="140" w:lineRule="exact"/>
        <w:rPr>
          <w:sz w:val="20"/>
          <w:szCs w:val="20"/>
          <w:color w:val="auto"/>
        </w:rPr>
      </w:pPr>
    </w:p>
    <w:p>
      <w:pPr>
        <w:jc w:val="both"/>
        <w:spacing w:after="0" w:line="310" w:lineRule="auto"/>
        <w:rPr>
          <w:sz w:val="20"/>
          <w:szCs w:val="20"/>
          <w:color w:val="auto"/>
        </w:rPr>
      </w:pPr>
      <w:r>
        <w:rPr>
          <w:rFonts w:ascii="Arial" w:cs="Arial" w:eastAsia="Arial" w:hAnsi="Arial"/>
          <w:sz w:val="17"/>
          <w:szCs w:val="17"/>
          <w:color w:val="auto"/>
        </w:rPr>
        <w:t>In June 2020 and March 2024, the Company issued the 2025 Notes and 2029 Notes, respectively, and entered into related capped call transactions. The 2025 Notes and 2029 Notes include embedded derivatives that are bifurcated from the 2025 Notes and 2029 Notes. The embedded derivatives are measured at fair value using a binomial lattice model and estimated discounted cash flows that utilize observable and unobservable market data. The capped call derivatives are measured at fair value using the Black-Scholes model utilizing observable and unobservable market data, including stock price, remaining contractual term, expected volatility, risk-free interest rate, and expected dividend yield, as applicable. The Company uses historical volatility and implied volatility from options traded to determine expected stock price volatility, which is an unobservable input that is significant to the valuations. For additional information, please refer to “Note 8. Fair Value Measurements” and “Note 9. Financing Arrangements” in LivaNova’s consolidated financial statements included in this Report.</w:t>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Accounting Pronouncements</w:t>
      </w:r>
    </w:p>
    <w:p>
      <w:pPr>
        <w:spacing w:after="0" w:line="148"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For a discussion of new accounting standards and disclosure requirements, please refer to “Note 19. New Accounting Pronouncements” in LivaNova’s consolidated financial statements included in this Report.</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48" w:lineRule="exact"/>
        <w:rPr>
          <w:sz w:val="20"/>
          <w:szCs w:val="20"/>
          <w:color w:val="auto"/>
        </w:rPr>
      </w:pPr>
    </w:p>
    <w:p>
      <w:pPr>
        <w:jc w:val="both"/>
        <w:spacing w:after="0" w:line="311" w:lineRule="auto"/>
        <w:rPr>
          <w:sz w:val="20"/>
          <w:szCs w:val="20"/>
          <w:color w:val="auto"/>
        </w:rPr>
      </w:pPr>
      <w:r>
        <w:rPr>
          <w:rFonts w:ascii="Arial" w:cs="Arial" w:eastAsia="Arial" w:hAnsi="Arial"/>
          <w:sz w:val="17"/>
          <w:szCs w:val="17"/>
          <w:color w:val="auto"/>
        </w:rPr>
        <w:t>Based on LivaNova’s current business plan, the Company believes that its sources of liquidity, which primarily consist of cash and cash equivalents, future cash generated from operations, and available borrowings under its revolving credit facility, will be sufficient to fund its uses of liquidity, primarily consisting of day-to-day operating expenses, working capital, capital expenditures, acquisition earnouts, and debt service requirements over the twelve-month period beginning from the issuance date of this Report. From time to time, LivaNova may access debt and/or equity markets to optimize its capital structure, raise additional capital, or increase liquidity, as necessary. LivaNova’s liquidity could be adversely affected by the factors affecting future operating results, including those referred to in “Part I, Item 1A. Risk Factors” above and by the contingencies referred to in “Note 11. Commitments and Contingencies” in LivaNova’s consolidated financial statements in this Report.</w:t>
      </w:r>
    </w:p>
    <w:p>
      <w:pPr>
        <w:spacing w:after="0" w:line="5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LivaNova’s operating and working capital obligations primarily consist of liabilities arising from the normal course of business, including inventory supply contracts, the future settlement of derivative instruments, and future payments of operating leases, as well as contingent consideration arrangements resulting from acquisitions and obligations associated with legal and other accruals.</w:t>
      </w:r>
    </w:p>
    <w:p>
      <w:pPr>
        <w:sectPr>
          <w:pgSz w:w="11880" w:h="15480" w:orient="portrait"/>
          <w:cols w:equalWidth="0" w:num="1">
            <w:col w:w="10040"/>
          </w:cols>
          <w:pgMar w:left="920" w:top="66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1880" w:h="15480" w:orient="portrait"/>
          <w:cols w:equalWidth="0" w:num="1">
            <w:col w:w="10040"/>
          </w:cols>
          <w:pgMar w:left="920" w:top="664" w:right="920" w:bottom="0" w:gutter="0" w:footer="0" w:header="0"/>
          <w:type w:val="continuous"/>
        </w:sectPr>
      </w:pPr>
    </w:p>
    <w:bookmarkStart w:id="46" w:name="page47"/>
    <w:bookmarkEnd w:id="46"/>
    <w:p>
      <w:pPr>
        <w:spacing w:after="0"/>
        <w:rPr>
          <w:sz w:val="20"/>
          <w:szCs w:val="20"/>
          <w:color w:val="auto"/>
        </w:rPr>
      </w:pPr>
      <w:r>
        <w:rPr>
          <w:rFonts w:ascii="Arial" w:cs="Arial" w:eastAsia="Arial" w:hAnsi="Arial"/>
          <w:sz w:val="20"/>
          <w:szCs w:val="20"/>
          <w:color w:val="auto"/>
        </w:rPr>
        <w:t>The following table presents selected financial information related to LivaNova’s liquidity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rPr>
              <w:t>December 31,</w:t>
            </w: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840" w:type="dxa"/>
            <w:vAlign w:val="bottom"/>
            <w:gridSpan w:val="2"/>
            <w:vMerge w:val="restart"/>
          </w:tcPr>
          <w:p>
            <w:pPr>
              <w:ind w:left="40"/>
              <w:spacing w:after="0"/>
              <w:rPr>
                <w:sz w:val="20"/>
                <w:szCs w:val="20"/>
                <w:color w:val="auto"/>
              </w:rPr>
            </w:pPr>
            <w:r>
              <w:rPr>
                <w:rFonts w:ascii="Arial" w:cs="Arial" w:eastAsia="Arial" w:hAnsi="Arial"/>
                <w:sz w:val="20"/>
                <w:szCs w:val="20"/>
                <w:b w:val="1"/>
                <w:bCs w:val="1"/>
                <w:color w:val="auto"/>
              </w:rPr>
              <w:t>Available Short-term Liquidity</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2"/>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2"/>
              <w:spacing w:after="0"/>
              <w:rPr>
                <w:sz w:val="20"/>
                <w:szCs w:val="20"/>
                <w:color w:val="auto"/>
              </w:rPr>
            </w:pPr>
            <w:r>
              <w:rPr>
                <w:rFonts w:ascii="Arial" w:cs="Arial" w:eastAsia="Arial" w:hAnsi="Arial"/>
                <w:sz w:val="20"/>
                <w:szCs w:val="20"/>
                <w:b w:val="1"/>
                <w:bCs w:val="1"/>
                <w:color w:val="auto"/>
                <w:w w:val="89"/>
              </w:rPr>
              <w:t>2023</w:t>
            </w:r>
          </w:p>
        </w:tc>
        <w:tc>
          <w:tcPr>
            <w:tcW w:w="0" w:type="dxa"/>
            <w:vAlign w:val="bottom"/>
          </w:tcPr>
          <w:p>
            <w:pPr>
              <w:spacing w:after="0"/>
              <w:rPr>
                <w:sz w:val="1"/>
                <w:szCs w:val="1"/>
                <w:color w:val="auto"/>
              </w:rPr>
            </w:pPr>
          </w:p>
        </w:tc>
      </w:tr>
      <w:tr>
        <w:trPr>
          <w:trHeight w:val="234"/>
        </w:trPr>
        <w:tc>
          <w:tcPr>
            <w:tcW w:w="684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682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9"/>
        </w:trPr>
        <w:tc>
          <w:tcPr>
            <w:tcW w:w="6840" w:type="dxa"/>
            <w:vAlign w:val="bottom"/>
            <w:gridSpan w:val="2"/>
            <w:shd w:val="clear" w:color="auto" w:fill="E6E6E6"/>
          </w:tcPr>
          <w:p>
            <w:pPr>
              <w:ind w:left="220"/>
              <w:spacing w:after="0"/>
              <w:rPr>
                <w:sz w:val="20"/>
                <w:szCs w:val="20"/>
                <w:color w:val="auto"/>
              </w:rPr>
            </w:pPr>
            <w:r>
              <w:rPr>
                <w:rFonts w:ascii="Arial" w:cs="Arial" w:eastAsia="Arial" w:hAnsi="Arial"/>
                <w:sz w:val="20"/>
                <w:szCs w:val="20"/>
                <w:color w:val="auto"/>
              </w:rPr>
              <w:t>Cash and cash equivalents</w:t>
            </w:r>
          </w:p>
        </w:tc>
        <w:tc>
          <w:tcPr>
            <w:tcW w:w="360" w:type="dxa"/>
            <w:vAlign w:val="bottom"/>
            <w:shd w:val="clear" w:color="auto" w:fill="E6E6E6"/>
          </w:tcPr>
          <w:p>
            <w:pPr>
              <w:jc w:val="right"/>
              <w:ind w:right="122"/>
              <w:spacing w:after="0"/>
              <w:rPr>
                <w:sz w:val="20"/>
                <w:szCs w:val="20"/>
                <w:color w:val="auto"/>
              </w:rPr>
            </w:pPr>
            <w:r>
              <w:rPr>
                <w:rFonts w:ascii="Arial" w:cs="Arial" w:eastAsia="Arial" w:hAnsi="Arial"/>
                <w:sz w:val="20"/>
                <w:szCs w:val="20"/>
                <w:color w:val="auto"/>
              </w:rPr>
              <w:t>$</w:t>
            </w: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428,858</w:t>
            </w:r>
          </w:p>
        </w:tc>
        <w:tc>
          <w:tcPr>
            <w:tcW w:w="640" w:type="dxa"/>
            <w:vAlign w:val="bottom"/>
            <w:gridSpan w:val="2"/>
            <w:shd w:val="clear" w:color="auto" w:fill="E6E6E6"/>
          </w:tcPr>
          <w:p>
            <w:pPr>
              <w:jc w:val="right"/>
              <w:ind w:right="322"/>
              <w:spacing w:after="0"/>
              <w:rPr>
                <w:sz w:val="20"/>
                <w:szCs w:val="20"/>
                <w:color w:val="auto"/>
              </w:rPr>
            </w:pPr>
            <w:r>
              <w:rPr>
                <w:rFonts w:ascii="Arial" w:cs="Arial" w:eastAsia="Arial" w:hAnsi="Arial"/>
                <w:sz w:val="20"/>
                <w:szCs w:val="20"/>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266,504</w:t>
            </w:r>
          </w:p>
        </w:tc>
        <w:tc>
          <w:tcPr>
            <w:tcW w:w="0" w:type="dxa"/>
            <w:vAlign w:val="bottom"/>
          </w:tcPr>
          <w:p>
            <w:pPr>
              <w:spacing w:after="0"/>
              <w:rPr>
                <w:sz w:val="1"/>
                <w:szCs w:val="1"/>
                <w:color w:val="auto"/>
              </w:rPr>
            </w:pPr>
          </w:p>
        </w:tc>
      </w:tr>
      <w:tr>
        <w:trPr>
          <w:trHeight w:val="269"/>
        </w:trPr>
        <w:tc>
          <w:tcPr>
            <w:tcW w:w="6840" w:type="dxa"/>
            <w:vAlign w:val="bottom"/>
            <w:tcBorders>
              <w:bottom w:val="single" w:sz="8" w:color="E6E6E6"/>
            </w:tcBorders>
            <w:gridSpan w:val="2"/>
          </w:tcPr>
          <w:p>
            <w:pPr>
              <w:ind w:left="220"/>
              <w:spacing w:after="0"/>
              <w:rPr>
                <w:sz w:val="20"/>
                <w:szCs w:val="20"/>
                <w:color w:val="auto"/>
              </w:rPr>
            </w:pPr>
            <w:r>
              <w:rPr>
                <w:rFonts w:ascii="Arial" w:cs="Arial" w:eastAsia="Arial" w:hAnsi="Arial"/>
                <w:sz w:val="20"/>
                <w:szCs w:val="20"/>
                <w:color w:val="auto"/>
              </w:rPr>
              <w:t>Availability under the 2021 First Lien Credit Agreement</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225,000</w:t>
            </w:r>
          </w:p>
        </w:tc>
        <w:tc>
          <w:tcPr>
            <w:tcW w:w="80" w:type="dxa"/>
            <w:vAlign w:val="bottom"/>
            <w:tcBorders>
              <w:bottom w:val="single" w:sz="8" w:color="E6E6E6"/>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125,000</w:t>
            </w:r>
          </w:p>
        </w:tc>
        <w:tc>
          <w:tcPr>
            <w:tcW w:w="0" w:type="dxa"/>
            <w:vAlign w:val="bottom"/>
          </w:tcPr>
          <w:p>
            <w:pPr>
              <w:spacing w:after="0"/>
              <w:rPr>
                <w:sz w:val="1"/>
                <w:szCs w:val="1"/>
                <w:color w:val="auto"/>
              </w:rPr>
            </w:pPr>
          </w:p>
        </w:tc>
      </w:tr>
      <w:tr>
        <w:trPr>
          <w:trHeight w:val="279"/>
        </w:trPr>
        <w:tc>
          <w:tcPr>
            <w:tcW w:w="68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60" w:type="dxa"/>
            <w:vAlign w:val="bottom"/>
            <w:shd w:val="clear" w:color="auto" w:fill="E6E6E6"/>
          </w:tcPr>
          <w:p>
            <w:pPr>
              <w:jc w:val="right"/>
              <w:ind w:right="122"/>
              <w:spacing w:after="0"/>
              <w:rPr>
                <w:sz w:val="20"/>
                <w:szCs w:val="20"/>
                <w:color w:val="auto"/>
              </w:rPr>
            </w:pPr>
            <w:r>
              <w:rPr>
                <w:rFonts w:ascii="Arial" w:cs="Arial" w:eastAsia="Arial" w:hAnsi="Arial"/>
                <w:sz w:val="20"/>
                <w:szCs w:val="20"/>
                <w:color w:val="auto"/>
              </w:rPr>
              <w:t>$</w:t>
            </w: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653,858</w:t>
            </w:r>
          </w:p>
        </w:tc>
        <w:tc>
          <w:tcPr>
            <w:tcW w:w="640" w:type="dxa"/>
            <w:vAlign w:val="bottom"/>
            <w:gridSpan w:val="2"/>
            <w:shd w:val="clear" w:color="auto" w:fill="E6E6E6"/>
          </w:tcPr>
          <w:p>
            <w:pPr>
              <w:jc w:val="right"/>
              <w:ind w:right="322"/>
              <w:spacing w:after="0"/>
              <w:rPr>
                <w:sz w:val="20"/>
                <w:szCs w:val="20"/>
                <w:color w:val="auto"/>
              </w:rPr>
            </w:pPr>
            <w:r>
              <w:rPr>
                <w:rFonts w:ascii="Arial" w:cs="Arial" w:eastAsia="Arial" w:hAnsi="Arial"/>
                <w:sz w:val="20"/>
                <w:szCs w:val="20"/>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391,504</w:t>
            </w:r>
          </w:p>
        </w:tc>
        <w:tc>
          <w:tcPr>
            <w:tcW w:w="0" w:type="dxa"/>
            <w:vAlign w:val="bottom"/>
          </w:tcPr>
          <w:p>
            <w:pPr>
              <w:spacing w:after="0"/>
              <w:rPr>
                <w:sz w:val="1"/>
                <w:szCs w:val="1"/>
                <w:color w:val="auto"/>
              </w:rPr>
            </w:pPr>
          </w:p>
        </w:tc>
      </w:tr>
      <w:tr>
        <w:trPr>
          <w:trHeight w:val="279"/>
        </w:trPr>
        <w:tc>
          <w:tcPr>
            <w:tcW w:w="6820" w:type="dxa"/>
            <w:vAlign w:val="bottom"/>
            <w:tcBorders>
              <w:top w:val="single" w:sz="8" w:color="E6E6E6"/>
            </w:tcBorders>
          </w:tcPr>
          <w:p>
            <w:pPr>
              <w:spacing w:after="0"/>
              <w:rPr>
                <w:sz w:val="24"/>
                <w:szCs w:val="24"/>
                <w:color w:val="auto"/>
              </w:rPr>
            </w:pPr>
          </w:p>
        </w:tc>
        <w:tc>
          <w:tcPr>
            <w:tcW w:w="20" w:type="dxa"/>
            <w:vAlign w:val="bottom"/>
            <w:tcBorders>
              <w:top w:val="single" w:sz="8" w:color="E6E6E6"/>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80" w:type="dxa"/>
            <w:vAlign w:val="bottom"/>
            <w:tcBorders>
              <w:top w:val="single" w:sz="8" w:color="E6E6E6"/>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6840" w:type="dxa"/>
            <w:vAlign w:val="bottom"/>
            <w:gridSpan w:val="2"/>
            <w:shd w:val="clear" w:color="auto" w:fill="E6E6E6"/>
          </w:tcPr>
          <w:p>
            <w:pPr>
              <w:ind w:left="40"/>
              <w:spacing w:after="0"/>
              <w:rPr>
                <w:sz w:val="20"/>
                <w:szCs w:val="20"/>
                <w:color w:val="auto"/>
              </w:rPr>
            </w:pPr>
            <w:r>
              <w:rPr>
                <w:rFonts w:ascii="Arial" w:cs="Arial" w:eastAsia="Arial" w:hAnsi="Arial"/>
                <w:sz w:val="20"/>
                <w:szCs w:val="20"/>
                <w:b w:val="1"/>
                <w:bCs w:val="1"/>
                <w:color w:val="auto"/>
              </w:rPr>
              <w:t>Working Capital</w:t>
            </w:r>
          </w:p>
        </w:tc>
        <w:tc>
          <w:tcPr>
            <w:tcW w:w="360" w:type="dxa"/>
            <w:vAlign w:val="bottom"/>
            <w:shd w:val="clear" w:color="auto" w:fill="E6E6E6"/>
          </w:tcPr>
          <w:p>
            <w:pPr>
              <w:spacing w:after="0"/>
              <w:rPr>
                <w:sz w:val="24"/>
                <w:szCs w:val="24"/>
                <w:color w:val="auto"/>
              </w:rPr>
            </w:pPr>
          </w:p>
        </w:tc>
        <w:tc>
          <w:tcPr>
            <w:tcW w:w="120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5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6840" w:type="dxa"/>
            <w:vAlign w:val="bottom"/>
            <w:gridSpan w:val="2"/>
          </w:tcPr>
          <w:p>
            <w:pPr>
              <w:ind w:left="220"/>
              <w:spacing w:after="0"/>
              <w:rPr>
                <w:sz w:val="20"/>
                <w:szCs w:val="20"/>
                <w:color w:val="auto"/>
              </w:rPr>
            </w:pPr>
            <w:r>
              <w:rPr>
                <w:rFonts w:ascii="Arial" w:cs="Arial" w:eastAsia="Arial" w:hAnsi="Arial"/>
                <w:sz w:val="20"/>
                <w:szCs w:val="20"/>
                <w:color w:val="auto"/>
              </w:rPr>
              <w:t>Current assets</w:t>
            </w:r>
          </w:p>
        </w:tc>
        <w:tc>
          <w:tcPr>
            <w:tcW w:w="360" w:type="dxa"/>
            <w:vAlign w:val="bottom"/>
          </w:tcPr>
          <w:p>
            <w:pPr>
              <w:jc w:val="right"/>
              <w:ind w:right="122"/>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1,127,186</w:t>
            </w:r>
          </w:p>
        </w:tc>
        <w:tc>
          <w:tcPr>
            <w:tcW w:w="640" w:type="dxa"/>
            <w:vAlign w:val="bottom"/>
            <w:gridSpan w:val="2"/>
          </w:tcPr>
          <w:p>
            <w:pPr>
              <w:jc w:val="right"/>
              <w:ind w:right="322"/>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988,158</w:t>
            </w:r>
          </w:p>
        </w:tc>
        <w:tc>
          <w:tcPr>
            <w:tcW w:w="0" w:type="dxa"/>
            <w:vAlign w:val="bottom"/>
          </w:tcPr>
          <w:p>
            <w:pPr>
              <w:spacing w:after="0"/>
              <w:rPr>
                <w:sz w:val="1"/>
                <w:szCs w:val="1"/>
                <w:color w:val="auto"/>
              </w:rPr>
            </w:pPr>
          </w:p>
        </w:tc>
      </w:tr>
      <w:tr>
        <w:trPr>
          <w:trHeight w:val="275"/>
        </w:trPr>
        <w:tc>
          <w:tcPr>
            <w:tcW w:w="6840" w:type="dxa"/>
            <w:vAlign w:val="bottom"/>
            <w:tcBorders>
              <w:bottom w:val="single" w:sz="8" w:color="E6E6E6"/>
            </w:tcBorders>
            <w:gridSpan w:val="2"/>
            <w:shd w:val="clear" w:color="auto" w:fill="E6E6E6"/>
          </w:tcPr>
          <w:p>
            <w:pPr>
              <w:ind w:left="220"/>
              <w:spacing w:after="0"/>
              <w:rPr>
                <w:sz w:val="20"/>
                <w:szCs w:val="20"/>
                <w:color w:val="auto"/>
              </w:rPr>
            </w:pPr>
            <w:r>
              <w:rPr>
                <w:rFonts w:ascii="Arial" w:cs="Arial" w:eastAsia="Arial" w:hAnsi="Arial"/>
                <w:sz w:val="20"/>
                <w:szCs w:val="20"/>
                <w:color w:val="auto"/>
              </w:rPr>
              <w:t>Current liabilities</w:t>
            </w:r>
          </w:p>
        </w:tc>
        <w:tc>
          <w:tcPr>
            <w:tcW w:w="360" w:type="dxa"/>
            <w:vAlign w:val="bottom"/>
            <w:tcBorders>
              <w:bottom w:val="single" w:sz="8" w:color="auto"/>
            </w:tcBorders>
            <w:shd w:val="clear" w:color="auto" w:fill="E6E6E6"/>
          </w:tcPr>
          <w:p>
            <w:pPr>
              <w:spacing w:after="0"/>
              <w:rPr>
                <w:sz w:val="23"/>
                <w:szCs w:val="23"/>
                <w:color w:val="auto"/>
              </w:rPr>
            </w:pPr>
          </w:p>
        </w:tc>
        <w:tc>
          <w:tcPr>
            <w:tcW w:w="1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392,125</w:t>
            </w:r>
          </w:p>
        </w:tc>
        <w:tc>
          <w:tcPr>
            <w:tcW w:w="80" w:type="dxa"/>
            <w:vAlign w:val="bottom"/>
            <w:tcBorders>
              <w:bottom w:val="single" w:sz="8" w:color="E6E6E6"/>
            </w:tcBorders>
            <w:shd w:val="clear" w:color="auto" w:fill="E6E6E6"/>
          </w:tcPr>
          <w:p>
            <w:pPr>
              <w:spacing w:after="0"/>
              <w:rPr>
                <w:sz w:val="23"/>
                <w:szCs w:val="23"/>
                <w:color w:val="auto"/>
              </w:rPr>
            </w:pPr>
          </w:p>
        </w:tc>
        <w:tc>
          <w:tcPr>
            <w:tcW w:w="560" w:type="dxa"/>
            <w:vAlign w:val="bottom"/>
            <w:tcBorders>
              <w:bottom w:val="single" w:sz="8" w:color="auto"/>
            </w:tcBorders>
            <w:shd w:val="clear" w:color="auto" w:fill="E6E6E6"/>
          </w:tcPr>
          <w:p>
            <w:pPr>
              <w:spacing w:after="0"/>
              <w:rPr>
                <w:sz w:val="23"/>
                <w:szCs w:val="23"/>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334,983</w:t>
            </w:r>
          </w:p>
        </w:tc>
        <w:tc>
          <w:tcPr>
            <w:tcW w:w="0" w:type="dxa"/>
            <w:vAlign w:val="bottom"/>
          </w:tcPr>
          <w:p>
            <w:pPr>
              <w:spacing w:after="0"/>
              <w:rPr>
                <w:sz w:val="1"/>
                <w:szCs w:val="1"/>
                <w:color w:val="auto"/>
              </w:rPr>
            </w:pPr>
          </w:p>
        </w:tc>
      </w:tr>
      <w:tr>
        <w:trPr>
          <w:trHeight w:val="279"/>
        </w:trPr>
        <w:tc>
          <w:tcPr>
            <w:tcW w:w="6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jc w:val="right"/>
              <w:ind w:right="122"/>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735,061</w:t>
            </w:r>
          </w:p>
        </w:tc>
        <w:tc>
          <w:tcPr>
            <w:tcW w:w="640" w:type="dxa"/>
            <w:vAlign w:val="bottom"/>
            <w:gridSpan w:val="2"/>
          </w:tcPr>
          <w:p>
            <w:pPr>
              <w:jc w:val="right"/>
              <w:ind w:right="322"/>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653,175</w:t>
            </w:r>
          </w:p>
        </w:tc>
        <w:tc>
          <w:tcPr>
            <w:tcW w:w="0" w:type="dxa"/>
            <w:vAlign w:val="bottom"/>
          </w:tcPr>
          <w:p>
            <w:pPr>
              <w:spacing w:after="0"/>
              <w:rPr>
                <w:sz w:val="1"/>
                <w:szCs w:val="1"/>
                <w:color w:val="auto"/>
              </w:rPr>
            </w:pPr>
          </w:p>
        </w:tc>
      </w:tr>
      <w:tr>
        <w:trPr>
          <w:trHeight w:val="279"/>
        </w:trPr>
        <w:tc>
          <w:tcPr>
            <w:tcW w:w="6820" w:type="dxa"/>
            <w:vAlign w:val="bottom"/>
            <w:tcBorders>
              <w:top w:val="single" w:sz="8" w:color="E6E6E6"/>
            </w:tcBorders>
            <w:shd w:val="clear" w:color="auto" w:fill="E6E6E6"/>
          </w:tcPr>
          <w:p>
            <w:pPr>
              <w:spacing w:after="0"/>
              <w:rPr>
                <w:sz w:val="24"/>
                <w:szCs w:val="24"/>
                <w:color w:val="auto"/>
              </w:rPr>
            </w:pPr>
          </w:p>
        </w:tc>
        <w:tc>
          <w:tcPr>
            <w:tcW w:w="20" w:type="dxa"/>
            <w:vAlign w:val="bottom"/>
            <w:tcBorders>
              <w:top w:val="single" w:sz="8" w:color="E6E6E6"/>
            </w:tcBorders>
            <w:shd w:val="clear" w:color="auto" w:fill="E6E6E6"/>
          </w:tcPr>
          <w:p>
            <w:pPr>
              <w:spacing w:after="0"/>
              <w:rPr>
                <w:sz w:val="24"/>
                <w:szCs w:val="24"/>
                <w:color w:val="auto"/>
              </w:rPr>
            </w:pPr>
          </w:p>
        </w:tc>
        <w:tc>
          <w:tcPr>
            <w:tcW w:w="360" w:type="dxa"/>
            <w:vAlign w:val="bottom"/>
            <w:tcBorders>
              <w:top w:val="single" w:sz="8" w:color="auto"/>
            </w:tcBorders>
            <w:shd w:val="clear" w:color="auto" w:fill="E6E6E6"/>
          </w:tcPr>
          <w:p>
            <w:pPr>
              <w:spacing w:after="0"/>
              <w:rPr>
                <w:sz w:val="24"/>
                <w:szCs w:val="24"/>
                <w:color w:val="auto"/>
              </w:rPr>
            </w:pPr>
          </w:p>
        </w:tc>
        <w:tc>
          <w:tcPr>
            <w:tcW w:w="1200" w:type="dxa"/>
            <w:vAlign w:val="bottom"/>
            <w:tcBorders>
              <w:top w:val="single" w:sz="8" w:color="auto"/>
            </w:tcBorders>
            <w:shd w:val="clear" w:color="auto" w:fill="E6E6E6"/>
          </w:tcPr>
          <w:p>
            <w:pPr>
              <w:spacing w:after="0"/>
              <w:rPr>
                <w:sz w:val="24"/>
                <w:szCs w:val="24"/>
                <w:color w:val="auto"/>
              </w:rPr>
            </w:pPr>
          </w:p>
        </w:tc>
        <w:tc>
          <w:tcPr>
            <w:tcW w:w="80" w:type="dxa"/>
            <w:vAlign w:val="bottom"/>
            <w:tcBorders>
              <w:top w:val="single" w:sz="8" w:color="E6E6E6"/>
            </w:tcBorders>
            <w:shd w:val="clear" w:color="auto" w:fill="E6E6E6"/>
          </w:tcPr>
          <w:p>
            <w:pPr>
              <w:spacing w:after="0"/>
              <w:rPr>
                <w:sz w:val="24"/>
                <w:szCs w:val="24"/>
                <w:color w:val="auto"/>
              </w:rPr>
            </w:pPr>
          </w:p>
        </w:tc>
        <w:tc>
          <w:tcPr>
            <w:tcW w:w="560" w:type="dxa"/>
            <w:vAlign w:val="bottom"/>
            <w:tcBorders>
              <w:top w:val="single" w:sz="8" w:color="auto"/>
            </w:tcBorders>
            <w:shd w:val="clear" w:color="auto" w:fill="E6E6E6"/>
          </w:tcPr>
          <w:p>
            <w:pPr>
              <w:spacing w:after="0"/>
              <w:rPr>
                <w:sz w:val="24"/>
                <w:szCs w:val="24"/>
                <w:color w:val="auto"/>
              </w:rPr>
            </w:pPr>
          </w:p>
        </w:tc>
        <w:tc>
          <w:tcPr>
            <w:tcW w:w="1000" w:type="dxa"/>
            <w:vAlign w:val="bottom"/>
            <w:tcBorders>
              <w:top w:val="single" w:sz="8" w:color="auto"/>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840" w:type="dxa"/>
            <w:vAlign w:val="bottom"/>
            <w:gridSpan w:val="2"/>
          </w:tcPr>
          <w:p>
            <w:pPr>
              <w:ind w:left="40"/>
              <w:spacing w:after="0"/>
              <w:rPr>
                <w:sz w:val="20"/>
                <w:szCs w:val="20"/>
                <w:color w:val="auto"/>
              </w:rPr>
            </w:pPr>
            <w:r>
              <w:rPr>
                <w:rFonts w:ascii="Arial" w:cs="Arial" w:eastAsia="Arial" w:hAnsi="Arial"/>
                <w:sz w:val="20"/>
                <w:szCs w:val="20"/>
                <w:b w:val="1"/>
                <w:bCs w:val="1"/>
                <w:color w:val="auto"/>
              </w:rPr>
              <w:t>Debt Obligations</w:t>
            </w: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6840" w:type="dxa"/>
            <w:vAlign w:val="bottom"/>
            <w:gridSpan w:val="2"/>
            <w:shd w:val="clear" w:color="auto" w:fill="E6E6E6"/>
          </w:tcPr>
          <w:p>
            <w:pPr>
              <w:ind w:left="220"/>
              <w:spacing w:after="0"/>
              <w:rPr>
                <w:sz w:val="20"/>
                <w:szCs w:val="20"/>
                <w:color w:val="auto"/>
              </w:rPr>
            </w:pPr>
            <w:r>
              <w:rPr>
                <w:rFonts w:ascii="Arial" w:cs="Arial" w:eastAsia="Arial" w:hAnsi="Arial"/>
                <w:sz w:val="20"/>
                <w:szCs w:val="20"/>
                <w:color w:val="auto"/>
              </w:rPr>
              <w:t>Current portion of long-term debt</w:t>
            </w:r>
          </w:p>
        </w:tc>
        <w:tc>
          <w:tcPr>
            <w:tcW w:w="360" w:type="dxa"/>
            <w:vAlign w:val="bottom"/>
            <w:shd w:val="clear" w:color="auto" w:fill="E6E6E6"/>
          </w:tcPr>
          <w:p>
            <w:pPr>
              <w:jc w:val="right"/>
              <w:ind w:right="122"/>
              <w:spacing w:after="0"/>
              <w:rPr>
                <w:sz w:val="20"/>
                <w:szCs w:val="20"/>
                <w:color w:val="auto"/>
              </w:rPr>
            </w:pPr>
            <w:r>
              <w:rPr>
                <w:rFonts w:ascii="Arial" w:cs="Arial" w:eastAsia="Arial" w:hAnsi="Arial"/>
                <w:sz w:val="20"/>
                <w:szCs w:val="20"/>
                <w:color w:val="auto"/>
              </w:rPr>
              <w:t>$</w:t>
            </w: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77,339</w:t>
            </w:r>
          </w:p>
        </w:tc>
        <w:tc>
          <w:tcPr>
            <w:tcW w:w="640" w:type="dxa"/>
            <w:vAlign w:val="bottom"/>
            <w:gridSpan w:val="2"/>
            <w:shd w:val="clear" w:color="auto" w:fill="E6E6E6"/>
          </w:tcPr>
          <w:p>
            <w:pPr>
              <w:jc w:val="right"/>
              <w:ind w:right="322"/>
              <w:spacing w:after="0"/>
              <w:rPr>
                <w:sz w:val="20"/>
                <w:szCs w:val="20"/>
                <w:color w:val="auto"/>
              </w:rPr>
            </w:pPr>
            <w:r>
              <w:rPr>
                <w:rFonts w:ascii="Arial" w:cs="Arial" w:eastAsia="Arial" w:hAnsi="Arial"/>
                <w:sz w:val="20"/>
                <w:szCs w:val="20"/>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17,484</w:t>
            </w:r>
          </w:p>
        </w:tc>
        <w:tc>
          <w:tcPr>
            <w:tcW w:w="0" w:type="dxa"/>
            <w:vAlign w:val="bottom"/>
          </w:tcPr>
          <w:p>
            <w:pPr>
              <w:spacing w:after="0"/>
              <w:rPr>
                <w:sz w:val="1"/>
                <w:szCs w:val="1"/>
                <w:color w:val="auto"/>
              </w:rPr>
            </w:pPr>
          </w:p>
        </w:tc>
      </w:tr>
      <w:tr>
        <w:trPr>
          <w:trHeight w:val="269"/>
        </w:trPr>
        <w:tc>
          <w:tcPr>
            <w:tcW w:w="6840" w:type="dxa"/>
            <w:vAlign w:val="bottom"/>
            <w:tcBorders>
              <w:bottom w:val="single" w:sz="8" w:color="E6E6E6"/>
            </w:tcBorders>
            <w:gridSpan w:val="2"/>
          </w:tcPr>
          <w:p>
            <w:pPr>
              <w:ind w:left="220"/>
              <w:spacing w:after="0"/>
              <w:rPr>
                <w:sz w:val="20"/>
                <w:szCs w:val="20"/>
                <w:color w:val="auto"/>
              </w:rPr>
            </w:pPr>
            <w:r>
              <w:rPr>
                <w:rFonts w:ascii="Arial" w:cs="Arial" w:eastAsia="Arial" w:hAnsi="Arial"/>
                <w:sz w:val="20"/>
                <w:szCs w:val="20"/>
                <w:color w:val="auto"/>
              </w:rPr>
              <w:t>Short-term unsecured borrowing arrangements</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665</w:t>
            </w:r>
          </w:p>
        </w:tc>
        <w:tc>
          <w:tcPr>
            <w:tcW w:w="80" w:type="dxa"/>
            <w:vAlign w:val="bottom"/>
            <w:tcBorders>
              <w:bottom w:val="single" w:sz="8" w:color="E6E6E6"/>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627</w:t>
            </w:r>
          </w:p>
        </w:tc>
        <w:tc>
          <w:tcPr>
            <w:tcW w:w="0" w:type="dxa"/>
            <w:vAlign w:val="bottom"/>
          </w:tcPr>
          <w:p>
            <w:pPr>
              <w:spacing w:after="0"/>
              <w:rPr>
                <w:sz w:val="1"/>
                <w:szCs w:val="1"/>
                <w:color w:val="auto"/>
              </w:rPr>
            </w:pPr>
          </w:p>
        </w:tc>
      </w:tr>
      <w:tr>
        <w:trPr>
          <w:trHeight w:val="270"/>
        </w:trPr>
        <w:tc>
          <w:tcPr>
            <w:tcW w:w="6840" w:type="dxa"/>
            <w:vAlign w:val="bottom"/>
            <w:gridSpan w:val="2"/>
            <w:shd w:val="clear" w:color="auto" w:fill="E6E6E6"/>
          </w:tcPr>
          <w:p>
            <w:pPr>
              <w:ind w:left="220"/>
              <w:spacing w:after="0"/>
              <w:rPr>
                <w:sz w:val="20"/>
                <w:szCs w:val="20"/>
                <w:color w:val="auto"/>
              </w:rPr>
            </w:pPr>
            <w:r>
              <w:rPr>
                <w:rFonts w:ascii="Arial" w:cs="Arial" w:eastAsia="Arial" w:hAnsi="Arial"/>
                <w:sz w:val="20"/>
                <w:szCs w:val="20"/>
                <w:color w:val="auto"/>
              </w:rPr>
              <w:t>Current debt obligations</w:t>
            </w:r>
          </w:p>
        </w:tc>
        <w:tc>
          <w:tcPr>
            <w:tcW w:w="360" w:type="dxa"/>
            <w:vAlign w:val="bottom"/>
            <w:shd w:val="clear" w:color="auto" w:fill="E6E6E6"/>
          </w:tcPr>
          <w:p>
            <w:pPr>
              <w:spacing w:after="0"/>
              <w:rPr>
                <w:sz w:val="23"/>
                <w:szCs w:val="23"/>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78,004</w:t>
            </w:r>
          </w:p>
        </w:tc>
        <w:tc>
          <w:tcPr>
            <w:tcW w:w="80" w:type="dxa"/>
            <w:vAlign w:val="bottom"/>
            <w:shd w:val="clear" w:color="auto" w:fill="E6E6E6"/>
          </w:tcPr>
          <w:p>
            <w:pPr>
              <w:spacing w:after="0"/>
              <w:rPr>
                <w:sz w:val="23"/>
                <w:szCs w:val="23"/>
                <w:color w:val="auto"/>
              </w:rPr>
            </w:pPr>
          </w:p>
        </w:tc>
        <w:tc>
          <w:tcPr>
            <w:tcW w:w="560" w:type="dxa"/>
            <w:vAlign w:val="bottom"/>
            <w:shd w:val="clear" w:color="auto" w:fill="E6E6E6"/>
          </w:tcPr>
          <w:p>
            <w:pPr>
              <w:spacing w:after="0"/>
              <w:rPr>
                <w:sz w:val="23"/>
                <w:szCs w:val="23"/>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18,111</w:t>
            </w:r>
          </w:p>
        </w:tc>
        <w:tc>
          <w:tcPr>
            <w:tcW w:w="0" w:type="dxa"/>
            <w:vAlign w:val="bottom"/>
          </w:tcPr>
          <w:p>
            <w:pPr>
              <w:spacing w:after="0"/>
              <w:rPr>
                <w:sz w:val="1"/>
                <w:szCs w:val="1"/>
                <w:color w:val="auto"/>
              </w:rPr>
            </w:pPr>
          </w:p>
        </w:tc>
      </w:tr>
      <w:tr>
        <w:trPr>
          <w:trHeight w:val="269"/>
        </w:trPr>
        <w:tc>
          <w:tcPr>
            <w:tcW w:w="6820" w:type="dxa"/>
            <w:vAlign w:val="bottom"/>
            <w:tcBorders>
              <w:bottom w:val="single" w:sz="8" w:color="E6E6E6"/>
            </w:tcBorders>
          </w:tcPr>
          <w:p>
            <w:pPr>
              <w:ind w:left="220"/>
              <w:spacing w:after="0"/>
              <w:rPr>
                <w:sz w:val="20"/>
                <w:szCs w:val="20"/>
                <w:color w:val="auto"/>
              </w:rPr>
            </w:pPr>
            <w:r>
              <w:rPr>
                <w:rFonts w:ascii="Arial" w:cs="Arial" w:eastAsia="Arial" w:hAnsi="Arial"/>
                <w:sz w:val="20"/>
                <w:szCs w:val="20"/>
                <w:color w:val="auto"/>
              </w:rPr>
              <w:t>Long-term debt obligations</w:t>
            </w: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549,624</w:t>
            </w:r>
          </w:p>
        </w:tc>
        <w:tc>
          <w:tcPr>
            <w:tcW w:w="80" w:type="dxa"/>
            <w:vAlign w:val="bottom"/>
            <w:tcBorders>
              <w:bottom w:val="single" w:sz="8" w:color="E6E6E6"/>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568,543</w:t>
            </w:r>
          </w:p>
        </w:tc>
        <w:tc>
          <w:tcPr>
            <w:tcW w:w="0" w:type="dxa"/>
            <w:vAlign w:val="bottom"/>
          </w:tcPr>
          <w:p>
            <w:pPr>
              <w:spacing w:after="0"/>
              <w:rPr>
                <w:sz w:val="1"/>
                <w:szCs w:val="1"/>
                <w:color w:val="auto"/>
              </w:rPr>
            </w:pPr>
          </w:p>
        </w:tc>
      </w:tr>
      <w:tr>
        <w:trPr>
          <w:trHeight w:val="279"/>
        </w:trPr>
        <w:tc>
          <w:tcPr>
            <w:tcW w:w="68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jc w:val="right"/>
              <w:ind w:right="122"/>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627,628</w:t>
            </w:r>
          </w:p>
        </w:tc>
        <w:tc>
          <w:tcPr>
            <w:tcW w:w="80" w:type="dxa"/>
            <w:vAlign w:val="bottom"/>
            <w:tcBorders>
              <w:bottom w:val="single" w:sz="8" w:color="E6E6E6"/>
            </w:tcBorders>
            <w:shd w:val="clear" w:color="auto" w:fill="E6E6E6"/>
          </w:tcPr>
          <w:p>
            <w:pPr>
              <w:spacing w:after="0"/>
              <w:rPr>
                <w:sz w:val="24"/>
                <w:szCs w:val="24"/>
                <w:color w:val="auto"/>
              </w:rPr>
            </w:pPr>
          </w:p>
        </w:tc>
        <w:tc>
          <w:tcPr>
            <w:tcW w:w="560" w:type="dxa"/>
            <w:vAlign w:val="bottom"/>
            <w:tcBorders>
              <w:bottom w:val="single" w:sz="8" w:color="auto"/>
            </w:tcBorders>
            <w:shd w:val="clear" w:color="auto" w:fill="E6E6E6"/>
          </w:tcPr>
          <w:p>
            <w:pPr>
              <w:jc w:val="right"/>
              <w:ind w:right="322"/>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586,654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4323080</wp:posOffset>
            </wp:positionH>
            <wp:positionV relativeFrom="paragraph">
              <wp:posOffset>-2373630</wp:posOffset>
            </wp:positionV>
            <wp:extent cx="206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2">
                      <a:extLst>
                        <a:ext uri="{28A0092B-C50C-407E-A947-70E740481C1C}"/>
                      </a:extLst>
                    </a:blip>
                    <a:srcRect/>
                    <a:stretch>
                      <a:fillRect/>
                    </a:stretch>
                  </pic:blipFill>
                  <pic:spPr bwMode="auto">
                    <a:xfrm>
                      <a:off x="0" y="0"/>
                      <a:ext cx="2069465" cy="25400"/>
                    </a:xfrm>
                    <a:prstGeom prst="rect">
                      <a:avLst/>
                    </a:prstGeom>
                    <a:noFill/>
                  </pic:spPr>
                </pic:pic>
              </a:graphicData>
            </a:graphic>
          </wp:anchor>
        </w:drawing>
        <w:drawing>
          <wp:anchor simplePos="0" relativeHeight="251657728" behindDoc="1" locked="0" layoutInCell="0" allowOverlap="1">
            <wp:simplePos x="0" y="0"/>
            <wp:positionH relativeFrom="column">
              <wp:posOffset>4323080</wp:posOffset>
            </wp:positionH>
            <wp:positionV relativeFrom="paragraph">
              <wp:posOffset>-2208530</wp:posOffset>
            </wp:positionV>
            <wp:extent cx="2069465" cy="501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3">
                      <a:extLst>
                        <a:ext uri="{28A0092B-C50C-407E-A947-70E740481C1C}"/>
                      </a:extLst>
                    </a:blip>
                    <a:srcRect/>
                    <a:stretch>
                      <a:fillRect/>
                    </a:stretch>
                  </pic:blipFill>
                  <pic:spPr bwMode="auto">
                    <a:xfrm>
                      <a:off x="0" y="0"/>
                      <a:ext cx="2069465" cy="50165"/>
                    </a:xfrm>
                    <a:prstGeom prst="rect">
                      <a:avLst/>
                    </a:prstGeom>
                    <a:noFill/>
                  </pic:spPr>
                </pic:pic>
              </a:graphicData>
            </a:graphic>
          </wp:anchor>
        </w:drawing>
        <w:drawing>
          <wp:anchor simplePos="0" relativeHeight="251657728" behindDoc="1" locked="0" layoutInCell="0" allowOverlap="1">
            <wp:simplePos x="0" y="0"/>
            <wp:positionH relativeFrom="column">
              <wp:posOffset>4323080</wp:posOffset>
            </wp:positionH>
            <wp:positionV relativeFrom="paragraph">
              <wp:posOffset>-1468120</wp:posOffset>
            </wp:positionV>
            <wp:extent cx="206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4">
                      <a:extLst>
                        <a:ext uri="{28A0092B-C50C-407E-A947-70E740481C1C}"/>
                      </a:extLst>
                    </a:blip>
                    <a:srcRect/>
                    <a:stretch>
                      <a:fillRect/>
                    </a:stretch>
                  </pic:blipFill>
                  <pic:spPr bwMode="auto">
                    <a:xfrm>
                      <a:off x="0" y="0"/>
                      <a:ext cx="2069465" cy="25400"/>
                    </a:xfrm>
                    <a:prstGeom prst="rect">
                      <a:avLst/>
                    </a:prstGeom>
                    <a:noFill/>
                  </pic:spPr>
                </pic:pic>
              </a:graphicData>
            </a:graphic>
          </wp:anchor>
        </w:drawing>
        <w:drawing>
          <wp:anchor simplePos="0" relativeHeight="251657728" behindDoc="1" locked="0" layoutInCell="0" allowOverlap="1">
            <wp:simplePos x="0" y="0"/>
            <wp:positionH relativeFrom="column">
              <wp:posOffset>4323080</wp:posOffset>
            </wp:positionH>
            <wp:positionV relativeFrom="paragraph">
              <wp:posOffset>-1303655</wp:posOffset>
            </wp:positionV>
            <wp:extent cx="2069465" cy="501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5">
                      <a:extLst>
                        <a:ext uri="{28A0092B-C50C-407E-A947-70E740481C1C}"/>
                      </a:extLst>
                    </a:blip>
                    <a:srcRect/>
                    <a:stretch>
                      <a:fillRect/>
                    </a:stretch>
                  </pic:blipFill>
                  <pic:spPr bwMode="auto">
                    <a:xfrm>
                      <a:off x="0" y="0"/>
                      <a:ext cx="2069465" cy="50165"/>
                    </a:xfrm>
                    <a:prstGeom prst="rect">
                      <a:avLst/>
                    </a:prstGeom>
                    <a:noFill/>
                  </pic:spPr>
                </pic:pic>
              </a:graphicData>
            </a:graphic>
          </wp:anchor>
        </w:drawing>
        <w:drawing>
          <wp:anchor simplePos="0" relativeHeight="251657728" behindDoc="1" locked="0" layoutInCell="0" allowOverlap="1">
            <wp:simplePos x="0" y="0"/>
            <wp:positionH relativeFrom="column">
              <wp:posOffset>4323080</wp:posOffset>
            </wp:positionH>
            <wp:positionV relativeFrom="paragraph">
              <wp:posOffset>-562610</wp:posOffset>
            </wp:positionV>
            <wp:extent cx="206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6">
                      <a:extLst>
                        <a:ext uri="{28A0092B-C50C-407E-A947-70E740481C1C}"/>
                      </a:extLst>
                    </a:blip>
                    <a:srcRect/>
                    <a:stretch>
                      <a:fillRect/>
                    </a:stretch>
                  </pic:blipFill>
                  <pic:spPr bwMode="auto">
                    <a:xfrm>
                      <a:off x="0" y="0"/>
                      <a:ext cx="2069465" cy="25400"/>
                    </a:xfrm>
                    <a:prstGeom prst="rect">
                      <a:avLst/>
                    </a:prstGeom>
                    <a:noFill/>
                  </pic:spPr>
                </pic:pic>
              </a:graphicData>
            </a:graphic>
          </wp:anchor>
        </w:drawing>
        <w:drawing>
          <wp:anchor simplePos="0" relativeHeight="251657728" behindDoc="1" locked="0" layoutInCell="0" allowOverlap="1">
            <wp:simplePos x="0" y="0"/>
            <wp:positionH relativeFrom="column">
              <wp:posOffset>4323080</wp:posOffset>
            </wp:positionH>
            <wp:positionV relativeFrom="paragraph">
              <wp:posOffset>-208280</wp:posOffset>
            </wp:positionV>
            <wp:extent cx="206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7">
                      <a:extLst>
                        <a:ext uri="{28A0092B-C50C-407E-A947-70E740481C1C}"/>
                      </a:extLst>
                    </a:blip>
                    <a:srcRect/>
                    <a:stretch>
                      <a:fillRect/>
                    </a:stretch>
                  </pic:blipFill>
                  <pic:spPr bwMode="auto">
                    <a:xfrm>
                      <a:off x="0" y="0"/>
                      <a:ext cx="2069465" cy="25400"/>
                    </a:xfrm>
                    <a:prstGeom prst="rect">
                      <a:avLst/>
                    </a:prstGeom>
                    <a:noFill/>
                  </pic:spPr>
                </pic:pic>
              </a:graphicData>
            </a:graphic>
          </wp:anchor>
        </w:drawing>
        <w:drawing>
          <wp:anchor simplePos="0" relativeHeight="251657728" behindDoc="1" locked="0" layoutInCell="0" allowOverlap="1">
            <wp:simplePos x="0" y="0"/>
            <wp:positionH relativeFrom="column">
              <wp:posOffset>4323080</wp:posOffset>
            </wp:positionH>
            <wp:positionV relativeFrom="paragraph">
              <wp:posOffset>-43180</wp:posOffset>
            </wp:positionV>
            <wp:extent cx="2069465" cy="501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8">
                      <a:extLst>
                        <a:ext uri="{28A0092B-C50C-407E-A947-70E740481C1C}"/>
                      </a:extLst>
                    </a:blip>
                    <a:srcRect/>
                    <a:stretch>
                      <a:fillRect/>
                    </a:stretch>
                  </pic:blipFill>
                  <pic:spPr bwMode="auto">
                    <a:xfrm>
                      <a:off x="0" y="0"/>
                      <a:ext cx="2069465" cy="50165"/>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Debt and Capital</w:t>
      </w:r>
    </w:p>
    <w:p>
      <w:pPr>
        <w:spacing w:after="0" w:line="140"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LivaNova’s capital structure consists of debt and equity. As of December 31, 2024, LivaNova’s total debt of $627.6 million was 47.5% of its total equity of $1,320.3 million. As of December 31, 2023, LivaNova’s total debt of $586.7 million was 45.9% of its total equity of $1,277.6 million.</w:t>
      </w:r>
    </w:p>
    <w:p>
      <w:pPr>
        <w:spacing w:after="0" w:line="79"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During the year ended December 31, 2024, LivaNova received $335.5 million in proceeds from the issuance of long-term debt and repaid $247.5 million in long-term debt.</w:t>
      </w:r>
    </w:p>
    <w:p>
      <w:pPr>
        <w:spacing w:after="0" w:line="63"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During the year ended December 31, 2023, LivaNova received $50.0 million in proceeds from the issuance of long-term debt and repaid $21.6 million in long-term debt.</w:t>
      </w:r>
    </w:p>
    <w:p>
      <w:pPr>
        <w:spacing w:after="0" w:line="63"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On March 8, 2024, LivaNova and LivaNova USA entered into Incremental Facility Amendment No. 3, which provides for LivaNova USA to obtain revolving commitments in an aggregate principal amount of $225.0 million. For additional information, refer to “Note 9. Financing Arrangements” in the consolidated financial statements in this Report.</w:t>
      </w:r>
    </w:p>
    <w:p>
      <w:pPr>
        <w:spacing w:after="0" w:line="61"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On March 8, 2024, LivaNova issued $345.0 million aggregate principal amount of 2.50% notes due 2029. The 2029 Notes are senior unsecured obligations of the Company. In connection with pricing the 2029 Notes, the Company entered into privately-negotiated capped call transactions with certain financial institutions. The Company used part of the proceeds from the issuance of the 2029 Notes to repurchase $230.0 million aggregate principal amount of the 2025 Notes in privately-negotiated transactions for an aggregate cash repurchase consideration of $270.5 million. Contemporaneously with the 2025 Notes Repurchase Transaction, the Company and the financial institutions party to the 2025 Capped Calls agreed to terminate a portion of the 2025 Capped Calls in a notional amount corresponding to the amount of 2025 Notes repurchased.</w:t>
      </w:r>
    </w:p>
    <w:p>
      <w:pPr>
        <w:spacing w:after="0" w:line="48"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For additional information on LivaNova’s debt obligations and Capped Call Transactions, refer to “Note 7. Derivatives and Risk Management” and “Note 9. Financing Arrangements” in the consolidated financial statements in this Report.</w:t>
      </w:r>
    </w:p>
    <w:p>
      <w:pPr>
        <w:sectPr>
          <w:pgSz w:w="11880" w:h="15480" w:orient="portrait"/>
          <w:cols w:equalWidth="0" w:num="1">
            <w:col w:w="10040"/>
          </w:cols>
          <w:pgMar w:left="920" w:top="66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880" w:h="15480" w:orient="portrait"/>
          <w:cols w:equalWidth="0" w:num="1">
            <w:col w:w="10040"/>
          </w:cols>
          <w:pgMar w:left="920" w:top="664" w:right="920" w:bottom="0" w:gutter="0" w:footer="0" w:header="0"/>
          <w:type w:val="continuous"/>
        </w:sectPr>
      </w:pPr>
    </w:p>
    <w:bookmarkStart w:id="47" w:name="page48"/>
    <w:bookmarkEnd w:id="47"/>
    <w:p>
      <w:pPr>
        <w:spacing w:after="0"/>
        <w:rPr>
          <w:sz w:val="20"/>
          <w:szCs w:val="20"/>
          <w:color w:val="auto"/>
        </w:rPr>
      </w:pPr>
      <w:r>
        <w:rPr>
          <w:rFonts w:ascii="Arial" w:cs="Arial" w:eastAsia="Arial" w:hAnsi="Arial"/>
          <w:sz w:val="22"/>
          <w:szCs w:val="22"/>
          <w:color w:val="auto"/>
        </w:rPr>
        <w:t>Cash Flows</w:t>
      </w:r>
    </w:p>
    <w:p>
      <w:pPr>
        <w:spacing w:after="0" w:line="140" w:lineRule="exact"/>
        <w:rPr>
          <w:sz w:val="20"/>
          <w:szCs w:val="20"/>
          <w:color w:val="auto"/>
        </w:rPr>
      </w:pPr>
    </w:p>
    <w:p>
      <w:pPr>
        <w:jc w:val="both"/>
        <w:spacing w:after="0" w:line="376" w:lineRule="auto"/>
        <w:rPr>
          <w:sz w:val="20"/>
          <w:szCs w:val="20"/>
          <w:color w:val="auto"/>
        </w:rPr>
      </w:pPr>
      <w:r>
        <w:rPr>
          <w:rFonts w:ascii="Arial" w:cs="Arial" w:eastAsia="Arial" w:hAnsi="Arial"/>
          <w:sz w:val="17"/>
          <w:szCs w:val="17"/>
          <w:color w:val="auto"/>
        </w:rPr>
        <w:t>The following table presents net cash, cash equivalents, and restricted cash provided by (used in) operating, investing, and financing activities and the net increase in the balance of cash, cash equivalents, and restricted cash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540" w:type="dxa"/>
            <w:vAlign w:val="bottom"/>
            <w:tcBorders>
              <w:bottom w:val="single" w:sz="8" w:color="E6E6E6"/>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62"/>
              <w:spacing w:after="0"/>
              <w:rPr>
                <w:sz w:val="20"/>
                <w:szCs w:val="20"/>
                <w:color w:val="auto"/>
              </w:rPr>
            </w:pPr>
            <w:r>
              <w:rPr>
                <w:rFonts w:ascii="Arial" w:cs="Arial" w:eastAsia="Arial" w:hAnsi="Arial"/>
                <w:sz w:val="20"/>
                <w:szCs w:val="20"/>
                <w:b w:val="1"/>
                <w:bCs w:val="1"/>
                <w:color w:val="auto"/>
              </w:rPr>
              <w:t>2024</w:t>
            </w:r>
          </w:p>
        </w:tc>
        <w:tc>
          <w:tcPr>
            <w:tcW w:w="80" w:type="dxa"/>
            <w:vAlign w:val="bottom"/>
            <w:tcBorders>
              <w:bottom w:val="single" w:sz="8" w:color="E6E6E6"/>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62"/>
              <w:spacing w:after="0"/>
              <w:rPr>
                <w:sz w:val="20"/>
                <w:szCs w:val="20"/>
                <w:color w:val="auto"/>
              </w:rPr>
            </w:pPr>
            <w:r>
              <w:rPr>
                <w:rFonts w:ascii="Arial" w:cs="Arial" w:eastAsia="Arial" w:hAnsi="Arial"/>
                <w:sz w:val="20"/>
                <w:szCs w:val="20"/>
                <w:b w:val="1"/>
                <w:bCs w:val="1"/>
                <w:color w:val="auto"/>
              </w:rPr>
              <w:t>2023</w:t>
            </w:r>
          </w:p>
        </w:tc>
        <w:tc>
          <w:tcPr>
            <w:tcW w:w="80" w:type="dxa"/>
            <w:vAlign w:val="bottom"/>
            <w:tcBorders>
              <w:bottom w:val="single" w:sz="8" w:color="E6E6E6"/>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62"/>
              <w:spacing w:after="0"/>
              <w:rPr>
                <w:sz w:val="20"/>
                <w:szCs w:val="20"/>
                <w:color w:val="auto"/>
              </w:rPr>
            </w:pPr>
            <w:r>
              <w:rPr>
                <w:rFonts w:ascii="Arial" w:cs="Arial" w:eastAsia="Arial" w:hAnsi="Arial"/>
                <w:sz w:val="20"/>
                <w:szCs w:val="20"/>
                <w:b w:val="1"/>
                <w:bCs w:val="1"/>
                <w:color w:val="auto"/>
              </w:rPr>
              <w:t>2022</w:t>
            </w:r>
          </w:p>
        </w:tc>
      </w:tr>
      <w:tr>
        <w:trPr>
          <w:trHeight w:val="269"/>
        </w:trPr>
        <w:tc>
          <w:tcPr>
            <w:tcW w:w="6540" w:type="dxa"/>
            <w:vAlign w:val="bottom"/>
            <w:shd w:val="clear" w:color="auto" w:fill="E6E6E6"/>
          </w:tcPr>
          <w:p>
            <w:pPr>
              <w:ind w:left="40"/>
              <w:spacing w:after="0"/>
              <w:rPr>
                <w:sz w:val="20"/>
                <w:szCs w:val="20"/>
                <w:color w:val="auto"/>
              </w:rPr>
            </w:pPr>
            <w:r>
              <w:rPr>
                <w:rFonts w:ascii="Arial" w:cs="Arial" w:eastAsia="Arial" w:hAnsi="Arial"/>
                <w:sz w:val="20"/>
                <w:szCs w:val="20"/>
                <w:color w:val="auto"/>
              </w:rPr>
              <w:t>Operating activities</w:t>
            </w:r>
          </w:p>
        </w:tc>
        <w:tc>
          <w:tcPr>
            <w:tcW w:w="260" w:type="dxa"/>
            <w:vAlign w:val="bottom"/>
            <w:shd w:val="clear" w:color="auto" w:fill="E6E6E6"/>
          </w:tcPr>
          <w:p>
            <w:pPr>
              <w:jc w:val="right"/>
              <w:ind w:right="2"/>
              <w:spacing w:after="0"/>
              <w:rPr>
                <w:sz w:val="20"/>
                <w:szCs w:val="20"/>
                <w:color w:val="auto"/>
              </w:rPr>
            </w:pPr>
            <w:r>
              <w:rPr>
                <w:rFonts w:ascii="Arial" w:cs="Arial" w:eastAsia="Arial" w:hAnsi="Arial"/>
                <w:sz w:val="20"/>
                <w:szCs w:val="20"/>
                <w:color w:val="auto"/>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183,038</w:t>
            </w:r>
          </w:p>
        </w:tc>
        <w:tc>
          <w:tcPr>
            <w:tcW w:w="340" w:type="dxa"/>
            <w:vAlign w:val="bottom"/>
            <w:gridSpan w:val="2"/>
            <w:shd w:val="clear" w:color="auto" w:fill="E6E6E6"/>
          </w:tcPr>
          <w:p>
            <w:pPr>
              <w:jc w:val="right"/>
              <w:ind w:right="22"/>
              <w:spacing w:after="0"/>
              <w:rPr>
                <w:sz w:val="20"/>
                <w:szCs w:val="20"/>
                <w:color w:val="auto"/>
              </w:rPr>
            </w:pPr>
            <w:r>
              <w:rPr>
                <w:rFonts w:ascii="Arial" w:cs="Arial" w:eastAsia="Arial" w:hAnsi="Arial"/>
                <w:sz w:val="20"/>
                <w:szCs w:val="20"/>
                <w:color w:val="auto"/>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74,914</w:t>
            </w:r>
          </w:p>
        </w:tc>
        <w:tc>
          <w:tcPr>
            <w:tcW w:w="320" w:type="dxa"/>
            <w:vAlign w:val="bottom"/>
            <w:gridSpan w:val="2"/>
            <w:shd w:val="clear" w:color="auto" w:fill="E6E6E6"/>
          </w:tcPr>
          <w:p>
            <w:pPr>
              <w:jc w:val="right"/>
              <w:ind w:right="2"/>
              <w:spacing w:after="0"/>
              <w:rPr>
                <w:sz w:val="20"/>
                <w:szCs w:val="20"/>
                <w:color w:val="auto"/>
              </w:rPr>
            </w:pPr>
            <w:r>
              <w:rPr>
                <w:rFonts w:ascii="Arial" w:cs="Arial" w:eastAsia="Arial" w:hAnsi="Arial"/>
                <w:sz w:val="20"/>
                <w:szCs w:val="20"/>
                <w:color w:val="auto"/>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69,921</w:t>
            </w:r>
          </w:p>
        </w:tc>
      </w:tr>
      <w:tr>
        <w:trPr>
          <w:trHeight w:val="274"/>
        </w:trPr>
        <w:tc>
          <w:tcPr>
            <w:tcW w:w="6540" w:type="dxa"/>
            <w:vAlign w:val="bottom"/>
          </w:tcPr>
          <w:p>
            <w:pPr>
              <w:ind w:left="40"/>
              <w:spacing w:after="0"/>
              <w:rPr>
                <w:sz w:val="20"/>
                <w:szCs w:val="20"/>
                <w:color w:val="auto"/>
              </w:rPr>
            </w:pPr>
            <w:r>
              <w:rPr>
                <w:rFonts w:ascii="Arial" w:cs="Arial" w:eastAsia="Arial" w:hAnsi="Arial"/>
                <w:sz w:val="20"/>
                <w:szCs w:val="20"/>
                <w:color w:val="auto"/>
              </w:rPr>
              <w:t>Investing activities</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(48,160)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(40,331)</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(38,414)</w:t>
            </w:r>
          </w:p>
        </w:tc>
      </w:tr>
      <w:tr>
        <w:trPr>
          <w:trHeight w:val="285"/>
        </w:trPr>
        <w:tc>
          <w:tcPr>
            <w:tcW w:w="6540" w:type="dxa"/>
            <w:vAlign w:val="bottom"/>
            <w:shd w:val="clear" w:color="auto" w:fill="E6E6E6"/>
          </w:tcPr>
          <w:p>
            <w:pPr>
              <w:ind w:left="40"/>
              <w:spacing w:after="0"/>
              <w:rPr>
                <w:sz w:val="20"/>
                <w:szCs w:val="20"/>
                <w:color w:val="auto"/>
              </w:rPr>
            </w:pPr>
            <w:r>
              <w:rPr>
                <w:rFonts w:ascii="Arial" w:cs="Arial" w:eastAsia="Arial" w:hAnsi="Arial"/>
                <w:sz w:val="20"/>
                <w:szCs w:val="20"/>
                <w:color w:val="auto"/>
              </w:rPr>
              <w:t>Financing activities</w:t>
            </w:r>
          </w:p>
        </w:tc>
        <w:tc>
          <w:tcPr>
            <w:tcW w:w="26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18,551</w:t>
            </w:r>
          </w:p>
        </w:tc>
        <w:tc>
          <w:tcPr>
            <w:tcW w:w="8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21,484</w:t>
            </w:r>
          </w:p>
        </w:tc>
        <w:tc>
          <w:tcPr>
            <w:tcW w:w="8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280,130</w:t>
            </w:r>
          </w:p>
        </w:tc>
      </w:tr>
      <w:tr>
        <w:trPr>
          <w:trHeight w:val="269"/>
        </w:trPr>
        <w:tc>
          <w:tcPr>
            <w:tcW w:w="6540" w:type="dxa"/>
            <w:vAlign w:val="bottom"/>
            <w:tcBorders>
              <w:bottom w:val="single" w:sz="8" w:color="E6E6E6"/>
            </w:tcBorders>
          </w:tcPr>
          <w:p>
            <w:pPr>
              <w:ind w:left="40"/>
              <w:spacing w:after="0"/>
              <w:rPr>
                <w:sz w:val="20"/>
                <w:szCs w:val="20"/>
                <w:color w:val="auto"/>
              </w:rPr>
            </w:pPr>
            <w:r>
              <w:rPr>
                <w:rFonts w:ascii="Arial" w:cs="Arial" w:eastAsia="Arial" w:hAnsi="Arial"/>
                <w:sz w:val="20"/>
                <w:szCs w:val="20"/>
                <w:color w:val="auto"/>
                <w:w w:val="92"/>
              </w:rPr>
              <w:t>Effect of exchange rate changes on cash, cash equivalents, and restricted cash</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(7,745)</w:t>
            </w:r>
          </w:p>
        </w:tc>
        <w:tc>
          <w:tcPr>
            <w:tcW w:w="80" w:type="dxa"/>
            <w:vAlign w:val="bottom"/>
            <w:tcBorders>
              <w:bottom w:val="single" w:sz="8" w:color="E6E6E6"/>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6,187</w:t>
            </w:r>
          </w:p>
        </w:tc>
        <w:tc>
          <w:tcPr>
            <w:tcW w:w="80" w:type="dxa"/>
            <w:vAlign w:val="bottom"/>
            <w:tcBorders>
              <w:bottom w:val="single" w:sz="8" w:color="E6E6E6"/>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(4,011)</w:t>
            </w:r>
          </w:p>
        </w:tc>
      </w:tr>
      <w:tr>
        <w:trPr>
          <w:trHeight w:val="279"/>
        </w:trPr>
        <w:tc>
          <w:tcPr>
            <w:tcW w:w="65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Net increase in cash, cash equivalents, and restricted cash</w:t>
            </w:r>
          </w:p>
        </w:tc>
        <w:tc>
          <w:tcPr>
            <w:tcW w:w="260" w:type="dxa"/>
            <w:vAlign w:val="bottom"/>
            <w:tcBorders>
              <w:bottom w:val="single" w:sz="8" w:color="auto"/>
            </w:tcBorders>
            <w:shd w:val="clear" w:color="auto" w:fill="E6E6E6"/>
          </w:tcPr>
          <w:p>
            <w:pPr>
              <w:jc w:val="right"/>
              <w:ind w:right="2"/>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145,684</w:t>
            </w:r>
          </w:p>
        </w:tc>
        <w:tc>
          <w:tcPr>
            <w:tcW w:w="8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jc w:val="right"/>
              <w:ind w:right="22"/>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62,254</w:t>
            </w:r>
          </w:p>
        </w:tc>
        <w:tc>
          <w:tcPr>
            <w:tcW w:w="8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jc w:val="right"/>
              <w:ind w:right="2"/>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307,626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-917575</wp:posOffset>
            </wp:positionV>
            <wp:extent cx="22472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9">
                      <a:extLst>
                        <a:ext uri="{28A0092B-C50C-407E-A947-70E740481C1C}"/>
                      </a:extLst>
                    </a:blip>
                    <a:srcRect/>
                    <a:stretch>
                      <a:fillRect/>
                    </a:stretch>
                  </pic:blipFill>
                  <pic:spPr bwMode="auto">
                    <a:xfrm>
                      <a:off x="0" y="0"/>
                      <a:ext cx="2247265" cy="25400"/>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-208280</wp:posOffset>
            </wp:positionV>
            <wp:extent cx="22472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0">
                      <a:extLst>
                        <a:ext uri="{28A0092B-C50C-407E-A947-70E740481C1C}"/>
                      </a:extLst>
                    </a:blip>
                    <a:srcRect/>
                    <a:stretch>
                      <a:fillRect/>
                    </a:stretch>
                  </pic:blipFill>
                  <pic:spPr bwMode="auto">
                    <a:xfrm>
                      <a:off x="0" y="0"/>
                      <a:ext cx="2247265" cy="25400"/>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-43180</wp:posOffset>
            </wp:positionV>
            <wp:extent cx="2247265" cy="501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1">
                      <a:extLst>
                        <a:ext uri="{28A0092B-C50C-407E-A947-70E740481C1C}"/>
                      </a:extLst>
                    </a:blip>
                    <a:srcRect/>
                    <a:stretch>
                      <a:fillRect/>
                    </a:stretch>
                  </pic:blipFill>
                  <pic:spPr bwMode="auto">
                    <a:xfrm>
                      <a:off x="0" y="0"/>
                      <a:ext cx="2247265" cy="50165"/>
                    </a:xfrm>
                    <a:prstGeom prst="rect">
                      <a:avLst/>
                    </a:prstGeom>
                    <a:noFill/>
                  </pic:spPr>
                </pic:pic>
              </a:graphicData>
            </a:graphic>
          </wp:anchor>
        </w:drawing>
      </w:r>
    </w:p>
    <w:p>
      <w:pPr>
        <w:spacing w:after="0" w:line="9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Operating Activities</w:t>
      </w:r>
    </w:p>
    <w:p>
      <w:pPr>
        <w:spacing w:after="0" w:line="144"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Cash provided by operating activities for the year ended December 31, 2024 increased $108.1 million, compared to the prior year, primarily due to (i) an increase in net income adjusted for non-cash items of $72.2 million, (ii) an increase in customer collections, (iii) reduced cash outflows for inventories, and (iv) a decrease in 3T Heater-Cooler litigation settlement payments of $36.2 million.</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Investing Activities</w:t>
      </w:r>
    </w:p>
    <w:p>
      <w:pPr>
        <w:spacing w:after="0" w:line="144" w:lineRule="exact"/>
        <w:rPr>
          <w:sz w:val="20"/>
          <w:szCs w:val="20"/>
          <w:color w:val="auto"/>
        </w:rPr>
      </w:pPr>
    </w:p>
    <w:p>
      <w:pPr>
        <w:jc w:val="both"/>
        <w:spacing w:after="0" w:line="338" w:lineRule="auto"/>
        <w:rPr>
          <w:sz w:val="20"/>
          <w:szCs w:val="20"/>
          <w:color w:val="auto"/>
        </w:rPr>
      </w:pPr>
      <w:r>
        <w:rPr>
          <w:rFonts w:ascii="Arial" w:cs="Arial" w:eastAsia="Arial" w:hAnsi="Arial"/>
          <w:sz w:val="17"/>
          <w:szCs w:val="17"/>
          <w:color w:val="auto"/>
        </w:rPr>
        <w:t>Cash used in investing activities during the year ended December 31, 2024 increased $7.8 million, compared to the prior year, primarily due to an increase in purchases of property, plant, and equipment of $12.1 million primarily related to purchases and development of internal-use software, partially offset by a decrease in purchases of equity investments of $5.4 million.</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Financing Activities</w:t>
      </w:r>
    </w:p>
    <w:p>
      <w:pPr>
        <w:spacing w:after="0" w:line="144" w:lineRule="exact"/>
        <w:rPr>
          <w:sz w:val="20"/>
          <w:szCs w:val="20"/>
          <w:color w:val="auto"/>
        </w:rPr>
      </w:pPr>
    </w:p>
    <w:p>
      <w:pPr>
        <w:jc w:val="both"/>
        <w:spacing w:after="0" w:line="338" w:lineRule="auto"/>
        <w:rPr>
          <w:sz w:val="20"/>
          <w:szCs w:val="20"/>
          <w:color w:val="auto"/>
        </w:rPr>
      </w:pPr>
      <w:r>
        <w:rPr>
          <w:rFonts w:ascii="Arial" w:cs="Arial" w:eastAsia="Arial" w:hAnsi="Arial"/>
          <w:sz w:val="17"/>
          <w:szCs w:val="17"/>
          <w:color w:val="auto"/>
        </w:rPr>
        <w:t>Cash provided by financing activities during the year ended December 31, 2024 decreased $2.9 million, compared to the prior year, primarily due to payment of the ALung contingent consideration arrangement of $13.8 million during the year ended December 31, 2024, partially offset by an increase in proceeds from net debt borrowings and repayments of $5.7 million.</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 Risk</w:t>
      </w:r>
    </w:p>
    <w:p>
      <w:pPr>
        <w:spacing w:after="0" w:line="148"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LivaNova is exposed to certain market risks as part of its ongoing business operations, including risks from foreign currency exchange rates, interest rate risks, and concentration of procurement suppliers that could adversely affect LivaNova’s consolidated financial position, results of operations, or cash flows. The Company manages these risks through regular operating and financing activities and, at certain times, derivative financial instruments.</w:t>
      </w:r>
    </w:p>
    <w:p>
      <w:pPr>
        <w:spacing w:after="0" w:line="61" w:lineRule="exact"/>
        <w:rPr>
          <w:sz w:val="20"/>
          <w:szCs w:val="20"/>
          <w:color w:val="auto"/>
        </w:rPr>
      </w:pPr>
    </w:p>
    <w:p>
      <w:pPr>
        <w:spacing w:after="0"/>
        <w:rPr>
          <w:sz w:val="20"/>
          <w:szCs w:val="20"/>
          <w:color w:val="auto"/>
        </w:rPr>
      </w:pPr>
      <w:r>
        <w:rPr>
          <w:rFonts w:ascii="Arial" w:cs="Arial" w:eastAsia="Arial" w:hAnsi="Arial"/>
          <w:sz w:val="22"/>
          <w:szCs w:val="22"/>
          <w:color w:val="auto"/>
        </w:rPr>
        <w:t>Foreign Currency Exchange Rate Risk</w:t>
      </w:r>
    </w:p>
    <w:p>
      <w:pPr>
        <w:spacing w:after="0" w:line="140" w:lineRule="exact"/>
        <w:rPr>
          <w:sz w:val="20"/>
          <w:szCs w:val="20"/>
          <w:color w:val="auto"/>
        </w:rPr>
      </w:pPr>
    </w:p>
    <w:p>
      <w:pPr>
        <w:jc w:val="both"/>
        <w:spacing w:after="0" w:line="311" w:lineRule="auto"/>
        <w:rPr>
          <w:sz w:val="20"/>
          <w:szCs w:val="20"/>
          <w:color w:val="auto"/>
        </w:rPr>
      </w:pPr>
      <w:r>
        <w:rPr>
          <w:rFonts w:ascii="Arial" w:cs="Arial" w:eastAsia="Arial" w:hAnsi="Arial"/>
          <w:sz w:val="17"/>
          <w:szCs w:val="17"/>
          <w:color w:val="auto"/>
        </w:rPr>
        <w:t>Due to the global nature of LivaNova’s operations, the Company is exposed to FX fluctuations. Historically, LivaNova has maintained a foreign currency exchange rate risk management strategy that utilizes cash flow hedges and freestanding foreign currency derivatives to reduce the Company’s exposure to unanticipated fluctuations in forecasted revenue and costs, inter-company debt, bank deposits, accounts receivable, and accounts payable caused by changes in foreign currency exchange rates. Upon the settlement of LivaNova’s foreign currency cash flow hedges in the fourth quarter of 2022 and following an in-depth analysis of the utility of the Company’s cash flow hedging program, LivaNova discontinued its foreign currency cash flow hedging program. LivaNova continues to use freestanding derivative forward contracts to offset exposure to the variability of the value associated with assets and liabilities denominated in a foreign currency.</w:t>
      </w:r>
    </w:p>
    <w:p>
      <w:pPr>
        <w:spacing w:after="0" w:line="51"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LivaNova mitigates its credit risk relating to counterparties of its derivatives through a variety of techniques, including transacting with multiple, high-quality financial institutions, thereby limiting the Company’s exposure to individual counterparties and by entering into ISDA Master Agreements, which include provisions for a legally enforceable master netting agreement, with almost all of LivaNova’s derivative counterparties. The terms of the ISDA agreements may also include credit support requirements, cross-default provisions, termination events, and set-off provisions. Legally enforceable master netting agreements reduce credit risk by providing protection in bankruptcy in certain circumstances and generally permitting the closeout and netting of transactions with the same counterparty upon the occurrence of certain events.</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color w:val="auto"/>
        </w:rPr>
        <w:t>Interest Rate Risk</w:t>
      </w:r>
    </w:p>
    <w:p>
      <w:pPr>
        <w:spacing w:after="0" w:line="140" w:lineRule="exact"/>
        <w:rPr>
          <w:sz w:val="20"/>
          <w:szCs w:val="20"/>
          <w:color w:val="auto"/>
        </w:rPr>
      </w:pPr>
    </w:p>
    <w:p>
      <w:pPr>
        <w:jc w:val="both"/>
        <w:spacing w:after="0" w:line="338" w:lineRule="auto"/>
        <w:rPr>
          <w:sz w:val="20"/>
          <w:szCs w:val="20"/>
          <w:color w:val="auto"/>
        </w:rPr>
      </w:pPr>
      <w:r>
        <w:rPr>
          <w:rFonts w:ascii="Arial" w:cs="Arial" w:eastAsia="Arial" w:hAnsi="Arial"/>
          <w:sz w:val="17"/>
          <w:szCs w:val="17"/>
          <w:color w:val="auto"/>
        </w:rPr>
        <w:t>LivaNova is subject to interest rate risk on its investments and debt. Historically, LivaNova has entered into interest rate derivative instruments designated as cash flow hedges to manage the exposure to interest rate movements and to reduce the risk of increased borrowing costs by converting floating-rate debt into fixed-rate debt. Under these agreements, LivaNova agrees to</w:t>
      </w:r>
    </w:p>
    <w:p>
      <w:pPr>
        <w:sectPr>
          <w:pgSz w:w="11880" w:h="15480" w:orient="portrait"/>
          <w:cols w:equalWidth="0" w:num="1">
            <w:col w:w="10040"/>
          </w:cols>
          <w:pgMar w:left="920" w:top="658" w:right="920" w:bottom="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880" w:h="15480" w:orient="portrait"/>
          <w:cols w:equalWidth="0" w:num="1">
            <w:col w:w="10040"/>
          </w:cols>
          <w:pgMar w:left="920" w:top="658" w:right="920" w:bottom="0" w:gutter="0" w:footer="0" w:header="0"/>
          <w:type w:val="continuous"/>
        </w:sectPr>
      </w:pPr>
    </w:p>
    <w:bookmarkStart w:id="48" w:name="page49"/>
    <w:bookmarkEnd w:id="48"/>
    <w:p>
      <w:pPr>
        <w:jc w:val="both"/>
        <w:ind w:right="20"/>
        <w:spacing w:after="0" w:line="279" w:lineRule="auto"/>
        <w:rPr>
          <w:sz w:val="20"/>
          <w:szCs w:val="20"/>
          <w:color w:val="auto"/>
        </w:rPr>
      </w:pPr>
      <w:r>
        <w:rPr>
          <w:rFonts w:ascii="Arial" w:cs="Arial" w:eastAsia="Arial" w:hAnsi="Arial"/>
          <w:sz w:val="19"/>
          <w:szCs w:val="19"/>
          <w:color w:val="auto"/>
        </w:rPr>
        <w:t>exchange, at specified intervals, the difference between fixed and floating interest amounts calculated by reference to agreed-upon notional principal amounts. These interest rate swaps are structured to mirror the payment terms of the underlying loan. The Company’s outstanding interest rate swaps expired on April 6, 2023. LivaNova elected not to renew the interest rate swaps. Interest expense associated with the Initial Term Facility is principally offset by holding proceeds from the Term Facilities in a depository account, which earns a floating rate of interest.</w:t>
      </w:r>
    </w:p>
    <w:p>
      <w:pPr>
        <w:spacing w:after="0" w:line="73" w:lineRule="exact"/>
        <w:rPr>
          <w:sz w:val="20"/>
          <w:szCs w:val="20"/>
          <w:color w:val="auto"/>
        </w:rPr>
      </w:pPr>
    </w:p>
    <w:p>
      <w:pPr>
        <w:jc w:val="both"/>
        <w:ind w:right="20"/>
        <w:spacing w:after="0" w:line="265" w:lineRule="auto"/>
        <w:rPr>
          <w:sz w:val="20"/>
          <w:szCs w:val="20"/>
          <w:color w:val="auto"/>
        </w:rPr>
      </w:pPr>
      <w:r>
        <w:rPr>
          <w:rFonts w:ascii="Arial" w:cs="Arial" w:eastAsia="Arial" w:hAnsi="Arial"/>
          <w:sz w:val="20"/>
          <w:szCs w:val="20"/>
          <w:color w:val="auto"/>
        </w:rPr>
        <w:t>If interest rates associated with LivaNova’s variable-rate financing arrangements as of December 31, 2024 were to increase/ (decrease) by 100 basis points, the effect on interest expense within LivaNova’s consolidated statements of income (loss) would be an increase/(decrease) of $3.2 million, respectively, offset by an increase/(decrease) in interest income from amounts held in variable-rate depository accounts.</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color w:val="auto"/>
        </w:rPr>
        <w:t>Concentration of Credit Risk</w:t>
      </w:r>
    </w:p>
    <w:p>
      <w:pPr>
        <w:spacing w:after="0" w:line="140" w:lineRule="exact"/>
        <w:rPr>
          <w:sz w:val="20"/>
          <w:szCs w:val="20"/>
          <w:color w:val="auto"/>
        </w:rPr>
      </w:pPr>
    </w:p>
    <w:p>
      <w:pPr>
        <w:jc w:val="both"/>
        <w:ind w:right="20"/>
        <w:spacing w:after="0" w:line="311" w:lineRule="auto"/>
        <w:rPr>
          <w:sz w:val="20"/>
          <w:szCs w:val="20"/>
          <w:color w:val="auto"/>
        </w:rPr>
      </w:pPr>
      <w:r>
        <w:rPr>
          <w:rFonts w:ascii="Arial" w:cs="Arial" w:eastAsia="Arial" w:hAnsi="Arial"/>
          <w:sz w:val="17"/>
          <w:szCs w:val="17"/>
          <w:color w:val="auto"/>
        </w:rPr>
        <w:t>LivaNova’s trade accounts receivable represents potential concentrations of credit risk. This risk is limited due to the large number of customers and their dispersion across a number of geographic areas, as well as LivaNova’s efforts to control its exposure to credit risk by monitoring its receivables and the use of credit approvals and credit limits. In addition, LivaNova has historically had strong collections and minimal write-offs. While LivaNova believes that its reserves for credit losses are adequate, essentially all of the Company’s trade receivables are concentrated in the hospital and healthcare sectors worldwide, and accordingly, LivaNova is exposed to their respective business, economic, and country-specific variables. Although LivaNova does not currently foresee a concentrated credit risk associated with these receivables, repayment is dependent on the financial stability of these industry sectors and the respective countries’ national economies and healthcare systems.</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Factors Affecting Future Operating Results and Share Price</w:t>
      </w:r>
    </w:p>
    <w:p>
      <w:pPr>
        <w:spacing w:after="0" w:line="148" w:lineRule="exact"/>
        <w:rPr>
          <w:sz w:val="20"/>
          <w:szCs w:val="20"/>
          <w:color w:val="auto"/>
        </w:rPr>
      </w:pPr>
    </w:p>
    <w:p>
      <w:pPr>
        <w:jc w:val="both"/>
        <w:ind w:right="20"/>
        <w:spacing w:after="0" w:line="284" w:lineRule="auto"/>
        <w:rPr>
          <w:sz w:val="20"/>
          <w:szCs w:val="20"/>
          <w:color w:val="auto"/>
        </w:rPr>
      </w:pPr>
      <w:r>
        <w:rPr>
          <w:rFonts w:ascii="Arial" w:cs="Arial" w:eastAsia="Arial" w:hAnsi="Arial"/>
          <w:sz w:val="20"/>
          <w:szCs w:val="20"/>
          <w:color w:val="auto"/>
        </w:rPr>
        <w:t>The material factors affecting LivaNova’s future operating results and share prices are disclosed in “Part I, Item 1A. Risk Factors” of this Report.</w:t>
      </w:r>
    </w:p>
    <w:p>
      <w:pPr>
        <w:spacing w:after="0" w:line="4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ITEM 7A. QUANTITATIVE AND QUALITATIVE DISCLOSURES ABOUT MARKET RISK</w:t>
      </w:r>
    </w:p>
    <w:p>
      <w:pPr>
        <w:spacing w:after="0" w:line="156" w:lineRule="exact"/>
        <w:rPr>
          <w:sz w:val="20"/>
          <w:szCs w:val="20"/>
          <w:color w:val="auto"/>
        </w:rPr>
      </w:pPr>
    </w:p>
    <w:p>
      <w:pPr>
        <w:jc w:val="both"/>
        <w:ind w:right="20"/>
        <w:spacing w:after="0" w:line="270" w:lineRule="auto"/>
        <w:rPr>
          <w:sz w:val="20"/>
          <w:szCs w:val="20"/>
          <w:color w:val="auto"/>
        </w:rPr>
      </w:pPr>
      <w:r>
        <w:rPr>
          <w:rFonts w:ascii="Arial" w:cs="Arial" w:eastAsia="Arial" w:hAnsi="Arial"/>
          <w:sz w:val="20"/>
          <w:szCs w:val="20"/>
          <w:color w:val="auto"/>
        </w:rPr>
        <w:t xml:space="preserve">The information required under 7A. has been incorporated by reference to the information contained in “Part II, Item 7. Management’s Discussion and Analysis of Financial Condition and Results of Operations” of this Report under the section entitled </w:t>
      </w:r>
      <w:r>
        <w:rPr>
          <w:rFonts w:ascii="Arial" w:cs="Arial" w:eastAsia="Arial" w:hAnsi="Arial"/>
          <w:sz w:val="20"/>
          <w:szCs w:val="20"/>
          <w:b w:val="1"/>
          <w:bCs w:val="1"/>
          <w:i w:val="1"/>
          <w:iCs w:val="1"/>
          <w:color w:val="auto"/>
        </w:rPr>
        <w:t>“Market Risk.”</w:t>
      </w:r>
    </w:p>
    <w:p>
      <w:pPr>
        <w:spacing w:after="0" w:line="5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ITEM 8. FINANCIAL STATEMENTS AND SUPPLEMENTARY DATA</w:t>
      </w:r>
    </w:p>
    <w:p>
      <w:pPr>
        <w:spacing w:after="0" w:line="156" w:lineRule="exact"/>
        <w:rPr>
          <w:sz w:val="20"/>
          <w:szCs w:val="20"/>
          <w:color w:val="auto"/>
        </w:rPr>
      </w:pPr>
    </w:p>
    <w:p>
      <w:pPr>
        <w:jc w:val="both"/>
        <w:ind w:right="20"/>
        <w:spacing w:after="0" w:line="360" w:lineRule="auto"/>
        <w:rPr>
          <w:sz w:val="20"/>
          <w:szCs w:val="20"/>
          <w:color w:val="auto"/>
        </w:rPr>
      </w:pPr>
      <w:r>
        <w:rPr>
          <w:rFonts w:ascii="Arial" w:cs="Arial" w:eastAsia="Arial" w:hAnsi="Arial"/>
          <w:sz w:val="17"/>
          <w:szCs w:val="17"/>
          <w:color w:val="auto"/>
        </w:rPr>
        <w:t>LivaNova’s audited consolidated financial statements and notes thereto included in “Part IV, Item 15. Exhibits and Financial Statement Schedules” of this Report, beginning on page F-1 of this Report, are incorporated herein by reference.</w:t>
      </w:r>
    </w:p>
    <w:p>
      <w:pPr>
        <w:spacing w:after="0" w:line="1" w:lineRule="exact"/>
        <w:rPr>
          <w:sz w:val="20"/>
          <w:szCs w:val="20"/>
          <w:color w:val="auto"/>
        </w:rPr>
      </w:pPr>
    </w:p>
    <w:p>
      <w:pPr>
        <w:jc w:val="both"/>
        <w:spacing w:after="0" w:line="288" w:lineRule="auto"/>
        <w:rPr>
          <w:sz w:val="20"/>
          <w:szCs w:val="20"/>
          <w:color w:val="auto"/>
        </w:rPr>
      </w:pPr>
      <w:r>
        <w:rPr>
          <w:rFonts w:ascii="Arial" w:cs="Arial" w:eastAsia="Arial" w:hAnsi="Arial"/>
          <w:sz w:val="24"/>
          <w:szCs w:val="24"/>
          <w:b w:val="1"/>
          <w:bCs w:val="1"/>
          <w:color w:val="auto"/>
        </w:rPr>
        <w:t>ITEM 9. CHANGES IN AND DISAGREEMENTS WITH ACCOUNTANTS ON ACCOUNTING AND FINANCIAL DISCLOSURE</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11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ITEM 9A. CONTROLS AND PROCEDURES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Disclosure Controls and Procedures</w:t>
      </w:r>
    </w:p>
    <w:p>
      <w:pPr>
        <w:spacing w:after="0" w:line="148" w:lineRule="exact"/>
        <w:rPr>
          <w:sz w:val="20"/>
          <w:szCs w:val="20"/>
          <w:color w:val="auto"/>
        </w:rPr>
      </w:pPr>
    </w:p>
    <w:p>
      <w:pPr>
        <w:jc w:val="both"/>
        <w:ind w:right="20"/>
        <w:spacing w:after="0" w:line="316" w:lineRule="auto"/>
        <w:rPr>
          <w:sz w:val="20"/>
          <w:szCs w:val="20"/>
          <w:color w:val="auto"/>
        </w:rPr>
      </w:pPr>
      <w:r>
        <w:rPr>
          <w:rFonts w:ascii="Arial" w:cs="Arial" w:eastAsia="Arial" w:hAnsi="Arial"/>
          <w:sz w:val="17"/>
          <w:szCs w:val="17"/>
          <w:color w:val="auto"/>
        </w:rPr>
        <w:t>LivaNova maintains a system of disclosure controls and procedures, as defined in Rules 13a-15(e) and 15d-15(e) of the Exchange Act. The disclosure controls and procedures are designed to ensure that information required to be disclosed in the Company’s reports filed under the Exchange Act is (i) recorded, processed, summarized, and reported within the time periods specified in the SEC’s rules and forms and (ii) accumulated and communicated to management, including LivaNova’s CEO and CFO, as appropriate, to allow timely decisions regarding required disclosure. Any controls and procedures, no matter how well designed and operated, can provide only reasonable assurance of achieving the desired control objectives.</w:t>
      </w:r>
    </w:p>
    <w:p>
      <w:pPr>
        <w:spacing w:after="0" w:line="43"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color w:val="auto"/>
        </w:rPr>
        <w:t>Applicable SEC rules require an evaluation of the effectiveness of the Company’s disclosure controls and procedures. LivaNova’s management, under the supervision and with the participation of the Company’s CEO and CFO, evaluated the effectiveness of the design and operation of the Company’s disclosure controls and procedures as of the end of the period covered by this Report. Based on that evaluation, LivaNova’s CEO and CFO concluded that, as of December 31, 2024, the design and operation of the Company’s disclosure controls and procedures were effective to accomplish their objectives at the reasonable assurance level.</w:t>
      </w:r>
    </w:p>
    <w:p>
      <w:pPr>
        <w:sectPr>
          <w:pgSz w:w="11880" w:h="15480" w:orient="portrait"/>
          <w:cols w:equalWidth="0" w:num="1">
            <w:col w:w="10060"/>
          </w:cols>
          <w:pgMar w:left="920" w:top="66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47</w:t>
      </w:r>
    </w:p>
    <w:p>
      <w:pPr>
        <w:sectPr>
          <w:pgSz w:w="11880" w:h="15480" w:orient="portrait"/>
          <w:cols w:equalWidth="0" w:num="1">
            <w:col w:w="10060"/>
          </w:cols>
          <w:pgMar w:left="920" w:top="664" w:right="900" w:bottom="0" w:gutter="0" w:footer="0" w:header="0"/>
          <w:type w:val="continuous"/>
        </w:sectPr>
      </w:pPr>
    </w:p>
    <w:bookmarkStart w:id="49" w:name="page50"/>
    <w:bookmarkEnd w:id="49"/>
    <w:p>
      <w:pPr>
        <w:spacing w:after="0"/>
        <w:rPr>
          <w:sz w:val="20"/>
          <w:szCs w:val="20"/>
          <w:color w:val="auto"/>
        </w:rPr>
      </w:pPr>
      <w:r>
        <w:rPr>
          <w:rFonts w:ascii="Arial" w:cs="Arial" w:eastAsia="Arial" w:hAnsi="Arial"/>
          <w:sz w:val="22"/>
          <w:szCs w:val="22"/>
          <w:b w:val="1"/>
          <w:bCs w:val="1"/>
          <w:color w:val="auto"/>
        </w:rPr>
        <w:t>Management’s Report on Internal Control Over Financial Reporting</w:t>
      </w:r>
    </w:p>
    <w:p>
      <w:pPr>
        <w:spacing w:after="0" w:line="148" w:lineRule="exact"/>
        <w:rPr>
          <w:sz w:val="20"/>
          <w:szCs w:val="20"/>
          <w:color w:val="auto"/>
        </w:rPr>
      </w:pPr>
    </w:p>
    <w:p>
      <w:pPr>
        <w:jc w:val="both"/>
        <w:ind w:right="20"/>
        <w:spacing w:after="0" w:line="262" w:lineRule="auto"/>
        <w:rPr>
          <w:sz w:val="20"/>
          <w:szCs w:val="20"/>
          <w:color w:val="auto"/>
        </w:rPr>
      </w:pPr>
      <w:r>
        <w:rPr>
          <w:rFonts w:ascii="Arial" w:cs="Arial" w:eastAsia="Arial" w:hAnsi="Arial"/>
          <w:sz w:val="20"/>
          <w:szCs w:val="20"/>
          <w:color w:val="auto"/>
        </w:rPr>
        <w:t>LivaNova’s management is responsible for establishing and maintaining adequate internal control over financial reporting as defined in Rule 13a-15(f) under the Exchange Act.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7" w:lineRule="exact"/>
        <w:rPr>
          <w:sz w:val="20"/>
          <w:szCs w:val="20"/>
          <w:color w:val="auto"/>
        </w:rPr>
      </w:pPr>
    </w:p>
    <w:p>
      <w:pPr>
        <w:jc w:val="both"/>
        <w:ind w:right="20"/>
        <w:spacing w:after="0" w:line="265" w:lineRule="auto"/>
        <w:rPr>
          <w:sz w:val="20"/>
          <w:szCs w:val="20"/>
          <w:color w:val="auto"/>
        </w:rPr>
      </w:pPr>
      <w:r>
        <w:rPr>
          <w:rFonts w:ascii="Arial" w:cs="Arial" w:eastAsia="Arial" w:hAnsi="Arial"/>
          <w:sz w:val="20"/>
          <w:szCs w:val="20"/>
          <w:color w:val="auto"/>
        </w:rPr>
        <w:t xml:space="preserve">Management assessed the effectiveness of LivaNova’s internal control over financial reporting as of December 31, 2024 using the criteria set forth in the </w:t>
      </w:r>
      <w:r>
        <w:rPr>
          <w:rFonts w:ascii="Arial" w:cs="Arial" w:eastAsia="Arial" w:hAnsi="Arial"/>
          <w:sz w:val="20"/>
          <w:szCs w:val="20"/>
          <w:b w:val="1"/>
          <w:bCs w:val="1"/>
          <w:i w:val="1"/>
          <w:iCs w:val="1"/>
          <w:color w:val="auto"/>
        </w:rPr>
        <w:t>Internal Control - Integrated Framework (2013)</w:t>
      </w:r>
      <w:r>
        <w:rPr>
          <w:rFonts w:ascii="Arial" w:cs="Arial" w:eastAsia="Arial" w:hAnsi="Arial"/>
          <w:sz w:val="20"/>
          <w:szCs w:val="20"/>
          <w:color w:val="auto"/>
        </w:rPr>
        <w:t xml:space="preserve"> issued by the Committee of Sponsoring Organizations of the Treadway Commission. Based on this assessment, LivaNova concluded that the Company’s internal control over financial reporting was effective as of December 31, 2024.</w:t>
      </w:r>
    </w:p>
    <w:p>
      <w:pPr>
        <w:spacing w:after="0" w:line="82" w:lineRule="exact"/>
        <w:rPr>
          <w:sz w:val="20"/>
          <w:szCs w:val="20"/>
          <w:color w:val="auto"/>
        </w:rPr>
      </w:pPr>
    </w:p>
    <w:p>
      <w:pPr>
        <w:jc w:val="both"/>
        <w:ind w:right="20"/>
        <w:spacing w:after="0" w:line="364" w:lineRule="auto"/>
        <w:rPr>
          <w:sz w:val="20"/>
          <w:szCs w:val="20"/>
          <w:color w:val="auto"/>
        </w:rPr>
      </w:pPr>
      <w:r>
        <w:rPr>
          <w:rFonts w:ascii="Arial" w:cs="Arial" w:eastAsia="Arial" w:hAnsi="Arial"/>
          <w:sz w:val="17"/>
          <w:szCs w:val="17"/>
          <w:color w:val="auto"/>
        </w:rPr>
        <w:t>LivaNova’s independent registered public accounting firm, PricewaterhouseCoopers LLP, has audited the effectiveness of the Company’s internal control over financial reporting as of December 31, 2024, as stated in their report which is included herein.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in Internal Control Over Financial Reporting</w:t>
      </w:r>
    </w:p>
    <w:p>
      <w:pPr>
        <w:spacing w:after="0" w:line="148" w:lineRule="exact"/>
        <w:rPr>
          <w:sz w:val="20"/>
          <w:szCs w:val="20"/>
          <w:color w:val="auto"/>
        </w:rPr>
      </w:pPr>
    </w:p>
    <w:p>
      <w:pPr>
        <w:jc w:val="both"/>
        <w:ind w:right="20"/>
        <w:spacing w:after="0" w:line="269" w:lineRule="auto"/>
        <w:rPr>
          <w:sz w:val="20"/>
          <w:szCs w:val="20"/>
          <w:color w:val="auto"/>
        </w:rPr>
      </w:pPr>
      <w:r>
        <w:rPr>
          <w:rFonts w:ascii="Arial" w:cs="Arial" w:eastAsia="Arial" w:hAnsi="Arial"/>
          <w:sz w:val="20"/>
          <w:szCs w:val="20"/>
          <w:color w:val="auto"/>
        </w:rPr>
        <w:t>There have been no changes in LivaNova’s internal control over financial reporting (as defined in Rules 13a-15(f) and 15d-15(f) under the Exchange Act) during the quarter ended December 31, 2024 that have materially affected, or are reasonably likely to materially affect, LivaNova’s internal control over financial reporting.</w:t>
      </w:r>
    </w:p>
    <w:p>
      <w:pPr>
        <w:spacing w:after="0" w:line="5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ITEM 9B. OTHER INFORMATION</w:t>
      </w:r>
    </w:p>
    <w:p>
      <w:pPr>
        <w:spacing w:after="0" w:line="156" w:lineRule="exact"/>
        <w:rPr>
          <w:sz w:val="20"/>
          <w:szCs w:val="20"/>
          <w:color w:val="auto"/>
        </w:rPr>
      </w:pPr>
    </w:p>
    <w:p>
      <w:pPr>
        <w:jc w:val="both"/>
        <w:ind w:right="20"/>
        <w:spacing w:after="0" w:line="338" w:lineRule="auto"/>
        <w:rPr>
          <w:sz w:val="20"/>
          <w:szCs w:val="20"/>
          <w:color w:val="auto"/>
        </w:rPr>
      </w:pPr>
      <w:r>
        <w:rPr>
          <w:rFonts w:ascii="Arial" w:cs="Arial" w:eastAsia="Arial" w:hAnsi="Arial"/>
          <w:sz w:val="17"/>
          <w:szCs w:val="17"/>
          <w:color w:val="auto"/>
        </w:rPr>
        <w:t>During the three months ended December 31, 2024, none of the Company’s directors or officers (as defined in Rule 16a-1(f) of the Securities Exchange Act of 1934) adopted, terminated, or modified a Rule 10b5-1 trading arrangement or non-Rule 10b5-1 trading arrangement (as such terms are defined in Item 408 of Regulation S-K of the Securities Act).</w:t>
      </w:r>
    </w:p>
    <w:p>
      <w:pPr>
        <w:spacing w:after="0" w:line="6" w:lineRule="exact"/>
        <w:rPr>
          <w:sz w:val="20"/>
          <w:szCs w:val="20"/>
          <w:color w:val="auto"/>
        </w:rPr>
      </w:pPr>
    </w:p>
    <w:p>
      <w:pPr>
        <w:jc w:val="both"/>
        <w:spacing w:after="0" w:line="288" w:lineRule="auto"/>
        <w:rPr>
          <w:sz w:val="20"/>
          <w:szCs w:val="20"/>
          <w:color w:val="auto"/>
        </w:rPr>
      </w:pPr>
      <w:r>
        <w:rPr>
          <w:rFonts w:ascii="Arial" w:cs="Arial" w:eastAsia="Arial" w:hAnsi="Arial"/>
          <w:sz w:val="24"/>
          <w:szCs w:val="24"/>
          <w:b w:val="1"/>
          <w:bCs w:val="1"/>
          <w:color w:val="auto"/>
        </w:rPr>
        <w:t>ITEM 9C. DISCLOSURE REGARDING FOREIGN JURISDICTIONS THAT PREVENT INSPECTIONS</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ectPr>
          <w:pgSz w:w="11880" w:h="15480" w:orient="portrait"/>
          <w:cols w:equalWidth="0" w:num="1">
            <w:col w:w="10060"/>
          </w:cols>
          <w:pgMar w:left="920" w:top="65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48</w:t>
      </w:r>
    </w:p>
    <w:p>
      <w:pPr>
        <w:sectPr>
          <w:pgSz w:w="11880" w:h="15480" w:orient="portrait"/>
          <w:cols w:equalWidth="0" w:num="1">
            <w:col w:w="10060"/>
          </w:cols>
          <w:pgMar w:left="920" w:top="650" w:right="900" w:bottom="0" w:gutter="0" w:footer="0" w:header="0"/>
          <w:type w:val="continuous"/>
        </w:sectPr>
      </w:pPr>
    </w:p>
    <w:bookmarkStart w:id="50" w:name="page51"/>
    <w:bookmarkEnd w:id="50"/>
    <w:p>
      <w:pPr>
        <w:spacing w:after="0"/>
        <w:rPr>
          <w:sz w:val="20"/>
          <w:szCs w:val="20"/>
          <w:color w:val="auto"/>
        </w:rPr>
      </w:pPr>
      <w:r>
        <w:rPr>
          <w:rFonts w:ascii="Arial" w:cs="Arial" w:eastAsia="Arial" w:hAnsi="Arial"/>
          <w:sz w:val="24"/>
          <w:szCs w:val="24"/>
          <w:b w:val="1"/>
          <w:bCs w:val="1"/>
          <w:color w:val="auto"/>
        </w:rPr>
        <w:t>PART III</w:t>
      </w:r>
    </w:p>
    <w:p>
      <w:pPr>
        <w:spacing w:after="0" w:line="13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ITEM 10. DIRECTORS, EXECUTIVE OFFICERS, AND CORPORATE GOVERNANCE</w:t>
      </w:r>
    </w:p>
    <w:p>
      <w:pPr>
        <w:spacing w:after="0" w:line="156" w:lineRule="exact"/>
        <w:rPr>
          <w:sz w:val="20"/>
          <w:szCs w:val="20"/>
          <w:color w:val="auto"/>
        </w:rPr>
      </w:pPr>
    </w:p>
    <w:p>
      <w:pPr>
        <w:jc w:val="both"/>
        <w:ind w:right="20"/>
        <w:spacing w:after="0" w:line="284" w:lineRule="auto"/>
        <w:rPr>
          <w:sz w:val="20"/>
          <w:szCs w:val="20"/>
          <w:color w:val="auto"/>
        </w:rPr>
      </w:pPr>
      <w:r>
        <w:rPr>
          <w:rFonts w:ascii="Arial" w:cs="Arial" w:eastAsia="Arial" w:hAnsi="Arial"/>
          <w:sz w:val="20"/>
          <w:szCs w:val="20"/>
          <w:color w:val="auto"/>
        </w:rPr>
        <w:t>The information required for this Item 10 is incorporated by reference from LivaNova’s 2025 Proxy Statement, which the Company anticipates filing within 120 days of December 31, 2024.</w:t>
      </w:r>
    </w:p>
    <w:p>
      <w:pPr>
        <w:spacing w:after="0" w:line="63" w:lineRule="exact"/>
        <w:rPr>
          <w:sz w:val="20"/>
          <w:szCs w:val="20"/>
          <w:color w:val="auto"/>
        </w:rPr>
      </w:pPr>
    </w:p>
    <w:p>
      <w:pPr>
        <w:jc w:val="both"/>
        <w:ind w:right="20"/>
        <w:spacing w:after="0" w:line="265" w:lineRule="auto"/>
        <w:rPr>
          <w:sz w:val="20"/>
          <w:szCs w:val="20"/>
          <w:color w:val="auto"/>
        </w:rPr>
      </w:pPr>
      <w:r>
        <w:rPr>
          <w:rFonts w:ascii="Arial" w:cs="Arial" w:eastAsia="Arial" w:hAnsi="Arial"/>
          <w:sz w:val="20"/>
          <w:szCs w:val="20"/>
          <w:color w:val="auto"/>
        </w:rPr>
        <w:t xml:space="preserve">LivaNova has adopted a Code of Conduct that applies to all employees, officers, and directors of the Company. A copy of the Code of Conduct is publicly available on the Company’s website, </w:t>
      </w:r>
      <w:r>
        <w:rPr>
          <w:rFonts w:ascii="Arial" w:cs="Arial" w:eastAsia="Arial" w:hAnsi="Arial"/>
          <w:sz w:val="20"/>
          <w:szCs w:val="20"/>
          <w:b w:val="1"/>
          <w:bCs w:val="1"/>
          <w:i w:val="1"/>
          <w:iCs w:val="1"/>
          <w:color w:val="auto"/>
        </w:rPr>
        <w:t>www.livanova.com.</w:t>
      </w:r>
      <w:r>
        <w:rPr>
          <w:rFonts w:ascii="Arial" w:cs="Arial" w:eastAsia="Arial" w:hAnsi="Arial"/>
          <w:sz w:val="20"/>
          <w:szCs w:val="20"/>
          <w:color w:val="auto"/>
        </w:rPr>
        <w:t xml:space="preserve"> LivaNova intends to post any amendments to the Code of Conduct or any grant of a waiver from a provision of the Code of Conduct requiring disclosure under applicable SEC rules on the Company’s website.</w:t>
      </w:r>
    </w:p>
    <w:p>
      <w:pPr>
        <w:spacing w:after="0" w:line="6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ITEM 11. EXECUTIVE COMPENSATION</w:t>
      </w:r>
    </w:p>
    <w:p>
      <w:pPr>
        <w:spacing w:after="0" w:line="156" w:lineRule="exact"/>
        <w:rPr>
          <w:sz w:val="20"/>
          <w:szCs w:val="20"/>
          <w:color w:val="auto"/>
        </w:rPr>
      </w:pPr>
    </w:p>
    <w:p>
      <w:pPr>
        <w:jc w:val="both"/>
        <w:ind w:right="20"/>
        <w:spacing w:after="0" w:line="290" w:lineRule="auto"/>
        <w:rPr>
          <w:sz w:val="20"/>
          <w:szCs w:val="20"/>
          <w:color w:val="auto"/>
        </w:rPr>
      </w:pPr>
      <w:r>
        <w:rPr>
          <w:rFonts w:ascii="Arial" w:cs="Arial" w:eastAsia="Arial" w:hAnsi="Arial"/>
          <w:sz w:val="19"/>
          <w:szCs w:val="19"/>
          <w:color w:val="auto"/>
        </w:rPr>
        <w:t>The information required for this Item 11 is incorporated by reference from LivaNova’s 2025 Proxy Statement except as to information required pursuant to Item 402(v) of the SEC Regulation S-K relating to pay versus performance. The Company anticipates filing LivaNova’s 2025 Proxy Statement within 120 days of December 31, 2024.</w:t>
      </w:r>
    </w:p>
    <w:p>
      <w:pPr>
        <w:spacing w:after="0" w:line="40" w:lineRule="exact"/>
        <w:rPr>
          <w:sz w:val="20"/>
          <w:szCs w:val="20"/>
          <w:color w:val="auto"/>
        </w:rPr>
      </w:pPr>
    </w:p>
    <w:p>
      <w:pPr>
        <w:jc w:val="both"/>
        <w:spacing w:after="0" w:line="288" w:lineRule="auto"/>
        <w:rPr>
          <w:sz w:val="20"/>
          <w:szCs w:val="20"/>
          <w:color w:val="auto"/>
        </w:rPr>
      </w:pPr>
      <w:r>
        <w:rPr>
          <w:rFonts w:ascii="Arial" w:cs="Arial" w:eastAsia="Arial" w:hAnsi="Arial"/>
          <w:sz w:val="24"/>
          <w:szCs w:val="24"/>
          <w:b w:val="1"/>
          <w:bCs w:val="1"/>
          <w:color w:val="auto"/>
        </w:rPr>
        <w:t>ITEM 12. SECURITY OWNERSHIP OF CERTAIN BENEFICIAL OWNERS AND MANAGEMENT AND RELATED STOCKHOLDER MATTERS</w:t>
      </w:r>
    </w:p>
    <w:p>
      <w:pPr>
        <w:spacing w:after="0" w:line="64" w:lineRule="exact"/>
        <w:rPr>
          <w:sz w:val="20"/>
          <w:szCs w:val="20"/>
          <w:color w:val="auto"/>
        </w:rPr>
      </w:pPr>
    </w:p>
    <w:p>
      <w:pPr>
        <w:jc w:val="both"/>
        <w:ind w:right="20"/>
        <w:spacing w:after="0" w:line="284" w:lineRule="auto"/>
        <w:rPr>
          <w:sz w:val="20"/>
          <w:szCs w:val="20"/>
          <w:color w:val="auto"/>
        </w:rPr>
      </w:pPr>
      <w:r>
        <w:rPr>
          <w:rFonts w:ascii="Arial" w:cs="Arial" w:eastAsia="Arial" w:hAnsi="Arial"/>
          <w:sz w:val="20"/>
          <w:szCs w:val="20"/>
          <w:color w:val="auto"/>
        </w:rPr>
        <w:t>The information required for this Item 12 is incorporated by reference from LivaNova’s 2025 Proxy Statement, which the Company anticipates filing within 120 days of December 31, 2024.</w:t>
      </w:r>
    </w:p>
    <w:p>
      <w:pPr>
        <w:spacing w:after="0" w:line="43" w:lineRule="exact"/>
        <w:rPr>
          <w:sz w:val="20"/>
          <w:szCs w:val="20"/>
          <w:color w:val="auto"/>
        </w:rPr>
      </w:pPr>
    </w:p>
    <w:p>
      <w:pPr>
        <w:jc w:val="both"/>
        <w:spacing w:after="0" w:line="288" w:lineRule="auto"/>
        <w:rPr>
          <w:sz w:val="20"/>
          <w:szCs w:val="20"/>
          <w:color w:val="auto"/>
        </w:rPr>
      </w:pPr>
      <w:r>
        <w:rPr>
          <w:rFonts w:ascii="Arial" w:cs="Arial" w:eastAsia="Arial" w:hAnsi="Arial"/>
          <w:sz w:val="24"/>
          <w:szCs w:val="24"/>
          <w:b w:val="1"/>
          <w:bCs w:val="1"/>
          <w:color w:val="auto"/>
        </w:rPr>
        <w:t>ITEM 13. CERTAIN RELATIONSHIPS AND RELATED TRANSACTIONS, AND DIRECTOR INDEPENDENCE</w:t>
      </w:r>
    </w:p>
    <w:p>
      <w:pPr>
        <w:spacing w:after="0" w:line="64" w:lineRule="exact"/>
        <w:rPr>
          <w:sz w:val="20"/>
          <w:szCs w:val="20"/>
          <w:color w:val="auto"/>
        </w:rPr>
      </w:pPr>
    </w:p>
    <w:p>
      <w:pPr>
        <w:jc w:val="both"/>
        <w:ind w:right="20"/>
        <w:spacing w:after="0" w:line="284" w:lineRule="auto"/>
        <w:rPr>
          <w:sz w:val="20"/>
          <w:szCs w:val="20"/>
          <w:color w:val="auto"/>
        </w:rPr>
      </w:pPr>
      <w:r>
        <w:rPr>
          <w:rFonts w:ascii="Arial" w:cs="Arial" w:eastAsia="Arial" w:hAnsi="Arial"/>
          <w:sz w:val="20"/>
          <w:szCs w:val="20"/>
          <w:color w:val="auto"/>
        </w:rPr>
        <w:t>The information required for this Item 13 is incorporated by reference from LivaNova’s 2025 Proxy Statement, which the Company anticipates filing within 120 days of December 31, 2024.</w:t>
      </w:r>
    </w:p>
    <w:p>
      <w:pPr>
        <w:spacing w:after="0" w:line="4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ITEM 14. PRINCIPAL ACCOUNTING FEES AND SERVICES</w:t>
      </w:r>
    </w:p>
    <w:p>
      <w:pPr>
        <w:spacing w:after="0" w:line="156" w:lineRule="exact"/>
        <w:rPr>
          <w:sz w:val="20"/>
          <w:szCs w:val="20"/>
          <w:color w:val="auto"/>
        </w:rPr>
      </w:pPr>
    </w:p>
    <w:p>
      <w:pPr>
        <w:jc w:val="both"/>
        <w:ind w:right="20"/>
        <w:spacing w:after="0" w:line="284" w:lineRule="auto"/>
        <w:rPr>
          <w:sz w:val="20"/>
          <w:szCs w:val="20"/>
          <w:color w:val="auto"/>
        </w:rPr>
      </w:pPr>
      <w:r>
        <w:rPr>
          <w:rFonts w:ascii="Arial" w:cs="Arial" w:eastAsia="Arial" w:hAnsi="Arial"/>
          <w:sz w:val="20"/>
          <w:szCs w:val="20"/>
          <w:color w:val="auto"/>
        </w:rPr>
        <w:t>The information required for this Item 14 is incorporated by reference from LivaNova’s 2025 Proxy Statement, which the Company anticipates filing within 120 days of December 31, 2024.</w:t>
      </w:r>
    </w:p>
    <w:p>
      <w:pPr>
        <w:sectPr>
          <w:pgSz w:w="11880" w:h="15480" w:orient="portrait"/>
          <w:cols w:equalWidth="0" w:num="1">
            <w:col w:w="10060"/>
          </w:cols>
          <w:pgMar w:left="920" w:top="64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49</w:t>
      </w:r>
    </w:p>
    <w:p>
      <w:pPr>
        <w:sectPr>
          <w:pgSz w:w="11880" w:h="15480" w:orient="portrait"/>
          <w:cols w:equalWidth="0" w:num="1">
            <w:col w:w="10060"/>
          </w:cols>
          <w:pgMar w:left="920" w:top="644" w:right="900" w:bottom="0" w:gutter="0" w:footer="0" w:header="0"/>
          <w:type w:val="continuous"/>
        </w:sectPr>
      </w:pPr>
    </w:p>
    <w:bookmarkStart w:id="51" w:name="page52"/>
    <w:bookmarkEnd w:id="51"/>
    <w:p>
      <w:pPr>
        <w:spacing w:after="0"/>
        <w:rPr>
          <w:sz w:val="20"/>
          <w:szCs w:val="20"/>
          <w:color w:val="auto"/>
        </w:rPr>
      </w:pPr>
      <w:r>
        <w:rPr>
          <w:rFonts w:ascii="Arial" w:cs="Arial" w:eastAsia="Arial" w:hAnsi="Arial"/>
          <w:sz w:val="24"/>
          <w:szCs w:val="24"/>
          <w:b w:val="1"/>
          <w:bCs w:val="1"/>
          <w:color w:val="auto"/>
        </w:rPr>
        <w:t>PART IV</w:t>
      </w:r>
    </w:p>
    <w:p>
      <w:pPr>
        <w:spacing w:after="0" w:line="13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ITEM 15. EXHIBITS AND FINANCIAL STATEMENT SCHEDULES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Statements</w:t>
      </w:r>
    </w:p>
    <w:p>
      <w:pPr>
        <w:spacing w:after="0" w:line="148"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Consolidated Financial Statements of LivaNova PLC and its subsidiaries and the Report of Independent Registered Public Accounting Firms are included in this Report beginning on page F-1:</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8880" w:type="dxa"/>
            <w:vAlign w:val="bottom"/>
          </w:tcPr>
          <w:p>
            <w:pPr>
              <w:ind w:left="40"/>
              <w:spacing w:after="0"/>
              <w:rPr>
                <w:sz w:val="20"/>
                <w:szCs w:val="20"/>
                <w:color w:val="auto"/>
              </w:rPr>
            </w:pPr>
            <w:r>
              <w:rPr>
                <w:rFonts w:ascii="Arial" w:cs="Arial" w:eastAsia="Arial" w:hAnsi="Arial"/>
                <w:sz w:val="20"/>
                <w:szCs w:val="20"/>
                <w:b w:val="1"/>
                <w:bCs w:val="1"/>
                <w:color w:val="auto"/>
              </w:rPr>
              <w:t>Description</w:t>
            </w:r>
          </w:p>
        </w:tc>
        <w:tc>
          <w:tcPr>
            <w:tcW w:w="6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20"/>
                <w:szCs w:val="20"/>
                <w:b w:val="1"/>
                <w:bCs w:val="1"/>
                <w:color w:val="auto"/>
                <w:w w:val="83"/>
              </w:rPr>
              <w:t>Page</w:t>
            </w:r>
          </w:p>
        </w:tc>
        <w:tc>
          <w:tcPr>
            <w:tcW w:w="0" w:type="dxa"/>
            <w:vAlign w:val="bottom"/>
          </w:tcPr>
          <w:p>
            <w:pPr>
              <w:spacing w:after="0"/>
              <w:rPr>
                <w:sz w:val="1"/>
                <w:szCs w:val="1"/>
                <w:color w:val="auto"/>
              </w:rPr>
            </w:pPr>
          </w:p>
        </w:tc>
      </w:tr>
      <w:tr>
        <w:trPr>
          <w:trHeight w:val="25"/>
        </w:trPr>
        <w:tc>
          <w:tcPr>
            <w:tcW w:w="8880" w:type="dxa"/>
            <w:vAlign w:val="bottom"/>
            <w:tcBorders>
              <w:bottom w:val="single" w:sz="8" w:color="auto"/>
            </w:tcBorders>
          </w:tcPr>
          <w:p>
            <w:pPr>
              <w:spacing w:after="0"/>
              <w:rPr>
                <w:sz w:val="2"/>
                <w:szCs w:val="2"/>
                <w:color w:val="auto"/>
              </w:rPr>
            </w:pPr>
          </w:p>
        </w:tc>
        <w:tc>
          <w:tcPr>
            <w:tcW w:w="60" w:type="dxa"/>
            <w:vAlign w:val="bottom"/>
            <w:tcBorders>
              <w:bottom w:val="single" w:sz="8" w:color="E6E6E6"/>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880" w:type="dxa"/>
            <w:vAlign w:val="bottom"/>
            <w:shd w:val="clear" w:color="auto" w:fill="E6E6E6"/>
          </w:tcPr>
          <w:p>
            <w:pPr>
              <w:ind w:left="40"/>
              <w:spacing w:after="0"/>
              <w:rPr>
                <w:sz w:val="20"/>
                <w:szCs w:val="20"/>
                <w:color w:val="auto"/>
              </w:rPr>
            </w:pPr>
            <w:r>
              <w:rPr>
                <w:rFonts w:ascii="Arial" w:cs="Arial" w:eastAsia="Arial" w:hAnsi="Arial"/>
                <w:sz w:val="20"/>
                <w:szCs w:val="20"/>
                <w:color w:val="auto"/>
              </w:rPr>
              <w:t>Report of Independent Registered Public Accounting Firm (PCAOB ID: 238)</w:t>
            </w:r>
          </w:p>
        </w:tc>
        <w:tc>
          <w:tcPr>
            <w:tcW w:w="60" w:type="dxa"/>
            <w:vAlign w:val="bottom"/>
            <w:shd w:val="clear" w:color="auto" w:fill="E6E6E6"/>
          </w:tcPr>
          <w:p>
            <w:pPr>
              <w:spacing w:after="0"/>
              <w:rPr>
                <w:sz w:val="23"/>
                <w:szCs w:val="23"/>
                <w:color w:val="auto"/>
              </w:rPr>
            </w:pPr>
          </w:p>
        </w:tc>
        <w:tc>
          <w:tcPr>
            <w:tcW w:w="1100" w:type="dxa"/>
            <w:vAlign w:val="bottom"/>
            <w:shd w:val="clear" w:color="auto" w:fill="E6E6E6"/>
          </w:tcPr>
          <w:p>
            <w:pPr>
              <w:jc w:val="center"/>
              <w:spacing w:after="0"/>
              <w:rPr>
                <w:sz w:val="20"/>
                <w:szCs w:val="20"/>
                <w:color w:val="auto"/>
              </w:rPr>
            </w:pPr>
            <w:r>
              <w:rPr>
                <w:rFonts w:ascii="Arial" w:cs="Arial" w:eastAsia="Arial" w:hAnsi="Arial"/>
                <w:sz w:val="20"/>
                <w:szCs w:val="20"/>
                <w:color w:val="auto"/>
                <w:w w:val="93"/>
              </w:rPr>
              <w:t>F-1</w:t>
            </w:r>
          </w:p>
        </w:tc>
        <w:tc>
          <w:tcPr>
            <w:tcW w:w="0" w:type="dxa"/>
            <w:vAlign w:val="bottom"/>
          </w:tcPr>
          <w:p>
            <w:pPr>
              <w:spacing w:after="0"/>
              <w:rPr>
                <w:sz w:val="1"/>
                <w:szCs w:val="1"/>
                <w:color w:val="auto"/>
              </w:rPr>
            </w:pPr>
          </w:p>
        </w:tc>
      </w:tr>
      <w:tr>
        <w:trPr>
          <w:trHeight w:val="188"/>
        </w:trPr>
        <w:tc>
          <w:tcPr>
            <w:tcW w:w="8880" w:type="dxa"/>
            <w:vAlign w:val="bottom"/>
          </w:tcPr>
          <w:p>
            <w:pPr>
              <w:ind w:left="40"/>
              <w:spacing w:after="0" w:line="188" w:lineRule="exact"/>
              <w:rPr>
                <w:sz w:val="20"/>
                <w:szCs w:val="20"/>
                <w:color w:val="auto"/>
              </w:rPr>
            </w:pPr>
            <w:r>
              <w:rPr>
                <w:rFonts w:ascii="Arial" w:cs="Arial" w:eastAsia="Arial" w:hAnsi="Arial"/>
                <w:sz w:val="20"/>
                <w:szCs w:val="20"/>
                <w:color w:val="auto"/>
                <w:w w:val="91"/>
              </w:rPr>
              <w:t>Consolidated Statements of Income (Loss) for the Years Ended December 31, 2024, December 31, 2023 and</w:t>
            </w:r>
          </w:p>
        </w:tc>
        <w:tc>
          <w:tcPr>
            <w:tcW w:w="60" w:type="dxa"/>
            <w:vAlign w:val="bottom"/>
          </w:tcPr>
          <w:p>
            <w:pPr>
              <w:spacing w:after="0"/>
              <w:rPr>
                <w:sz w:val="16"/>
                <w:szCs w:val="16"/>
                <w:color w:val="auto"/>
              </w:rPr>
            </w:pPr>
          </w:p>
        </w:tc>
        <w:tc>
          <w:tcPr>
            <w:tcW w:w="1100" w:type="dxa"/>
            <w:vAlign w:val="bottom"/>
            <w:vMerge w:val="restart"/>
          </w:tcPr>
          <w:p>
            <w:pPr>
              <w:jc w:val="center"/>
              <w:spacing w:after="0"/>
              <w:rPr>
                <w:sz w:val="20"/>
                <w:szCs w:val="20"/>
                <w:color w:val="auto"/>
              </w:rPr>
            </w:pPr>
            <w:r>
              <w:rPr>
                <w:rFonts w:ascii="Arial" w:cs="Arial" w:eastAsia="Arial" w:hAnsi="Arial"/>
                <w:sz w:val="20"/>
                <w:szCs w:val="20"/>
                <w:color w:val="auto"/>
                <w:w w:val="93"/>
              </w:rPr>
              <w:t>F-3</w:t>
            </w:r>
          </w:p>
        </w:tc>
        <w:tc>
          <w:tcPr>
            <w:tcW w:w="0" w:type="dxa"/>
            <w:vAlign w:val="bottom"/>
          </w:tcPr>
          <w:p>
            <w:pPr>
              <w:spacing w:after="0"/>
              <w:rPr>
                <w:sz w:val="1"/>
                <w:szCs w:val="1"/>
                <w:color w:val="auto"/>
              </w:rPr>
            </w:pPr>
          </w:p>
        </w:tc>
      </w:tr>
      <w:tr>
        <w:trPr>
          <w:trHeight w:val="262"/>
        </w:trPr>
        <w:tc>
          <w:tcPr>
            <w:tcW w:w="8880" w:type="dxa"/>
            <w:vAlign w:val="bottom"/>
          </w:tcPr>
          <w:p>
            <w:pPr>
              <w:ind w:left="40"/>
              <w:spacing w:after="0"/>
              <w:rPr>
                <w:sz w:val="20"/>
                <w:szCs w:val="20"/>
                <w:color w:val="auto"/>
              </w:rPr>
            </w:pPr>
            <w:r>
              <w:rPr>
                <w:rFonts w:ascii="Arial" w:cs="Arial" w:eastAsia="Arial" w:hAnsi="Arial"/>
                <w:sz w:val="20"/>
                <w:szCs w:val="20"/>
                <w:color w:val="auto"/>
              </w:rPr>
              <w:t>December 31, 2022</w:t>
            </w:r>
          </w:p>
        </w:tc>
        <w:tc>
          <w:tcPr>
            <w:tcW w:w="6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8880" w:type="dxa"/>
            <w:vAlign w:val="bottom"/>
            <w:shd w:val="clear" w:color="auto" w:fill="E6E6E6"/>
          </w:tcPr>
          <w:p>
            <w:pPr>
              <w:ind w:left="40"/>
              <w:spacing w:after="0" w:line="193" w:lineRule="exact"/>
              <w:rPr>
                <w:sz w:val="20"/>
                <w:szCs w:val="20"/>
                <w:color w:val="auto"/>
              </w:rPr>
            </w:pPr>
            <w:r>
              <w:rPr>
                <w:rFonts w:ascii="Arial" w:cs="Arial" w:eastAsia="Arial" w:hAnsi="Arial"/>
                <w:sz w:val="20"/>
                <w:szCs w:val="20"/>
                <w:color w:val="auto"/>
                <w:w w:val="88"/>
              </w:rPr>
              <w:t>Consolidated Statements of Comprehensive Income (Loss) for the Years Ended December 31, 2024, December</w:t>
            </w:r>
          </w:p>
        </w:tc>
        <w:tc>
          <w:tcPr>
            <w:tcW w:w="60" w:type="dxa"/>
            <w:vAlign w:val="bottom"/>
            <w:shd w:val="clear" w:color="auto" w:fill="E6E6E6"/>
          </w:tcPr>
          <w:p>
            <w:pPr>
              <w:spacing w:after="0"/>
              <w:rPr>
                <w:sz w:val="16"/>
                <w:szCs w:val="16"/>
                <w:color w:val="auto"/>
              </w:rPr>
            </w:pPr>
          </w:p>
        </w:tc>
        <w:tc>
          <w:tcPr>
            <w:tcW w:w="1100" w:type="dxa"/>
            <w:vAlign w:val="bottom"/>
            <w:vMerge w:val="restart"/>
            <w:shd w:val="clear" w:color="auto" w:fill="E6E6E6"/>
          </w:tcPr>
          <w:p>
            <w:pPr>
              <w:jc w:val="center"/>
              <w:spacing w:after="0"/>
              <w:rPr>
                <w:sz w:val="20"/>
                <w:szCs w:val="20"/>
                <w:color w:val="auto"/>
              </w:rPr>
            </w:pPr>
            <w:r>
              <w:rPr>
                <w:rFonts w:ascii="Arial" w:cs="Arial" w:eastAsia="Arial" w:hAnsi="Arial"/>
                <w:sz w:val="20"/>
                <w:szCs w:val="20"/>
                <w:color w:val="auto"/>
                <w:w w:val="93"/>
              </w:rPr>
              <w:t>F-4</w:t>
            </w:r>
          </w:p>
        </w:tc>
        <w:tc>
          <w:tcPr>
            <w:tcW w:w="0" w:type="dxa"/>
            <w:vAlign w:val="bottom"/>
          </w:tcPr>
          <w:p>
            <w:pPr>
              <w:spacing w:after="0"/>
              <w:rPr>
                <w:sz w:val="1"/>
                <w:szCs w:val="1"/>
                <w:color w:val="auto"/>
              </w:rPr>
            </w:pPr>
          </w:p>
        </w:tc>
      </w:tr>
      <w:tr>
        <w:trPr>
          <w:trHeight w:val="268"/>
        </w:trPr>
        <w:tc>
          <w:tcPr>
            <w:tcW w:w="8880" w:type="dxa"/>
            <w:vAlign w:val="bottom"/>
            <w:shd w:val="clear" w:color="auto" w:fill="E6E6E6"/>
          </w:tcPr>
          <w:p>
            <w:pPr>
              <w:ind w:left="40"/>
              <w:spacing w:after="0"/>
              <w:rPr>
                <w:sz w:val="20"/>
                <w:szCs w:val="20"/>
                <w:color w:val="auto"/>
              </w:rPr>
            </w:pPr>
            <w:r>
              <w:rPr>
                <w:rFonts w:ascii="Arial" w:cs="Arial" w:eastAsia="Arial" w:hAnsi="Arial"/>
                <w:sz w:val="20"/>
                <w:szCs w:val="20"/>
                <w:color w:val="auto"/>
              </w:rPr>
              <w:t>31, 2023 and December 31, 2022</w:t>
            </w:r>
          </w:p>
        </w:tc>
        <w:tc>
          <w:tcPr>
            <w:tcW w:w="60" w:type="dxa"/>
            <w:vAlign w:val="bottom"/>
            <w:shd w:val="clear" w:color="auto" w:fill="E6E6E6"/>
          </w:tcPr>
          <w:p>
            <w:pPr>
              <w:spacing w:after="0"/>
              <w:rPr>
                <w:sz w:val="23"/>
                <w:szCs w:val="23"/>
                <w:color w:val="auto"/>
              </w:rPr>
            </w:pPr>
          </w:p>
        </w:tc>
        <w:tc>
          <w:tcPr>
            <w:tcW w:w="1100" w:type="dxa"/>
            <w:vAlign w:val="bottom"/>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8880" w:type="dxa"/>
            <w:vAlign w:val="bottom"/>
          </w:tcPr>
          <w:p>
            <w:pPr>
              <w:ind w:left="40"/>
              <w:spacing w:after="0"/>
              <w:rPr>
                <w:sz w:val="20"/>
                <w:szCs w:val="20"/>
                <w:color w:val="auto"/>
              </w:rPr>
            </w:pPr>
            <w:r>
              <w:rPr>
                <w:rFonts w:ascii="Arial" w:cs="Arial" w:eastAsia="Arial" w:hAnsi="Arial"/>
                <w:sz w:val="20"/>
                <w:szCs w:val="20"/>
                <w:color w:val="auto"/>
              </w:rPr>
              <w:t>Consolidated Balance Sheets as of December 31, 2024 and December 31, 2023</w:t>
            </w:r>
          </w:p>
        </w:tc>
        <w:tc>
          <w:tcPr>
            <w:tcW w:w="6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Arial" w:cs="Arial" w:eastAsia="Arial" w:hAnsi="Arial"/>
                <w:sz w:val="20"/>
                <w:szCs w:val="20"/>
                <w:color w:val="auto"/>
                <w:w w:val="93"/>
              </w:rPr>
              <w:t>F-5</w:t>
            </w:r>
          </w:p>
        </w:tc>
        <w:tc>
          <w:tcPr>
            <w:tcW w:w="0" w:type="dxa"/>
            <w:vAlign w:val="bottom"/>
          </w:tcPr>
          <w:p>
            <w:pPr>
              <w:spacing w:after="0"/>
              <w:rPr>
                <w:sz w:val="1"/>
                <w:szCs w:val="1"/>
                <w:color w:val="auto"/>
              </w:rPr>
            </w:pPr>
          </w:p>
        </w:tc>
      </w:tr>
      <w:tr>
        <w:trPr>
          <w:trHeight w:val="194"/>
        </w:trPr>
        <w:tc>
          <w:tcPr>
            <w:tcW w:w="8880" w:type="dxa"/>
            <w:vAlign w:val="bottom"/>
            <w:shd w:val="clear" w:color="auto" w:fill="E6E6E6"/>
          </w:tcPr>
          <w:p>
            <w:pPr>
              <w:ind w:left="40"/>
              <w:spacing w:after="0" w:line="194" w:lineRule="exact"/>
              <w:rPr>
                <w:sz w:val="20"/>
                <w:szCs w:val="20"/>
                <w:color w:val="auto"/>
              </w:rPr>
            </w:pPr>
            <w:r>
              <w:rPr>
                <w:rFonts w:ascii="Arial" w:cs="Arial" w:eastAsia="Arial" w:hAnsi="Arial"/>
                <w:sz w:val="20"/>
                <w:szCs w:val="20"/>
                <w:color w:val="auto"/>
                <w:w w:val="89"/>
              </w:rPr>
              <w:t>Consolidated Statements of Stockholders’ Equity for the Years Ended December 31, 2024, December 31, 2023</w:t>
            </w:r>
          </w:p>
        </w:tc>
        <w:tc>
          <w:tcPr>
            <w:tcW w:w="60" w:type="dxa"/>
            <w:vAlign w:val="bottom"/>
            <w:shd w:val="clear" w:color="auto" w:fill="E6E6E6"/>
          </w:tcPr>
          <w:p>
            <w:pPr>
              <w:spacing w:after="0"/>
              <w:rPr>
                <w:sz w:val="16"/>
                <w:szCs w:val="16"/>
                <w:color w:val="auto"/>
              </w:rPr>
            </w:pPr>
          </w:p>
        </w:tc>
        <w:tc>
          <w:tcPr>
            <w:tcW w:w="1100" w:type="dxa"/>
            <w:vAlign w:val="bottom"/>
            <w:vMerge w:val="restart"/>
            <w:shd w:val="clear" w:color="auto" w:fill="E6E6E6"/>
          </w:tcPr>
          <w:p>
            <w:pPr>
              <w:jc w:val="center"/>
              <w:spacing w:after="0"/>
              <w:rPr>
                <w:sz w:val="20"/>
                <w:szCs w:val="20"/>
                <w:color w:val="auto"/>
              </w:rPr>
            </w:pPr>
            <w:r>
              <w:rPr>
                <w:rFonts w:ascii="Arial" w:cs="Arial" w:eastAsia="Arial" w:hAnsi="Arial"/>
                <w:sz w:val="20"/>
                <w:szCs w:val="20"/>
                <w:color w:val="auto"/>
                <w:w w:val="93"/>
              </w:rPr>
              <w:t>F-6</w:t>
            </w:r>
          </w:p>
        </w:tc>
        <w:tc>
          <w:tcPr>
            <w:tcW w:w="0" w:type="dxa"/>
            <w:vAlign w:val="bottom"/>
          </w:tcPr>
          <w:p>
            <w:pPr>
              <w:spacing w:after="0"/>
              <w:rPr>
                <w:sz w:val="1"/>
                <w:szCs w:val="1"/>
                <w:color w:val="auto"/>
              </w:rPr>
            </w:pPr>
          </w:p>
        </w:tc>
      </w:tr>
      <w:tr>
        <w:trPr>
          <w:trHeight w:val="268"/>
        </w:trPr>
        <w:tc>
          <w:tcPr>
            <w:tcW w:w="8880" w:type="dxa"/>
            <w:vAlign w:val="bottom"/>
            <w:shd w:val="clear" w:color="auto" w:fill="E6E6E6"/>
          </w:tcPr>
          <w:p>
            <w:pPr>
              <w:ind w:left="40"/>
              <w:spacing w:after="0"/>
              <w:rPr>
                <w:sz w:val="20"/>
                <w:szCs w:val="20"/>
                <w:color w:val="auto"/>
              </w:rPr>
            </w:pPr>
            <w:r>
              <w:rPr>
                <w:rFonts w:ascii="Arial" w:cs="Arial" w:eastAsia="Arial" w:hAnsi="Arial"/>
                <w:sz w:val="20"/>
                <w:szCs w:val="20"/>
                <w:color w:val="auto"/>
              </w:rPr>
              <w:t>and December 31, 2022</w:t>
            </w:r>
          </w:p>
        </w:tc>
        <w:tc>
          <w:tcPr>
            <w:tcW w:w="60" w:type="dxa"/>
            <w:vAlign w:val="bottom"/>
            <w:shd w:val="clear" w:color="auto" w:fill="E6E6E6"/>
          </w:tcPr>
          <w:p>
            <w:pPr>
              <w:spacing w:after="0"/>
              <w:rPr>
                <w:sz w:val="23"/>
                <w:szCs w:val="23"/>
                <w:color w:val="auto"/>
              </w:rPr>
            </w:pPr>
          </w:p>
        </w:tc>
        <w:tc>
          <w:tcPr>
            <w:tcW w:w="1100" w:type="dxa"/>
            <w:vAlign w:val="bottom"/>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8880" w:type="dxa"/>
            <w:vAlign w:val="bottom"/>
          </w:tcPr>
          <w:p>
            <w:pPr>
              <w:ind w:left="40"/>
              <w:spacing w:after="0" w:line="188" w:lineRule="exact"/>
              <w:rPr>
                <w:sz w:val="20"/>
                <w:szCs w:val="20"/>
                <w:color w:val="auto"/>
              </w:rPr>
            </w:pPr>
            <w:r>
              <w:rPr>
                <w:rFonts w:ascii="Arial" w:cs="Arial" w:eastAsia="Arial" w:hAnsi="Arial"/>
                <w:sz w:val="20"/>
                <w:szCs w:val="20"/>
                <w:color w:val="auto"/>
                <w:w w:val="93"/>
              </w:rPr>
              <w:t>Consolidated Statements of Cash Flows for the Years Ended December 31, 2024, December 31, 2023 and</w:t>
            </w:r>
          </w:p>
        </w:tc>
        <w:tc>
          <w:tcPr>
            <w:tcW w:w="60" w:type="dxa"/>
            <w:vAlign w:val="bottom"/>
          </w:tcPr>
          <w:p>
            <w:pPr>
              <w:spacing w:after="0"/>
              <w:rPr>
                <w:sz w:val="16"/>
                <w:szCs w:val="16"/>
                <w:color w:val="auto"/>
              </w:rPr>
            </w:pPr>
          </w:p>
        </w:tc>
        <w:tc>
          <w:tcPr>
            <w:tcW w:w="1100" w:type="dxa"/>
            <w:vAlign w:val="bottom"/>
            <w:vMerge w:val="restart"/>
          </w:tcPr>
          <w:p>
            <w:pPr>
              <w:jc w:val="center"/>
              <w:spacing w:after="0"/>
              <w:rPr>
                <w:sz w:val="20"/>
                <w:szCs w:val="20"/>
                <w:color w:val="auto"/>
              </w:rPr>
            </w:pPr>
            <w:r>
              <w:rPr>
                <w:rFonts w:ascii="Arial" w:cs="Arial" w:eastAsia="Arial" w:hAnsi="Arial"/>
                <w:sz w:val="20"/>
                <w:szCs w:val="20"/>
                <w:color w:val="auto"/>
                <w:w w:val="93"/>
              </w:rPr>
              <w:t>F-7</w:t>
            </w:r>
          </w:p>
        </w:tc>
        <w:tc>
          <w:tcPr>
            <w:tcW w:w="0" w:type="dxa"/>
            <w:vAlign w:val="bottom"/>
          </w:tcPr>
          <w:p>
            <w:pPr>
              <w:spacing w:after="0"/>
              <w:rPr>
                <w:sz w:val="1"/>
                <w:szCs w:val="1"/>
                <w:color w:val="auto"/>
              </w:rPr>
            </w:pPr>
          </w:p>
        </w:tc>
      </w:tr>
      <w:tr>
        <w:trPr>
          <w:trHeight w:val="262"/>
        </w:trPr>
        <w:tc>
          <w:tcPr>
            <w:tcW w:w="8880" w:type="dxa"/>
            <w:vAlign w:val="bottom"/>
          </w:tcPr>
          <w:p>
            <w:pPr>
              <w:ind w:left="40"/>
              <w:spacing w:after="0"/>
              <w:rPr>
                <w:sz w:val="20"/>
                <w:szCs w:val="20"/>
                <w:color w:val="auto"/>
              </w:rPr>
            </w:pPr>
            <w:r>
              <w:rPr>
                <w:rFonts w:ascii="Arial" w:cs="Arial" w:eastAsia="Arial" w:hAnsi="Arial"/>
                <w:sz w:val="20"/>
                <w:szCs w:val="20"/>
                <w:color w:val="auto"/>
              </w:rPr>
              <w:t>December 31, 2022</w:t>
            </w:r>
          </w:p>
        </w:tc>
        <w:tc>
          <w:tcPr>
            <w:tcW w:w="6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8880" w:type="dxa"/>
            <w:vAlign w:val="bottom"/>
            <w:shd w:val="clear" w:color="auto" w:fill="E6E6E6"/>
          </w:tcPr>
          <w:p>
            <w:pPr>
              <w:ind w:left="40"/>
              <w:spacing w:after="0"/>
              <w:rPr>
                <w:sz w:val="20"/>
                <w:szCs w:val="20"/>
                <w:color w:val="auto"/>
              </w:rPr>
            </w:pPr>
            <w:r>
              <w:rPr>
                <w:rFonts w:ascii="Arial" w:cs="Arial" w:eastAsia="Arial" w:hAnsi="Arial"/>
                <w:sz w:val="20"/>
                <w:szCs w:val="20"/>
                <w:color w:val="auto"/>
              </w:rPr>
              <w:t>Notes to Consolidated Financial Statements</w:t>
            </w:r>
          </w:p>
        </w:tc>
        <w:tc>
          <w:tcPr>
            <w:tcW w:w="60" w:type="dxa"/>
            <w:vAlign w:val="bottom"/>
            <w:shd w:val="clear" w:color="auto" w:fill="E6E6E6"/>
          </w:tcPr>
          <w:p>
            <w:pPr>
              <w:spacing w:after="0"/>
              <w:rPr>
                <w:sz w:val="24"/>
                <w:szCs w:val="24"/>
                <w:color w:val="auto"/>
              </w:rPr>
            </w:pPr>
          </w:p>
        </w:tc>
        <w:tc>
          <w:tcPr>
            <w:tcW w:w="1100" w:type="dxa"/>
            <w:vAlign w:val="bottom"/>
            <w:shd w:val="clear" w:color="auto" w:fill="E6E6E6"/>
          </w:tcPr>
          <w:p>
            <w:pPr>
              <w:jc w:val="center"/>
              <w:spacing w:after="0"/>
              <w:rPr>
                <w:sz w:val="20"/>
                <w:szCs w:val="20"/>
                <w:color w:val="auto"/>
              </w:rPr>
            </w:pPr>
            <w:r>
              <w:rPr>
                <w:rFonts w:ascii="Arial" w:cs="Arial" w:eastAsia="Arial" w:hAnsi="Arial"/>
                <w:sz w:val="20"/>
                <w:szCs w:val="20"/>
                <w:color w:val="auto"/>
                <w:w w:val="93"/>
              </w:rPr>
              <w:t>F-8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-1701800</wp:posOffset>
            </wp:positionV>
            <wp:extent cx="641032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2">
                      <a:extLst>
                        <a:ext uri="{28A0092B-C50C-407E-A947-70E740481C1C}"/>
                      </a:extLst>
                    </a:blip>
                    <a:srcRect/>
                    <a:stretch>
                      <a:fillRect/>
                    </a:stretch>
                  </pic:blipFill>
                  <pic:spPr bwMode="auto">
                    <a:xfrm>
                      <a:off x="0" y="0"/>
                      <a:ext cx="6410325" cy="2540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Statement Schedules</w:t>
      </w:r>
    </w:p>
    <w:p>
      <w:pPr>
        <w:spacing w:after="0" w:line="148"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All schedules required by Regulation S-X have been omitted as not applicable or not required, or the information required has been included in the notes to the consolidated financial statements.</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Index to Exhibits</w:t>
      </w:r>
    </w:p>
    <w:p>
      <w:pPr>
        <w:spacing w:after="0" w:line="148"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exhibits marked with the asterisk symbol (*) are filed or furnished (in the case of Exhibit 32.1) with this Form 10-K. The exhibits marked with the cross symbol (†) are management contracts or compensatory plans or arrangements filed pursuant to Item 601(b)(10)(iii) of Regulation S-K.</w:t>
      </w:r>
    </w:p>
    <w:p>
      <w:pPr>
        <w:spacing w:after="0" w:line="94"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Exhibit</w:t>
      </w:r>
    </w:p>
    <w:p>
      <w:pPr>
        <w:ind w:left="40"/>
        <w:spacing w:after="0"/>
        <w:tabs>
          <w:tab w:leader="none" w:pos="900" w:val="left"/>
        </w:tabs>
        <w:rPr>
          <w:sz w:val="20"/>
          <w:szCs w:val="20"/>
          <w:color w:val="auto"/>
        </w:rPr>
      </w:pPr>
      <w:r>
        <w:rPr>
          <w:rFonts w:ascii="Arial" w:cs="Arial" w:eastAsia="Arial" w:hAnsi="Arial"/>
          <w:sz w:val="20"/>
          <w:szCs w:val="20"/>
          <w:b w:val="1"/>
          <w:bCs w:val="1"/>
          <w:u w:val="single" w:color="auto"/>
          <w:color w:val="auto"/>
        </w:rPr>
        <w:t>Number</w:t>
      </w:r>
      <w:r>
        <w:rPr>
          <w:sz w:val="20"/>
          <w:szCs w:val="20"/>
          <w:color w:val="auto"/>
        </w:rPr>
        <w:tab/>
      </w:r>
      <w:r>
        <w:rPr>
          <w:rFonts w:ascii="Arial" w:cs="Arial" w:eastAsia="Arial" w:hAnsi="Arial"/>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14605</wp:posOffset>
            </wp:positionV>
            <wp:extent cx="6410325" cy="4699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3">
                      <a:extLst>
                        <a:ext uri="{28A0092B-C50C-407E-A947-70E740481C1C}"/>
                      </a:extLst>
                    </a:blip>
                    <a:srcRect/>
                    <a:stretch>
                      <a:fillRect/>
                    </a:stretch>
                  </pic:blipFill>
                  <pic:spPr bwMode="auto">
                    <a:xfrm>
                      <a:off x="0" y="0"/>
                      <a:ext cx="6410325" cy="469900"/>
                    </a:xfrm>
                    <a:prstGeom prst="rect">
                      <a:avLst/>
                    </a:prstGeom>
                    <a:noFill/>
                  </pic:spPr>
                </pic:pic>
              </a:graphicData>
            </a:graphic>
          </wp:anchor>
        </w:drawing>
      </w:r>
    </w:p>
    <w:p>
      <w:pPr>
        <w:spacing w:after="0" w:line="13" w:lineRule="exact"/>
        <w:rPr>
          <w:sz w:val="20"/>
          <w:szCs w:val="20"/>
          <w:color w:val="auto"/>
        </w:rPr>
      </w:pPr>
    </w:p>
    <w:p>
      <w:pPr>
        <w:jc w:val="both"/>
        <w:ind w:left="920" w:right="40" w:hanging="651"/>
        <w:spacing w:after="0" w:line="249" w:lineRule="auto"/>
        <w:tabs>
          <w:tab w:leader="none" w:pos="90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20"/>
          <w:szCs w:val="20"/>
          <w:color w:val="auto"/>
        </w:rPr>
        <w:t>Share and Asset Purchase Agreement, dated as of December 2, 2020, by and between LivaNova PLC and Mitral Holdco S.à.r.l., incorporated by reference to Exhibit 2.1 of the Company’s Current Report on Form 8-K, filed on December 3, 2020</w:t>
      </w:r>
    </w:p>
    <w:p>
      <w:pPr>
        <w:spacing w:after="0" w:line="4" w:lineRule="exact"/>
        <w:rPr>
          <w:sz w:val="20"/>
          <w:szCs w:val="20"/>
          <w:color w:val="auto"/>
        </w:rPr>
      </w:pPr>
    </w:p>
    <w:p>
      <w:pPr>
        <w:jc w:val="both"/>
        <w:ind w:left="920" w:right="40" w:hanging="651"/>
        <w:spacing w:after="0" w:line="243" w:lineRule="auto"/>
        <w:tabs>
          <w:tab w:leader="none" w:pos="90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20"/>
          <w:szCs w:val="20"/>
          <w:color w:val="auto"/>
        </w:rPr>
        <w:t>Amended and Restated Share and Asset Purchase Agreement, dated as of April 9, 2021, by and between LivaNova PLC and Mitral Holdco S.à.r.l., incorporated by reference to Exhibit 2.1 of the Company’s Current Report on Form 8-K, filed on April 15, 2021</w:t>
      </w:r>
    </w:p>
    <w:p>
      <w:pPr>
        <w:spacing w:after="0" w:line="7" w:lineRule="exact"/>
        <w:rPr>
          <w:sz w:val="20"/>
          <w:szCs w:val="20"/>
          <w:color w:val="auto"/>
        </w:rPr>
      </w:pPr>
    </w:p>
    <w:p>
      <w:pPr>
        <w:jc w:val="both"/>
        <w:ind w:left="920" w:right="40" w:hanging="651"/>
        <w:spacing w:after="0" w:line="236" w:lineRule="auto"/>
        <w:tabs>
          <w:tab w:leader="none" w:pos="90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20"/>
          <w:szCs w:val="20"/>
          <w:color w:val="auto"/>
        </w:rPr>
        <w:t>Amended Articles of Association, incorporated by reference to Exhibit 3.1 of the Company’s Quarterly Report on Form 10-Q for the quarter ended June 30, 2020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-280035</wp:posOffset>
                </wp:positionV>
                <wp:extent cx="6383655" cy="28829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288290"/>
                        </a:xfrm>
                        <a:prstGeom prst="rect">
                          <a:avLst/>
                        </a:prstGeom>
                        <a:solidFill>
                          <a:srgbClr val="E6E6E6"/>
                        </a:solidFill>
                      </wps:spPr>
                      <wps:bodyPr/>
                    </wps:wsp>
                  </a:graphicData>
                </a:graphic>
              </wp:anchor>
            </w:drawing>
          </mc:Choice>
          <mc:Fallback>
            <w:pict>
              <v:rect id="Shape 49" o:spid="_x0000_s1074" style="position:absolute;margin-left:-0.2999pt;margin-top:-22.0499pt;width:502.65pt;height:2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ind w:left="220"/>
        <w:spacing w:after="0"/>
        <w:tabs>
          <w:tab w:leader="none" w:pos="90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7"/>
          <w:szCs w:val="17"/>
          <w:color w:val="auto"/>
        </w:rPr>
        <w:t>Description of Securities Registered Under Section 12 of the Securities Exchange Act of 1934, as amended</w:t>
      </w:r>
    </w:p>
    <w:p>
      <w:pPr>
        <w:spacing w:after="0" w:line="49" w:lineRule="exact"/>
        <w:rPr>
          <w:sz w:val="20"/>
          <w:szCs w:val="20"/>
          <w:color w:val="auto"/>
        </w:rPr>
      </w:pPr>
    </w:p>
    <w:p>
      <w:pPr>
        <w:jc w:val="both"/>
        <w:ind w:left="920" w:right="40" w:hanging="651"/>
        <w:spacing w:after="0" w:line="249" w:lineRule="auto"/>
        <w:tabs>
          <w:tab w:leader="none" w:pos="90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20"/>
          <w:szCs w:val="20"/>
          <w:color w:val="auto"/>
        </w:rPr>
        <w:t>Indenture, dated as of June 17, 2020, among LivaNova USA, Inc., as Issuer, LivaNova PLC, as Guarantor, and Citibank, N.A., as Trustee, incorporated by reference to Exhibit 4.1 of the Company’s Current Report on Form 8-K, filed on June 17, 2020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-447675</wp:posOffset>
                </wp:positionV>
                <wp:extent cx="6383655" cy="456565"/>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456565"/>
                        </a:xfrm>
                        <a:prstGeom prst="rect">
                          <a:avLst/>
                        </a:prstGeom>
                        <a:solidFill>
                          <a:srgbClr val="E6E6E6"/>
                        </a:solidFill>
                      </wps:spPr>
                      <wps:bodyPr/>
                    </wps:wsp>
                  </a:graphicData>
                </a:graphic>
              </wp:anchor>
            </w:drawing>
          </mc:Choice>
          <mc:Fallback>
            <w:pict>
              <v:rect id="Shape 50" o:spid="_x0000_s1075" style="position:absolute;margin-left:-0.2999pt;margin-top:-35.2499pt;width:502.65pt;height:35.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jc w:val="both"/>
        <w:ind w:left="920" w:right="40" w:hanging="651"/>
        <w:spacing w:after="0" w:line="253" w:lineRule="auto"/>
        <w:tabs>
          <w:tab w:leader="none" w:pos="90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20"/>
          <w:szCs w:val="20"/>
          <w:color w:val="auto"/>
        </w:rPr>
        <w:t>Form of 3.00% Cash Exchangeable Senior Notes due 2025 (included in Exhibit 4.1 of the Company’s Current Report on Form 8-K, filed on June 17, 2020)</w:t>
      </w:r>
    </w:p>
    <w:p>
      <w:pPr>
        <w:jc w:val="both"/>
        <w:ind w:left="920" w:right="40" w:hanging="651"/>
        <w:spacing w:after="0" w:line="250" w:lineRule="auto"/>
        <w:tabs>
          <w:tab w:leader="none" w:pos="90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19"/>
          <w:szCs w:val="19"/>
          <w:color w:val="auto"/>
        </w:rPr>
        <w:t>Indenture, dated as of March 8, 2024 between LivaNova PLC and Citibank, N.A., as trustee, incorporated by reference to Exhibit 4.1 of the Company’s Current Report on Form 8-K, filed on March 8,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-281940</wp:posOffset>
                </wp:positionV>
                <wp:extent cx="6383655" cy="288925"/>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288925"/>
                        </a:xfrm>
                        <a:prstGeom prst="rect">
                          <a:avLst/>
                        </a:prstGeom>
                        <a:solidFill>
                          <a:srgbClr val="E6E6E6"/>
                        </a:solidFill>
                      </wps:spPr>
                      <wps:bodyPr/>
                    </wps:wsp>
                  </a:graphicData>
                </a:graphic>
              </wp:anchor>
            </w:drawing>
          </mc:Choice>
          <mc:Fallback>
            <w:pict>
              <v:rect id="Shape 51" o:spid="_x0000_s1076" style="position:absolute;margin-left:-0.2999pt;margin-top:-22.1999pt;width:502.65pt;height:2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jc w:val="both"/>
        <w:ind w:left="920" w:right="40" w:hanging="651"/>
        <w:spacing w:after="0" w:line="236" w:lineRule="auto"/>
        <w:tabs>
          <w:tab w:leader="none" w:pos="900" w:val="left"/>
        </w:tabs>
        <w:rPr>
          <w:sz w:val="20"/>
          <w:szCs w:val="20"/>
          <w:color w:val="auto"/>
        </w:rPr>
      </w:pPr>
      <w:r>
        <w:rPr>
          <w:rFonts w:ascii="Arial" w:cs="Arial" w:eastAsia="Arial" w:hAnsi="Arial"/>
          <w:sz w:val="20"/>
          <w:szCs w:val="20"/>
          <w:color w:val="auto"/>
        </w:rPr>
        <w:t>4.5</w:t>
      </w:r>
      <w:r>
        <w:rPr>
          <w:sz w:val="20"/>
          <w:szCs w:val="20"/>
          <w:color w:val="auto"/>
        </w:rPr>
        <w:tab/>
      </w:r>
      <w:r>
        <w:rPr>
          <w:rFonts w:ascii="Arial" w:cs="Arial" w:eastAsia="Arial" w:hAnsi="Arial"/>
          <w:sz w:val="20"/>
          <w:szCs w:val="20"/>
          <w:color w:val="auto"/>
        </w:rPr>
        <w:t>Form of Global Note, representing LivaNova’s 2.50% convertible senior notes due 2029 (included in Exhibit 4.1 of the Company’s Current Report on Form 8-K, filed on March 8, 2024)</w:t>
      </w:r>
    </w:p>
    <w:p>
      <w:pPr>
        <w:ind w:left="180"/>
        <w:spacing w:after="0"/>
        <w:tabs>
          <w:tab w:leader="none" w:pos="90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17"/>
          <w:szCs w:val="17"/>
          <w:color w:val="auto"/>
        </w:rPr>
        <w:t>Form of Deed of Indemnification (Directors), each effective October 19, 2015, incorporated by reference to Exhibit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-117475</wp:posOffset>
                </wp:positionV>
                <wp:extent cx="6383655" cy="288925"/>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288925"/>
                        </a:xfrm>
                        <a:prstGeom prst="rect">
                          <a:avLst/>
                        </a:prstGeom>
                        <a:solidFill>
                          <a:srgbClr val="E6E6E6"/>
                        </a:solidFill>
                      </wps:spPr>
                      <wps:bodyPr/>
                    </wps:wsp>
                  </a:graphicData>
                </a:graphic>
              </wp:anchor>
            </w:drawing>
          </mc:Choice>
          <mc:Fallback>
            <w:pict>
              <v:rect id="Shape 52" o:spid="_x0000_s1077" style="position:absolute;margin-left:-0.2999pt;margin-top:-9.2499pt;width:502.65pt;height:2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ind w:left="920"/>
        <w:spacing w:after="0"/>
        <w:rPr>
          <w:sz w:val="20"/>
          <w:szCs w:val="20"/>
          <w:color w:val="auto"/>
        </w:rPr>
      </w:pPr>
      <w:r>
        <w:rPr>
          <w:rFonts w:ascii="Arial" w:cs="Arial" w:eastAsia="Arial" w:hAnsi="Arial"/>
          <w:sz w:val="20"/>
          <w:szCs w:val="20"/>
          <w:color w:val="auto"/>
        </w:rPr>
        <w:t>10.3 of the Company’s Current Report on Form 8-K, filed on October 19, 2015</w:t>
      </w:r>
    </w:p>
    <w:p>
      <w:pPr>
        <w:ind w:left="180"/>
        <w:spacing w:after="0"/>
        <w:tabs>
          <w:tab w:leader="none" w:pos="90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7"/>
          <w:szCs w:val="17"/>
          <w:color w:val="auto"/>
        </w:rPr>
        <w:t>Form of Deed of Indemnification (Officers), each effective October 19, 2015, incorporated by reference to Exhibit</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20"/>
          <w:szCs w:val="20"/>
          <w:color w:val="auto"/>
        </w:rPr>
        <w:t>10.4 of the Company’s Current Report on Form 8-K, filed on October 19, 2015</w:t>
      </w:r>
    </w:p>
    <w:p>
      <w:pPr>
        <w:spacing w:after="0" w:line="30" w:lineRule="exact"/>
        <w:rPr>
          <w:sz w:val="20"/>
          <w:szCs w:val="20"/>
          <w:color w:val="auto"/>
        </w:rPr>
      </w:pPr>
    </w:p>
    <w:p>
      <w:pPr>
        <w:ind w:left="920" w:right="40" w:hanging="749"/>
        <w:spacing w:after="0" w:line="279" w:lineRule="auto"/>
        <w:tabs>
          <w:tab w:leader="none" w:pos="900"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17"/>
          <w:szCs w:val="17"/>
          <w:color w:val="auto"/>
        </w:rPr>
        <w:t>2015 Incentive Award Plan and related Sub-Plan for UK Participants, adopted on October 16, 2015, incorporated by reference to Exhibit 10.1 of the Company’s Current Report on Form 8-K, filed on October 19, 2015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-281305</wp:posOffset>
                </wp:positionV>
                <wp:extent cx="6383655" cy="28829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288290"/>
                        </a:xfrm>
                        <a:prstGeom prst="rect">
                          <a:avLst/>
                        </a:prstGeom>
                        <a:solidFill>
                          <a:srgbClr val="E6E6E6"/>
                        </a:solidFill>
                      </wps:spPr>
                      <wps:bodyPr/>
                    </wps:wsp>
                  </a:graphicData>
                </a:graphic>
              </wp:anchor>
            </w:drawing>
          </mc:Choice>
          <mc:Fallback>
            <w:pict>
              <v:rect id="Shape 53" o:spid="_x0000_s1078" style="position:absolute;margin-left:-0.2999pt;margin-top:-22.1499pt;width:502.65pt;height:2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ind w:left="920" w:right="40" w:hanging="749"/>
        <w:spacing w:after="0" w:line="236" w:lineRule="auto"/>
        <w:tabs>
          <w:tab w:leader="none" w:pos="900" w:val="left"/>
        </w:tabs>
        <w:rPr>
          <w:sz w:val="20"/>
          <w:szCs w:val="20"/>
          <w:color w:val="auto"/>
        </w:rPr>
      </w:pPr>
      <w:r>
        <w:rPr>
          <w:rFonts w:ascii="Arial" w:cs="Arial" w:eastAsia="Arial" w:hAnsi="Arial"/>
          <w:sz w:val="20"/>
          <w:szCs w:val="20"/>
          <w:color w:val="auto"/>
        </w:rPr>
        <w:t>10.4†</w:t>
        <w:tab/>
        <w:t>Form of 2018 Long-Term Incentive Plan SAR Award Agreement, incorporated by reference to Exhibit 10.3 of the Company’s Current Report on Form 8-K, filed on March 16, 2018</w:t>
      </w:r>
    </w:p>
    <w:p>
      <w:pPr>
        <w:sectPr>
          <w:pgSz w:w="11880" w:h="15480" w:orient="portrait"/>
          <w:cols w:equalWidth="0" w:num="1">
            <w:col w:w="10040"/>
          </w:cols>
          <w:pgMar w:left="920" w:top="644" w:right="920" w:bottom="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880" w:h="15480" w:orient="portrait"/>
          <w:cols w:equalWidth="0" w:num="1">
            <w:col w:w="10040"/>
          </w:cols>
          <w:pgMar w:left="920" w:top="644" w:right="920" w:bottom="0" w:gutter="0" w:footer="0" w:header="0"/>
          <w:type w:val="continuous"/>
        </w:sectPr>
      </w:pPr>
    </w:p>
    <w:bookmarkStart w:id="52" w:name="page53"/>
    <w:bookmarkEnd w:id="52"/>
    <w:p>
      <w:pPr>
        <w:ind w:left="40"/>
        <w:spacing w:after="0"/>
        <w:rPr>
          <w:sz w:val="20"/>
          <w:szCs w:val="20"/>
          <w:color w:val="auto"/>
        </w:rPr>
      </w:pPr>
      <w:r>
        <w:rPr>
          <w:rFonts w:ascii="Arial" w:cs="Arial" w:eastAsia="Arial" w:hAnsi="Arial"/>
          <w:sz w:val="20"/>
          <w:szCs w:val="20"/>
          <w:b w:val="1"/>
          <w:bCs w:val="1"/>
          <w:color w:val="auto"/>
        </w:rPr>
        <w:t>Exhibit</w:t>
      </w:r>
    </w:p>
    <w:p>
      <w:pPr>
        <w:spacing w:after="0"/>
        <w:tabs>
          <w:tab w:leader="none" w:pos="860" w:val="left"/>
        </w:tabs>
        <w:rPr>
          <w:sz w:val="20"/>
          <w:szCs w:val="20"/>
          <w:color w:val="auto"/>
        </w:rPr>
      </w:pPr>
      <w:r>
        <w:rPr>
          <w:rFonts w:ascii="Arial" w:cs="Arial" w:eastAsia="Arial" w:hAnsi="Arial"/>
          <w:sz w:val="20"/>
          <w:szCs w:val="20"/>
          <w:b w:val="1"/>
          <w:bCs w:val="1"/>
          <w:u w:val="single" w:color="auto"/>
          <w:color w:val="auto"/>
        </w:rPr>
        <w:t>Number</w:t>
      </w:r>
      <w:r>
        <w:rPr>
          <w:sz w:val="20"/>
          <w:szCs w:val="20"/>
          <w:color w:val="auto"/>
        </w:rPr>
        <w:tab/>
      </w:r>
      <w:r>
        <w:rPr>
          <w:rFonts w:ascii="Arial" w:cs="Arial" w:eastAsia="Arial" w:hAnsi="Arial"/>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14605</wp:posOffset>
            </wp:positionV>
            <wp:extent cx="6410325" cy="3022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4">
                      <a:extLst>
                        <a:ext uri="{28A0092B-C50C-407E-A947-70E740481C1C}"/>
                      </a:extLst>
                    </a:blip>
                    <a:srcRect/>
                    <a:stretch>
                      <a:fillRect/>
                    </a:stretch>
                  </pic:blipFill>
                  <pic:spPr bwMode="auto">
                    <a:xfrm>
                      <a:off x="0" y="0"/>
                      <a:ext cx="6410325" cy="302260"/>
                    </a:xfrm>
                    <a:prstGeom prst="rect">
                      <a:avLst/>
                    </a:prstGeom>
                    <a:noFill/>
                  </pic:spPr>
                </pic:pic>
              </a:graphicData>
            </a:graphic>
          </wp:anchor>
        </w:drawing>
      </w:r>
    </w:p>
    <w:p>
      <w:pPr>
        <w:spacing w:after="0" w:line="13" w:lineRule="exact"/>
        <w:rPr>
          <w:sz w:val="20"/>
          <w:szCs w:val="20"/>
          <w:color w:val="auto"/>
        </w:rPr>
      </w:pPr>
    </w:p>
    <w:p>
      <w:pPr>
        <w:ind w:left="880" w:hanging="749"/>
        <w:spacing w:after="0" w:line="279" w:lineRule="auto"/>
        <w:tabs>
          <w:tab w:leader="none" w:pos="860" w:val="left"/>
        </w:tabs>
        <w:rPr>
          <w:sz w:val="20"/>
          <w:szCs w:val="20"/>
          <w:color w:val="auto"/>
        </w:rPr>
      </w:pPr>
      <w:r>
        <w:rPr>
          <w:rFonts w:ascii="Arial" w:cs="Arial" w:eastAsia="Arial" w:hAnsi="Arial"/>
          <w:sz w:val="20"/>
          <w:szCs w:val="20"/>
          <w:color w:val="auto"/>
        </w:rPr>
        <w:t>10.5†</w:t>
      </w:r>
      <w:r>
        <w:rPr>
          <w:sz w:val="20"/>
          <w:szCs w:val="20"/>
          <w:color w:val="auto"/>
        </w:rPr>
        <w:tab/>
      </w:r>
      <w:r>
        <w:rPr>
          <w:rFonts w:ascii="Arial" w:cs="Arial" w:eastAsia="Arial" w:hAnsi="Arial"/>
          <w:sz w:val="17"/>
          <w:szCs w:val="17"/>
          <w:color w:val="auto"/>
        </w:rPr>
        <w:t>General Provisions of the Company’s Global Employee Share Purchase Plan dated 12 June 2018, incorporated by reference to Exhibit 10.4 of the Company’s Quarterly Report on Form 10-Q for the quarter ended June 30, 2018</w:t>
      </w:r>
    </w:p>
    <w:p>
      <w:pPr>
        <w:spacing w:after="0" w:line="1" w:lineRule="exact"/>
        <w:rPr>
          <w:sz w:val="20"/>
          <w:szCs w:val="20"/>
          <w:color w:val="auto"/>
        </w:rPr>
      </w:pPr>
    </w:p>
    <w:p>
      <w:pPr>
        <w:ind w:left="880" w:hanging="749"/>
        <w:spacing w:after="0" w:line="236" w:lineRule="auto"/>
        <w:tabs>
          <w:tab w:leader="none" w:pos="860" w:val="left"/>
        </w:tabs>
        <w:rPr>
          <w:sz w:val="20"/>
          <w:szCs w:val="20"/>
          <w:color w:val="auto"/>
        </w:rPr>
      </w:pPr>
      <w:r>
        <w:rPr>
          <w:rFonts w:ascii="Arial" w:cs="Arial" w:eastAsia="Arial" w:hAnsi="Arial"/>
          <w:sz w:val="20"/>
          <w:szCs w:val="20"/>
          <w:color w:val="auto"/>
        </w:rPr>
        <w:t>10.6†</w:t>
      </w:r>
      <w:r>
        <w:rPr>
          <w:sz w:val="20"/>
          <w:szCs w:val="20"/>
          <w:color w:val="auto"/>
        </w:rPr>
        <w:tab/>
      </w:r>
      <w:r>
        <w:rPr>
          <w:rFonts w:ascii="Arial" w:cs="Arial" w:eastAsia="Arial" w:hAnsi="Arial"/>
          <w:sz w:val="20"/>
          <w:szCs w:val="20"/>
          <w:color w:val="auto"/>
        </w:rPr>
        <w:t>Form of the Company’s 2019 Long-Term Incentive Plan SAR Award Agreement, incorporated by reference to Exhibit 10.3 of the Company’s Current Report on Form 8-K, filed on April 1, 2019</w:t>
      </w:r>
    </w:p>
    <w:p>
      <w:pPr>
        <w:spacing w:after="0" w:line="3" w:lineRule="exact"/>
        <w:rPr>
          <w:sz w:val="20"/>
          <w:szCs w:val="20"/>
          <w:color w:val="auto"/>
        </w:rPr>
      </w:pPr>
    </w:p>
    <w:p>
      <w:pPr>
        <w:ind w:left="880" w:hanging="749"/>
        <w:spacing w:after="0" w:line="279" w:lineRule="auto"/>
        <w:tabs>
          <w:tab w:leader="none" w:pos="860" w:val="left"/>
        </w:tabs>
        <w:rPr>
          <w:sz w:val="20"/>
          <w:szCs w:val="20"/>
          <w:color w:val="auto"/>
        </w:rPr>
      </w:pPr>
      <w:r>
        <w:rPr>
          <w:rFonts w:ascii="Arial" w:cs="Arial" w:eastAsia="Arial" w:hAnsi="Arial"/>
          <w:sz w:val="20"/>
          <w:szCs w:val="20"/>
          <w:color w:val="auto"/>
        </w:rPr>
        <w:t>10.7†</w:t>
      </w:r>
      <w:r>
        <w:rPr>
          <w:sz w:val="20"/>
          <w:szCs w:val="20"/>
          <w:color w:val="auto"/>
        </w:rPr>
        <w:tab/>
      </w:r>
      <w:r>
        <w:rPr>
          <w:rFonts w:ascii="Arial" w:cs="Arial" w:eastAsia="Arial" w:hAnsi="Arial"/>
          <w:sz w:val="17"/>
          <w:szCs w:val="17"/>
          <w:color w:val="auto"/>
        </w:rPr>
        <w:t>Service Agreement, dated January 2, 2019, between Trui Hebbelinck and LivaNova PLC, incorporated by reference to Exhibit 10.1 of the Company’s Quarterly Report on Form 10-Q for the quarter ended June 30, 2019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wp:posOffset>
                </wp:positionH>
                <wp:positionV relativeFrom="paragraph">
                  <wp:posOffset>-281305</wp:posOffset>
                </wp:positionV>
                <wp:extent cx="6383655" cy="28829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288290"/>
                        </a:xfrm>
                        <a:prstGeom prst="rect">
                          <a:avLst/>
                        </a:prstGeom>
                        <a:solidFill>
                          <a:srgbClr val="E6E6E6"/>
                        </a:solidFill>
                      </wps:spPr>
                      <wps:bodyPr/>
                    </wps:wsp>
                  </a:graphicData>
                </a:graphic>
              </wp:anchor>
            </w:drawing>
          </mc:Choice>
          <mc:Fallback>
            <w:pict>
              <v:rect id="Shape 55" o:spid="_x0000_s1080" style="position:absolute;margin-left:-2.2999pt;margin-top:-22.1499pt;width:502.65pt;height:2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6354445</wp:posOffset>
                </wp:positionH>
                <wp:positionV relativeFrom="paragraph">
                  <wp:posOffset>-281940</wp:posOffset>
                </wp:positionV>
                <wp:extent cx="0" cy="288925"/>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8925"/>
                        </a:xfrm>
                        <a:prstGeom prst="line">
                          <a:avLst/>
                        </a:prstGeom>
                        <a:solidFill>
                          <a:srgbClr val="FFFFFF"/>
                        </a:solidFill>
                        <a:ln w="127">
                          <a:solidFill>
                            <a:srgbClr val="E6E6E6"/>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0.35pt,-22.1999pt" to="500.35pt,0.55pt" o:allowincell="f" strokecolor="#E6E6E6" strokeweight="0.01pt"/>
            </w:pict>
          </mc:Fallback>
        </mc:AlternateContent>
      </w:r>
    </w:p>
    <w:p>
      <w:pPr>
        <w:ind w:left="880" w:hanging="749"/>
        <w:spacing w:after="0" w:line="236" w:lineRule="auto"/>
        <w:tabs>
          <w:tab w:leader="none" w:pos="860" w:val="left"/>
        </w:tabs>
        <w:rPr>
          <w:sz w:val="20"/>
          <w:szCs w:val="20"/>
          <w:color w:val="auto"/>
        </w:rPr>
      </w:pPr>
      <w:r>
        <w:rPr>
          <w:rFonts w:ascii="Arial" w:cs="Arial" w:eastAsia="Arial" w:hAnsi="Arial"/>
          <w:sz w:val="20"/>
          <w:szCs w:val="20"/>
          <w:color w:val="auto"/>
        </w:rPr>
        <w:t>10.8†</w:t>
      </w:r>
      <w:r>
        <w:rPr>
          <w:sz w:val="20"/>
          <w:szCs w:val="20"/>
          <w:color w:val="auto"/>
        </w:rPr>
        <w:tab/>
      </w:r>
      <w:r>
        <w:rPr>
          <w:rFonts w:ascii="Arial" w:cs="Arial" w:eastAsia="Arial" w:hAnsi="Arial"/>
          <w:sz w:val="20"/>
          <w:szCs w:val="20"/>
          <w:color w:val="auto"/>
        </w:rPr>
        <w:t>Trui Hebbelinck Settlement Agreement, dated September 7, 2024, incorporated by reference to Exhibit 10.1 of the Company’s Quarterly Report on Form 10-Q, filed on October 30, 2024</w:t>
      </w:r>
    </w:p>
    <w:p>
      <w:pPr>
        <w:spacing w:after="0" w:line="3" w:lineRule="exact"/>
        <w:rPr>
          <w:sz w:val="20"/>
          <w:szCs w:val="20"/>
          <w:color w:val="auto"/>
        </w:rPr>
      </w:pPr>
    </w:p>
    <w:p>
      <w:pPr>
        <w:ind w:left="880" w:hanging="700"/>
        <w:spacing w:after="0" w:line="236" w:lineRule="auto"/>
        <w:tabs>
          <w:tab w:leader="none" w:pos="860" w:val="left"/>
        </w:tabs>
        <w:rPr>
          <w:sz w:val="20"/>
          <w:szCs w:val="20"/>
          <w:color w:val="auto"/>
        </w:rPr>
      </w:pPr>
      <w:r>
        <w:rPr>
          <w:rFonts w:ascii="Arial" w:cs="Arial" w:eastAsia="Arial" w:hAnsi="Arial"/>
          <w:sz w:val="20"/>
          <w:szCs w:val="20"/>
          <w:color w:val="auto"/>
        </w:rPr>
        <w:t>10.9</w:t>
      </w:r>
      <w:r>
        <w:rPr>
          <w:sz w:val="20"/>
          <w:szCs w:val="20"/>
          <w:color w:val="auto"/>
        </w:rPr>
        <w:tab/>
      </w:r>
      <w:r>
        <w:rPr>
          <w:rFonts w:ascii="Arial" w:cs="Arial" w:eastAsia="Arial" w:hAnsi="Arial"/>
          <w:sz w:val="20"/>
          <w:szCs w:val="20"/>
          <w:color w:val="auto"/>
        </w:rPr>
        <w:t>Form of Capped Call Confirmation incorporated by reference to Exhibit 10.1 of the Company’s Current Report on Form 8-K, filed on June 17, 2020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wp:posOffset>
                </wp:positionH>
                <wp:positionV relativeFrom="paragraph">
                  <wp:posOffset>-280035</wp:posOffset>
                </wp:positionV>
                <wp:extent cx="6383655" cy="28829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288290"/>
                        </a:xfrm>
                        <a:prstGeom prst="rect">
                          <a:avLst/>
                        </a:prstGeom>
                        <a:solidFill>
                          <a:srgbClr val="E6E6E6"/>
                        </a:solidFill>
                      </wps:spPr>
                      <wps:bodyPr/>
                    </wps:wsp>
                  </a:graphicData>
                </a:graphic>
              </wp:anchor>
            </w:drawing>
          </mc:Choice>
          <mc:Fallback>
            <w:pict>
              <v:rect id="Shape 57" o:spid="_x0000_s1082" style="position:absolute;margin-left:-2.2999pt;margin-top:-22.0499pt;width:502.65pt;height:2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6354445</wp:posOffset>
                </wp:positionH>
                <wp:positionV relativeFrom="paragraph">
                  <wp:posOffset>-280670</wp:posOffset>
                </wp:positionV>
                <wp:extent cx="0" cy="288925"/>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8925"/>
                        </a:xfrm>
                        <a:prstGeom prst="line">
                          <a:avLst/>
                        </a:prstGeom>
                        <a:solidFill>
                          <a:srgbClr val="FFFFFF"/>
                        </a:solidFill>
                        <a:ln w="127">
                          <a:solidFill>
                            <a:srgbClr val="E6E6E6"/>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0.35pt,-22.0999pt" to="500.35pt,0.65pt" o:allowincell="f" strokecolor="#E6E6E6" strokeweight="0.01pt"/>
            </w:pict>
          </mc:Fallback>
        </mc:AlternateContent>
      </w:r>
    </w:p>
    <w:p>
      <w:pPr>
        <w:ind w:left="880" w:hanging="749"/>
        <w:spacing w:after="0" w:line="236" w:lineRule="auto"/>
        <w:tabs>
          <w:tab w:leader="none" w:pos="860" w:val="left"/>
        </w:tabs>
        <w:rPr>
          <w:sz w:val="20"/>
          <w:szCs w:val="20"/>
          <w:color w:val="auto"/>
        </w:rPr>
      </w:pPr>
      <w:r>
        <w:rPr>
          <w:rFonts w:ascii="Arial" w:cs="Arial" w:eastAsia="Arial" w:hAnsi="Arial"/>
          <w:sz w:val="20"/>
          <w:szCs w:val="20"/>
          <w:color w:val="auto"/>
        </w:rPr>
        <w:t>10.10</w:t>
      </w:r>
      <w:r>
        <w:rPr>
          <w:sz w:val="20"/>
          <w:szCs w:val="20"/>
          <w:color w:val="auto"/>
        </w:rPr>
        <w:tab/>
      </w:r>
      <w:r>
        <w:rPr>
          <w:rFonts w:ascii="Arial" w:cs="Arial" w:eastAsia="Arial" w:hAnsi="Arial"/>
          <w:sz w:val="20"/>
          <w:szCs w:val="20"/>
          <w:color w:val="auto"/>
        </w:rPr>
        <w:t>Form of Confirmation for Capped Call Transactions, incorporated by reference to Exhibit 10.1 of the Company’s Current Report on Form 8-K, filed on March 8, 2024</w:t>
      </w:r>
    </w:p>
    <w:p>
      <w:pPr>
        <w:spacing w:after="0" w:line="3" w:lineRule="exact"/>
        <w:rPr>
          <w:sz w:val="20"/>
          <w:szCs w:val="20"/>
          <w:color w:val="auto"/>
        </w:rPr>
      </w:pPr>
    </w:p>
    <w:p>
      <w:pPr>
        <w:jc w:val="both"/>
        <w:ind w:left="880" w:hanging="798"/>
        <w:spacing w:after="0" w:line="225" w:lineRule="auto"/>
        <w:tabs>
          <w:tab w:leader="none" w:pos="860" w:val="left"/>
        </w:tabs>
        <w:rPr>
          <w:sz w:val="20"/>
          <w:szCs w:val="20"/>
          <w:color w:val="auto"/>
        </w:rPr>
      </w:pPr>
      <w:r>
        <w:rPr>
          <w:rFonts w:ascii="Arial" w:cs="Arial" w:eastAsia="Arial" w:hAnsi="Arial"/>
          <w:sz w:val="20"/>
          <w:szCs w:val="20"/>
          <w:color w:val="auto"/>
        </w:rPr>
        <w:t>10.11†</w:t>
        <w:tab/>
        <w:t>Amendment to Outstanding 2019 and 2020 Restricted Stock Unit Awards under the LivaNova PLC 2015 Incentive Award Plan, dated June 15, 2020, incorporated by reference to Exhibit 10.10 of the Company’s Quarterly Report on Form 10-Q for the quarter ended June 30, 2020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wp:posOffset>
                </wp:positionH>
                <wp:positionV relativeFrom="paragraph">
                  <wp:posOffset>-403860</wp:posOffset>
                </wp:positionV>
                <wp:extent cx="6383655" cy="419735"/>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419735"/>
                        </a:xfrm>
                        <a:prstGeom prst="rect">
                          <a:avLst/>
                        </a:prstGeom>
                        <a:solidFill>
                          <a:srgbClr val="E6E6E6"/>
                        </a:solidFill>
                      </wps:spPr>
                      <wps:bodyPr/>
                    </wps:wsp>
                  </a:graphicData>
                </a:graphic>
              </wp:anchor>
            </w:drawing>
          </mc:Choice>
          <mc:Fallback>
            <w:pict>
              <v:rect id="Shape 59" o:spid="_x0000_s1084" style="position:absolute;margin-left:-2.2999pt;margin-top:-31.7999pt;width:502.65pt;height:33.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6354445</wp:posOffset>
                </wp:positionH>
                <wp:positionV relativeFrom="paragraph">
                  <wp:posOffset>-403860</wp:posOffset>
                </wp:positionV>
                <wp:extent cx="0" cy="41910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19100"/>
                        </a:xfrm>
                        <a:prstGeom prst="line">
                          <a:avLst/>
                        </a:prstGeom>
                        <a:solidFill>
                          <a:srgbClr val="FFFFFF"/>
                        </a:solidFill>
                        <a:ln w="127">
                          <a:solidFill>
                            <a:srgbClr val="E6E6E6"/>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0.35pt,-31.7999pt" to="500.35pt,1.2pt" o:allowincell="f" strokecolor="#E6E6E6" strokeweight="0.01pt"/>
            </w:pict>
          </mc:Fallback>
        </mc:AlternateContent>
      </w:r>
    </w:p>
    <w:p>
      <w:pPr>
        <w:jc w:val="both"/>
        <w:ind w:left="880" w:hanging="798"/>
        <w:spacing w:after="0" w:line="225" w:lineRule="auto"/>
        <w:tabs>
          <w:tab w:leader="none" w:pos="860" w:val="left"/>
        </w:tabs>
        <w:rPr>
          <w:sz w:val="20"/>
          <w:szCs w:val="20"/>
          <w:color w:val="auto"/>
        </w:rPr>
      </w:pPr>
      <w:r>
        <w:rPr>
          <w:rFonts w:ascii="Arial" w:cs="Arial" w:eastAsia="Arial" w:hAnsi="Arial"/>
          <w:sz w:val="20"/>
          <w:szCs w:val="20"/>
          <w:color w:val="auto"/>
        </w:rPr>
        <w:t>10.12†</w:t>
        <w:tab/>
        <w:t>Amendment to Outstanding 2018, 2019 and 2020 Performance Stock Unit Awards under the LivaNova PLC 2015 Incentive Award Plan, dated June 15, 2020, incorporated by reference to Exhibit 10.12 of the Company’s Quarterly Report on Form 10-Q for the quarter ended June 30, 2020</w:t>
      </w:r>
    </w:p>
    <w:p>
      <w:pPr>
        <w:ind w:left="80"/>
        <w:spacing w:after="0"/>
        <w:tabs>
          <w:tab w:leader="none" w:pos="860" w:val="left"/>
        </w:tabs>
        <w:rPr>
          <w:sz w:val="20"/>
          <w:szCs w:val="20"/>
          <w:color w:val="auto"/>
        </w:rPr>
      </w:pPr>
      <w:r>
        <w:rPr>
          <w:rFonts w:ascii="Arial" w:cs="Arial" w:eastAsia="Arial" w:hAnsi="Arial"/>
          <w:sz w:val="20"/>
          <w:szCs w:val="20"/>
          <w:color w:val="auto"/>
        </w:rPr>
        <w:t>10.13†</w:t>
      </w:r>
      <w:r>
        <w:rPr>
          <w:sz w:val="20"/>
          <w:szCs w:val="20"/>
          <w:color w:val="auto"/>
        </w:rPr>
        <w:tab/>
      </w:r>
      <w:r>
        <w:rPr>
          <w:rFonts w:ascii="Arial" w:cs="Arial" w:eastAsia="Arial" w:hAnsi="Arial"/>
          <w:sz w:val="17"/>
          <w:szCs w:val="17"/>
          <w:color w:val="auto"/>
        </w:rPr>
        <w:t>Form of Long-Term Incentive Plan Restricted Stock Unit Award Agreement, incorporated by reference to Exhibit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wp:posOffset>
                </wp:positionH>
                <wp:positionV relativeFrom="paragraph">
                  <wp:posOffset>-116840</wp:posOffset>
                </wp:positionV>
                <wp:extent cx="6383655" cy="28829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288290"/>
                        </a:xfrm>
                        <a:prstGeom prst="rect">
                          <a:avLst/>
                        </a:prstGeom>
                        <a:solidFill>
                          <a:srgbClr val="E6E6E6"/>
                        </a:solidFill>
                      </wps:spPr>
                      <wps:bodyPr/>
                    </wps:wsp>
                  </a:graphicData>
                </a:graphic>
              </wp:anchor>
            </w:drawing>
          </mc:Choice>
          <mc:Fallback>
            <w:pict>
              <v:rect id="Shape 61" o:spid="_x0000_s1086" style="position:absolute;margin-left:-2.2999pt;margin-top:-9.1999pt;width:502.65pt;height:2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6354445</wp:posOffset>
                </wp:positionH>
                <wp:positionV relativeFrom="paragraph">
                  <wp:posOffset>-117475</wp:posOffset>
                </wp:positionV>
                <wp:extent cx="0" cy="288925"/>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8925"/>
                        </a:xfrm>
                        <a:prstGeom prst="line">
                          <a:avLst/>
                        </a:prstGeom>
                        <a:solidFill>
                          <a:srgbClr val="FFFFFF"/>
                        </a:solidFill>
                        <a:ln w="127">
                          <a:solidFill>
                            <a:srgbClr val="E6E6E6"/>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0.35pt,-9.2499pt" to="500.35pt,13.5pt" o:allowincell="f" strokecolor="#E6E6E6" strokeweight="0.01pt"/>
            </w:pict>
          </mc:Fallback>
        </mc:AlternateContent>
      </w:r>
    </w:p>
    <w:p>
      <w:pPr>
        <w:ind w:left="880"/>
        <w:spacing w:after="0"/>
        <w:rPr>
          <w:sz w:val="20"/>
          <w:szCs w:val="20"/>
          <w:color w:val="auto"/>
        </w:rPr>
      </w:pPr>
      <w:r>
        <w:rPr>
          <w:rFonts w:ascii="Arial" w:cs="Arial" w:eastAsia="Arial" w:hAnsi="Arial"/>
          <w:sz w:val="20"/>
          <w:szCs w:val="20"/>
          <w:color w:val="auto"/>
        </w:rPr>
        <w:t>10.1 of the Company’s Quarterly Report on Form 10-Q for the quarter ended September 30, 2020</w:t>
      </w:r>
    </w:p>
    <w:p>
      <w:pPr>
        <w:spacing w:after="0" w:line="30" w:lineRule="exact"/>
        <w:rPr>
          <w:sz w:val="20"/>
          <w:szCs w:val="20"/>
          <w:color w:val="auto"/>
        </w:rPr>
      </w:pPr>
    </w:p>
    <w:p>
      <w:pPr>
        <w:jc w:val="center"/>
        <w:ind w:left="1040"/>
        <w:spacing w:after="0" w:line="250" w:lineRule="auto"/>
        <w:rPr>
          <w:sz w:val="20"/>
          <w:szCs w:val="20"/>
          <w:color w:val="auto"/>
        </w:rPr>
      </w:pPr>
      <w:r>
        <w:rPr>
          <w:rFonts w:ascii="Arial" w:cs="Arial" w:eastAsia="Arial" w:hAnsi="Arial"/>
          <w:sz w:val="19"/>
          <w:szCs w:val="19"/>
          <w:color w:val="auto"/>
        </w:rPr>
        <w:t>10.14†   Form of Long-Term Incentive Plan Performance Stock Unit Award Agreement, incorporated by reference to Exhibit 10.2 of the Company’s Quarterly Report on Form 10-Q for the quarter ended September 30, 2020</w:t>
      </w:r>
    </w:p>
    <w:p>
      <w:pPr>
        <w:spacing w:after="0" w:line="1" w:lineRule="exact"/>
        <w:rPr>
          <w:sz w:val="20"/>
          <w:szCs w:val="20"/>
          <w:color w:val="auto"/>
        </w:rPr>
      </w:pPr>
    </w:p>
    <w:p>
      <w:pPr>
        <w:jc w:val="center"/>
        <w:ind w:left="1040"/>
        <w:spacing w:after="0" w:line="250" w:lineRule="auto"/>
        <w:rPr>
          <w:sz w:val="20"/>
          <w:szCs w:val="20"/>
          <w:color w:val="auto"/>
        </w:rPr>
      </w:pPr>
      <w:r>
        <w:rPr>
          <w:rFonts w:ascii="Arial" w:cs="Arial" w:eastAsia="Arial" w:hAnsi="Arial"/>
          <w:sz w:val="19"/>
          <w:szCs w:val="19"/>
          <w:color w:val="auto"/>
        </w:rPr>
        <w:t>10.15†   Form of Long-Term Incentive Plan Stock Appreciation Right Award Agreement, incorporated by reference to Exhibit 10.3 of the Company’s Quarterly Report on Form 10-Q for the quarter ended September 30, 2020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wp:posOffset>
                </wp:positionH>
                <wp:positionV relativeFrom="paragraph">
                  <wp:posOffset>-281940</wp:posOffset>
                </wp:positionV>
                <wp:extent cx="6383655" cy="288925"/>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288925"/>
                        </a:xfrm>
                        <a:prstGeom prst="rect">
                          <a:avLst/>
                        </a:prstGeom>
                        <a:solidFill>
                          <a:srgbClr val="E6E6E6"/>
                        </a:solidFill>
                      </wps:spPr>
                      <wps:bodyPr/>
                    </wps:wsp>
                  </a:graphicData>
                </a:graphic>
              </wp:anchor>
            </w:drawing>
          </mc:Choice>
          <mc:Fallback>
            <w:pict>
              <v:rect id="Shape 63" o:spid="_x0000_s1088" style="position:absolute;margin-left:-2.2999pt;margin-top:-22.1999pt;width:502.65pt;height:2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6354445</wp:posOffset>
                </wp:positionH>
                <wp:positionV relativeFrom="paragraph">
                  <wp:posOffset>-282575</wp:posOffset>
                </wp:positionV>
                <wp:extent cx="0" cy="288925"/>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8925"/>
                        </a:xfrm>
                        <a:prstGeom prst="line">
                          <a:avLst/>
                        </a:prstGeom>
                        <a:solidFill>
                          <a:srgbClr val="FFFFFF"/>
                        </a:solidFill>
                        <a:ln w="127">
                          <a:solidFill>
                            <a:srgbClr val="E6E6E6"/>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0.35pt,-22.2499pt" to="500.35pt,0.5pt" o:allowincell="f" strokecolor="#E6E6E6" strokeweight="0.01pt"/>
            </w:pict>
          </mc:Fallback>
        </mc:AlternateContent>
      </w:r>
    </w:p>
    <w:p>
      <w:pPr>
        <w:jc w:val="both"/>
        <w:ind w:left="880" w:hanging="798"/>
        <w:spacing w:after="0" w:line="270" w:lineRule="auto"/>
        <w:tabs>
          <w:tab w:leader="none" w:pos="860" w:val="left"/>
        </w:tabs>
        <w:rPr>
          <w:sz w:val="20"/>
          <w:szCs w:val="20"/>
          <w:color w:val="auto"/>
        </w:rPr>
      </w:pPr>
      <w:r>
        <w:rPr>
          <w:rFonts w:ascii="Arial" w:cs="Arial" w:eastAsia="Arial" w:hAnsi="Arial"/>
          <w:sz w:val="20"/>
          <w:szCs w:val="20"/>
          <w:color w:val="auto"/>
        </w:rPr>
        <w:t>10.16†</w:t>
      </w:r>
      <w:r>
        <w:rPr>
          <w:sz w:val="20"/>
          <w:szCs w:val="20"/>
          <w:color w:val="auto"/>
        </w:rPr>
        <w:tab/>
      </w:r>
      <w:r>
        <w:rPr>
          <w:rFonts w:ascii="Arial" w:cs="Arial" w:eastAsia="Arial" w:hAnsi="Arial"/>
          <w:sz w:val="17"/>
          <w:szCs w:val="17"/>
          <w:color w:val="auto"/>
        </w:rPr>
        <w:t>Form of Director Restricted Stock Unit Award Grant Notice, dated June 2020 and Director Restricted Stock Unit Award Agreement under the Company’s 2015 Incentive Award Plan (Non-Employee Directors), incorporated by reference to Exhibit 10.42 of the Company’s Annual Report on Form 10-K for the year ended December 31, 2020</w:t>
      </w:r>
    </w:p>
    <w:p>
      <w:pPr>
        <w:spacing w:after="0" w:line="2" w:lineRule="exact"/>
        <w:rPr>
          <w:sz w:val="20"/>
          <w:szCs w:val="20"/>
          <w:color w:val="auto"/>
        </w:rPr>
      </w:pPr>
    </w:p>
    <w:p>
      <w:pPr>
        <w:jc w:val="both"/>
        <w:ind w:left="880" w:hanging="798"/>
        <w:spacing w:after="0" w:line="279" w:lineRule="auto"/>
        <w:tabs>
          <w:tab w:leader="none" w:pos="860" w:val="left"/>
        </w:tabs>
        <w:rPr>
          <w:sz w:val="20"/>
          <w:szCs w:val="20"/>
          <w:color w:val="auto"/>
        </w:rPr>
      </w:pPr>
      <w:r>
        <w:rPr>
          <w:rFonts w:ascii="Arial" w:cs="Arial" w:eastAsia="Arial" w:hAnsi="Arial"/>
          <w:sz w:val="20"/>
          <w:szCs w:val="20"/>
          <w:color w:val="auto"/>
        </w:rPr>
        <w:t>10.17†</w:t>
      </w:r>
      <w:r>
        <w:rPr>
          <w:sz w:val="20"/>
          <w:szCs w:val="20"/>
          <w:color w:val="auto"/>
        </w:rPr>
        <w:tab/>
      </w:r>
      <w:r>
        <w:rPr>
          <w:rFonts w:ascii="Arial" w:cs="Arial" w:eastAsia="Arial" w:hAnsi="Arial"/>
          <w:sz w:val="17"/>
          <w:szCs w:val="17"/>
          <w:color w:val="auto"/>
        </w:rPr>
        <w:t>Service Agreement, effective August 1, 2021, between the Company and Alex Shvartsburg, incorporated by reference to Exhibit 10.1 of the Company’s Quarterly Report on Form 10-Q for the quarter ended June 30, 2021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wp:posOffset>
                </wp:positionH>
                <wp:positionV relativeFrom="paragraph">
                  <wp:posOffset>-281305</wp:posOffset>
                </wp:positionV>
                <wp:extent cx="6383655" cy="28829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288290"/>
                        </a:xfrm>
                        <a:prstGeom prst="rect">
                          <a:avLst/>
                        </a:prstGeom>
                        <a:solidFill>
                          <a:srgbClr val="E6E6E6"/>
                        </a:solidFill>
                      </wps:spPr>
                      <wps:bodyPr/>
                    </wps:wsp>
                  </a:graphicData>
                </a:graphic>
              </wp:anchor>
            </w:drawing>
          </mc:Choice>
          <mc:Fallback>
            <w:pict>
              <v:rect id="Shape 65" o:spid="_x0000_s1090" style="position:absolute;margin-left:-2.2999pt;margin-top:-22.1499pt;width:502.65pt;height:2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6354445</wp:posOffset>
                </wp:positionH>
                <wp:positionV relativeFrom="paragraph">
                  <wp:posOffset>-281940</wp:posOffset>
                </wp:positionV>
                <wp:extent cx="0" cy="288925"/>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8925"/>
                        </a:xfrm>
                        <a:prstGeom prst="line">
                          <a:avLst/>
                        </a:prstGeom>
                        <a:solidFill>
                          <a:srgbClr val="FFFFFF"/>
                        </a:solidFill>
                        <a:ln w="127">
                          <a:solidFill>
                            <a:srgbClr val="E6E6E6"/>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0.35pt,-22.1999pt" to="500.35pt,0.55pt" o:allowincell="f" strokecolor="#E6E6E6" strokeweight="0.01pt"/>
            </w:pict>
          </mc:Fallback>
        </mc:AlternateContent>
      </w:r>
    </w:p>
    <w:p>
      <w:pPr>
        <w:jc w:val="both"/>
        <w:ind w:left="880" w:hanging="798"/>
        <w:spacing w:after="0" w:line="225" w:lineRule="auto"/>
        <w:tabs>
          <w:tab w:leader="none" w:pos="860" w:val="left"/>
        </w:tabs>
        <w:rPr>
          <w:sz w:val="20"/>
          <w:szCs w:val="20"/>
          <w:color w:val="auto"/>
        </w:rPr>
      </w:pPr>
      <w:r>
        <w:rPr>
          <w:rFonts w:ascii="Arial" w:cs="Arial" w:eastAsia="Arial" w:hAnsi="Arial"/>
          <w:sz w:val="20"/>
          <w:szCs w:val="20"/>
          <w:color w:val="auto"/>
        </w:rPr>
        <w:t>10.18†</w:t>
        <w:tab/>
        <w:t>Letter, dated December 14, 2022, to Alex Shvartsburg regarding an increase in gross annual base salary, effective January 1, 2023, incorporated by reference to Exhibit 10.50 of the Company’s Annual Report on Form 10-K for the year ended December 31, 2022</w:t>
      </w:r>
    </w:p>
    <w:p>
      <w:pPr>
        <w:spacing w:after="0" w:line="15" w:lineRule="exact"/>
        <w:rPr>
          <w:sz w:val="20"/>
          <w:szCs w:val="20"/>
          <w:color w:val="auto"/>
        </w:rPr>
      </w:pPr>
    </w:p>
    <w:p>
      <w:pPr>
        <w:jc w:val="both"/>
        <w:ind w:left="880" w:hanging="749"/>
        <w:spacing w:after="0" w:line="238" w:lineRule="auto"/>
        <w:tabs>
          <w:tab w:leader="none" w:pos="860" w:val="left"/>
        </w:tabs>
        <w:rPr>
          <w:sz w:val="20"/>
          <w:szCs w:val="20"/>
          <w:color w:val="auto"/>
        </w:rPr>
      </w:pPr>
      <w:r>
        <w:rPr>
          <w:rFonts w:ascii="Arial" w:cs="Arial" w:eastAsia="Arial" w:hAnsi="Arial"/>
          <w:sz w:val="20"/>
          <w:szCs w:val="20"/>
          <w:color w:val="auto"/>
        </w:rPr>
        <w:t>10.19</w:t>
      </w:r>
      <w:r>
        <w:rPr>
          <w:sz w:val="20"/>
          <w:szCs w:val="20"/>
          <w:color w:val="auto"/>
        </w:rPr>
        <w:tab/>
      </w:r>
      <w:r>
        <w:rPr>
          <w:rFonts w:ascii="Arial" w:cs="Arial" w:eastAsia="Arial" w:hAnsi="Arial"/>
          <w:sz w:val="20"/>
          <w:szCs w:val="20"/>
          <w:color w:val="auto"/>
        </w:rPr>
        <w:t>First Lien Credit Agreement dated as of August 13, 2021 among LivaNova PLC, LivaNova USA, Inc., the lenders and issuing banks party thereto and Goldman Sachs Bank USA as First Lien Administrative Agent and First Lien Collateral Agent, incorporated by reference to Exhibit 10.1 of the Company’s Current Report on Form 8-K, filed on August 16, 2021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wp:posOffset>
                </wp:positionH>
                <wp:positionV relativeFrom="paragraph">
                  <wp:posOffset>-572135</wp:posOffset>
                </wp:positionV>
                <wp:extent cx="6383655" cy="587375"/>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587375"/>
                        </a:xfrm>
                        <a:prstGeom prst="rect">
                          <a:avLst/>
                        </a:prstGeom>
                        <a:solidFill>
                          <a:srgbClr val="E6E6E6"/>
                        </a:solidFill>
                      </wps:spPr>
                      <wps:bodyPr/>
                    </wps:wsp>
                  </a:graphicData>
                </a:graphic>
              </wp:anchor>
            </w:drawing>
          </mc:Choice>
          <mc:Fallback>
            <w:pict>
              <v:rect id="Shape 67" o:spid="_x0000_s1092" style="position:absolute;margin-left:-2.2999pt;margin-top:-45.0499pt;width:502.65pt;height:46.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6354445</wp:posOffset>
                </wp:positionH>
                <wp:positionV relativeFrom="paragraph">
                  <wp:posOffset>-572770</wp:posOffset>
                </wp:positionV>
                <wp:extent cx="0" cy="587375"/>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87375"/>
                        </a:xfrm>
                        <a:prstGeom prst="line">
                          <a:avLst/>
                        </a:prstGeom>
                        <a:solidFill>
                          <a:srgbClr val="FFFFFF"/>
                        </a:solidFill>
                        <a:ln w="127">
                          <a:solidFill>
                            <a:srgbClr val="E6E6E6"/>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0.35pt,-45.0999pt" to="500.35pt,1.15pt" o:allowincell="f" strokecolor="#E6E6E6" strokeweight="0.01pt"/>
            </w:pict>
          </mc:Fallback>
        </mc:AlternateContent>
      </w:r>
    </w:p>
    <w:p>
      <w:pPr>
        <w:jc w:val="both"/>
        <w:ind w:left="880" w:hanging="749"/>
        <w:spacing w:after="0" w:line="238" w:lineRule="auto"/>
        <w:tabs>
          <w:tab w:leader="none" w:pos="860" w:val="left"/>
        </w:tabs>
        <w:rPr>
          <w:sz w:val="20"/>
          <w:szCs w:val="20"/>
          <w:color w:val="auto"/>
        </w:rPr>
      </w:pPr>
      <w:r>
        <w:rPr>
          <w:rFonts w:ascii="Arial" w:cs="Arial" w:eastAsia="Arial" w:hAnsi="Arial"/>
          <w:sz w:val="20"/>
          <w:szCs w:val="20"/>
          <w:color w:val="auto"/>
        </w:rPr>
        <w:t>10.20</w:t>
      </w:r>
      <w:r>
        <w:rPr>
          <w:sz w:val="20"/>
          <w:szCs w:val="20"/>
          <w:color w:val="auto"/>
        </w:rPr>
        <w:tab/>
      </w:r>
      <w:r>
        <w:rPr>
          <w:rFonts w:ascii="Arial" w:cs="Arial" w:eastAsia="Arial" w:hAnsi="Arial"/>
          <w:sz w:val="20"/>
          <w:szCs w:val="20"/>
          <w:color w:val="auto"/>
        </w:rPr>
        <w:t>Incremental Facility Amendment No. 1 to Credit Agreement, dated as of February 24, 2022, by and among LivaNova PLC, LivaNova USA, Inc., the lenders and issuing banks party thereto and Goldman Sachs Bank USA as First Lien Administrative Agent, incorporated by reference to Exhibit 10.51 of the Company’s Annual Report on Form 10-K for the year ended December 31, 2021</w:t>
      </w:r>
    </w:p>
    <w:p>
      <w:pPr>
        <w:spacing w:after="0" w:line="14" w:lineRule="exact"/>
        <w:rPr>
          <w:sz w:val="20"/>
          <w:szCs w:val="20"/>
          <w:color w:val="auto"/>
        </w:rPr>
      </w:pPr>
    </w:p>
    <w:p>
      <w:pPr>
        <w:jc w:val="both"/>
        <w:ind w:left="880" w:hanging="749"/>
        <w:spacing w:after="0" w:line="238" w:lineRule="auto"/>
        <w:tabs>
          <w:tab w:leader="none" w:pos="860" w:val="left"/>
        </w:tabs>
        <w:rPr>
          <w:sz w:val="20"/>
          <w:szCs w:val="20"/>
          <w:color w:val="auto"/>
        </w:rPr>
      </w:pPr>
      <w:r>
        <w:rPr>
          <w:rFonts w:ascii="Arial" w:cs="Arial" w:eastAsia="Arial" w:hAnsi="Arial"/>
          <w:sz w:val="20"/>
          <w:szCs w:val="20"/>
          <w:color w:val="auto"/>
        </w:rPr>
        <w:t>10.21</w:t>
      </w:r>
      <w:r>
        <w:rPr>
          <w:sz w:val="20"/>
          <w:szCs w:val="20"/>
          <w:color w:val="auto"/>
        </w:rPr>
        <w:tab/>
      </w:r>
      <w:r>
        <w:rPr>
          <w:rFonts w:ascii="Arial" w:cs="Arial" w:eastAsia="Arial" w:hAnsi="Arial"/>
          <w:sz w:val="20"/>
          <w:szCs w:val="20"/>
          <w:color w:val="auto"/>
        </w:rPr>
        <w:t>Letter of indemnity in respect of the issuance of Trade Finance guarantee by Barclays Bank Ireland PLC, Italy Branch dated March 18, 2022, by and among LivaNova PLC Italian Branch and Barclays Bank Ireland PLC, Italy Branch, incorporated by reference to Exhibit 10.1 of the Company’s Current Report on Form 8-K, filed on March 21, 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wp:posOffset>
                </wp:positionH>
                <wp:positionV relativeFrom="paragraph">
                  <wp:posOffset>-572135</wp:posOffset>
                </wp:positionV>
                <wp:extent cx="6383655" cy="587375"/>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587375"/>
                        </a:xfrm>
                        <a:prstGeom prst="rect">
                          <a:avLst/>
                        </a:prstGeom>
                        <a:solidFill>
                          <a:srgbClr val="E6E6E6"/>
                        </a:solidFill>
                      </wps:spPr>
                      <wps:bodyPr/>
                    </wps:wsp>
                  </a:graphicData>
                </a:graphic>
              </wp:anchor>
            </w:drawing>
          </mc:Choice>
          <mc:Fallback>
            <w:pict>
              <v:rect id="Shape 69" o:spid="_x0000_s1094" style="position:absolute;margin-left:-2.2999pt;margin-top:-45.0499pt;width:502.65pt;height:46.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6354445</wp:posOffset>
                </wp:positionH>
                <wp:positionV relativeFrom="paragraph">
                  <wp:posOffset>-572770</wp:posOffset>
                </wp:positionV>
                <wp:extent cx="0" cy="587375"/>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87375"/>
                        </a:xfrm>
                        <a:prstGeom prst="line">
                          <a:avLst/>
                        </a:prstGeom>
                        <a:solidFill>
                          <a:srgbClr val="FFFFFF"/>
                        </a:solidFill>
                        <a:ln w="127">
                          <a:solidFill>
                            <a:srgbClr val="E6E6E6"/>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0.35pt,-45.0999pt" to="500.35pt,1.15pt" o:allowincell="f" strokecolor="#E6E6E6" strokeweight="0.01pt"/>
            </w:pict>
          </mc:Fallback>
        </mc:AlternateContent>
      </w:r>
    </w:p>
    <w:p>
      <w:pPr>
        <w:jc w:val="both"/>
        <w:ind w:left="880" w:hanging="749"/>
        <w:spacing w:after="0" w:line="243" w:lineRule="auto"/>
        <w:tabs>
          <w:tab w:leader="none" w:pos="860" w:val="left"/>
        </w:tabs>
        <w:rPr>
          <w:sz w:val="20"/>
          <w:szCs w:val="20"/>
          <w:color w:val="auto"/>
        </w:rPr>
      </w:pPr>
      <w:r>
        <w:rPr>
          <w:rFonts w:ascii="Arial" w:cs="Arial" w:eastAsia="Arial" w:hAnsi="Arial"/>
          <w:sz w:val="20"/>
          <w:szCs w:val="20"/>
          <w:color w:val="auto"/>
        </w:rPr>
        <w:t>10.22</w:t>
      </w:r>
      <w:r>
        <w:rPr>
          <w:sz w:val="20"/>
          <w:szCs w:val="20"/>
          <w:color w:val="auto"/>
        </w:rPr>
        <w:tab/>
      </w:r>
      <w:r>
        <w:rPr>
          <w:rFonts w:ascii="Arial" w:cs="Arial" w:eastAsia="Arial" w:hAnsi="Arial"/>
          <w:sz w:val="20"/>
          <w:szCs w:val="20"/>
          <w:color w:val="auto"/>
        </w:rPr>
        <w:t>Pledge Agreement dated as of March 18, 2022, among LivaNova PLC Italian Branch and Barclays Bank Ireland PLC, Italy Branch, incorporated by reference to Exhibit 10.2 of the Company’s Current Report on Form 8-K, filed on March 21, 2022</w:t>
      </w:r>
    </w:p>
    <w:p>
      <w:pPr>
        <w:spacing w:after="0" w:line="7" w:lineRule="exact"/>
        <w:rPr>
          <w:sz w:val="20"/>
          <w:szCs w:val="20"/>
          <w:color w:val="auto"/>
        </w:rPr>
      </w:pPr>
    </w:p>
    <w:p>
      <w:pPr>
        <w:jc w:val="both"/>
        <w:ind w:left="880" w:hanging="749"/>
        <w:spacing w:after="0" w:line="288" w:lineRule="auto"/>
        <w:tabs>
          <w:tab w:leader="none" w:pos="860" w:val="left"/>
        </w:tabs>
        <w:rPr>
          <w:sz w:val="20"/>
          <w:szCs w:val="20"/>
          <w:color w:val="auto"/>
        </w:rPr>
      </w:pPr>
      <w:r>
        <w:rPr>
          <w:rFonts w:ascii="Arial" w:cs="Arial" w:eastAsia="Arial" w:hAnsi="Arial"/>
          <w:sz w:val="20"/>
          <w:szCs w:val="20"/>
          <w:color w:val="auto"/>
        </w:rPr>
        <w:t>10.23</w:t>
      </w:r>
      <w:r>
        <w:rPr>
          <w:sz w:val="20"/>
          <w:szCs w:val="20"/>
          <w:color w:val="auto"/>
        </w:rPr>
        <w:tab/>
      </w:r>
      <w:r>
        <w:rPr>
          <w:rFonts w:ascii="Arial" w:cs="Arial" w:eastAsia="Arial" w:hAnsi="Arial"/>
          <w:sz w:val="17"/>
          <w:szCs w:val="17"/>
          <w:color w:val="auto"/>
        </w:rPr>
        <w:t>Amendment 2 to the Credit Agreement, dated as of March 16, 2022, by and among LivaNova PLC, LivaNova USA, Inc., the Lenders and Goldman Sachs Bank USA as First Lien Administrative Agent, incorporated by reference to Exhibit 10.1 of the Company's Quarterly Report on Form 10-Q, filed on May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-440055</wp:posOffset>
            </wp:positionV>
            <wp:extent cx="6397625" cy="11982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55">
                      <a:extLst>
                        <a:ext uri="{28A0092B-C50C-407E-A947-70E740481C1C}"/>
                      </a:extLst>
                    </a:blip>
                    <a:srcRect/>
                    <a:stretch>
                      <a:fillRect/>
                    </a:stretch>
                  </pic:blipFill>
                  <pic:spPr bwMode="auto">
                    <a:xfrm>
                      <a:off x="0" y="0"/>
                      <a:ext cx="6397625" cy="1198245"/>
                    </a:xfrm>
                    <a:prstGeom prst="rect">
                      <a:avLst/>
                    </a:prstGeom>
                    <a:noFill/>
                  </pic:spPr>
                </pic:pic>
              </a:graphicData>
            </a:graphic>
          </wp:anchor>
        </w:drawing>
      </w:r>
    </w:p>
    <w:p>
      <w:pPr>
        <w:jc w:val="both"/>
        <w:ind w:left="880" w:hanging="749"/>
        <w:spacing w:after="0" w:line="236" w:lineRule="auto"/>
        <w:tabs>
          <w:tab w:leader="none" w:pos="860" w:val="left"/>
        </w:tabs>
        <w:rPr>
          <w:sz w:val="20"/>
          <w:szCs w:val="20"/>
          <w:color w:val="auto"/>
        </w:rPr>
      </w:pPr>
      <w:r>
        <w:rPr>
          <w:rFonts w:ascii="Arial" w:cs="Arial" w:eastAsia="Arial" w:hAnsi="Arial"/>
          <w:sz w:val="20"/>
          <w:szCs w:val="20"/>
          <w:color w:val="auto"/>
        </w:rPr>
        <w:t>10.24</w:t>
      </w:r>
      <w:r>
        <w:rPr>
          <w:sz w:val="20"/>
          <w:szCs w:val="20"/>
          <w:color w:val="auto"/>
        </w:rPr>
        <w:tab/>
      </w:r>
      <w:r>
        <w:rPr>
          <w:rFonts w:ascii="Arial" w:cs="Arial" w:eastAsia="Arial" w:hAnsi="Arial"/>
          <w:sz w:val="20"/>
          <w:szCs w:val="20"/>
          <w:color w:val="auto"/>
        </w:rPr>
        <w:t>Incremental Facility Amendment No. 2 to Credit Agreement, dated as of July 6, 2022, by and among LivaNova PLC, LivaNova USA, Inc., the Second Incremental Term Lenders, Delayed Draw Incremental Lenders, Goldman Sachs Bank USA, the Revolving Lenders and Issuing Banks, and for purposes of Sections 8 and 10 only, the other Loan Parties as of the date hereof., incorporated by reference to Exhibit 10.1 of the Company’s Current Report on Form 8-K, filed on July 6, 2022</w:t>
      </w:r>
    </w:p>
    <w:p>
      <w:pPr>
        <w:sectPr>
          <w:pgSz w:w="11880" w:h="15480" w:orient="portrait"/>
          <w:cols w:equalWidth="0" w:num="1">
            <w:col w:w="9960"/>
          </w:cols>
          <w:pgMar w:left="960" w:top="67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880" w:h="15480" w:orient="portrait"/>
          <w:cols w:equalWidth="0" w:num="1">
            <w:col w:w="9960"/>
          </w:cols>
          <w:pgMar w:left="960" w:top="679" w:right="960" w:bottom="0" w:gutter="0" w:footer="0" w:header="0"/>
          <w:type w:val="continuous"/>
        </w:sectPr>
      </w:pPr>
    </w:p>
    <w:bookmarkStart w:id="53" w:name="page54"/>
    <w:bookmarkEnd w:id="53"/>
    <w:p>
      <w:pPr>
        <w:ind w:left="40"/>
        <w:spacing w:after="0"/>
        <w:rPr>
          <w:sz w:val="20"/>
          <w:szCs w:val="20"/>
          <w:color w:val="auto"/>
        </w:rPr>
      </w:pPr>
      <w:r>
        <w:rPr>
          <w:rFonts w:ascii="Arial" w:cs="Arial" w:eastAsia="Arial" w:hAnsi="Arial"/>
          <w:sz w:val="20"/>
          <w:szCs w:val="20"/>
          <w:b w:val="1"/>
          <w:bCs w:val="1"/>
          <w:color w:val="auto"/>
        </w:rPr>
        <w:t>Exhibit</w:t>
      </w:r>
    </w:p>
    <w:p>
      <w:pPr>
        <w:spacing w:after="0"/>
        <w:tabs>
          <w:tab w:leader="none" w:pos="860" w:val="left"/>
        </w:tabs>
        <w:rPr>
          <w:sz w:val="20"/>
          <w:szCs w:val="20"/>
          <w:color w:val="auto"/>
        </w:rPr>
      </w:pPr>
      <w:r>
        <w:rPr>
          <w:rFonts w:ascii="Arial" w:cs="Arial" w:eastAsia="Arial" w:hAnsi="Arial"/>
          <w:sz w:val="20"/>
          <w:szCs w:val="20"/>
          <w:b w:val="1"/>
          <w:bCs w:val="1"/>
          <w:u w:val="single" w:color="auto"/>
          <w:color w:val="auto"/>
        </w:rPr>
        <w:t>Number</w:t>
      </w:r>
      <w:r>
        <w:rPr>
          <w:sz w:val="20"/>
          <w:szCs w:val="20"/>
          <w:color w:val="auto"/>
        </w:rPr>
        <w:tab/>
      </w:r>
      <w:r>
        <w:rPr>
          <w:rFonts w:ascii="Arial" w:cs="Arial" w:eastAsia="Arial" w:hAnsi="Arial"/>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14605</wp:posOffset>
            </wp:positionV>
            <wp:extent cx="6410325" cy="7499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56">
                      <a:extLst>
                        <a:ext uri="{28A0092B-C50C-407E-A947-70E740481C1C}"/>
                      </a:extLst>
                    </a:blip>
                    <a:srcRect/>
                    <a:stretch>
                      <a:fillRect/>
                    </a:stretch>
                  </pic:blipFill>
                  <pic:spPr bwMode="auto">
                    <a:xfrm>
                      <a:off x="0" y="0"/>
                      <a:ext cx="6410325" cy="749935"/>
                    </a:xfrm>
                    <a:prstGeom prst="rect">
                      <a:avLst/>
                    </a:prstGeom>
                    <a:noFill/>
                  </pic:spPr>
                </pic:pic>
              </a:graphicData>
            </a:graphic>
          </wp:anchor>
        </w:drawing>
      </w:r>
    </w:p>
    <w:p>
      <w:pPr>
        <w:spacing w:after="0" w:line="13" w:lineRule="exact"/>
        <w:rPr>
          <w:sz w:val="20"/>
          <w:szCs w:val="20"/>
          <w:color w:val="auto"/>
        </w:rPr>
      </w:pPr>
    </w:p>
    <w:p>
      <w:pPr>
        <w:jc w:val="both"/>
        <w:ind w:left="880" w:hanging="749"/>
        <w:spacing w:after="0" w:line="236" w:lineRule="auto"/>
        <w:tabs>
          <w:tab w:leader="none" w:pos="860" w:val="left"/>
        </w:tabs>
        <w:rPr>
          <w:sz w:val="20"/>
          <w:szCs w:val="20"/>
          <w:color w:val="auto"/>
        </w:rPr>
      </w:pPr>
      <w:r>
        <w:rPr>
          <w:rFonts w:ascii="Arial" w:cs="Arial" w:eastAsia="Arial" w:hAnsi="Arial"/>
          <w:sz w:val="20"/>
          <w:szCs w:val="20"/>
          <w:color w:val="auto"/>
        </w:rPr>
        <w:t>10.25</w:t>
        <w:tab/>
        <w:t>Incremental Facility Amendment No. 3 to Credit Agreement, dated as of March 8, 2024, by and among LivaNova PLC, LivaNova USA, Inc., the Third Incremental Amendment Revolving Lenders, Goldman Sachs Bank USA, the Term Lenders parties hereto, the Issuing Banks, the Swingline Lenders and, for purposes of Sections 7 and 9 only, the other Loan Parties as of the date hereof, incorporated by reference to Exhibit 10.2 of the Company’s Current Report on Form 8-K filed on March 8, 2024</w:t>
      </w:r>
    </w:p>
    <w:p>
      <w:pPr>
        <w:spacing w:after="0" w:line="31" w:lineRule="exact"/>
        <w:rPr>
          <w:sz w:val="20"/>
          <w:szCs w:val="20"/>
          <w:color w:val="auto"/>
        </w:rPr>
      </w:pPr>
    </w:p>
    <w:p>
      <w:pPr>
        <w:jc w:val="both"/>
        <w:ind w:left="880" w:hanging="798"/>
        <w:spacing w:after="0" w:line="253" w:lineRule="auto"/>
        <w:tabs>
          <w:tab w:leader="none" w:pos="860" w:val="left"/>
        </w:tabs>
        <w:rPr>
          <w:sz w:val="20"/>
          <w:szCs w:val="20"/>
          <w:color w:val="auto"/>
        </w:rPr>
      </w:pPr>
      <w:r>
        <w:rPr>
          <w:rFonts w:ascii="Arial" w:cs="Arial" w:eastAsia="Arial" w:hAnsi="Arial"/>
          <w:sz w:val="20"/>
          <w:szCs w:val="20"/>
          <w:color w:val="auto"/>
        </w:rPr>
        <w:t>10.26†</w:t>
        <w:tab/>
        <w:t>Amendment to the LivaNova PLC 2015 Incentive Award Plan, dated 13 June 2022, incorporated by reference to Exhibit 10.1 of the Company’s Quarterly Report on Form 10-Q, filed on August 3, 2022</w:t>
      </w:r>
    </w:p>
    <w:p>
      <w:pPr>
        <w:jc w:val="both"/>
        <w:ind w:left="880" w:hanging="798"/>
        <w:spacing w:after="0" w:line="253" w:lineRule="auto"/>
        <w:tabs>
          <w:tab w:leader="none" w:pos="860" w:val="left"/>
        </w:tabs>
        <w:rPr>
          <w:sz w:val="20"/>
          <w:szCs w:val="20"/>
          <w:color w:val="auto"/>
        </w:rPr>
      </w:pPr>
      <w:r>
        <w:rPr>
          <w:rFonts w:ascii="Arial" w:cs="Arial" w:eastAsia="Arial" w:hAnsi="Arial"/>
          <w:sz w:val="20"/>
          <w:szCs w:val="20"/>
          <w:color w:val="auto"/>
        </w:rPr>
        <w:t>10.27†</w:t>
        <w:tab/>
        <w:t>Amendment No. 2 to the LivaNova PLC 2015 Incentive Award Plan, incorporated by reference to Exhibit 10.2 of the Company’s Current Report on Form 8-K, filed on June 12,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wp:posOffset>
                </wp:positionH>
                <wp:positionV relativeFrom="paragraph">
                  <wp:posOffset>-300990</wp:posOffset>
                </wp:positionV>
                <wp:extent cx="6383655" cy="30734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307340"/>
                        </a:xfrm>
                        <a:prstGeom prst="rect">
                          <a:avLst/>
                        </a:prstGeom>
                        <a:solidFill>
                          <a:srgbClr val="E6E6E6"/>
                        </a:solidFill>
                      </wps:spPr>
                      <wps:bodyPr/>
                    </wps:wsp>
                  </a:graphicData>
                </a:graphic>
              </wp:anchor>
            </w:drawing>
          </mc:Choice>
          <mc:Fallback>
            <w:pict>
              <v:rect id="Shape 73" o:spid="_x0000_s1098" style="position:absolute;margin-left:-2.2999pt;margin-top:-23.6999pt;width:502.65pt;height:2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jc w:val="both"/>
        <w:ind w:left="880" w:hanging="798"/>
        <w:spacing w:after="0" w:line="243" w:lineRule="auto"/>
        <w:tabs>
          <w:tab w:leader="none" w:pos="860" w:val="left"/>
        </w:tabs>
        <w:rPr>
          <w:sz w:val="20"/>
          <w:szCs w:val="20"/>
          <w:color w:val="auto"/>
        </w:rPr>
      </w:pPr>
      <w:r>
        <w:rPr>
          <w:rFonts w:ascii="Arial" w:cs="Arial" w:eastAsia="Arial" w:hAnsi="Arial"/>
          <w:sz w:val="20"/>
          <w:szCs w:val="20"/>
          <w:color w:val="auto"/>
        </w:rPr>
        <w:t>10.28†</w:t>
        <w:tab/>
        <w:t>Form of LivaNova PLC 2022 Incentive Award Plan Stock Appreciation Right Grant Notice and Agreement, incorporated by reference to Exhibit 10.3 of the Company’s Quarterly Report on Form 10-Q, filed on August 3, 2022</w:t>
      </w:r>
    </w:p>
    <w:p>
      <w:pPr>
        <w:spacing w:after="0" w:line="7" w:lineRule="exact"/>
        <w:rPr>
          <w:sz w:val="20"/>
          <w:szCs w:val="20"/>
          <w:color w:val="auto"/>
        </w:rPr>
      </w:pPr>
    </w:p>
    <w:p>
      <w:pPr>
        <w:jc w:val="both"/>
        <w:ind w:left="880" w:hanging="798"/>
        <w:spacing w:after="0" w:line="243" w:lineRule="auto"/>
        <w:tabs>
          <w:tab w:leader="none" w:pos="860" w:val="left"/>
        </w:tabs>
        <w:rPr>
          <w:sz w:val="20"/>
          <w:szCs w:val="20"/>
          <w:color w:val="auto"/>
        </w:rPr>
      </w:pPr>
      <w:r>
        <w:rPr>
          <w:rFonts w:ascii="Arial" w:cs="Arial" w:eastAsia="Arial" w:hAnsi="Arial"/>
          <w:sz w:val="20"/>
          <w:szCs w:val="20"/>
          <w:color w:val="auto"/>
        </w:rPr>
        <w:t>10.29†</w:t>
        <w:tab/>
        <w:t>Form of LivaNova PLC 2022 Incentive Award Plan Restricted Stock Unit Award Grant Notice and Agreement, incorporated by reference to Exhibit 10.4 of the Company’s Quarterly Report on Form 10-Q, filed on August 3, 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wp:posOffset>
                </wp:positionH>
                <wp:positionV relativeFrom="paragraph">
                  <wp:posOffset>-436880</wp:posOffset>
                </wp:positionV>
                <wp:extent cx="6383655" cy="447675"/>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447675"/>
                        </a:xfrm>
                        <a:prstGeom prst="rect">
                          <a:avLst/>
                        </a:prstGeom>
                        <a:solidFill>
                          <a:srgbClr val="E6E6E6"/>
                        </a:solidFill>
                      </wps:spPr>
                      <wps:bodyPr/>
                    </wps:wsp>
                  </a:graphicData>
                </a:graphic>
              </wp:anchor>
            </w:drawing>
          </mc:Choice>
          <mc:Fallback>
            <w:pict>
              <v:rect id="Shape 74" o:spid="_x0000_s1099" style="position:absolute;margin-left:-2.2999pt;margin-top:-34.3999pt;width:502.65pt;height:35.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jc w:val="both"/>
        <w:ind w:left="880" w:hanging="798"/>
        <w:spacing w:after="0" w:line="243" w:lineRule="auto"/>
        <w:tabs>
          <w:tab w:leader="none" w:pos="860" w:val="left"/>
        </w:tabs>
        <w:rPr>
          <w:sz w:val="20"/>
          <w:szCs w:val="20"/>
          <w:color w:val="auto"/>
        </w:rPr>
      </w:pPr>
      <w:r>
        <w:rPr>
          <w:rFonts w:ascii="Arial" w:cs="Arial" w:eastAsia="Arial" w:hAnsi="Arial"/>
          <w:sz w:val="20"/>
          <w:szCs w:val="20"/>
          <w:color w:val="auto"/>
        </w:rPr>
        <w:t>10.30†</w:t>
        <w:tab/>
        <w:t>Form of LivaNova PLC 2022 Incentive Award Plan Performance Stock Unit Award Grant Notice and Agreement, incorporated by reference to Exhibit 10.5 of the Company’s Quarterly Report on Form 10-Q, filed on August 3, 2022</w:t>
      </w:r>
    </w:p>
    <w:p>
      <w:pPr>
        <w:spacing w:after="0" w:line="7" w:lineRule="exact"/>
        <w:rPr>
          <w:sz w:val="20"/>
          <w:szCs w:val="20"/>
          <w:color w:val="auto"/>
        </w:rPr>
      </w:pPr>
    </w:p>
    <w:p>
      <w:pPr>
        <w:jc w:val="both"/>
        <w:ind w:left="880" w:hanging="798"/>
        <w:spacing w:after="0" w:line="243" w:lineRule="auto"/>
        <w:tabs>
          <w:tab w:leader="none" w:pos="860" w:val="left"/>
        </w:tabs>
        <w:rPr>
          <w:sz w:val="20"/>
          <w:szCs w:val="20"/>
          <w:color w:val="auto"/>
        </w:rPr>
      </w:pPr>
      <w:r>
        <w:rPr>
          <w:rFonts w:ascii="Arial" w:cs="Arial" w:eastAsia="Arial" w:hAnsi="Arial"/>
          <w:sz w:val="20"/>
          <w:szCs w:val="20"/>
          <w:color w:val="auto"/>
        </w:rPr>
        <w:t>10.31†</w:t>
        <w:tab/>
        <w:t>Amendment to Outstanding 2021 and 2022 Performance Stock Unit Awards under the LivaNova PLC 2015 Incentive Award Plan, incorporated by reference to Exhibit 10.7 of the Company’s Quarterly Report on Form 10-Q, filed on August 3, 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wp:posOffset>
                </wp:positionH>
                <wp:positionV relativeFrom="paragraph">
                  <wp:posOffset>-436880</wp:posOffset>
                </wp:positionV>
                <wp:extent cx="6383655" cy="447675"/>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447675"/>
                        </a:xfrm>
                        <a:prstGeom prst="rect">
                          <a:avLst/>
                        </a:prstGeom>
                        <a:solidFill>
                          <a:srgbClr val="E6E6E6"/>
                        </a:solidFill>
                      </wps:spPr>
                      <wps:bodyPr/>
                    </wps:wsp>
                  </a:graphicData>
                </a:graphic>
              </wp:anchor>
            </w:drawing>
          </mc:Choice>
          <mc:Fallback>
            <w:pict>
              <v:rect id="Shape 75" o:spid="_x0000_s1100" style="position:absolute;margin-left:-2.2999pt;margin-top:-34.3999pt;width:502.65pt;height:35.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jc w:val="both"/>
        <w:ind w:left="880" w:hanging="798"/>
        <w:spacing w:after="0" w:line="243" w:lineRule="auto"/>
        <w:tabs>
          <w:tab w:leader="none" w:pos="860" w:val="left"/>
        </w:tabs>
        <w:rPr>
          <w:sz w:val="20"/>
          <w:szCs w:val="20"/>
          <w:color w:val="auto"/>
        </w:rPr>
      </w:pPr>
      <w:r>
        <w:rPr>
          <w:rFonts w:ascii="Arial" w:cs="Arial" w:eastAsia="Arial" w:hAnsi="Arial"/>
          <w:sz w:val="20"/>
          <w:szCs w:val="20"/>
          <w:color w:val="auto"/>
        </w:rPr>
        <w:t>10.32†</w:t>
        <w:tab/>
        <w:t>Amendment to relevant 2020, 2021, and 2022 Restricted Stock Unit Awards under the LivaNova PLC 2015 Incentive Award Plan, incorporated by reference to Exhibit 10.8 of the Company’s Quarterly Report on Form 10-Q, filed on August 3, 2022</w:t>
      </w:r>
    </w:p>
    <w:p>
      <w:pPr>
        <w:spacing w:after="0" w:line="7" w:lineRule="exact"/>
        <w:rPr>
          <w:sz w:val="20"/>
          <w:szCs w:val="20"/>
          <w:color w:val="auto"/>
        </w:rPr>
      </w:pPr>
    </w:p>
    <w:p>
      <w:pPr>
        <w:jc w:val="both"/>
        <w:ind w:left="880" w:hanging="798"/>
        <w:spacing w:after="0" w:line="243" w:lineRule="auto"/>
        <w:tabs>
          <w:tab w:leader="none" w:pos="860" w:val="left"/>
        </w:tabs>
        <w:rPr>
          <w:sz w:val="20"/>
          <w:szCs w:val="20"/>
          <w:color w:val="auto"/>
        </w:rPr>
      </w:pPr>
      <w:r>
        <w:rPr>
          <w:rFonts w:ascii="Arial" w:cs="Arial" w:eastAsia="Arial" w:hAnsi="Arial"/>
          <w:sz w:val="20"/>
          <w:szCs w:val="20"/>
          <w:color w:val="auto"/>
        </w:rPr>
        <w:t>10.33†</w:t>
        <w:tab/>
        <w:t>Form of LivaNova PLC 2022 Incentive Award Plan Stock Appreciation Right Grant Notice and Agreement, effective February 2023, incorporated by reference to Exhibit 10.1 of the Company’s Quarterly Report on Form 10-Q for the quarter ended March 31,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wp:posOffset>
                </wp:positionH>
                <wp:positionV relativeFrom="paragraph">
                  <wp:posOffset>-436880</wp:posOffset>
                </wp:positionV>
                <wp:extent cx="6383655" cy="447675"/>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447675"/>
                        </a:xfrm>
                        <a:prstGeom prst="rect">
                          <a:avLst/>
                        </a:prstGeom>
                        <a:solidFill>
                          <a:srgbClr val="E6E6E6"/>
                        </a:solidFill>
                      </wps:spPr>
                      <wps:bodyPr/>
                    </wps:wsp>
                  </a:graphicData>
                </a:graphic>
              </wp:anchor>
            </w:drawing>
          </mc:Choice>
          <mc:Fallback>
            <w:pict>
              <v:rect id="Shape 76" o:spid="_x0000_s1101" style="position:absolute;margin-left:-2.2999pt;margin-top:-34.3999pt;width:502.65pt;height:35.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jc w:val="both"/>
        <w:ind w:left="880" w:hanging="798"/>
        <w:spacing w:after="0" w:line="243" w:lineRule="auto"/>
        <w:tabs>
          <w:tab w:leader="none" w:pos="860" w:val="left"/>
        </w:tabs>
        <w:rPr>
          <w:sz w:val="20"/>
          <w:szCs w:val="20"/>
          <w:color w:val="auto"/>
        </w:rPr>
      </w:pPr>
      <w:r>
        <w:rPr>
          <w:rFonts w:ascii="Arial" w:cs="Arial" w:eastAsia="Arial" w:hAnsi="Arial"/>
          <w:sz w:val="20"/>
          <w:szCs w:val="20"/>
          <w:color w:val="auto"/>
        </w:rPr>
        <w:t>10.34†</w:t>
        <w:tab/>
        <w:t>Form of LivaNova PLC 2022 Incentive Award Plan Restricted Stock Unit Award Grant Notice and Agreement, effective February 2023, incorporated by reference to Exhibit 10.2 of the Company’s Quarterly Report on Form 10-Q for the quarter ended March 31, 2023</w:t>
      </w:r>
    </w:p>
    <w:p>
      <w:pPr>
        <w:spacing w:after="0" w:line="7" w:lineRule="exact"/>
        <w:rPr>
          <w:sz w:val="20"/>
          <w:szCs w:val="20"/>
          <w:color w:val="auto"/>
        </w:rPr>
      </w:pPr>
    </w:p>
    <w:p>
      <w:pPr>
        <w:jc w:val="both"/>
        <w:ind w:left="880" w:hanging="798"/>
        <w:spacing w:after="0" w:line="225" w:lineRule="auto"/>
        <w:tabs>
          <w:tab w:leader="none" w:pos="860" w:val="left"/>
        </w:tabs>
        <w:rPr>
          <w:sz w:val="20"/>
          <w:szCs w:val="20"/>
          <w:color w:val="auto"/>
        </w:rPr>
      </w:pPr>
      <w:r>
        <w:rPr>
          <w:rFonts w:ascii="Arial" w:cs="Arial" w:eastAsia="Arial" w:hAnsi="Arial"/>
          <w:sz w:val="20"/>
          <w:szCs w:val="20"/>
          <w:color w:val="auto"/>
        </w:rPr>
        <w:t>10.35†</w:t>
        <w:tab/>
        <w:t>Form of LivaNova PLC 2022 Incentive Award Plan Performance Stock Unit Award Grant Notice and Agreement, effective February 2023, incorporated by reference to Exhibit 10.3 of the Company’s Quarterly Report on Form 10-Q for the quarter ended March 31,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wp:posOffset>
                </wp:positionH>
                <wp:positionV relativeFrom="paragraph">
                  <wp:posOffset>-403860</wp:posOffset>
                </wp:positionV>
                <wp:extent cx="6383655" cy="419735"/>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419735"/>
                        </a:xfrm>
                        <a:prstGeom prst="rect">
                          <a:avLst/>
                        </a:prstGeom>
                        <a:solidFill>
                          <a:srgbClr val="E6E6E6"/>
                        </a:solidFill>
                      </wps:spPr>
                      <wps:bodyPr/>
                    </wps:wsp>
                  </a:graphicData>
                </a:graphic>
              </wp:anchor>
            </w:drawing>
          </mc:Choice>
          <mc:Fallback>
            <w:pict>
              <v:rect id="Shape 77" o:spid="_x0000_s1102" style="position:absolute;margin-left:-2.2999pt;margin-top:-31.7999pt;width:502.65pt;height:33.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jc w:val="both"/>
        <w:ind w:left="880" w:hanging="798"/>
        <w:spacing w:after="0" w:line="225" w:lineRule="auto"/>
        <w:tabs>
          <w:tab w:leader="none" w:pos="860" w:val="left"/>
        </w:tabs>
        <w:rPr>
          <w:sz w:val="20"/>
          <w:szCs w:val="20"/>
          <w:color w:val="auto"/>
        </w:rPr>
      </w:pPr>
      <w:r>
        <w:rPr>
          <w:rFonts w:ascii="Arial" w:cs="Arial" w:eastAsia="Arial" w:hAnsi="Arial"/>
          <w:sz w:val="20"/>
          <w:szCs w:val="20"/>
          <w:color w:val="auto"/>
        </w:rPr>
        <w:t>10.36†</w:t>
        <w:tab/>
        <w:t>Amendment to Form of LivaNova PLC 2022 Incentive Award Plan Stock Appreciation Right Grant Notice and Agreement, incorporated by reference to Exhibit 10.51 of the Company’s Annual Report on Form 10-K for the year ended December 31, 2022</w:t>
      </w:r>
    </w:p>
    <w:p>
      <w:pPr>
        <w:spacing w:after="0" w:line="15" w:lineRule="exact"/>
        <w:rPr>
          <w:sz w:val="20"/>
          <w:szCs w:val="20"/>
          <w:color w:val="auto"/>
        </w:rPr>
      </w:pPr>
    </w:p>
    <w:p>
      <w:pPr>
        <w:jc w:val="both"/>
        <w:ind w:left="880" w:hanging="798"/>
        <w:spacing w:after="0" w:line="225" w:lineRule="auto"/>
        <w:tabs>
          <w:tab w:leader="none" w:pos="860" w:val="left"/>
        </w:tabs>
        <w:rPr>
          <w:sz w:val="20"/>
          <w:szCs w:val="20"/>
          <w:color w:val="auto"/>
        </w:rPr>
      </w:pPr>
      <w:r>
        <w:rPr>
          <w:rFonts w:ascii="Arial" w:cs="Arial" w:eastAsia="Arial" w:hAnsi="Arial"/>
          <w:sz w:val="20"/>
          <w:szCs w:val="20"/>
          <w:color w:val="auto"/>
        </w:rPr>
        <w:t>10.37†</w:t>
        <w:tab/>
        <w:t>Amendment to Form of LivaNova PLC 2022 Incentive Award Plan Restricted Stock Unit Award Grant Notice and Agreement, incorporated by reference to Exhibit 10.52 of the Company’s Annual Report on Form 10-K for the year ended December 31, 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wp:posOffset>
                </wp:positionH>
                <wp:positionV relativeFrom="paragraph">
                  <wp:posOffset>-403860</wp:posOffset>
                </wp:positionV>
                <wp:extent cx="6383655" cy="419735"/>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419735"/>
                        </a:xfrm>
                        <a:prstGeom prst="rect">
                          <a:avLst/>
                        </a:prstGeom>
                        <a:solidFill>
                          <a:srgbClr val="E6E6E6"/>
                        </a:solidFill>
                      </wps:spPr>
                      <wps:bodyPr/>
                    </wps:wsp>
                  </a:graphicData>
                </a:graphic>
              </wp:anchor>
            </w:drawing>
          </mc:Choice>
          <mc:Fallback>
            <w:pict>
              <v:rect id="Shape 78" o:spid="_x0000_s1103" style="position:absolute;margin-left:-2.2999pt;margin-top:-31.7999pt;width:502.65pt;height:33.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jc w:val="both"/>
        <w:ind w:left="880" w:hanging="798"/>
        <w:spacing w:after="0" w:line="225" w:lineRule="auto"/>
        <w:tabs>
          <w:tab w:leader="none" w:pos="860" w:val="left"/>
        </w:tabs>
        <w:rPr>
          <w:sz w:val="20"/>
          <w:szCs w:val="20"/>
          <w:color w:val="auto"/>
        </w:rPr>
      </w:pPr>
      <w:r>
        <w:rPr>
          <w:rFonts w:ascii="Arial" w:cs="Arial" w:eastAsia="Arial" w:hAnsi="Arial"/>
          <w:sz w:val="20"/>
          <w:szCs w:val="20"/>
          <w:color w:val="auto"/>
        </w:rPr>
        <w:t>10.38†</w:t>
        <w:tab/>
        <w:t>Amendment to Form of LivaNova PLC 2022 Incentive Award Plan Performance Stock Unit Award Grant Notice and Agreement, incorporated by reference to Exhibit 10.53 of the Company’s Annual Report on Form 10-K for the year ended December 31, 2022</w:t>
      </w:r>
    </w:p>
    <w:p>
      <w:pPr>
        <w:spacing w:after="0" w:line="15" w:lineRule="exact"/>
        <w:rPr>
          <w:sz w:val="20"/>
          <w:szCs w:val="20"/>
          <w:color w:val="auto"/>
        </w:rPr>
      </w:pPr>
    </w:p>
    <w:p>
      <w:pPr>
        <w:jc w:val="both"/>
        <w:ind w:left="880" w:hanging="798"/>
        <w:spacing w:after="0" w:line="236" w:lineRule="auto"/>
        <w:tabs>
          <w:tab w:leader="none" w:pos="860" w:val="left"/>
        </w:tabs>
        <w:rPr>
          <w:sz w:val="20"/>
          <w:szCs w:val="20"/>
          <w:color w:val="auto"/>
        </w:rPr>
      </w:pPr>
      <w:r>
        <w:rPr>
          <w:rFonts w:ascii="Arial" w:cs="Arial" w:eastAsia="Arial" w:hAnsi="Arial"/>
          <w:sz w:val="20"/>
          <w:szCs w:val="20"/>
          <w:color w:val="auto"/>
        </w:rPr>
        <w:t>10.39†</w:t>
        <w:tab/>
        <w:t>Amended and Restated LivaNova PLC 2022 Incentive Award Plan, incorporated by reference to Exhibit 10.1 of the Company’s Current Report on Form 8-K, filed on June 16,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wp:posOffset>
                </wp:positionH>
                <wp:positionV relativeFrom="paragraph">
                  <wp:posOffset>-280035</wp:posOffset>
                </wp:positionV>
                <wp:extent cx="6383655" cy="28829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288290"/>
                        </a:xfrm>
                        <a:prstGeom prst="rect">
                          <a:avLst/>
                        </a:prstGeom>
                        <a:solidFill>
                          <a:srgbClr val="E6E6E6"/>
                        </a:solidFill>
                      </wps:spPr>
                      <wps:bodyPr/>
                    </wps:wsp>
                  </a:graphicData>
                </a:graphic>
              </wp:anchor>
            </w:drawing>
          </mc:Choice>
          <mc:Fallback>
            <w:pict>
              <v:rect id="Shape 79" o:spid="_x0000_s1104" style="position:absolute;margin-left:-2.2999pt;margin-top:-22.0499pt;width:502.65pt;height:2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jc w:val="both"/>
        <w:ind w:left="880" w:hanging="798"/>
        <w:spacing w:after="0" w:line="250" w:lineRule="auto"/>
        <w:tabs>
          <w:tab w:leader="none" w:pos="860" w:val="left"/>
        </w:tabs>
        <w:rPr>
          <w:sz w:val="20"/>
          <w:szCs w:val="20"/>
          <w:color w:val="auto"/>
        </w:rPr>
      </w:pPr>
      <w:r>
        <w:rPr>
          <w:rFonts w:ascii="Arial" w:cs="Arial" w:eastAsia="Arial" w:hAnsi="Arial"/>
          <w:sz w:val="20"/>
          <w:szCs w:val="20"/>
          <w:color w:val="auto"/>
        </w:rPr>
        <w:t>10.40†</w:t>
      </w:r>
      <w:r>
        <w:rPr>
          <w:sz w:val="20"/>
          <w:szCs w:val="20"/>
          <w:color w:val="auto"/>
        </w:rPr>
        <w:tab/>
      </w:r>
      <w:r>
        <w:rPr>
          <w:rFonts w:ascii="Arial" w:cs="Arial" w:eastAsia="Arial" w:hAnsi="Arial"/>
          <w:sz w:val="19"/>
          <w:szCs w:val="19"/>
          <w:color w:val="auto"/>
        </w:rPr>
        <w:t>Amendment No. 1 to the Amended and Restated LivaNova PLC 2022 Incentive Award Plan, incorporated by reference to Exhibit 10.1 of the Company’s Current Report on Form 8-K, filed on June 12, 2024</w:t>
      </w:r>
    </w:p>
    <w:p>
      <w:pPr>
        <w:spacing w:after="0" w:line="1" w:lineRule="exact"/>
        <w:rPr>
          <w:sz w:val="20"/>
          <w:szCs w:val="20"/>
          <w:color w:val="auto"/>
        </w:rPr>
      </w:pPr>
    </w:p>
    <w:p>
      <w:pPr>
        <w:jc w:val="both"/>
        <w:ind w:left="880" w:hanging="798"/>
        <w:spacing w:after="0" w:line="236" w:lineRule="auto"/>
        <w:tabs>
          <w:tab w:leader="none" w:pos="860" w:val="left"/>
        </w:tabs>
        <w:rPr>
          <w:sz w:val="20"/>
          <w:szCs w:val="20"/>
          <w:color w:val="auto"/>
        </w:rPr>
      </w:pPr>
      <w:r>
        <w:rPr>
          <w:rFonts w:ascii="Arial" w:cs="Arial" w:eastAsia="Arial" w:hAnsi="Arial"/>
          <w:sz w:val="20"/>
          <w:szCs w:val="20"/>
          <w:color w:val="auto"/>
        </w:rPr>
        <w:t>10.41†</w:t>
        <w:tab/>
        <w:t>Michael Hutchinson Employment Agreement, dated November 2, 2022 incorporated by reference to Exhibit 10.55 of the Company’s Annual Report on Form 10-K for the year ended December 31,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wp:posOffset>
                </wp:positionH>
                <wp:positionV relativeFrom="paragraph">
                  <wp:posOffset>-280035</wp:posOffset>
                </wp:positionV>
                <wp:extent cx="6383655" cy="28829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288290"/>
                        </a:xfrm>
                        <a:prstGeom prst="rect">
                          <a:avLst/>
                        </a:prstGeom>
                        <a:solidFill>
                          <a:srgbClr val="E6E6E6"/>
                        </a:solidFill>
                      </wps:spPr>
                      <wps:bodyPr/>
                    </wps:wsp>
                  </a:graphicData>
                </a:graphic>
              </wp:anchor>
            </w:drawing>
          </mc:Choice>
          <mc:Fallback>
            <w:pict>
              <v:rect id="Shape 80" o:spid="_x0000_s1105" style="position:absolute;margin-left:-2.2999pt;margin-top:-22.0499pt;width:502.65pt;height:2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jc w:val="both"/>
        <w:ind w:left="880" w:hanging="798"/>
        <w:spacing w:after="0" w:line="236" w:lineRule="auto"/>
        <w:tabs>
          <w:tab w:leader="none" w:pos="860" w:val="left"/>
        </w:tabs>
        <w:rPr>
          <w:sz w:val="20"/>
          <w:szCs w:val="20"/>
          <w:color w:val="auto"/>
        </w:rPr>
      </w:pPr>
      <w:r>
        <w:rPr>
          <w:rFonts w:ascii="Arial" w:cs="Arial" w:eastAsia="Arial" w:hAnsi="Arial"/>
          <w:sz w:val="20"/>
          <w:szCs w:val="20"/>
          <w:color w:val="auto"/>
        </w:rPr>
        <w:t>10.42†</w:t>
        <w:tab/>
        <w:t>William Kozy Offer Letter, dated April 19, 2023, incorporated by reference to Exhibit 10.26 of the Company’s Quarterly Report on Form 10-Q for the quarter ended June 30, 2023</w:t>
      </w:r>
    </w:p>
    <w:p>
      <w:pPr>
        <w:spacing w:after="0" w:line="3" w:lineRule="exact"/>
        <w:rPr>
          <w:sz w:val="20"/>
          <w:szCs w:val="20"/>
          <w:color w:val="auto"/>
        </w:rPr>
      </w:pPr>
    </w:p>
    <w:p>
      <w:pPr>
        <w:jc w:val="both"/>
        <w:ind w:left="880" w:hanging="798"/>
        <w:spacing w:after="0" w:line="236" w:lineRule="auto"/>
        <w:tabs>
          <w:tab w:leader="none" w:pos="860" w:val="left"/>
        </w:tabs>
        <w:rPr>
          <w:sz w:val="20"/>
          <w:szCs w:val="20"/>
          <w:color w:val="auto"/>
        </w:rPr>
      </w:pPr>
      <w:r>
        <w:rPr>
          <w:rFonts w:ascii="Arial" w:cs="Arial" w:eastAsia="Arial" w:hAnsi="Arial"/>
          <w:sz w:val="20"/>
          <w:szCs w:val="20"/>
          <w:color w:val="auto"/>
        </w:rPr>
        <w:t>10.43†</w:t>
        <w:tab/>
        <w:t>Vladimir Makatsaria Employment Agreement, dated February 1, 2024, incorporated by reference to Exhibit 10.1 of the Company’s Quarterly Report on Form 10-Q, filed on May 3,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wp:posOffset>
                </wp:positionH>
                <wp:positionV relativeFrom="paragraph">
                  <wp:posOffset>-280035</wp:posOffset>
                </wp:positionV>
                <wp:extent cx="6383655" cy="28829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288290"/>
                        </a:xfrm>
                        <a:prstGeom prst="rect">
                          <a:avLst/>
                        </a:prstGeom>
                        <a:solidFill>
                          <a:srgbClr val="E6E6E6"/>
                        </a:solidFill>
                      </wps:spPr>
                      <wps:bodyPr/>
                    </wps:wsp>
                  </a:graphicData>
                </a:graphic>
              </wp:anchor>
            </w:drawing>
          </mc:Choice>
          <mc:Fallback>
            <w:pict>
              <v:rect id="Shape 81" o:spid="_x0000_s1106" style="position:absolute;margin-left:-2.2999pt;margin-top:-22.0499pt;width:502.65pt;height:2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ind w:left="40"/>
        <w:spacing w:after="0"/>
        <w:tabs>
          <w:tab w:leader="none" w:pos="860" w:val="left"/>
        </w:tabs>
        <w:rPr>
          <w:sz w:val="20"/>
          <w:szCs w:val="20"/>
          <w:color w:val="auto"/>
        </w:rPr>
      </w:pPr>
      <w:r>
        <w:rPr>
          <w:rFonts w:ascii="Arial" w:cs="Arial" w:eastAsia="Arial" w:hAnsi="Arial"/>
          <w:sz w:val="20"/>
          <w:szCs w:val="20"/>
          <w:color w:val="auto"/>
        </w:rPr>
        <w:t>10.44*†</w:t>
      </w:r>
      <w:r>
        <w:rPr>
          <w:sz w:val="20"/>
          <w:szCs w:val="20"/>
          <w:color w:val="auto"/>
        </w:rPr>
        <w:tab/>
      </w:r>
      <w:r>
        <w:rPr>
          <w:rFonts w:ascii="Arial" w:cs="Arial" w:eastAsia="Arial" w:hAnsi="Arial"/>
          <w:sz w:val="17"/>
          <w:szCs w:val="17"/>
          <w:color w:val="auto"/>
        </w:rPr>
        <w:t>Ahmet Tezel Employment Agreement, dated April 2024</w:t>
      </w:r>
    </w:p>
    <w:p>
      <w:pPr>
        <w:spacing w:after="0" w:line="49" w:lineRule="exact"/>
        <w:rPr>
          <w:sz w:val="20"/>
          <w:szCs w:val="20"/>
          <w:color w:val="auto"/>
        </w:rPr>
      </w:pPr>
    </w:p>
    <w:p>
      <w:pPr>
        <w:ind w:left="40"/>
        <w:spacing w:after="0"/>
        <w:tabs>
          <w:tab w:leader="none" w:pos="860" w:val="left"/>
        </w:tabs>
        <w:rPr>
          <w:sz w:val="20"/>
          <w:szCs w:val="20"/>
          <w:color w:val="auto"/>
        </w:rPr>
      </w:pPr>
      <w:r>
        <w:rPr>
          <w:rFonts w:ascii="Arial" w:cs="Arial" w:eastAsia="Arial" w:hAnsi="Arial"/>
          <w:sz w:val="20"/>
          <w:szCs w:val="20"/>
          <w:color w:val="auto"/>
        </w:rPr>
        <w:t>10.45*†</w:t>
      </w:r>
      <w:r>
        <w:rPr>
          <w:sz w:val="20"/>
          <w:szCs w:val="20"/>
          <w:color w:val="auto"/>
        </w:rPr>
        <w:tab/>
      </w:r>
      <w:r>
        <w:rPr>
          <w:rFonts w:ascii="Arial" w:cs="Arial" w:eastAsia="Arial" w:hAnsi="Arial"/>
          <w:sz w:val="17"/>
          <w:szCs w:val="17"/>
          <w:color w:val="auto"/>
        </w:rPr>
        <w:t>Franco Poletti Employment Agreement, dated July 24,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wp:posOffset>
                </wp:positionH>
                <wp:positionV relativeFrom="paragraph">
                  <wp:posOffset>-139065</wp:posOffset>
                </wp:positionV>
                <wp:extent cx="6383655" cy="17653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176530"/>
                        </a:xfrm>
                        <a:prstGeom prst="rect">
                          <a:avLst/>
                        </a:prstGeom>
                        <a:solidFill>
                          <a:srgbClr val="E6E6E6"/>
                        </a:solidFill>
                      </wps:spPr>
                      <wps:bodyPr/>
                    </wps:wsp>
                  </a:graphicData>
                </a:graphic>
              </wp:anchor>
            </w:drawing>
          </mc:Choice>
          <mc:Fallback>
            <w:pict>
              <v:rect id="Shape 82" o:spid="_x0000_s1107" style="position:absolute;margin-left:-2.2999pt;margin-top:-10.9499pt;width:502.65pt;height:13.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29" w:lineRule="exact"/>
        <w:rPr>
          <w:sz w:val="20"/>
          <w:szCs w:val="20"/>
          <w:color w:val="auto"/>
        </w:rPr>
      </w:pPr>
    </w:p>
    <w:p>
      <w:pPr>
        <w:ind w:left="140"/>
        <w:spacing w:after="0"/>
        <w:tabs>
          <w:tab w:leader="none" w:pos="860" w:val="left"/>
        </w:tabs>
        <w:rPr>
          <w:sz w:val="20"/>
          <w:szCs w:val="20"/>
          <w:color w:val="auto"/>
        </w:rPr>
      </w:pPr>
      <w:r>
        <w:rPr>
          <w:rFonts w:ascii="Arial" w:cs="Arial" w:eastAsia="Arial" w:hAnsi="Arial"/>
          <w:sz w:val="20"/>
          <w:szCs w:val="20"/>
          <w:color w:val="auto"/>
        </w:rPr>
        <w:t>19.1*</w:t>
      </w:r>
      <w:r>
        <w:rPr>
          <w:sz w:val="20"/>
          <w:szCs w:val="20"/>
          <w:color w:val="auto"/>
        </w:rPr>
        <w:tab/>
      </w:r>
      <w:r>
        <w:rPr>
          <w:rFonts w:ascii="Arial" w:cs="Arial" w:eastAsia="Arial" w:hAnsi="Arial"/>
          <w:sz w:val="17"/>
          <w:szCs w:val="17"/>
          <w:color w:val="auto"/>
        </w:rPr>
        <w:t>LivaNova Insider Trading Policy</w:t>
      </w:r>
    </w:p>
    <w:p>
      <w:pPr>
        <w:spacing w:after="0" w:line="49" w:lineRule="exact"/>
        <w:rPr>
          <w:sz w:val="20"/>
          <w:szCs w:val="20"/>
          <w:color w:val="auto"/>
        </w:rPr>
      </w:pPr>
    </w:p>
    <w:p>
      <w:pPr>
        <w:ind w:left="140"/>
        <w:spacing w:after="0"/>
        <w:tabs>
          <w:tab w:leader="none" w:pos="86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17"/>
          <w:szCs w:val="17"/>
          <w:color w:val="auto"/>
        </w:rPr>
        <w:t>List of Subsidiaries of LivaNova PLC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wp:posOffset>
                </wp:positionH>
                <wp:positionV relativeFrom="paragraph">
                  <wp:posOffset>-139065</wp:posOffset>
                </wp:positionV>
                <wp:extent cx="6383655" cy="17653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176530"/>
                        </a:xfrm>
                        <a:prstGeom prst="rect">
                          <a:avLst/>
                        </a:prstGeom>
                        <a:solidFill>
                          <a:srgbClr val="E6E6E6"/>
                        </a:solidFill>
                      </wps:spPr>
                      <wps:bodyPr/>
                    </wps:wsp>
                  </a:graphicData>
                </a:graphic>
              </wp:anchor>
            </w:drawing>
          </mc:Choice>
          <mc:Fallback>
            <w:pict>
              <v:rect id="Shape 83" o:spid="_x0000_s1108" style="position:absolute;margin-left:-2.2999pt;margin-top:-10.9499pt;width:502.65pt;height:13.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29" w:lineRule="exact"/>
        <w:rPr>
          <w:sz w:val="20"/>
          <w:szCs w:val="20"/>
          <w:color w:val="auto"/>
        </w:rPr>
      </w:pPr>
    </w:p>
    <w:p>
      <w:pPr>
        <w:ind w:left="140"/>
        <w:spacing w:after="0"/>
        <w:tabs>
          <w:tab w:leader="none" w:pos="860" w:val="left"/>
        </w:tabs>
        <w:rPr>
          <w:sz w:val="20"/>
          <w:szCs w:val="20"/>
          <w:color w:val="auto"/>
        </w:rPr>
      </w:pPr>
      <w:r>
        <w:rPr>
          <w:rFonts w:ascii="Arial" w:cs="Arial" w:eastAsia="Arial" w:hAnsi="Arial"/>
          <w:sz w:val="20"/>
          <w:szCs w:val="20"/>
          <w:color w:val="auto"/>
        </w:rPr>
        <w:t>23.1*</w:t>
      </w:r>
      <w:r>
        <w:rPr>
          <w:sz w:val="20"/>
          <w:szCs w:val="20"/>
          <w:color w:val="auto"/>
        </w:rPr>
        <w:tab/>
      </w:r>
      <w:r>
        <w:rPr>
          <w:rFonts w:ascii="Arial" w:cs="Arial" w:eastAsia="Arial" w:hAnsi="Arial"/>
          <w:sz w:val="17"/>
          <w:szCs w:val="17"/>
          <w:color w:val="auto"/>
        </w:rPr>
        <w:t>Consent of PricewaterhouseCoopers LLP</w:t>
      </w:r>
    </w:p>
    <w:p>
      <w:pPr>
        <w:sectPr>
          <w:pgSz w:w="11880" w:h="15480" w:orient="portrait"/>
          <w:cols w:equalWidth="0" w:num="1">
            <w:col w:w="9960"/>
          </w:cols>
          <w:pgMar w:left="960" w:top="679" w:right="960" w:bottom="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880" w:h="15480" w:orient="portrait"/>
          <w:cols w:equalWidth="0" w:num="1">
            <w:col w:w="9960"/>
          </w:cols>
          <w:pgMar w:left="960" w:top="679" w:right="960" w:bottom="0" w:gutter="0" w:footer="0" w:header="0"/>
          <w:type w:val="continuous"/>
        </w:sectPr>
      </w:pPr>
    </w:p>
    <w:bookmarkStart w:id="54" w:name="page55"/>
    <w:bookmarkEnd w:id="54"/>
    <w:p>
      <w:pPr>
        <w:ind w:left="80"/>
        <w:spacing w:after="0"/>
        <w:rPr>
          <w:sz w:val="20"/>
          <w:szCs w:val="20"/>
          <w:color w:val="auto"/>
        </w:rPr>
      </w:pPr>
      <w:r>
        <w:rPr>
          <w:rFonts w:ascii="Arial" w:cs="Arial" w:eastAsia="Arial" w:hAnsi="Arial"/>
          <w:sz w:val="20"/>
          <w:szCs w:val="20"/>
          <w:b w:val="1"/>
          <w:bCs w:val="1"/>
          <w:color w:val="auto"/>
        </w:rPr>
        <w:t>Exhibit</w:t>
      </w:r>
    </w:p>
    <w:p>
      <w:pPr>
        <w:ind w:left="40"/>
        <w:spacing w:after="0"/>
        <w:tabs>
          <w:tab w:leader="none" w:pos="900" w:val="left"/>
        </w:tabs>
        <w:rPr>
          <w:sz w:val="20"/>
          <w:szCs w:val="20"/>
          <w:color w:val="auto"/>
        </w:rPr>
      </w:pPr>
      <w:r>
        <w:rPr>
          <w:rFonts w:ascii="Arial" w:cs="Arial" w:eastAsia="Arial" w:hAnsi="Arial"/>
          <w:sz w:val="20"/>
          <w:szCs w:val="20"/>
          <w:b w:val="1"/>
          <w:bCs w:val="1"/>
          <w:u w:val="single" w:color="auto"/>
          <w:color w:val="auto"/>
        </w:rPr>
        <w:t>Number</w:t>
      </w:r>
      <w:r>
        <w:rPr>
          <w:sz w:val="20"/>
          <w:szCs w:val="20"/>
          <w:color w:val="auto"/>
        </w:rPr>
        <w:tab/>
      </w:r>
      <w:r>
        <w:rPr>
          <w:rFonts w:ascii="Arial" w:cs="Arial" w:eastAsia="Arial" w:hAnsi="Arial"/>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14605</wp:posOffset>
            </wp:positionV>
            <wp:extent cx="6410325" cy="3022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57">
                      <a:extLst>
                        <a:ext uri="{28A0092B-C50C-407E-A947-70E740481C1C}"/>
                      </a:extLst>
                    </a:blip>
                    <a:srcRect/>
                    <a:stretch>
                      <a:fillRect/>
                    </a:stretch>
                  </pic:blipFill>
                  <pic:spPr bwMode="auto">
                    <a:xfrm>
                      <a:off x="0" y="0"/>
                      <a:ext cx="6410325" cy="302260"/>
                    </a:xfrm>
                    <a:prstGeom prst="rect">
                      <a:avLst/>
                    </a:prstGeom>
                    <a:noFill/>
                  </pic:spPr>
                </pic:pic>
              </a:graphicData>
            </a:graphic>
          </wp:anchor>
        </w:drawing>
      </w:r>
    </w:p>
    <w:p>
      <w:pPr>
        <w:spacing w:after="0" w:line="13" w:lineRule="exact"/>
        <w:rPr>
          <w:sz w:val="20"/>
          <w:szCs w:val="20"/>
          <w:color w:val="auto"/>
        </w:rPr>
      </w:pPr>
    </w:p>
    <w:p>
      <w:pPr>
        <w:ind w:left="920" w:right="40" w:hanging="749"/>
        <w:spacing w:after="0" w:line="236" w:lineRule="auto"/>
        <w:tabs>
          <w:tab w:leader="none" w:pos="900" w:val="left"/>
        </w:tabs>
        <w:rPr>
          <w:sz w:val="20"/>
          <w:szCs w:val="20"/>
          <w:color w:val="auto"/>
        </w:rPr>
      </w:pPr>
      <w:r>
        <w:rPr>
          <w:rFonts w:ascii="Arial" w:cs="Arial" w:eastAsia="Arial" w:hAnsi="Arial"/>
          <w:sz w:val="20"/>
          <w:szCs w:val="20"/>
          <w:color w:val="auto"/>
        </w:rPr>
        <w:t>31.1*</w:t>
      </w:r>
      <w:r>
        <w:rPr>
          <w:sz w:val="20"/>
          <w:szCs w:val="20"/>
          <w:color w:val="auto"/>
        </w:rPr>
        <w:tab/>
      </w:r>
      <w:r>
        <w:rPr>
          <w:rFonts w:ascii="Arial" w:cs="Arial" w:eastAsia="Arial" w:hAnsi="Arial"/>
          <w:sz w:val="20"/>
          <w:szCs w:val="20"/>
          <w:color w:val="auto"/>
        </w:rPr>
        <w:t>Certification of the Chief Executive Officer of LivaNova PLC pursuant to Section 302 of the Sarbanes-Oxley Act of 2002</w:t>
      </w:r>
    </w:p>
    <w:p>
      <w:pPr>
        <w:ind w:left="180"/>
        <w:spacing w:after="0"/>
        <w:tabs>
          <w:tab w:leader="none" w:pos="900" w:val="left"/>
        </w:tabs>
        <w:rPr>
          <w:sz w:val="20"/>
          <w:szCs w:val="20"/>
          <w:color w:val="auto"/>
        </w:rPr>
      </w:pPr>
      <w:r>
        <w:rPr>
          <w:rFonts w:ascii="Arial" w:cs="Arial" w:eastAsia="Arial" w:hAnsi="Arial"/>
          <w:sz w:val="20"/>
          <w:szCs w:val="20"/>
          <w:color w:val="auto"/>
        </w:rPr>
        <w:t>31.2*</w:t>
      </w:r>
      <w:r>
        <w:rPr>
          <w:sz w:val="20"/>
          <w:szCs w:val="20"/>
          <w:color w:val="auto"/>
        </w:rPr>
        <w:tab/>
      </w:r>
      <w:r>
        <w:rPr>
          <w:rFonts w:ascii="Arial" w:cs="Arial" w:eastAsia="Arial" w:hAnsi="Arial"/>
          <w:sz w:val="17"/>
          <w:szCs w:val="17"/>
          <w:color w:val="auto"/>
        </w:rPr>
        <w:t>Certification of the Chief Financial Officer of LivaNova PLC pursuant to Section 302 of the Sarbanes-Oxley Act of</w:t>
      </w:r>
    </w:p>
    <w:p>
      <w:pPr>
        <w:ind w:left="920"/>
        <w:spacing w:after="0"/>
        <w:rPr>
          <w:sz w:val="20"/>
          <w:szCs w:val="20"/>
          <w:color w:val="auto"/>
        </w:rPr>
      </w:pPr>
      <w:r>
        <w:rPr>
          <w:rFonts w:ascii="Arial" w:cs="Arial" w:eastAsia="Arial" w:hAnsi="Arial"/>
          <w:sz w:val="20"/>
          <w:szCs w:val="20"/>
          <w:color w:val="auto"/>
        </w:rPr>
        <w:t>2002</w:t>
      </w:r>
    </w:p>
    <w:p>
      <w:pPr>
        <w:spacing w:after="0" w:line="30" w:lineRule="exact"/>
        <w:rPr>
          <w:sz w:val="20"/>
          <w:szCs w:val="20"/>
          <w:color w:val="auto"/>
        </w:rPr>
      </w:pPr>
    </w:p>
    <w:p>
      <w:pPr>
        <w:ind w:left="920" w:right="40" w:hanging="749"/>
        <w:spacing w:after="0" w:line="236" w:lineRule="auto"/>
        <w:tabs>
          <w:tab w:leader="none" w:pos="900" w:val="left"/>
        </w:tabs>
        <w:rPr>
          <w:sz w:val="20"/>
          <w:szCs w:val="20"/>
          <w:color w:val="auto"/>
        </w:rPr>
      </w:pPr>
      <w:r>
        <w:rPr>
          <w:rFonts w:ascii="Arial" w:cs="Arial" w:eastAsia="Arial" w:hAnsi="Arial"/>
          <w:sz w:val="20"/>
          <w:szCs w:val="20"/>
          <w:color w:val="auto"/>
        </w:rPr>
        <w:t>32.1*</w:t>
      </w:r>
      <w:r>
        <w:rPr>
          <w:sz w:val="20"/>
          <w:szCs w:val="20"/>
          <w:color w:val="auto"/>
        </w:rPr>
        <w:tab/>
      </w:r>
      <w:r>
        <w:rPr>
          <w:rFonts w:ascii="Arial" w:cs="Arial" w:eastAsia="Arial" w:hAnsi="Arial"/>
          <w:sz w:val="20"/>
          <w:szCs w:val="20"/>
          <w:color w:val="auto"/>
        </w:rPr>
        <w:t>Certification of the Chief Executive Officer and of the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-280035</wp:posOffset>
                </wp:positionV>
                <wp:extent cx="6383655" cy="28829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288290"/>
                        </a:xfrm>
                        <a:prstGeom prst="rect">
                          <a:avLst/>
                        </a:prstGeom>
                        <a:solidFill>
                          <a:srgbClr val="E6E6E6"/>
                        </a:solidFill>
                      </wps:spPr>
                      <wps:bodyPr/>
                    </wps:wsp>
                  </a:graphicData>
                </a:graphic>
              </wp:anchor>
            </w:drawing>
          </mc:Choice>
          <mc:Fallback>
            <w:pict>
              <v:rect id="Shape 85" o:spid="_x0000_s1110" style="position:absolute;margin-left:-0.2999pt;margin-top:-22.0499pt;width:502.65pt;height:2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ind w:left="180"/>
        <w:spacing w:after="0"/>
        <w:tabs>
          <w:tab w:leader="none" w:pos="900" w:val="left"/>
        </w:tabs>
        <w:rPr>
          <w:sz w:val="20"/>
          <w:szCs w:val="20"/>
          <w:color w:val="auto"/>
        </w:rPr>
      </w:pPr>
      <w:r>
        <w:rPr>
          <w:rFonts w:ascii="Arial" w:cs="Arial" w:eastAsia="Arial" w:hAnsi="Arial"/>
          <w:sz w:val="20"/>
          <w:szCs w:val="20"/>
          <w:color w:val="auto"/>
        </w:rPr>
        <w:t>97.1*</w:t>
      </w:r>
      <w:r>
        <w:rPr>
          <w:sz w:val="20"/>
          <w:szCs w:val="20"/>
          <w:color w:val="auto"/>
        </w:rPr>
        <w:tab/>
      </w:r>
      <w:r>
        <w:rPr>
          <w:rFonts w:ascii="Arial" w:cs="Arial" w:eastAsia="Arial" w:hAnsi="Arial"/>
          <w:sz w:val="17"/>
          <w:szCs w:val="17"/>
          <w:color w:val="auto"/>
        </w:rPr>
        <w:t>LivaNova Incentive Compensation Clawback Policy, adopted July 19, 2023</w:t>
      </w:r>
    </w:p>
    <w:p>
      <w:pPr>
        <w:spacing w:after="0" w:line="49" w:lineRule="exact"/>
        <w:rPr>
          <w:sz w:val="20"/>
          <w:szCs w:val="20"/>
          <w:color w:val="auto"/>
        </w:rPr>
      </w:pPr>
    </w:p>
    <w:p>
      <w:pPr>
        <w:jc w:val="both"/>
        <w:ind w:left="920" w:right="40" w:hanging="719"/>
        <w:spacing w:after="0" w:line="223" w:lineRule="auto"/>
        <w:tabs>
          <w:tab w:leader="none" w:pos="900" w:val="left"/>
        </w:tabs>
        <w:rPr>
          <w:sz w:val="20"/>
          <w:szCs w:val="20"/>
          <w:color w:val="auto"/>
        </w:rPr>
      </w:pPr>
      <w:r>
        <w:rPr>
          <w:rFonts w:ascii="Arial" w:cs="Arial" w:eastAsia="Arial" w:hAnsi="Arial"/>
          <w:sz w:val="19"/>
          <w:szCs w:val="19"/>
          <w:color w:val="auto"/>
        </w:rPr>
        <w:t>101*</w:t>
      </w:r>
      <w:r>
        <w:rPr>
          <w:sz w:val="20"/>
          <w:szCs w:val="20"/>
          <w:color w:val="auto"/>
        </w:rPr>
        <w:tab/>
      </w:r>
      <w:r>
        <w:rPr>
          <w:rFonts w:ascii="Arial" w:cs="Arial" w:eastAsia="Arial" w:hAnsi="Arial"/>
          <w:sz w:val="19"/>
          <w:szCs w:val="19"/>
          <w:color w:val="auto"/>
        </w:rPr>
        <w:t>Interactive Data Files Pursuant to Rule 405 of Regulation S-T formatted in Inline XBRL: (i) the Consolidated Statements of Income (Loss) for the years ended December 31, 2024, December 31, 2023 and December 31, 2022, (ii) the Consolidated Statements of Comprehensive Income (Loss) for the years ended December 31, 2024, December 31, 2023 and December 31, 2022, (iii) the Consolidated Balance Sheets as of December 31, 2024 and December 31, 2023, (iv) the Consolidated Statements of Stockholders’ Equity for the years ended December 31, 2024, December 31, 2023 and December 31, 2022, (v) the Consolidated Statements of Cash Flows for the years ended December 31, 2024, December 31, 2023 and December 31, 2022, and (vi) the Notes to the Consolidated Financial Statements.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-1024255</wp:posOffset>
                </wp:positionV>
                <wp:extent cx="6383655" cy="1035685"/>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1035685"/>
                        </a:xfrm>
                        <a:prstGeom prst="rect">
                          <a:avLst/>
                        </a:prstGeom>
                        <a:solidFill>
                          <a:srgbClr val="E6E6E6"/>
                        </a:solidFill>
                      </wps:spPr>
                      <wps:bodyPr/>
                    </wps:wsp>
                  </a:graphicData>
                </a:graphic>
              </wp:anchor>
            </w:drawing>
          </mc:Choice>
          <mc:Fallback>
            <w:pict>
              <v:rect id="Shape 86" o:spid="_x0000_s1111" style="position:absolute;margin-left:-0.2999pt;margin-top:-80.6499pt;width:502.65pt;height:8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ind w:left="200"/>
        <w:spacing w:after="0"/>
        <w:tabs>
          <w:tab w:leader="none" w:pos="90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20"/>
          <w:szCs w:val="20"/>
          <w:color w:val="auto"/>
        </w:rPr>
        <w:t>Cover Page Interactive Data File (formatted as Inline XBRL and contained in Exhibit 101)</w:t>
      </w:r>
    </w:p>
    <w:p>
      <w:pPr>
        <w:spacing w:after="0" w:line="21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agreements and other documents filed as exhibits to this Report are not intended to provide factual information or other disclosure other than the terms of the agreements or other documents themselves, and readers should not rely on them for that purpose. In particular, any representations and warranties made by the Company in these agreements or other documents were made solely within the specific context of the relevant agreement or document and may not describe the actual state of affairs at the date they were made or at any other time.</w:t>
      </w:r>
    </w:p>
    <w:p>
      <w:pPr>
        <w:spacing w:after="0" w:line="5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ITEM 16. FORM 10-K SUMMARY</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ectPr>
          <w:pgSz w:w="11880" w:h="15480" w:orient="portrait"/>
          <w:cols w:equalWidth="0" w:num="1">
            <w:col w:w="10040"/>
          </w:cols>
          <w:pgMar w:left="920" w:top="67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1880" w:h="15480" w:orient="portrait"/>
          <w:cols w:equalWidth="0" w:num="1">
            <w:col w:w="10040"/>
          </w:cols>
          <w:pgMar w:left="920" w:top="679" w:right="920" w:bottom="0" w:gutter="0" w:footer="0" w:header="0"/>
          <w:type w:val="continuous"/>
        </w:sectPr>
      </w:pPr>
    </w:p>
    <w:bookmarkStart w:id="55" w:name="page56"/>
    <w:bookmarkEnd w:id="55"/>
    <w:p>
      <w:pPr>
        <w:jc w:val="center"/>
        <w:ind w:right="180"/>
        <w:spacing w:after="0"/>
        <w:rPr>
          <w:sz w:val="20"/>
          <w:szCs w:val="20"/>
          <w:color w:val="auto"/>
        </w:rPr>
      </w:pPr>
      <w:r>
        <w:rPr>
          <w:rFonts w:ascii="Arial" w:cs="Arial" w:eastAsia="Arial" w:hAnsi="Arial"/>
          <w:sz w:val="22"/>
          <w:szCs w:val="22"/>
          <w:b w:val="1"/>
          <w:bCs w:val="1"/>
          <w:color w:val="auto"/>
        </w:rPr>
        <w:t>SIGNATURES</w:t>
      </w:r>
    </w:p>
    <w:p>
      <w:pPr>
        <w:spacing w:after="0" w:line="148" w:lineRule="exact"/>
        <w:rPr>
          <w:sz w:val="20"/>
          <w:szCs w:val="20"/>
          <w:color w:val="auto"/>
        </w:rPr>
      </w:pPr>
    </w:p>
    <w:p>
      <w:pPr>
        <w:ind w:right="180"/>
        <w:spacing w:after="0" w:line="284" w:lineRule="auto"/>
        <w:rPr>
          <w:sz w:val="20"/>
          <w:szCs w:val="20"/>
          <w:color w:val="auto"/>
        </w:rPr>
      </w:pPr>
      <w:r>
        <w:rPr>
          <w:rFonts w:ascii="Arial" w:cs="Arial" w:eastAsia="Arial" w:hAnsi="Arial"/>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2040" w:type="dxa"/>
            <w:vAlign w:val="bottom"/>
          </w:tcPr>
          <w:p>
            <w:pPr>
              <w:spacing w:after="0"/>
              <w:rPr>
                <w:sz w:val="22"/>
                <w:szCs w:val="22"/>
                <w:color w:val="auto"/>
              </w:rPr>
            </w:pPr>
          </w:p>
        </w:tc>
        <w:tc>
          <w:tcPr>
            <w:tcW w:w="8140" w:type="dxa"/>
            <w:vAlign w:val="bottom"/>
            <w:gridSpan w:val="2"/>
          </w:tcPr>
          <w:p>
            <w:pPr>
              <w:ind w:left="120"/>
              <w:spacing w:after="0"/>
              <w:rPr>
                <w:sz w:val="20"/>
                <w:szCs w:val="20"/>
                <w:color w:val="auto"/>
              </w:rPr>
            </w:pPr>
            <w:r>
              <w:rPr>
                <w:rFonts w:ascii="Arial" w:cs="Arial" w:eastAsia="Arial" w:hAnsi="Arial"/>
                <w:sz w:val="20"/>
                <w:szCs w:val="20"/>
                <w:color w:val="auto"/>
              </w:rPr>
              <w:t>LIVANOVA PLC</w:t>
            </w:r>
          </w:p>
        </w:tc>
      </w:tr>
      <w:tr>
        <w:trPr>
          <w:trHeight w:val="886"/>
        </w:trPr>
        <w:tc>
          <w:tcPr>
            <w:tcW w:w="2040" w:type="dxa"/>
            <w:vAlign w:val="bottom"/>
          </w:tcPr>
          <w:p>
            <w:pPr>
              <w:spacing w:after="0"/>
              <w:rPr>
                <w:sz w:val="20"/>
                <w:szCs w:val="20"/>
                <w:color w:val="auto"/>
              </w:rPr>
            </w:pPr>
            <w:r>
              <w:rPr>
                <w:rFonts w:ascii="Arial" w:cs="Arial" w:eastAsia="Arial" w:hAnsi="Arial"/>
                <w:sz w:val="20"/>
                <w:szCs w:val="20"/>
                <w:color w:val="auto"/>
                <w:w w:val="93"/>
              </w:rPr>
              <w:t>Date: February 25, 2025</w:t>
            </w:r>
          </w:p>
        </w:tc>
        <w:tc>
          <w:tcPr>
            <w:tcW w:w="800" w:type="dxa"/>
            <w:vAlign w:val="bottom"/>
          </w:tcPr>
          <w:p>
            <w:pPr>
              <w:ind w:left="120"/>
              <w:spacing w:after="0"/>
              <w:rPr>
                <w:sz w:val="20"/>
                <w:szCs w:val="20"/>
                <w:color w:val="auto"/>
              </w:rPr>
            </w:pPr>
            <w:r>
              <w:rPr>
                <w:rFonts w:ascii="Arial" w:cs="Arial" w:eastAsia="Arial" w:hAnsi="Arial"/>
                <w:sz w:val="20"/>
                <w:szCs w:val="20"/>
                <w:color w:val="auto"/>
              </w:rPr>
              <w:t>By:</w:t>
            </w:r>
          </w:p>
        </w:tc>
        <w:tc>
          <w:tcPr>
            <w:tcW w:w="73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 VLADIMIR MAKATSARIA</w:t>
            </w:r>
          </w:p>
        </w:tc>
      </w:tr>
      <w:tr>
        <w:trPr>
          <w:trHeight w:val="257"/>
        </w:trPr>
        <w:tc>
          <w:tcPr>
            <w:tcW w:w="20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340" w:type="dxa"/>
            <w:vAlign w:val="bottom"/>
          </w:tcPr>
          <w:p>
            <w:pPr>
              <w:ind w:left="40"/>
              <w:spacing w:after="0"/>
              <w:rPr>
                <w:sz w:val="20"/>
                <w:szCs w:val="20"/>
                <w:color w:val="auto"/>
              </w:rPr>
            </w:pPr>
            <w:r>
              <w:rPr>
                <w:rFonts w:ascii="Arial" w:cs="Arial" w:eastAsia="Arial" w:hAnsi="Arial"/>
                <w:sz w:val="20"/>
                <w:szCs w:val="20"/>
                <w:color w:val="auto"/>
              </w:rPr>
              <w:t>Vladimir Makatsaria</w:t>
            </w:r>
          </w:p>
        </w:tc>
      </w:tr>
      <w:tr>
        <w:trPr>
          <w:trHeight w:val="260"/>
        </w:trPr>
        <w:tc>
          <w:tcPr>
            <w:tcW w:w="20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340" w:type="dxa"/>
            <w:vAlign w:val="bottom"/>
          </w:tcPr>
          <w:p>
            <w:pPr>
              <w:ind w:left="40"/>
              <w:spacing w:after="0"/>
              <w:rPr>
                <w:sz w:val="20"/>
                <w:szCs w:val="20"/>
                <w:color w:val="auto"/>
              </w:rPr>
            </w:pPr>
            <w:r>
              <w:rPr>
                <w:rFonts w:ascii="Arial" w:cs="Arial" w:eastAsia="Arial" w:hAnsi="Arial"/>
                <w:sz w:val="20"/>
                <w:szCs w:val="20"/>
                <w:color w:val="auto"/>
              </w:rPr>
              <w:t>Chief Executive Officer</w:t>
            </w:r>
          </w:p>
        </w:tc>
      </w:tr>
      <w:tr>
        <w:trPr>
          <w:trHeight w:val="279"/>
        </w:trPr>
        <w:tc>
          <w:tcPr>
            <w:tcW w:w="2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340" w:type="dxa"/>
            <w:vAlign w:val="bottom"/>
          </w:tcPr>
          <w:p>
            <w:pPr>
              <w:ind w:left="40"/>
              <w:spacing w:after="0"/>
              <w:rPr>
                <w:sz w:val="20"/>
                <w:szCs w:val="20"/>
                <w:color w:val="auto"/>
              </w:rPr>
            </w:pPr>
            <w:r>
              <w:rPr>
                <w:rFonts w:ascii="Arial" w:cs="Arial" w:eastAsia="Arial" w:hAnsi="Arial"/>
                <w:sz w:val="20"/>
                <w:szCs w:val="20"/>
                <w:b w:val="1"/>
                <w:bCs w:val="1"/>
                <w:i w:val="1"/>
                <w:iCs w:val="1"/>
                <w:color w:val="auto"/>
              </w:rPr>
              <w:t>(Principal Executive Officer)</w:t>
            </w:r>
          </w:p>
        </w:tc>
      </w:tr>
      <w:tr>
        <w:trPr>
          <w:trHeight w:val="542"/>
        </w:trPr>
        <w:tc>
          <w:tcPr>
            <w:tcW w:w="2040" w:type="dxa"/>
            <w:vAlign w:val="bottom"/>
          </w:tcPr>
          <w:p>
            <w:pPr>
              <w:spacing w:after="0"/>
              <w:rPr>
                <w:sz w:val="24"/>
                <w:szCs w:val="24"/>
                <w:color w:val="auto"/>
              </w:rPr>
            </w:pPr>
          </w:p>
        </w:tc>
        <w:tc>
          <w:tcPr>
            <w:tcW w:w="8140" w:type="dxa"/>
            <w:vAlign w:val="bottom"/>
            <w:gridSpan w:val="2"/>
          </w:tcPr>
          <w:p>
            <w:pPr>
              <w:ind w:left="120"/>
              <w:spacing w:after="0"/>
              <w:rPr>
                <w:sz w:val="20"/>
                <w:szCs w:val="20"/>
                <w:color w:val="auto"/>
              </w:rPr>
            </w:pPr>
            <w:r>
              <w:rPr>
                <w:rFonts w:ascii="Arial" w:cs="Arial" w:eastAsia="Arial" w:hAnsi="Arial"/>
                <w:sz w:val="20"/>
                <w:szCs w:val="20"/>
                <w:color w:val="auto"/>
              </w:rPr>
              <w:t>LIVANOVA PLC</w:t>
            </w:r>
          </w:p>
        </w:tc>
      </w:tr>
      <w:tr>
        <w:trPr>
          <w:trHeight w:val="886"/>
        </w:trPr>
        <w:tc>
          <w:tcPr>
            <w:tcW w:w="2040" w:type="dxa"/>
            <w:vAlign w:val="bottom"/>
          </w:tcPr>
          <w:p>
            <w:pPr>
              <w:spacing w:after="0"/>
              <w:rPr>
                <w:sz w:val="20"/>
                <w:szCs w:val="20"/>
                <w:color w:val="auto"/>
              </w:rPr>
            </w:pPr>
            <w:r>
              <w:rPr>
                <w:rFonts w:ascii="Arial" w:cs="Arial" w:eastAsia="Arial" w:hAnsi="Arial"/>
                <w:sz w:val="20"/>
                <w:szCs w:val="20"/>
                <w:color w:val="auto"/>
                <w:w w:val="93"/>
              </w:rPr>
              <w:t>Date: February 25, 2025</w:t>
            </w:r>
          </w:p>
        </w:tc>
        <w:tc>
          <w:tcPr>
            <w:tcW w:w="800" w:type="dxa"/>
            <w:vAlign w:val="bottom"/>
          </w:tcPr>
          <w:p>
            <w:pPr>
              <w:ind w:left="120"/>
              <w:spacing w:after="0"/>
              <w:rPr>
                <w:sz w:val="20"/>
                <w:szCs w:val="20"/>
                <w:color w:val="auto"/>
              </w:rPr>
            </w:pPr>
            <w:r>
              <w:rPr>
                <w:rFonts w:ascii="Arial" w:cs="Arial" w:eastAsia="Arial" w:hAnsi="Arial"/>
                <w:sz w:val="20"/>
                <w:szCs w:val="20"/>
                <w:color w:val="auto"/>
              </w:rPr>
              <w:t>By:</w:t>
            </w:r>
          </w:p>
        </w:tc>
        <w:tc>
          <w:tcPr>
            <w:tcW w:w="73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 ALEX SHVARTSBURG</w:t>
            </w:r>
          </w:p>
        </w:tc>
      </w:tr>
      <w:tr>
        <w:trPr>
          <w:trHeight w:val="257"/>
        </w:trPr>
        <w:tc>
          <w:tcPr>
            <w:tcW w:w="20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340" w:type="dxa"/>
            <w:vAlign w:val="bottom"/>
          </w:tcPr>
          <w:p>
            <w:pPr>
              <w:ind w:left="40"/>
              <w:spacing w:after="0"/>
              <w:rPr>
                <w:sz w:val="20"/>
                <w:szCs w:val="20"/>
                <w:color w:val="auto"/>
              </w:rPr>
            </w:pPr>
            <w:r>
              <w:rPr>
                <w:rFonts w:ascii="Arial" w:cs="Arial" w:eastAsia="Arial" w:hAnsi="Arial"/>
                <w:sz w:val="20"/>
                <w:szCs w:val="20"/>
                <w:color w:val="auto"/>
              </w:rPr>
              <w:t>Alex Shvartsburg</w:t>
            </w:r>
          </w:p>
        </w:tc>
      </w:tr>
    </w:tbl>
    <w:p>
      <w:pPr>
        <w:spacing w:after="0" w:line="2" w:lineRule="exact"/>
        <w:rPr>
          <w:sz w:val="20"/>
          <w:szCs w:val="20"/>
          <w:color w:val="auto"/>
        </w:rPr>
      </w:pPr>
    </w:p>
    <w:p>
      <w:pPr>
        <w:ind w:left="2920"/>
        <w:spacing w:after="0"/>
        <w:rPr>
          <w:sz w:val="20"/>
          <w:szCs w:val="20"/>
          <w:color w:val="auto"/>
        </w:rPr>
      </w:pPr>
      <w:r>
        <w:rPr>
          <w:rFonts w:ascii="Arial" w:cs="Arial" w:eastAsia="Arial" w:hAnsi="Arial"/>
          <w:sz w:val="20"/>
          <w:szCs w:val="20"/>
          <w:color w:val="auto"/>
        </w:rPr>
        <w:t>Chief Financial Officer</w:t>
      </w:r>
    </w:p>
    <w:p>
      <w:pPr>
        <w:spacing w:after="0" w:line="46" w:lineRule="exact"/>
        <w:rPr>
          <w:sz w:val="20"/>
          <w:szCs w:val="20"/>
          <w:color w:val="auto"/>
        </w:rPr>
      </w:pPr>
    </w:p>
    <w:p>
      <w:pPr>
        <w:ind w:left="2920"/>
        <w:spacing w:after="0"/>
        <w:rPr>
          <w:sz w:val="20"/>
          <w:szCs w:val="20"/>
          <w:color w:val="auto"/>
        </w:rPr>
      </w:pPr>
      <w:r>
        <w:rPr>
          <w:rFonts w:ascii="Arial" w:cs="Arial" w:eastAsia="Arial" w:hAnsi="Arial"/>
          <w:sz w:val="20"/>
          <w:szCs w:val="20"/>
          <w:b w:val="1"/>
          <w:bCs w:val="1"/>
          <w:i w:val="1"/>
          <w:iCs w:val="1"/>
          <w:color w:val="auto"/>
        </w:rPr>
        <w:t>(Principal Accounting and Financial Officer)</w:t>
      </w:r>
    </w:p>
    <w:p>
      <w:pPr>
        <w:sectPr>
          <w:pgSz w:w="11880" w:h="15480" w:orient="portrait"/>
          <w:cols w:equalWidth="0" w:num="1">
            <w:col w:w="10220"/>
          </w:cols>
          <w:pgMar w:left="920" w:top="650"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54</w:t>
      </w:r>
    </w:p>
    <w:p>
      <w:pPr>
        <w:sectPr>
          <w:pgSz w:w="11880" w:h="15480" w:orient="portrait"/>
          <w:cols w:equalWidth="0" w:num="1">
            <w:col w:w="10220"/>
          </w:cols>
          <w:pgMar w:left="920" w:top="650" w:right="740" w:bottom="0" w:gutter="0" w:footer="0" w:header="0"/>
          <w:type w:val="continuous"/>
        </w:sectPr>
      </w:pPr>
    </w:p>
    <w:bookmarkStart w:id="56" w:name="page57"/>
    <w:bookmarkEnd w:id="56"/>
    <w:p>
      <w:pPr>
        <w:spacing w:after="0" w:line="284"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210" w:lineRule="exact"/>
        <w:rPr>
          <w:sz w:val="20"/>
          <w:szCs w:val="20"/>
          <w:color w:val="auto"/>
        </w:rPr>
      </w:pPr>
    </w:p>
    <w:p>
      <w:pPr>
        <w:ind w:left="1300"/>
        <w:spacing w:after="0"/>
        <w:tabs>
          <w:tab w:leader="none" w:pos="5680" w:val="left"/>
          <w:tab w:leader="none" w:pos="9080" w:val="left"/>
        </w:tabs>
        <w:rPr>
          <w:sz w:val="20"/>
          <w:szCs w:val="20"/>
          <w:color w:val="auto"/>
        </w:rPr>
      </w:pPr>
      <w:r>
        <w:rPr>
          <w:rFonts w:ascii="Arial" w:cs="Arial" w:eastAsia="Arial" w:hAnsi="Arial"/>
          <w:sz w:val="16"/>
          <w:szCs w:val="16"/>
          <w:b w:val="1"/>
          <w:bCs w:val="1"/>
          <w:color w:val="auto"/>
        </w:rPr>
        <w:t>Signature</w:t>
      </w:r>
      <w:r>
        <w:rPr>
          <w:sz w:val="20"/>
          <w:szCs w:val="20"/>
          <w:color w:val="auto"/>
        </w:rPr>
        <w:tab/>
      </w:r>
      <w:r>
        <w:rPr>
          <w:rFonts w:ascii="Arial" w:cs="Arial" w:eastAsia="Arial" w:hAnsi="Arial"/>
          <w:sz w:val="16"/>
          <w:szCs w:val="16"/>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25400</wp:posOffset>
                </wp:positionV>
                <wp:extent cx="2062480"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62480" cy="4763"/>
                        </a:xfrm>
                        <a:prstGeom prst="line">
                          <a:avLst/>
                        </a:prstGeom>
                        <a:solidFill>
                          <a:srgbClr val="FFFFFF"/>
                        </a:solidFill>
                        <a:ln w="12446">
                          <a:solidFill>
                            <a:srgbClr val="000000"/>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2pt" to="162.05pt,2pt" o:allowincell="f" strokecolor="#000000" strokeweight="0.98pt"/>
            </w:pict>
          </mc:Fallback>
        </mc:AlternateContent>
        <mc:AlternateContent>
          <mc:Choice Requires="wps">
            <w:drawing>
              <wp:anchor simplePos="0" relativeHeight="251657728" behindDoc="1" locked="0" layoutInCell="0" allowOverlap="1">
                <wp:simplePos x="0" y="0"/>
                <wp:positionH relativeFrom="column">
                  <wp:posOffset>2095500</wp:posOffset>
                </wp:positionH>
                <wp:positionV relativeFrom="paragraph">
                  <wp:posOffset>25400</wp:posOffset>
                </wp:positionV>
                <wp:extent cx="3248025"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48025" cy="4763"/>
                        </a:xfrm>
                        <a:prstGeom prst="line">
                          <a:avLst/>
                        </a:prstGeom>
                        <a:solidFill>
                          <a:srgbClr val="FFFFFF"/>
                        </a:solidFill>
                        <a:ln w="12446">
                          <a:solidFill>
                            <a:srgbClr val="000000"/>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5pt,2pt" to="420.75pt,2pt" o:allowincell="f" strokecolor="#000000" strokeweight="0.98pt"/>
            </w:pict>
          </mc:Fallback>
        </mc:AlternateContent>
        <mc:AlternateContent>
          <mc:Choice Requires="wps">
            <w:drawing>
              <wp:anchor simplePos="0" relativeHeight="251657728" behindDoc="1" locked="0" layoutInCell="0" allowOverlap="1">
                <wp:simplePos x="0" y="0"/>
                <wp:positionH relativeFrom="column">
                  <wp:posOffset>5380990</wp:posOffset>
                </wp:positionH>
                <wp:positionV relativeFrom="paragraph">
                  <wp:posOffset>25400</wp:posOffset>
                </wp:positionV>
                <wp:extent cx="998855"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8855" cy="4763"/>
                        </a:xfrm>
                        <a:prstGeom prst="line">
                          <a:avLst/>
                        </a:prstGeom>
                        <a:solidFill>
                          <a:srgbClr val="FFFFFF"/>
                        </a:solidFill>
                        <a:ln w="12446">
                          <a:solidFill>
                            <a:srgbClr val="000000"/>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3.7pt,2pt" to="502.35pt,2pt" o:allowincell="f" strokecolor="#000000" strokeweight="0.98pt"/>
            </w:pict>
          </mc:Fallback>
        </mc:AlternateConten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 VLADIMIR MAKATSARIA</w:t>
            </w:r>
          </w:p>
        </w:tc>
        <w:tc>
          <w:tcPr>
            <w:tcW w:w="4480" w:type="dxa"/>
            <w:vAlign w:val="bottom"/>
            <w:vMerge w:val="restart"/>
          </w:tcPr>
          <w:p>
            <w:pPr>
              <w:ind w:left="120"/>
              <w:spacing w:after="0"/>
              <w:rPr>
                <w:sz w:val="20"/>
                <w:szCs w:val="20"/>
                <w:color w:val="auto"/>
              </w:rPr>
            </w:pPr>
            <w:r>
              <w:rPr>
                <w:rFonts w:ascii="Arial" w:cs="Arial" w:eastAsia="Arial" w:hAnsi="Arial"/>
                <w:sz w:val="20"/>
                <w:szCs w:val="20"/>
                <w:color w:val="auto"/>
              </w:rPr>
              <w:t>Chief Executive Officer and Director</w:t>
            </w:r>
          </w:p>
        </w:tc>
        <w:tc>
          <w:tcPr>
            <w:tcW w:w="2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9"/>
        </w:trPr>
        <w:tc>
          <w:tcPr>
            <w:tcW w:w="3240" w:type="dxa"/>
            <w:vAlign w:val="bottom"/>
            <w:vMerge w:val="restart"/>
          </w:tcPr>
          <w:p>
            <w:pPr>
              <w:ind w:left="40"/>
              <w:spacing w:after="0"/>
              <w:rPr>
                <w:sz w:val="20"/>
                <w:szCs w:val="20"/>
                <w:color w:val="auto"/>
              </w:rPr>
            </w:pPr>
            <w:r>
              <w:rPr>
                <w:rFonts w:ascii="Arial" w:cs="Arial" w:eastAsia="Arial" w:hAnsi="Arial"/>
                <w:sz w:val="20"/>
                <w:szCs w:val="20"/>
                <w:color w:val="auto"/>
              </w:rPr>
              <w:t>Vladimir Makatsaria</w:t>
            </w:r>
          </w:p>
        </w:tc>
        <w:tc>
          <w:tcPr>
            <w:tcW w:w="4480" w:type="dxa"/>
            <w:vAlign w:val="bottom"/>
            <w:vMerge w:val="continue"/>
          </w:tcPr>
          <w:p>
            <w:pPr>
              <w:spacing w:after="0"/>
              <w:rPr>
                <w:sz w:val="10"/>
                <w:szCs w:val="10"/>
                <w:color w:val="auto"/>
              </w:rPr>
            </w:pPr>
          </w:p>
        </w:tc>
        <w:tc>
          <w:tcPr>
            <w:tcW w:w="2260" w:type="dxa"/>
            <w:vAlign w:val="bottom"/>
            <w:vMerge w:val="restart"/>
          </w:tcPr>
          <w:p>
            <w:pPr>
              <w:ind w:left="820"/>
              <w:spacing w:after="0"/>
              <w:rPr>
                <w:sz w:val="20"/>
                <w:szCs w:val="20"/>
                <w:color w:val="auto"/>
              </w:rPr>
            </w:pPr>
            <w:r>
              <w:rPr>
                <w:rFonts w:ascii="Arial" w:cs="Arial" w:eastAsia="Arial" w:hAnsi="Arial"/>
                <w:sz w:val="20"/>
                <w:szCs w:val="20"/>
                <w:color w:val="auto"/>
                <w:w w:val="86"/>
              </w:rPr>
              <w:t>February 25, 2025</w:t>
            </w:r>
          </w:p>
        </w:tc>
        <w:tc>
          <w:tcPr>
            <w:tcW w:w="0" w:type="dxa"/>
            <w:vAlign w:val="bottom"/>
          </w:tcPr>
          <w:p>
            <w:pPr>
              <w:spacing w:after="0"/>
              <w:rPr>
                <w:sz w:val="1"/>
                <w:szCs w:val="1"/>
                <w:color w:val="auto"/>
              </w:rPr>
            </w:pPr>
          </w:p>
        </w:tc>
      </w:tr>
      <w:tr>
        <w:trPr>
          <w:trHeight w:val="261"/>
        </w:trPr>
        <w:tc>
          <w:tcPr>
            <w:tcW w:w="3240" w:type="dxa"/>
            <w:vAlign w:val="bottom"/>
            <w:vMerge w:val="continue"/>
          </w:tcPr>
          <w:p>
            <w:pPr>
              <w:spacing w:after="0"/>
              <w:rPr>
                <w:sz w:val="22"/>
                <w:szCs w:val="22"/>
                <w:color w:val="auto"/>
              </w:rPr>
            </w:pPr>
          </w:p>
        </w:tc>
        <w:tc>
          <w:tcPr>
            <w:tcW w:w="4480" w:type="dxa"/>
            <w:vAlign w:val="bottom"/>
          </w:tcPr>
          <w:p>
            <w:pPr>
              <w:ind w:left="120"/>
              <w:spacing w:after="0"/>
              <w:rPr>
                <w:sz w:val="20"/>
                <w:szCs w:val="20"/>
                <w:color w:val="auto"/>
              </w:rPr>
            </w:pPr>
            <w:r>
              <w:rPr>
                <w:rFonts w:ascii="Arial" w:cs="Arial" w:eastAsia="Arial" w:hAnsi="Arial"/>
                <w:sz w:val="20"/>
                <w:szCs w:val="20"/>
                <w:b w:val="1"/>
                <w:bCs w:val="1"/>
                <w:i w:val="1"/>
                <w:iCs w:val="1"/>
                <w:color w:val="auto"/>
              </w:rPr>
              <w:t>(Principal Executive Officer)</w:t>
            </w:r>
          </w:p>
        </w:tc>
        <w:tc>
          <w:tcPr>
            <w:tcW w:w="22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747"/>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 ALEX SHVARTSBURG</w:t>
            </w:r>
          </w:p>
        </w:tc>
        <w:tc>
          <w:tcPr>
            <w:tcW w:w="4480" w:type="dxa"/>
            <w:vAlign w:val="bottom"/>
          </w:tcPr>
          <w:p>
            <w:pPr>
              <w:ind w:left="120"/>
              <w:spacing w:after="0"/>
              <w:rPr>
                <w:sz w:val="20"/>
                <w:szCs w:val="20"/>
                <w:color w:val="auto"/>
              </w:rPr>
            </w:pPr>
            <w:r>
              <w:rPr>
                <w:rFonts w:ascii="Arial" w:cs="Arial" w:eastAsia="Arial" w:hAnsi="Arial"/>
                <w:sz w:val="20"/>
                <w:szCs w:val="20"/>
                <w:color w:val="auto"/>
              </w:rPr>
              <w:t>Chief Financial Officer</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240" w:type="dxa"/>
            <w:vAlign w:val="bottom"/>
          </w:tcPr>
          <w:p>
            <w:pPr>
              <w:ind w:left="40"/>
              <w:spacing w:after="0"/>
              <w:rPr>
                <w:sz w:val="20"/>
                <w:szCs w:val="20"/>
                <w:color w:val="auto"/>
              </w:rPr>
            </w:pPr>
            <w:r>
              <w:rPr>
                <w:rFonts w:ascii="Arial" w:cs="Arial" w:eastAsia="Arial" w:hAnsi="Arial"/>
                <w:sz w:val="20"/>
                <w:szCs w:val="20"/>
                <w:color w:val="auto"/>
              </w:rPr>
              <w:t>Alex Shvartsburg</w:t>
            </w:r>
          </w:p>
        </w:tc>
        <w:tc>
          <w:tcPr>
            <w:tcW w:w="4480" w:type="dxa"/>
            <w:vAlign w:val="bottom"/>
          </w:tcPr>
          <w:p>
            <w:pPr>
              <w:ind w:left="120"/>
              <w:spacing w:after="0"/>
              <w:rPr>
                <w:sz w:val="20"/>
                <w:szCs w:val="20"/>
                <w:color w:val="auto"/>
              </w:rPr>
            </w:pPr>
            <w:r>
              <w:rPr>
                <w:rFonts w:ascii="Arial" w:cs="Arial" w:eastAsia="Arial" w:hAnsi="Arial"/>
                <w:sz w:val="20"/>
                <w:szCs w:val="20"/>
                <w:b w:val="1"/>
                <w:bCs w:val="1"/>
                <w:i w:val="1"/>
                <w:iCs w:val="1"/>
                <w:color w:val="auto"/>
              </w:rPr>
              <w:t>(Principal Accounting and Financial Officer)</w:t>
            </w:r>
          </w:p>
        </w:tc>
        <w:tc>
          <w:tcPr>
            <w:tcW w:w="2260" w:type="dxa"/>
            <w:vAlign w:val="bottom"/>
          </w:tcPr>
          <w:p>
            <w:pPr>
              <w:ind w:left="820"/>
              <w:spacing w:after="0"/>
              <w:rPr>
                <w:sz w:val="20"/>
                <w:szCs w:val="20"/>
                <w:color w:val="auto"/>
              </w:rPr>
            </w:pPr>
            <w:r>
              <w:rPr>
                <w:rFonts w:ascii="Arial" w:cs="Arial" w:eastAsia="Arial" w:hAnsi="Arial"/>
                <w:sz w:val="20"/>
                <w:szCs w:val="20"/>
                <w:color w:val="auto"/>
                <w:w w:val="86"/>
              </w:rPr>
              <w:t>February 25, 2025</w:t>
            </w:r>
          </w:p>
        </w:tc>
        <w:tc>
          <w:tcPr>
            <w:tcW w:w="0" w:type="dxa"/>
            <w:vAlign w:val="bottom"/>
          </w:tcPr>
          <w:p>
            <w:pPr>
              <w:spacing w:after="0"/>
              <w:rPr>
                <w:sz w:val="1"/>
                <w:szCs w:val="1"/>
                <w:color w:val="auto"/>
              </w:rPr>
            </w:pPr>
          </w:p>
        </w:tc>
      </w:tr>
      <w:tr>
        <w:trPr>
          <w:trHeight w:val="747"/>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 WILLIAM A. KOZY</w:t>
            </w:r>
          </w:p>
        </w:tc>
        <w:tc>
          <w:tcPr>
            <w:tcW w:w="44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240" w:type="dxa"/>
            <w:vAlign w:val="bottom"/>
          </w:tcPr>
          <w:p>
            <w:pPr>
              <w:ind w:left="40"/>
              <w:spacing w:after="0"/>
              <w:rPr>
                <w:sz w:val="20"/>
                <w:szCs w:val="20"/>
                <w:color w:val="auto"/>
              </w:rPr>
            </w:pPr>
            <w:r>
              <w:rPr>
                <w:rFonts w:ascii="Arial" w:cs="Arial" w:eastAsia="Arial" w:hAnsi="Arial"/>
                <w:sz w:val="20"/>
                <w:szCs w:val="20"/>
                <w:color w:val="auto"/>
              </w:rPr>
              <w:t>William A. Kozy</w:t>
            </w:r>
          </w:p>
        </w:tc>
        <w:tc>
          <w:tcPr>
            <w:tcW w:w="4480" w:type="dxa"/>
            <w:vAlign w:val="bottom"/>
          </w:tcPr>
          <w:p>
            <w:pPr>
              <w:ind w:left="120"/>
              <w:spacing w:after="0"/>
              <w:rPr>
                <w:sz w:val="20"/>
                <w:szCs w:val="20"/>
                <w:color w:val="auto"/>
              </w:rPr>
            </w:pPr>
            <w:r>
              <w:rPr>
                <w:rFonts w:ascii="Arial" w:cs="Arial" w:eastAsia="Arial" w:hAnsi="Arial"/>
                <w:sz w:val="20"/>
                <w:szCs w:val="20"/>
                <w:color w:val="auto"/>
              </w:rPr>
              <w:t>Chair of the Board of Directors</w:t>
            </w:r>
          </w:p>
        </w:tc>
        <w:tc>
          <w:tcPr>
            <w:tcW w:w="2260" w:type="dxa"/>
            <w:vAlign w:val="bottom"/>
          </w:tcPr>
          <w:p>
            <w:pPr>
              <w:ind w:left="820"/>
              <w:spacing w:after="0"/>
              <w:rPr>
                <w:sz w:val="20"/>
                <w:szCs w:val="20"/>
                <w:color w:val="auto"/>
              </w:rPr>
            </w:pPr>
            <w:r>
              <w:rPr>
                <w:rFonts w:ascii="Arial" w:cs="Arial" w:eastAsia="Arial" w:hAnsi="Arial"/>
                <w:sz w:val="20"/>
                <w:szCs w:val="20"/>
                <w:color w:val="auto"/>
                <w:w w:val="86"/>
              </w:rPr>
              <w:t>February 25, 2025</w:t>
            </w:r>
          </w:p>
        </w:tc>
        <w:tc>
          <w:tcPr>
            <w:tcW w:w="0" w:type="dxa"/>
            <w:vAlign w:val="bottom"/>
          </w:tcPr>
          <w:p>
            <w:pPr>
              <w:spacing w:after="0"/>
              <w:rPr>
                <w:sz w:val="1"/>
                <w:szCs w:val="1"/>
                <w:color w:val="auto"/>
              </w:rPr>
            </w:pPr>
          </w:p>
        </w:tc>
      </w:tr>
      <w:tr>
        <w:trPr>
          <w:trHeight w:val="751"/>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 J. CHRISTOPHER BARRY</w:t>
            </w:r>
          </w:p>
        </w:tc>
        <w:tc>
          <w:tcPr>
            <w:tcW w:w="44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240" w:type="dxa"/>
            <w:vAlign w:val="bottom"/>
          </w:tcPr>
          <w:p>
            <w:pPr>
              <w:ind w:left="40"/>
              <w:spacing w:after="0"/>
              <w:rPr>
                <w:sz w:val="20"/>
                <w:szCs w:val="20"/>
                <w:color w:val="auto"/>
              </w:rPr>
            </w:pPr>
            <w:r>
              <w:rPr>
                <w:rFonts w:ascii="Arial" w:cs="Arial" w:eastAsia="Arial" w:hAnsi="Arial"/>
                <w:sz w:val="20"/>
                <w:szCs w:val="20"/>
                <w:color w:val="auto"/>
              </w:rPr>
              <w:t>J. Christopher Barry</w:t>
            </w:r>
          </w:p>
        </w:tc>
        <w:tc>
          <w:tcPr>
            <w:tcW w:w="4480" w:type="dxa"/>
            <w:vAlign w:val="bottom"/>
          </w:tcPr>
          <w:p>
            <w:pPr>
              <w:ind w:left="120"/>
              <w:spacing w:after="0"/>
              <w:rPr>
                <w:sz w:val="20"/>
                <w:szCs w:val="20"/>
                <w:color w:val="auto"/>
              </w:rPr>
            </w:pPr>
            <w:r>
              <w:rPr>
                <w:rFonts w:ascii="Arial" w:cs="Arial" w:eastAsia="Arial" w:hAnsi="Arial"/>
                <w:sz w:val="20"/>
                <w:szCs w:val="20"/>
                <w:color w:val="auto"/>
              </w:rPr>
              <w:t>Director</w:t>
            </w:r>
          </w:p>
        </w:tc>
        <w:tc>
          <w:tcPr>
            <w:tcW w:w="2260" w:type="dxa"/>
            <w:vAlign w:val="bottom"/>
          </w:tcPr>
          <w:p>
            <w:pPr>
              <w:ind w:left="820"/>
              <w:spacing w:after="0"/>
              <w:rPr>
                <w:sz w:val="20"/>
                <w:szCs w:val="20"/>
                <w:color w:val="auto"/>
              </w:rPr>
            </w:pPr>
            <w:r>
              <w:rPr>
                <w:rFonts w:ascii="Arial" w:cs="Arial" w:eastAsia="Arial" w:hAnsi="Arial"/>
                <w:sz w:val="20"/>
                <w:szCs w:val="20"/>
                <w:color w:val="auto"/>
                <w:w w:val="86"/>
              </w:rPr>
              <w:t>February 25, 2025</w:t>
            </w:r>
          </w:p>
        </w:tc>
        <w:tc>
          <w:tcPr>
            <w:tcW w:w="0" w:type="dxa"/>
            <w:vAlign w:val="bottom"/>
          </w:tcPr>
          <w:p>
            <w:pPr>
              <w:spacing w:after="0"/>
              <w:rPr>
                <w:sz w:val="1"/>
                <w:szCs w:val="1"/>
                <w:color w:val="auto"/>
              </w:rPr>
            </w:pPr>
          </w:p>
        </w:tc>
      </w:tr>
      <w:tr>
        <w:trPr>
          <w:trHeight w:val="751"/>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 FRANCESCO BIANCHI</w:t>
            </w:r>
          </w:p>
        </w:tc>
        <w:tc>
          <w:tcPr>
            <w:tcW w:w="44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240" w:type="dxa"/>
            <w:vAlign w:val="bottom"/>
          </w:tcPr>
          <w:p>
            <w:pPr>
              <w:ind w:left="40"/>
              <w:spacing w:after="0"/>
              <w:rPr>
                <w:sz w:val="20"/>
                <w:szCs w:val="20"/>
                <w:color w:val="auto"/>
              </w:rPr>
            </w:pPr>
            <w:r>
              <w:rPr>
                <w:rFonts w:ascii="Arial" w:cs="Arial" w:eastAsia="Arial" w:hAnsi="Arial"/>
                <w:sz w:val="20"/>
                <w:szCs w:val="20"/>
                <w:color w:val="auto"/>
              </w:rPr>
              <w:t>Francesco Bianchi</w:t>
            </w:r>
          </w:p>
        </w:tc>
        <w:tc>
          <w:tcPr>
            <w:tcW w:w="4480" w:type="dxa"/>
            <w:vAlign w:val="bottom"/>
          </w:tcPr>
          <w:p>
            <w:pPr>
              <w:ind w:left="120"/>
              <w:spacing w:after="0"/>
              <w:rPr>
                <w:sz w:val="20"/>
                <w:szCs w:val="20"/>
                <w:color w:val="auto"/>
              </w:rPr>
            </w:pPr>
            <w:r>
              <w:rPr>
                <w:rFonts w:ascii="Arial" w:cs="Arial" w:eastAsia="Arial" w:hAnsi="Arial"/>
                <w:sz w:val="20"/>
                <w:szCs w:val="20"/>
                <w:color w:val="auto"/>
              </w:rPr>
              <w:t>Director</w:t>
            </w:r>
          </w:p>
        </w:tc>
        <w:tc>
          <w:tcPr>
            <w:tcW w:w="2260" w:type="dxa"/>
            <w:vAlign w:val="bottom"/>
          </w:tcPr>
          <w:p>
            <w:pPr>
              <w:ind w:left="820"/>
              <w:spacing w:after="0"/>
              <w:rPr>
                <w:sz w:val="20"/>
                <w:szCs w:val="20"/>
                <w:color w:val="auto"/>
              </w:rPr>
            </w:pPr>
            <w:r>
              <w:rPr>
                <w:rFonts w:ascii="Arial" w:cs="Arial" w:eastAsia="Arial" w:hAnsi="Arial"/>
                <w:sz w:val="20"/>
                <w:szCs w:val="20"/>
                <w:color w:val="auto"/>
                <w:w w:val="86"/>
              </w:rPr>
              <w:t>February 25, 2025</w:t>
            </w:r>
          </w:p>
        </w:tc>
        <w:tc>
          <w:tcPr>
            <w:tcW w:w="0" w:type="dxa"/>
            <w:vAlign w:val="bottom"/>
          </w:tcPr>
          <w:p>
            <w:pPr>
              <w:spacing w:after="0"/>
              <w:rPr>
                <w:sz w:val="1"/>
                <w:szCs w:val="1"/>
                <w:color w:val="auto"/>
              </w:rPr>
            </w:pPr>
          </w:p>
        </w:tc>
      </w:tr>
      <w:tr>
        <w:trPr>
          <w:trHeight w:val="751"/>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 STACY ENXING SENG</w:t>
            </w:r>
          </w:p>
        </w:tc>
        <w:tc>
          <w:tcPr>
            <w:tcW w:w="44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240" w:type="dxa"/>
            <w:vAlign w:val="bottom"/>
          </w:tcPr>
          <w:p>
            <w:pPr>
              <w:ind w:left="40"/>
              <w:spacing w:after="0"/>
              <w:rPr>
                <w:sz w:val="20"/>
                <w:szCs w:val="20"/>
                <w:color w:val="auto"/>
              </w:rPr>
            </w:pPr>
            <w:r>
              <w:rPr>
                <w:rFonts w:ascii="Arial" w:cs="Arial" w:eastAsia="Arial" w:hAnsi="Arial"/>
                <w:sz w:val="20"/>
                <w:szCs w:val="20"/>
                <w:color w:val="auto"/>
              </w:rPr>
              <w:t>Stacy Enxing Seng</w:t>
            </w:r>
          </w:p>
        </w:tc>
        <w:tc>
          <w:tcPr>
            <w:tcW w:w="4480" w:type="dxa"/>
            <w:vAlign w:val="bottom"/>
          </w:tcPr>
          <w:p>
            <w:pPr>
              <w:ind w:left="120"/>
              <w:spacing w:after="0"/>
              <w:rPr>
                <w:sz w:val="20"/>
                <w:szCs w:val="20"/>
                <w:color w:val="auto"/>
              </w:rPr>
            </w:pPr>
            <w:r>
              <w:rPr>
                <w:rFonts w:ascii="Arial" w:cs="Arial" w:eastAsia="Arial" w:hAnsi="Arial"/>
                <w:sz w:val="20"/>
                <w:szCs w:val="20"/>
                <w:color w:val="auto"/>
              </w:rPr>
              <w:t>Director</w:t>
            </w:r>
          </w:p>
        </w:tc>
        <w:tc>
          <w:tcPr>
            <w:tcW w:w="2260" w:type="dxa"/>
            <w:vAlign w:val="bottom"/>
          </w:tcPr>
          <w:p>
            <w:pPr>
              <w:ind w:left="820"/>
              <w:spacing w:after="0"/>
              <w:rPr>
                <w:sz w:val="20"/>
                <w:szCs w:val="20"/>
                <w:color w:val="auto"/>
              </w:rPr>
            </w:pPr>
            <w:r>
              <w:rPr>
                <w:rFonts w:ascii="Arial" w:cs="Arial" w:eastAsia="Arial" w:hAnsi="Arial"/>
                <w:sz w:val="20"/>
                <w:szCs w:val="20"/>
                <w:color w:val="auto"/>
                <w:w w:val="86"/>
              </w:rPr>
              <w:t>February 25, 2025</w:t>
            </w:r>
          </w:p>
        </w:tc>
        <w:tc>
          <w:tcPr>
            <w:tcW w:w="0" w:type="dxa"/>
            <w:vAlign w:val="bottom"/>
          </w:tcPr>
          <w:p>
            <w:pPr>
              <w:spacing w:after="0"/>
              <w:rPr>
                <w:sz w:val="1"/>
                <w:szCs w:val="1"/>
                <w:color w:val="auto"/>
              </w:rPr>
            </w:pPr>
          </w:p>
        </w:tc>
      </w:tr>
      <w:tr>
        <w:trPr>
          <w:trHeight w:val="751"/>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 SHARON O’KANE</w:t>
            </w:r>
          </w:p>
        </w:tc>
        <w:tc>
          <w:tcPr>
            <w:tcW w:w="44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240" w:type="dxa"/>
            <w:vAlign w:val="bottom"/>
          </w:tcPr>
          <w:p>
            <w:pPr>
              <w:ind w:left="40"/>
              <w:spacing w:after="0"/>
              <w:rPr>
                <w:sz w:val="20"/>
                <w:szCs w:val="20"/>
                <w:color w:val="auto"/>
              </w:rPr>
            </w:pPr>
            <w:r>
              <w:rPr>
                <w:rFonts w:ascii="Arial" w:cs="Arial" w:eastAsia="Arial" w:hAnsi="Arial"/>
                <w:sz w:val="20"/>
                <w:szCs w:val="20"/>
                <w:color w:val="auto"/>
              </w:rPr>
              <w:t>Sharon O’Kane, Ph.D.</w:t>
            </w:r>
          </w:p>
        </w:tc>
        <w:tc>
          <w:tcPr>
            <w:tcW w:w="4480" w:type="dxa"/>
            <w:vAlign w:val="bottom"/>
          </w:tcPr>
          <w:p>
            <w:pPr>
              <w:ind w:left="120"/>
              <w:spacing w:after="0"/>
              <w:rPr>
                <w:sz w:val="20"/>
                <w:szCs w:val="20"/>
                <w:color w:val="auto"/>
              </w:rPr>
            </w:pPr>
            <w:r>
              <w:rPr>
                <w:rFonts w:ascii="Arial" w:cs="Arial" w:eastAsia="Arial" w:hAnsi="Arial"/>
                <w:sz w:val="20"/>
                <w:szCs w:val="20"/>
                <w:color w:val="auto"/>
              </w:rPr>
              <w:t>Director</w:t>
            </w:r>
          </w:p>
        </w:tc>
        <w:tc>
          <w:tcPr>
            <w:tcW w:w="2260" w:type="dxa"/>
            <w:vAlign w:val="bottom"/>
          </w:tcPr>
          <w:p>
            <w:pPr>
              <w:ind w:left="820"/>
              <w:spacing w:after="0"/>
              <w:rPr>
                <w:sz w:val="20"/>
                <w:szCs w:val="20"/>
                <w:color w:val="auto"/>
              </w:rPr>
            </w:pPr>
            <w:r>
              <w:rPr>
                <w:rFonts w:ascii="Arial" w:cs="Arial" w:eastAsia="Arial" w:hAnsi="Arial"/>
                <w:sz w:val="20"/>
                <w:szCs w:val="20"/>
                <w:color w:val="auto"/>
                <w:w w:val="86"/>
              </w:rPr>
              <w:t>February 25, 2025</w:t>
            </w:r>
          </w:p>
        </w:tc>
        <w:tc>
          <w:tcPr>
            <w:tcW w:w="0" w:type="dxa"/>
            <w:vAlign w:val="bottom"/>
          </w:tcPr>
          <w:p>
            <w:pPr>
              <w:spacing w:after="0"/>
              <w:rPr>
                <w:sz w:val="1"/>
                <w:szCs w:val="1"/>
                <w:color w:val="auto"/>
              </w:rPr>
            </w:pPr>
          </w:p>
        </w:tc>
      </w:tr>
      <w:tr>
        <w:trPr>
          <w:trHeight w:val="780"/>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 SUSAN PODLOGAR</w:t>
            </w:r>
          </w:p>
        </w:tc>
        <w:tc>
          <w:tcPr>
            <w:tcW w:w="44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3240" w:type="dxa"/>
            <w:vAlign w:val="bottom"/>
          </w:tcPr>
          <w:p>
            <w:pPr>
              <w:ind w:left="40"/>
              <w:spacing w:after="0"/>
              <w:rPr>
                <w:sz w:val="20"/>
                <w:szCs w:val="20"/>
                <w:color w:val="auto"/>
              </w:rPr>
            </w:pPr>
            <w:r>
              <w:rPr>
                <w:rFonts w:ascii="Arial" w:cs="Arial" w:eastAsia="Arial" w:hAnsi="Arial"/>
                <w:sz w:val="20"/>
                <w:szCs w:val="20"/>
                <w:color w:val="auto"/>
              </w:rPr>
              <w:t>Susan Podlogar</w:t>
            </w:r>
          </w:p>
        </w:tc>
        <w:tc>
          <w:tcPr>
            <w:tcW w:w="4480" w:type="dxa"/>
            <w:vAlign w:val="bottom"/>
          </w:tcPr>
          <w:p>
            <w:pPr>
              <w:ind w:left="120"/>
              <w:spacing w:after="0"/>
              <w:rPr>
                <w:sz w:val="20"/>
                <w:szCs w:val="20"/>
                <w:color w:val="auto"/>
              </w:rPr>
            </w:pPr>
            <w:r>
              <w:rPr>
                <w:rFonts w:ascii="Arial" w:cs="Arial" w:eastAsia="Arial" w:hAnsi="Arial"/>
                <w:sz w:val="20"/>
                <w:szCs w:val="20"/>
                <w:color w:val="auto"/>
              </w:rPr>
              <w:t>Director</w:t>
            </w:r>
          </w:p>
        </w:tc>
        <w:tc>
          <w:tcPr>
            <w:tcW w:w="2260" w:type="dxa"/>
            <w:vAlign w:val="bottom"/>
          </w:tcPr>
          <w:p>
            <w:pPr>
              <w:ind w:left="820"/>
              <w:spacing w:after="0"/>
              <w:rPr>
                <w:sz w:val="20"/>
                <w:szCs w:val="20"/>
                <w:color w:val="auto"/>
              </w:rPr>
            </w:pPr>
            <w:r>
              <w:rPr>
                <w:rFonts w:ascii="Arial" w:cs="Arial" w:eastAsia="Arial" w:hAnsi="Arial"/>
                <w:sz w:val="20"/>
                <w:szCs w:val="20"/>
                <w:color w:val="auto"/>
                <w:w w:val="86"/>
              </w:rPr>
              <w:t>February 25, 2025</w:t>
            </w:r>
          </w:p>
        </w:tc>
        <w:tc>
          <w:tcPr>
            <w:tcW w:w="0" w:type="dxa"/>
            <w:vAlign w:val="bottom"/>
          </w:tcPr>
          <w:p>
            <w:pPr>
              <w:spacing w:after="0"/>
              <w:rPr>
                <w:sz w:val="1"/>
                <w:szCs w:val="1"/>
                <w:color w:val="auto"/>
              </w:rPr>
            </w:pPr>
          </w:p>
        </w:tc>
      </w:tr>
      <w:tr>
        <w:trPr>
          <w:trHeight w:val="751"/>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 TODD C. SCHERMERHORN</w:t>
            </w:r>
          </w:p>
        </w:tc>
        <w:tc>
          <w:tcPr>
            <w:tcW w:w="44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240" w:type="dxa"/>
            <w:vAlign w:val="bottom"/>
          </w:tcPr>
          <w:p>
            <w:pPr>
              <w:ind w:left="40"/>
              <w:spacing w:after="0"/>
              <w:rPr>
                <w:sz w:val="20"/>
                <w:szCs w:val="20"/>
                <w:color w:val="auto"/>
              </w:rPr>
            </w:pPr>
            <w:r>
              <w:rPr>
                <w:rFonts w:ascii="Arial" w:cs="Arial" w:eastAsia="Arial" w:hAnsi="Arial"/>
                <w:sz w:val="20"/>
                <w:szCs w:val="20"/>
                <w:color w:val="auto"/>
              </w:rPr>
              <w:t>Todd C. Schermerhorn</w:t>
            </w:r>
          </w:p>
        </w:tc>
        <w:tc>
          <w:tcPr>
            <w:tcW w:w="4480" w:type="dxa"/>
            <w:vAlign w:val="bottom"/>
          </w:tcPr>
          <w:p>
            <w:pPr>
              <w:ind w:left="120"/>
              <w:spacing w:after="0"/>
              <w:rPr>
                <w:sz w:val="20"/>
                <w:szCs w:val="20"/>
                <w:color w:val="auto"/>
              </w:rPr>
            </w:pPr>
            <w:r>
              <w:rPr>
                <w:rFonts w:ascii="Arial" w:cs="Arial" w:eastAsia="Arial" w:hAnsi="Arial"/>
                <w:sz w:val="20"/>
                <w:szCs w:val="20"/>
                <w:color w:val="auto"/>
              </w:rPr>
              <w:t>Director</w:t>
            </w:r>
          </w:p>
        </w:tc>
        <w:tc>
          <w:tcPr>
            <w:tcW w:w="2260" w:type="dxa"/>
            <w:vAlign w:val="bottom"/>
          </w:tcPr>
          <w:p>
            <w:pPr>
              <w:ind w:left="820"/>
              <w:spacing w:after="0"/>
              <w:rPr>
                <w:sz w:val="20"/>
                <w:szCs w:val="20"/>
                <w:color w:val="auto"/>
              </w:rPr>
            </w:pPr>
            <w:r>
              <w:rPr>
                <w:rFonts w:ascii="Arial" w:cs="Arial" w:eastAsia="Arial" w:hAnsi="Arial"/>
                <w:sz w:val="20"/>
                <w:szCs w:val="20"/>
                <w:color w:val="auto"/>
                <w:w w:val="86"/>
              </w:rPr>
              <w:t>February 25, 2025</w:t>
            </w:r>
          </w:p>
        </w:tc>
        <w:tc>
          <w:tcPr>
            <w:tcW w:w="0" w:type="dxa"/>
            <w:vAlign w:val="bottom"/>
          </w:tcPr>
          <w:p>
            <w:pPr>
              <w:spacing w:after="0"/>
              <w:rPr>
                <w:sz w:val="1"/>
                <w:szCs w:val="1"/>
                <w:color w:val="auto"/>
              </w:rPr>
            </w:pPr>
          </w:p>
        </w:tc>
      </w:tr>
      <w:tr>
        <w:trPr>
          <w:trHeight w:val="751"/>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 BROOKE STORY</w:t>
            </w:r>
          </w:p>
        </w:tc>
        <w:tc>
          <w:tcPr>
            <w:tcW w:w="44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240" w:type="dxa"/>
            <w:vAlign w:val="bottom"/>
          </w:tcPr>
          <w:p>
            <w:pPr>
              <w:ind w:left="40"/>
              <w:spacing w:after="0"/>
              <w:rPr>
                <w:sz w:val="20"/>
                <w:szCs w:val="20"/>
                <w:color w:val="auto"/>
              </w:rPr>
            </w:pPr>
            <w:r>
              <w:rPr>
                <w:rFonts w:ascii="Arial" w:cs="Arial" w:eastAsia="Arial" w:hAnsi="Arial"/>
                <w:sz w:val="20"/>
                <w:szCs w:val="20"/>
                <w:color w:val="auto"/>
              </w:rPr>
              <w:t>Brooke Story</w:t>
            </w:r>
          </w:p>
        </w:tc>
        <w:tc>
          <w:tcPr>
            <w:tcW w:w="4480" w:type="dxa"/>
            <w:vAlign w:val="bottom"/>
          </w:tcPr>
          <w:p>
            <w:pPr>
              <w:ind w:left="120"/>
              <w:spacing w:after="0"/>
              <w:rPr>
                <w:sz w:val="20"/>
                <w:szCs w:val="20"/>
                <w:color w:val="auto"/>
              </w:rPr>
            </w:pPr>
            <w:r>
              <w:rPr>
                <w:rFonts w:ascii="Arial" w:cs="Arial" w:eastAsia="Arial" w:hAnsi="Arial"/>
                <w:sz w:val="20"/>
                <w:szCs w:val="20"/>
                <w:color w:val="auto"/>
              </w:rPr>
              <w:t>Director</w:t>
            </w:r>
          </w:p>
        </w:tc>
        <w:tc>
          <w:tcPr>
            <w:tcW w:w="2260" w:type="dxa"/>
            <w:vAlign w:val="bottom"/>
          </w:tcPr>
          <w:p>
            <w:pPr>
              <w:ind w:left="820"/>
              <w:spacing w:after="0"/>
              <w:rPr>
                <w:sz w:val="20"/>
                <w:szCs w:val="20"/>
                <w:color w:val="auto"/>
              </w:rPr>
            </w:pPr>
            <w:r>
              <w:rPr>
                <w:rFonts w:ascii="Arial" w:cs="Arial" w:eastAsia="Arial" w:hAnsi="Arial"/>
                <w:sz w:val="20"/>
                <w:szCs w:val="20"/>
                <w:color w:val="auto"/>
                <w:w w:val="86"/>
              </w:rPr>
              <w:t>February 25, 2025</w:t>
            </w:r>
          </w:p>
        </w:tc>
        <w:tc>
          <w:tcPr>
            <w:tcW w:w="0" w:type="dxa"/>
            <w:vAlign w:val="bottom"/>
          </w:tcPr>
          <w:p>
            <w:pPr>
              <w:spacing w:after="0"/>
              <w:rPr>
                <w:sz w:val="1"/>
                <w:szCs w:val="1"/>
                <w:color w:val="auto"/>
              </w:rPr>
            </w:pPr>
          </w:p>
        </w:tc>
      </w:tr>
      <w:tr>
        <w:trPr>
          <w:trHeight w:val="751"/>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 PETER M. WILVER</w:t>
            </w:r>
          </w:p>
        </w:tc>
        <w:tc>
          <w:tcPr>
            <w:tcW w:w="44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240" w:type="dxa"/>
            <w:vAlign w:val="bottom"/>
          </w:tcPr>
          <w:p>
            <w:pPr>
              <w:ind w:left="40"/>
              <w:spacing w:after="0"/>
              <w:rPr>
                <w:sz w:val="20"/>
                <w:szCs w:val="20"/>
                <w:color w:val="auto"/>
              </w:rPr>
            </w:pPr>
            <w:r>
              <w:rPr>
                <w:rFonts w:ascii="Arial" w:cs="Arial" w:eastAsia="Arial" w:hAnsi="Arial"/>
                <w:sz w:val="20"/>
                <w:szCs w:val="20"/>
                <w:color w:val="auto"/>
              </w:rPr>
              <w:t>Peter M. Wilver</w:t>
            </w:r>
          </w:p>
        </w:tc>
        <w:tc>
          <w:tcPr>
            <w:tcW w:w="4480" w:type="dxa"/>
            <w:vAlign w:val="bottom"/>
          </w:tcPr>
          <w:p>
            <w:pPr>
              <w:ind w:left="120"/>
              <w:spacing w:after="0"/>
              <w:rPr>
                <w:sz w:val="20"/>
                <w:szCs w:val="20"/>
                <w:color w:val="auto"/>
              </w:rPr>
            </w:pPr>
            <w:r>
              <w:rPr>
                <w:rFonts w:ascii="Arial" w:cs="Arial" w:eastAsia="Arial" w:hAnsi="Arial"/>
                <w:sz w:val="20"/>
                <w:szCs w:val="20"/>
                <w:color w:val="auto"/>
              </w:rPr>
              <w:t>Director</w:t>
            </w:r>
          </w:p>
        </w:tc>
        <w:tc>
          <w:tcPr>
            <w:tcW w:w="2260" w:type="dxa"/>
            <w:vAlign w:val="bottom"/>
          </w:tcPr>
          <w:p>
            <w:pPr>
              <w:ind w:left="820"/>
              <w:spacing w:after="0"/>
              <w:rPr>
                <w:sz w:val="20"/>
                <w:szCs w:val="20"/>
                <w:color w:val="auto"/>
              </w:rPr>
            </w:pPr>
            <w:r>
              <w:rPr>
                <w:rFonts w:ascii="Arial" w:cs="Arial" w:eastAsia="Arial" w:hAnsi="Arial"/>
                <w:sz w:val="20"/>
                <w:szCs w:val="20"/>
                <w:color w:val="auto"/>
                <w:w w:val="86"/>
              </w:rPr>
              <w:t>February 25, 2025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040"/>
          </w:cols>
          <w:pgMar w:left="920" w:top="66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ectPr>
          <w:pgSz w:w="11880" w:h="15480" w:orient="portrait"/>
          <w:cols w:equalWidth="0" w:num="1">
            <w:col w:w="10040"/>
          </w:cols>
          <w:pgMar w:left="920" w:top="664" w:right="920" w:bottom="0" w:gutter="0" w:footer="0" w:header="0"/>
          <w:type w:val="continuous"/>
        </w:sectPr>
      </w:pPr>
    </w:p>
    <w:bookmarkStart w:id="57" w:name="page58"/>
    <w:bookmarkEnd w:id="57"/>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58" w:name="page59"/>
    <w:bookmarkEnd w:id="58"/>
    <w:p>
      <w:pPr>
        <w:jc w:val="center"/>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 and Stockholders of LivaNova PLC</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Opinions on the Financial Statements and Internal Control over Financial Reporting</w:t>
      </w:r>
    </w:p>
    <w:p>
      <w:pPr>
        <w:spacing w:after="0" w:line="131"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 xml:space="preserve">We have audited the accompanying consolidated balance sheets of LivaNova PLC and its subsidiaries (the "Company") as of December 31, 2024 and 2023, and the related consolidated statements of income (loss), of comprehensive income (loss), of stockholders’ equity and of cash flows for each of the three years in the period ended December 31, 2024, including the related notes (collectively referred to as the "consolidated financial statements"). We also have audited the Company's internal control over financial reporting as of December 31, 2024, based on criteria established in </w:t>
      </w:r>
      <w:r>
        <w:rPr>
          <w:rFonts w:ascii="Arial" w:cs="Arial" w:eastAsia="Arial" w:hAnsi="Arial"/>
          <w:sz w:val="17"/>
          <w:szCs w:val="17"/>
          <w:b w:val="1"/>
          <w:bCs w:val="1"/>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48"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 xml:space="preserve">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Arial" w:cs="Arial" w:eastAsia="Arial" w:hAnsi="Arial"/>
          <w:sz w:val="20"/>
          <w:szCs w:val="20"/>
          <w:b w:val="1"/>
          <w:bCs w:val="1"/>
          <w:i w:val="1"/>
          <w:iCs w:val="1"/>
          <w:color w:val="auto"/>
        </w:rPr>
        <w:t>Internal Control - Integrated Framework</w:t>
      </w:r>
      <w:r>
        <w:rPr>
          <w:rFonts w:ascii="Arial" w:cs="Arial" w:eastAsia="Arial" w:hAnsi="Arial"/>
          <w:sz w:val="20"/>
          <w:szCs w:val="20"/>
          <w:color w:val="auto"/>
        </w:rPr>
        <w:t xml:space="preserve"> (2013) issued by the COSO.</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for Opinions</w:t>
      </w:r>
    </w:p>
    <w:p>
      <w:pPr>
        <w:spacing w:after="0" w:line="131"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48"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85"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Definition and Limitations of Internal Control over Financial Reporting</w:t>
      </w:r>
    </w:p>
    <w:p>
      <w:pPr>
        <w:spacing w:after="0" w:line="131"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50" w:lineRule="exact"/>
        <w:rPr>
          <w:sz w:val="20"/>
          <w:szCs w:val="20"/>
          <w:color w:val="auto"/>
        </w:rPr>
      </w:pPr>
    </w:p>
    <w:p>
      <w:pPr>
        <w:jc w:val="both"/>
        <w:spacing w:after="0" w:line="32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ectPr>
          <w:pgSz w:w="11880" w:h="15480" w:orient="portrait"/>
          <w:cols w:equalWidth="0" w:num="1">
            <w:col w:w="10040"/>
          </w:cols>
          <w:pgMar w:left="920" w:top="65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w:t>
      </w:r>
    </w:p>
    <w:p>
      <w:pPr>
        <w:sectPr>
          <w:pgSz w:w="11880" w:h="15480" w:orient="portrait"/>
          <w:cols w:equalWidth="0" w:num="1">
            <w:col w:w="10040"/>
          </w:cols>
          <w:pgMar w:left="920" w:top="650" w:right="920" w:bottom="0" w:gutter="0" w:footer="0" w:header="0"/>
          <w:type w:val="continuous"/>
        </w:sectPr>
      </w:pPr>
    </w:p>
    <w:bookmarkStart w:id="59" w:name="page60"/>
    <w:bookmarkEnd w:id="59"/>
    <w:p>
      <w:pPr>
        <w:spacing w:after="0"/>
        <w:rPr>
          <w:sz w:val="20"/>
          <w:szCs w:val="20"/>
          <w:color w:val="auto"/>
        </w:rPr>
      </w:pPr>
      <w:r>
        <w:rPr>
          <w:rFonts w:ascii="Arial" w:cs="Arial" w:eastAsia="Arial" w:hAnsi="Arial"/>
          <w:sz w:val="20"/>
          <w:szCs w:val="20"/>
          <w:b w:val="1"/>
          <w:bCs w:val="1"/>
          <w:i w:val="1"/>
          <w:iCs w:val="1"/>
          <w:color w:val="auto"/>
        </w:rPr>
        <w:t>Critical Audit Matters</w:t>
      </w:r>
    </w:p>
    <w:p>
      <w:pPr>
        <w:spacing w:after="0" w:line="131"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Goodwill Impairment Assessment – Cardiopulmonary (CP) Reporting Unit</w:t>
      </w:r>
    </w:p>
    <w:p>
      <w:pPr>
        <w:spacing w:after="0" w:line="126"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As described in Notes 2 and 5 to the consolidated financial statements, the Company’s consolidated goodwill balance was $750.0 million as of December 31, 2024, and the amount of goodwill associated with the CP reporting unit was $351.3 million. Management conducts impairment testing of goodwill on October 1st each year. If management determines that goodwill is more-likely-than-not impaired, management compares the fair value of the reporting unit to its carrying amount, including goodwill. Fair value refers to the price that would be received if management were to sell the unit as a whole in an orderly transaction. Fair value is estimated using a discounted cash flow model and requires various assumptions, including revenue growth rates and discount rates.</w:t>
      </w:r>
    </w:p>
    <w:p>
      <w:pPr>
        <w:spacing w:after="0" w:line="7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principal considerations for our determination that performing procedures relating to the goodwill impairment assessment of the CP reporting unit is a critical audit matter are (i) the significant judgment by management when developing the fair value estimate of the CP reporting unit; (ii) a high degree of auditor judgment, subjectivity, and effort in performing procedures and evaluating management’s significant assumptions relating to revenue growth rates and the discount rate; and (iii) the audit effort involved the use of professionals with specialized skill and knowledge.</w:t>
      </w:r>
    </w:p>
    <w:p>
      <w:pPr>
        <w:spacing w:after="0" w:line="6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valuation of the CP reporting unit. These procedures also included, among others (i) testing management’s process for developing the fair value estimate of the reporting unit; (ii) evaluating the appropriateness of the discounted cash flow model; (iii) testing the completeness and accuracy of underlying data used in the discounted cash flow model; and (iv) evaluating the reasonableness of the significant assumptions used by management related to revenue growth rates and the discount rate. Evaluating management’s assumptions related to revenue growth rates involved evaluating whether the assumptions used by management were reasonable considering (i) the current and past performance of the reporting unit; (ii) the consistency with external market and industry data; and (iii) whether these assumptions were consistent with evidence obtained in other areas of the audit. Professionals with specialized skill and knowledge were used to assist in the evaluating (i) the appropriateness of the discounted cash flow model and (ii) the reasonableness of the discount rate assumption.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 PricewaterhouseCoopers LLP</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February 25, 2025</w:t>
      </w: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2018.</w:t>
      </w:r>
    </w:p>
    <w:p>
      <w:pPr>
        <w:sectPr>
          <w:pgSz w:w="11880" w:h="15480" w:orient="portrait"/>
          <w:cols w:equalWidth="0" w:num="1">
            <w:col w:w="10040"/>
          </w:cols>
          <w:pgMar w:left="920" w:top="656"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ectPr>
          <w:pgSz w:w="11880" w:h="15480" w:orient="portrait"/>
          <w:cols w:equalWidth="0" w:num="1">
            <w:col w:w="10040"/>
          </w:cols>
          <w:pgMar w:left="920" w:top="656" w:right="920" w:bottom="0" w:gutter="0" w:footer="0" w:header="0"/>
          <w:type w:val="continuous"/>
        </w:sectPr>
      </w:pPr>
    </w:p>
    <w:bookmarkStart w:id="60" w:name="page61"/>
    <w:bookmarkEnd w:id="60"/>
    <w:p>
      <w:pPr>
        <w:jc w:val="center"/>
        <w:spacing w:after="0"/>
        <w:rPr>
          <w:sz w:val="20"/>
          <w:szCs w:val="20"/>
          <w:color w:val="auto"/>
        </w:rPr>
      </w:pPr>
      <w:r>
        <w:rPr>
          <w:rFonts w:ascii="Arial" w:cs="Arial" w:eastAsia="Arial" w:hAnsi="Arial"/>
          <w:sz w:val="24"/>
          <w:szCs w:val="24"/>
          <w:b w:val="1"/>
          <w:bCs w:val="1"/>
          <w:color w:val="auto"/>
        </w:rPr>
        <w:t>LIVANOVA PLC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CONSOLIDATED STATEMENTS OF INCOME (LOSS)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336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20"/>
                <w:szCs w:val="20"/>
                <w:b w:val="1"/>
                <w:bCs w:val="1"/>
                <w:color w:val="auto"/>
              </w:rPr>
              <w:t>Year Ended December 31,</w:t>
            </w:r>
          </w:p>
        </w:tc>
        <w:tc>
          <w:tcPr>
            <w:tcW w:w="1160" w:type="dxa"/>
            <w:vAlign w:val="bottom"/>
            <w:tcBorders>
              <w:bottom w:val="single" w:sz="8" w:color="auto"/>
            </w:tcBorders>
          </w:tcPr>
          <w:p>
            <w:pPr>
              <w:spacing w:after="0"/>
              <w:rPr>
                <w:sz w:val="22"/>
                <w:szCs w:val="22"/>
                <w:color w:val="auto"/>
              </w:rPr>
            </w:pPr>
          </w:p>
        </w:tc>
      </w:tr>
      <w:tr>
        <w:trPr>
          <w:trHeight w:val="260"/>
        </w:trPr>
        <w:tc>
          <w:tcPr>
            <w:tcW w:w="514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02"/>
              <w:spacing w:after="0"/>
              <w:rPr>
                <w:sz w:val="20"/>
                <w:szCs w:val="20"/>
                <w:color w:val="auto"/>
              </w:rPr>
            </w:pPr>
            <w:r>
              <w:rPr>
                <w:rFonts w:ascii="Arial" w:cs="Arial" w:eastAsia="Arial" w:hAnsi="Arial"/>
                <w:sz w:val="20"/>
                <w:szCs w:val="20"/>
                <w:b w:val="1"/>
                <w:bCs w:val="1"/>
                <w:color w:val="auto"/>
              </w:rPr>
              <w:t>2024</w:t>
            </w:r>
          </w:p>
        </w:tc>
        <w:tc>
          <w:tcPr>
            <w:tcW w:w="80" w:type="dxa"/>
            <w:vAlign w:val="bottom"/>
            <w:tcBorders>
              <w:bottom w:val="single" w:sz="8" w:color="E6E6E6"/>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02"/>
              <w:spacing w:after="0"/>
              <w:rPr>
                <w:sz w:val="20"/>
                <w:szCs w:val="20"/>
                <w:color w:val="auto"/>
              </w:rPr>
            </w:pPr>
            <w:r>
              <w:rPr>
                <w:rFonts w:ascii="Arial" w:cs="Arial" w:eastAsia="Arial" w:hAnsi="Arial"/>
                <w:sz w:val="20"/>
                <w:szCs w:val="20"/>
                <w:b w:val="1"/>
                <w:bCs w:val="1"/>
                <w:color w:val="auto"/>
              </w:rPr>
              <w:t>2023</w:t>
            </w:r>
          </w:p>
        </w:tc>
        <w:tc>
          <w:tcPr>
            <w:tcW w:w="80" w:type="dxa"/>
            <w:vAlign w:val="bottom"/>
            <w:tcBorders>
              <w:bottom w:val="single" w:sz="8" w:color="E6E6E6"/>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02"/>
              <w:spacing w:after="0"/>
              <w:rPr>
                <w:sz w:val="20"/>
                <w:szCs w:val="20"/>
                <w:color w:val="auto"/>
              </w:rPr>
            </w:pPr>
            <w:r>
              <w:rPr>
                <w:rFonts w:ascii="Arial" w:cs="Arial" w:eastAsia="Arial" w:hAnsi="Arial"/>
                <w:sz w:val="20"/>
                <w:szCs w:val="20"/>
                <w:b w:val="1"/>
                <w:bCs w:val="1"/>
                <w:color w:val="auto"/>
              </w:rPr>
              <w:t>2022</w:t>
            </w:r>
          </w:p>
        </w:tc>
      </w:tr>
      <w:tr>
        <w:trPr>
          <w:trHeight w:val="269"/>
        </w:trPr>
        <w:tc>
          <w:tcPr>
            <w:tcW w:w="5160" w:type="dxa"/>
            <w:vAlign w:val="bottom"/>
            <w:gridSpan w:val="2"/>
            <w:shd w:val="clear" w:color="auto" w:fill="E6E6E6"/>
          </w:tcPr>
          <w:p>
            <w:pPr>
              <w:ind w:left="40"/>
              <w:spacing w:after="0"/>
              <w:rPr>
                <w:sz w:val="20"/>
                <w:szCs w:val="20"/>
                <w:color w:val="auto"/>
              </w:rPr>
            </w:pPr>
            <w:r>
              <w:rPr>
                <w:rFonts w:ascii="Arial" w:cs="Arial" w:eastAsia="Arial" w:hAnsi="Arial"/>
                <w:sz w:val="20"/>
                <w:szCs w:val="20"/>
                <w:color w:val="auto"/>
              </w:rPr>
              <w:t>Net revenue</w:t>
            </w:r>
          </w:p>
        </w:tc>
        <w:tc>
          <w:tcPr>
            <w:tcW w:w="360" w:type="dxa"/>
            <w:vAlign w:val="bottom"/>
            <w:shd w:val="clear" w:color="auto" w:fill="E6E6E6"/>
          </w:tcPr>
          <w:p>
            <w:pPr>
              <w:jc w:val="right"/>
              <w:ind w:right="142"/>
              <w:spacing w:after="0"/>
              <w:rPr>
                <w:sz w:val="20"/>
                <w:szCs w:val="20"/>
                <w:color w:val="auto"/>
              </w:rPr>
            </w:pPr>
            <w:r>
              <w:rPr>
                <w:rFonts w:ascii="Arial" w:cs="Arial" w:eastAsia="Arial" w:hAnsi="Arial"/>
                <w:sz w:val="20"/>
                <w:szCs w:val="20"/>
                <w:color w:val="auto"/>
                <w:w w:val="89"/>
              </w:rPr>
              <w:t>$</w:t>
            </w: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1,253,437</w:t>
            </w:r>
          </w:p>
        </w:tc>
        <w:tc>
          <w:tcPr>
            <w:tcW w:w="460" w:type="dxa"/>
            <w:vAlign w:val="bottom"/>
            <w:gridSpan w:val="2"/>
            <w:shd w:val="clear" w:color="auto" w:fill="E6E6E6"/>
          </w:tcPr>
          <w:p>
            <w:pPr>
              <w:jc w:val="right"/>
              <w:ind w:right="240"/>
              <w:spacing w:after="0"/>
              <w:rPr>
                <w:sz w:val="20"/>
                <w:szCs w:val="20"/>
                <w:color w:val="auto"/>
              </w:rPr>
            </w:pPr>
            <w:r>
              <w:rPr>
                <w:rFonts w:ascii="Arial" w:cs="Arial" w:eastAsia="Arial" w:hAnsi="Arial"/>
                <w:sz w:val="20"/>
                <w:szCs w:val="20"/>
                <w:color w:val="auto"/>
              </w:rPr>
              <w:t>$</w:t>
            </w: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1,153,545</w:t>
            </w:r>
          </w:p>
        </w:tc>
        <w:tc>
          <w:tcPr>
            <w:tcW w:w="500" w:type="dxa"/>
            <w:vAlign w:val="bottom"/>
            <w:gridSpan w:val="2"/>
            <w:shd w:val="clear" w:color="auto" w:fill="E6E6E6"/>
          </w:tcPr>
          <w:p>
            <w:pPr>
              <w:jc w:val="right"/>
              <w:ind w:right="280"/>
              <w:spacing w:after="0"/>
              <w:rPr>
                <w:sz w:val="20"/>
                <w:szCs w:val="20"/>
                <w:color w:val="auto"/>
              </w:rPr>
            </w:pPr>
            <w:r>
              <w:rPr>
                <w:rFonts w:ascii="Arial" w:cs="Arial" w:eastAsia="Arial" w:hAnsi="Arial"/>
                <w:sz w:val="20"/>
                <w:szCs w:val="20"/>
                <w:color w:val="auto"/>
              </w:rPr>
              <w:t>$</w:t>
            </w:r>
          </w:p>
        </w:tc>
        <w:tc>
          <w:tcPr>
            <w:tcW w:w="11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1,021,805</w:t>
            </w:r>
          </w:p>
        </w:tc>
      </w:tr>
      <w:tr>
        <w:trPr>
          <w:trHeight w:val="269"/>
        </w:trPr>
        <w:tc>
          <w:tcPr>
            <w:tcW w:w="5160" w:type="dxa"/>
            <w:vAlign w:val="bottom"/>
            <w:tcBorders>
              <w:bottom w:val="single" w:sz="8" w:color="E6E6E6"/>
            </w:tcBorders>
            <w:gridSpan w:val="2"/>
          </w:tcPr>
          <w:p>
            <w:pPr>
              <w:ind w:left="40"/>
              <w:spacing w:after="0"/>
              <w:rPr>
                <w:sz w:val="20"/>
                <w:szCs w:val="20"/>
                <w:color w:val="auto"/>
              </w:rPr>
            </w:pPr>
            <w:r>
              <w:rPr>
                <w:rFonts w:ascii="Arial" w:cs="Arial" w:eastAsia="Arial" w:hAnsi="Arial"/>
                <w:sz w:val="20"/>
                <w:szCs w:val="20"/>
                <w:color w:val="auto"/>
              </w:rPr>
              <w:t>Cost of sales</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382,564</w:t>
            </w:r>
          </w:p>
        </w:tc>
        <w:tc>
          <w:tcPr>
            <w:tcW w:w="80" w:type="dxa"/>
            <w:vAlign w:val="bottom"/>
            <w:tcBorders>
              <w:bottom w:val="single" w:sz="8" w:color="E6E6E6"/>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382,295</w:t>
            </w:r>
          </w:p>
        </w:tc>
        <w:tc>
          <w:tcPr>
            <w:tcW w:w="80" w:type="dxa"/>
            <w:vAlign w:val="bottom"/>
            <w:tcBorders>
              <w:bottom w:val="single" w:sz="8" w:color="E6E6E6"/>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314,577</w:t>
            </w:r>
          </w:p>
        </w:tc>
      </w:tr>
      <w:tr>
        <w:trPr>
          <w:trHeight w:val="270"/>
        </w:trPr>
        <w:tc>
          <w:tcPr>
            <w:tcW w:w="5160" w:type="dxa"/>
            <w:vAlign w:val="bottom"/>
            <w:gridSpan w:val="2"/>
            <w:shd w:val="clear" w:color="auto" w:fill="E6E6E6"/>
          </w:tcPr>
          <w:p>
            <w:pPr>
              <w:ind w:left="180"/>
              <w:spacing w:after="0"/>
              <w:rPr>
                <w:sz w:val="20"/>
                <w:szCs w:val="20"/>
                <w:color w:val="auto"/>
              </w:rPr>
            </w:pPr>
            <w:r>
              <w:rPr>
                <w:rFonts w:ascii="Arial" w:cs="Arial" w:eastAsia="Arial" w:hAnsi="Arial"/>
                <w:sz w:val="20"/>
                <w:szCs w:val="20"/>
                <w:color w:val="auto"/>
              </w:rPr>
              <w:t>Gross profit</w:t>
            </w:r>
          </w:p>
        </w:tc>
        <w:tc>
          <w:tcPr>
            <w:tcW w:w="360" w:type="dxa"/>
            <w:vAlign w:val="bottom"/>
            <w:shd w:val="clear" w:color="auto" w:fill="E6E6E6"/>
          </w:tcPr>
          <w:p>
            <w:pPr>
              <w:spacing w:after="0"/>
              <w:rPr>
                <w:sz w:val="23"/>
                <w:szCs w:val="23"/>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870,873</w:t>
            </w:r>
          </w:p>
        </w:tc>
        <w:tc>
          <w:tcPr>
            <w:tcW w:w="80" w:type="dxa"/>
            <w:vAlign w:val="bottom"/>
            <w:shd w:val="clear" w:color="auto" w:fill="E6E6E6"/>
          </w:tcPr>
          <w:p>
            <w:pPr>
              <w:spacing w:after="0"/>
              <w:rPr>
                <w:sz w:val="23"/>
                <w:szCs w:val="23"/>
                <w:color w:val="auto"/>
              </w:rPr>
            </w:pPr>
          </w:p>
        </w:tc>
        <w:tc>
          <w:tcPr>
            <w:tcW w:w="380" w:type="dxa"/>
            <w:vAlign w:val="bottom"/>
            <w:shd w:val="clear" w:color="auto" w:fill="E6E6E6"/>
          </w:tcPr>
          <w:p>
            <w:pPr>
              <w:spacing w:after="0"/>
              <w:rPr>
                <w:sz w:val="23"/>
                <w:szCs w:val="23"/>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771,250</w:t>
            </w:r>
          </w:p>
        </w:tc>
        <w:tc>
          <w:tcPr>
            <w:tcW w:w="80" w:type="dxa"/>
            <w:vAlign w:val="bottom"/>
            <w:shd w:val="clear" w:color="auto" w:fill="E6E6E6"/>
          </w:tcPr>
          <w:p>
            <w:pPr>
              <w:spacing w:after="0"/>
              <w:rPr>
                <w:sz w:val="23"/>
                <w:szCs w:val="23"/>
                <w:color w:val="auto"/>
              </w:rPr>
            </w:pPr>
          </w:p>
        </w:tc>
        <w:tc>
          <w:tcPr>
            <w:tcW w:w="420" w:type="dxa"/>
            <w:vAlign w:val="bottom"/>
            <w:shd w:val="clear" w:color="auto" w:fill="E6E6E6"/>
          </w:tcPr>
          <w:p>
            <w:pPr>
              <w:spacing w:after="0"/>
              <w:rPr>
                <w:sz w:val="23"/>
                <w:szCs w:val="23"/>
                <w:color w:val="auto"/>
              </w:rPr>
            </w:pPr>
          </w:p>
        </w:tc>
        <w:tc>
          <w:tcPr>
            <w:tcW w:w="11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707,228</w:t>
            </w:r>
          </w:p>
        </w:tc>
      </w:tr>
      <w:tr>
        <w:trPr>
          <w:trHeight w:val="274"/>
        </w:trPr>
        <w:tc>
          <w:tcPr>
            <w:tcW w:w="5160" w:type="dxa"/>
            <w:vAlign w:val="bottom"/>
            <w:gridSpan w:val="2"/>
          </w:tcPr>
          <w:p>
            <w:pPr>
              <w:ind w:left="40"/>
              <w:spacing w:after="0"/>
              <w:rPr>
                <w:sz w:val="20"/>
                <w:szCs w:val="20"/>
                <w:color w:val="auto"/>
              </w:rPr>
            </w:pPr>
            <w:r>
              <w:rPr>
                <w:rFonts w:ascii="Arial" w:cs="Arial" w:eastAsia="Arial" w:hAnsi="Arial"/>
                <w:sz w:val="20"/>
                <w:szCs w:val="20"/>
                <w:color w:val="auto"/>
              </w:rPr>
              <w:t>Operating expenses:</w:t>
            </w: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85"/>
        </w:trPr>
        <w:tc>
          <w:tcPr>
            <w:tcW w:w="5160" w:type="dxa"/>
            <w:vAlign w:val="bottom"/>
            <w:gridSpan w:val="2"/>
            <w:shd w:val="clear" w:color="auto" w:fill="E6E6E6"/>
          </w:tcPr>
          <w:p>
            <w:pPr>
              <w:ind w:left="160"/>
              <w:spacing w:after="0"/>
              <w:rPr>
                <w:sz w:val="20"/>
                <w:szCs w:val="20"/>
                <w:color w:val="auto"/>
              </w:rPr>
            </w:pPr>
            <w:r>
              <w:rPr>
                <w:rFonts w:ascii="Arial" w:cs="Arial" w:eastAsia="Arial" w:hAnsi="Arial"/>
                <w:sz w:val="20"/>
                <w:szCs w:val="20"/>
                <w:color w:val="auto"/>
              </w:rPr>
              <w:t>Selling, general, and administrative</w:t>
            </w:r>
          </w:p>
        </w:tc>
        <w:tc>
          <w:tcPr>
            <w:tcW w:w="36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526,265</w:t>
            </w:r>
          </w:p>
        </w:tc>
        <w:tc>
          <w:tcPr>
            <w:tcW w:w="8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518,129</w:t>
            </w:r>
          </w:p>
        </w:tc>
        <w:tc>
          <w:tcPr>
            <w:tcW w:w="8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11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469,243</w:t>
            </w:r>
          </w:p>
        </w:tc>
      </w:tr>
      <w:tr>
        <w:trPr>
          <w:trHeight w:val="274"/>
        </w:trPr>
        <w:tc>
          <w:tcPr>
            <w:tcW w:w="5160" w:type="dxa"/>
            <w:vAlign w:val="bottom"/>
            <w:gridSpan w:val="2"/>
          </w:tcPr>
          <w:p>
            <w:pPr>
              <w:ind w:left="160"/>
              <w:spacing w:after="0"/>
              <w:rPr>
                <w:sz w:val="20"/>
                <w:szCs w:val="20"/>
                <w:color w:val="auto"/>
              </w:rPr>
            </w:pPr>
            <w:r>
              <w:rPr>
                <w:rFonts w:ascii="Arial" w:cs="Arial" w:eastAsia="Arial" w:hAnsi="Arial"/>
                <w:sz w:val="20"/>
                <w:szCs w:val="20"/>
                <w:color w:val="auto"/>
              </w:rPr>
              <w:t>Research and development</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182,514</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193,817</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155,805</w:t>
            </w:r>
          </w:p>
        </w:tc>
      </w:tr>
      <w:tr>
        <w:trPr>
          <w:trHeight w:val="285"/>
        </w:trPr>
        <w:tc>
          <w:tcPr>
            <w:tcW w:w="5160" w:type="dxa"/>
            <w:vAlign w:val="bottom"/>
            <w:gridSpan w:val="2"/>
            <w:shd w:val="clear" w:color="auto" w:fill="E6E6E6"/>
          </w:tcPr>
          <w:p>
            <w:pPr>
              <w:ind w:left="160"/>
              <w:spacing w:after="0"/>
              <w:rPr>
                <w:sz w:val="20"/>
                <w:szCs w:val="20"/>
                <w:color w:val="auto"/>
              </w:rPr>
            </w:pPr>
            <w:r>
              <w:rPr>
                <w:rFonts w:ascii="Arial" w:cs="Arial" w:eastAsia="Arial" w:hAnsi="Arial"/>
                <w:sz w:val="20"/>
                <w:szCs w:val="20"/>
                <w:color w:val="auto"/>
              </w:rPr>
              <w:t>Impairment of goodwill</w:t>
            </w:r>
          </w:p>
        </w:tc>
        <w:tc>
          <w:tcPr>
            <w:tcW w:w="36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11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129,396</w:t>
            </w:r>
          </w:p>
        </w:tc>
      </w:tr>
      <w:tr>
        <w:trPr>
          <w:trHeight w:val="274"/>
        </w:trPr>
        <w:tc>
          <w:tcPr>
            <w:tcW w:w="5160" w:type="dxa"/>
            <w:vAlign w:val="bottom"/>
            <w:gridSpan w:val="2"/>
          </w:tcPr>
          <w:p>
            <w:pPr>
              <w:ind w:left="160"/>
              <w:spacing w:after="0"/>
              <w:rPr>
                <w:sz w:val="20"/>
                <w:szCs w:val="20"/>
                <w:color w:val="auto"/>
              </w:rPr>
            </w:pPr>
            <w:r>
              <w:rPr>
                <w:rFonts w:ascii="Arial" w:cs="Arial" w:eastAsia="Arial" w:hAnsi="Arial"/>
                <w:sz w:val="20"/>
                <w:szCs w:val="20"/>
                <w:color w:val="auto"/>
              </w:rPr>
              <w:t>Impairment of long-lived assets</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89,974</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5"/>
        </w:trPr>
        <w:tc>
          <w:tcPr>
            <w:tcW w:w="514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20"/>
                <w:szCs w:val="20"/>
                <w:color w:val="auto"/>
              </w:rPr>
              <w:t>Other operating expenses</w:t>
            </w:r>
          </w:p>
        </w:tc>
        <w:tc>
          <w:tcPr>
            <w:tcW w:w="20" w:type="dxa"/>
            <w:vAlign w:val="bottom"/>
            <w:tcBorders>
              <w:bottom w:val="single" w:sz="8" w:color="auto"/>
            </w:tcBorders>
            <w:shd w:val="clear" w:color="auto" w:fill="E6E6E6"/>
          </w:tcPr>
          <w:p>
            <w:pPr>
              <w:spacing w:after="0"/>
              <w:rPr>
                <w:sz w:val="23"/>
                <w:szCs w:val="23"/>
                <w:color w:val="auto"/>
              </w:rPr>
            </w:pPr>
          </w:p>
        </w:tc>
        <w:tc>
          <w:tcPr>
            <w:tcW w:w="360" w:type="dxa"/>
            <w:vAlign w:val="bottom"/>
            <w:tcBorders>
              <w:bottom w:val="single" w:sz="8" w:color="auto"/>
            </w:tcBorders>
            <w:shd w:val="clear" w:color="auto" w:fill="E6E6E6"/>
          </w:tcPr>
          <w:p>
            <w:pPr>
              <w:spacing w:after="0"/>
              <w:rPr>
                <w:sz w:val="23"/>
                <w:szCs w:val="23"/>
                <w:color w:val="auto"/>
              </w:rPr>
            </w:pPr>
          </w:p>
        </w:tc>
        <w:tc>
          <w:tcPr>
            <w:tcW w:w="1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33,043</w:t>
            </w:r>
          </w:p>
        </w:tc>
        <w:tc>
          <w:tcPr>
            <w:tcW w:w="80" w:type="dxa"/>
            <w:vAlign w:val="bottom"/>
            <w:tcBorders>
              <w:bottom w:val="single" w:sz="8" w:color="E6E6E6"/>
            </w:tcBorders>
            <w:shd w:val="clear" w:color="auto" w:fill="E6E6E6"/>
          </w:tcPr>
          <w:p>
            <w:pPr>
              <w:spacing w:after="0"/>
              <w:rPr>
                <w:sz w:val="23"/>
                <w:szCs w:val="23"/>
                <w:color w:val="auto"/>
              </w:rPr>
            </w:pPr>
          </w:p>
        </w:tc>
        <w:tc>
          <w:tcPr>
            <w:tcW w:w="380" w:type="dxa"/>
            <w:vAlign w:val="bottom"/>
            <w:tcBorders>
              <w:bottom w:val="single" w:sz="8" w:color="auto"/>
            </w:tcBorders>
            <w:shd w:val="clear" w:color="auto" w:fill="E6E6E6"/>
          </w:tcPr>
          <w:p>
            <w:pPr>
              <w:spacing w:after="0"/>
              <w:rPr>
                <w:sz w:val="23"/>
                <w:szCs w:val="23"/>
                <w:color w:val="auto"/>
              </w:rPr>
            </w:pPr>
          </w:p>
        </w:tc>
        <w:tc>
          <w:tcPr>
            <w:tcW w:w="1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37,828</w:t>
            </w:r>
          </w:p>
        </w:tc>
        <w:tc>
          <w:tcPr>
            <w:tcW w:w="80" w:type="dxa"/>
            <w:vAlign w:val="bottom"/>
            <w:tcBorders>
              <w:bottom w:val="single" w:sz="8" w:color="E6E6E6"/>
            </w:tcBorders>
            <w:shd w:val="clear" w:color="auto" w:fill="E6E6E6"/>
          </w:tcPr>
          <w:p>
            <w:pPr>
              <w:spacing w:after="0"/>
              <w:rPr>
                <w:sz w:val="23"/>
                <w:szCs w:val="23"/>
                <w:color w:val="auto"/>
              </w:rPr>
            </w:pPr>
          </w:p>
        </w:tc>
        <w:tc>
          <w:tcPr>
            <w:tcW w:w="420" w:type="dxa"/>
            <w:vAlign w:val="bottom"/>
            <w:tcBorders>
              <w:bottom w:val="single" w:sz="8" w:color="auto"/>
            </w:tcBorders>
            <w:shd w:val="clear" w:color="auto" w:fill="E6E6E6"/>
          </w:tcPr>
          <w:p>
            <w:pPr>
              <w:spacing w:after="0"/>
              <w:rPr>
                <w:sz w:val="23"/>
                <w:szCs w:val="23"/>
                <w:color w:val="auto"/>
              </w:rPr>
            </w:pPr>
          </w:p>
        </w:tc>
        <w:tc>
          <w:tcPr>
            <w:tcW w:w="1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29,536</w:t>
            </w:r>
          </w:p>
        </w:tc>
      </w:tr>
      <w:tr>
        <w:trPr>
          <w:trHeight w:val="264"/>
        </w:trPr>
        <w:tc>
          <w:tcPr>
            <w:tcW w:w="5160" w:type="dxa"/>
            <w:vAlign w:val="bottom"/>
            <w:gridSpan w:val="2"/>
          </w:tcPr>
          <w:p>
            <w:pPr>
              <w:ind w:left="260"/>
              <w:spacing w:after="0"/>
              <w:rPr>
                <w:sz w:val="20"/>
                <w:szCs w:val="20"/>
                <w:color w:val="auto"/>
              </w:rPr>
            </w:pPr>
            <w:r>
              <w:rPr>
                <w:rFonts w:ascii="Arial" w:cs="Arial" w:eastAsia="Arial" w:hAnsi="Arial"/>
                <w:sz w:val="20"/>
                <w:szCs w:val="20"/>
                <w:color w:val="auto"/>
              </w:rPr>
              <w:t>Operating income (loss)</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129,051</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(68,498)</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(76,752)</w:t>
            </w:r>
          </w:p>
        </w:tc>
      </w:tr>
      <w:tr>
        <w:trPr>
          <w:trHeight w:val="285"/>
        </w:trPr>
        <w:tc>
          <w:tcPr>
            <w:tcW w:w="5160" w:type="dxa"/>
            <w:vAlign w:val="bottom"/>
            <w:gridSpan w:val="2"/>
            <w:shd w:val="clear" w:color="auto" w:fill="E6E6E6"/>
          </w:tcPr>
          <w:p>
            <w:pPr>
              <w:ind w:left="40"/>
              <w:spacing w:after="0"/>
              <w:rPr>
                <w:sz w:val="20"/>
                <w:szCs w:val="20"/>
                <w:color w:val="auto"/>
              </w:rPr>
            </w:pPr>
            <w:r>
              <w:rPr>
                <w:rFonts w:ascii="Arial" w:cs="Arial" w:eastAsia="Arial" w:hAnsi="Arial"/>
                <w:sz w:val="20"/>
                <w:szCs w:val="20"/>
                <w:color w:val="auto"/>
              </w:rPr>
              <w:t>Interest expense</w:t>
            </w:r>
          </w:p>
        </w:tc>
        <w:tc>
          <w:tcPr>
            <w:tcW w:w="36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(63,070)</w:t>
            </w:r>
          </w:p>
        </w:tc>
        <w:tc>
          <w:tcPr>
            <w:tcW w:w="8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(58,853)</w:t>
            </w:r>
          </w:p>
        </w:tc>
        <w:tc>
          <w:tcPr>
            <w:tcW w:w="8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11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(48,250)</w:t>
            </w:r>
          </w:p>
        </w:tc>
      </w:tr>
      <w:tr>
        <w:trPr>
          <w:trHeight w:val="274"/>
        </w:trPr>
        <w:tc>
          <w:tcPr>
            <w:tcW w:w="5160" w:type="dxa"/>
            <w:vAlign w:val="bottom"/>
            <w:gridSpan w:val="2"/>
          </w:tcPr>
          <w:p>
            <w:pPr>
              <w:ind w:left="40"/>
              <w:spacing w:after="0"/>
              <w:rPr>
                <w:sz w:val="20"/>
                <w:szCs w:val="20"/>
                <w:color w:val="auto"/>
              </w:rPr>
            </w:pPr>
            <w:r>
              <w:rPr>
                <w:rFonts w:ascii="Arial" w:cs="Arial" w:eastAsia="Arial" w:hAnsi="Arial"/>
                <w:sz w:val="20"/>
                <w:szCs w:val="20"/>
                <w:color w:val="auto"/>
              </w:rPr>
              <w:t>Loss on debt extinguishment</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(25,482)</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5"/>
        </w:trPr>
        <w:tc>
          <w:tcPr>
            <w:tcW w:w="51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Foreign exchange and other income/(expense)</w:t>
            </w:r>
          </w:p>
        </w:tc>
        <w:tc>
          <w:tcPr>
            <w:tcW w:w="20" w:type="dxa"/>
            <w:vAlign w:val="bottom"/>
            <w:tcBorders>
              <w:bottom w:val="single" w:sz="8" w:color="auto"/>
            </w:tcBorders>
            <w:shd w:val="clear" w:color="auto" w:fill="E6E6E6"/>
          </w:tcPr>
          <w:p>
            <w:pPr>
              <w:spacing w:after="0"/>
              <w:rPr>
                <w:sz w:val="23"/>
                <w:szCs w:val="23"/>
                <w:color w:val="auto"/>
              </w:rPr>
            </w:pPr>
          </w:p>
        </w:tc>
        <w:tc>
          <w:tcPr>
            <w:tcW w:w="360" w:type="dxa"/>
            <w:vAlign w:val="bottom"/>
            <w:tcBorders>
              <w:bottom w:val="single" w:sz="8" w:color="auto"/>
            </w:tcBorders>
            <w:shd w:val="clear" w:color="auto" w:fill="E6E6E6"/>
          </w:tcPr>
          <w:p>
            <w:pPr>
              <w:spacing w:after="0"/>
              <w:rPr>
                <w:sz w:val="23"/>
                <w:szCs w:val="23"/>
                <w:color w:val="auto"/>
              </w:rPr>
            </w:pPr>
          </w:p>
        </w:tc>
        <w:tc>
          <w:tcPr>
            <w:tcW w:w="1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47,811</w:t>
            </w:r>
          </w:p>
        </w:tc>
        <w:tc>
          <w:tcPr>
            <w:tcW w:w="80" w:type="dxa"/>
            <w:vAlign w:val="bottom"/>
            <w:tcBorders>
              <w:bottom w:val="single" w:sz="8" w:color="E6E6E6"/>
            </w:tcBorders>
            <w:shd w:val="clear" w:color="auto" w:fill="E6E6E6"/>
          </w:tcPr>
          <w:p>
            <w:pPr>
              <w:spacing w:after="0"/>
              <w:rPr>
                <w:sz w:val="23"/>
                <w:szCs w:val="23"/>
                <w:color w:val="auto"/>
              </w:rPr>
            </w:pPr>
          </w:p>
        </w:tc>
        <w:tc>
          <w:tcPr>
            <w:tcW w:w="380" w:type="dxa"/>
            <w:vAlign w:val="bottom"/>
            <w:tcBorders>
              <w:bottom w:val="single" w:sz="8" w:color="auto"/>
            </w:tcBorders>
            <w:shd w:val="clear" w:color="auto" w:fill="E6E6E6"/>
          </w:tcPr>
          <w:p>
            <w:pPr>
              <w:spacing w:after="0"/>
              <w:rPr>
                <w:sz w:val="23"/>
                <w:szCs w:val="23"/>
                <w:color w:val="auto"/>
              </w:rPr>
            </w:pPr>
          </w:p>
        </w:tc>
        <w:tc>
          <w:tcPr>
            <w:tcW w:w="1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46,125</w:t>
            </w:r>
          </w:p>
        </w:tc>
        <w:tc>
          <w:tcPr>
            <w:tcW w:w="80" w:type="dxa"/>
            <w:vAlign w:val="bottom"/>
            <w:tcBorders>
              <w:bottom w:val="single" w:sz="8" w:color="E6E6E6"/>
            </w:tcBorders>
            <w:shd w:val="clear" w:color="auto" w:fill="E6E6E6"/>
          </w:tcPr>
          <w:p>
            <w:pPr>
              <w:spacing w:after="0"/>
              <w:rPr>
                <w:sz w:val="23"/>
                <w:szCs w:val="23"/>
                <w:color w:val="auto"/>
              </w:rPr>
            </w:pPr>
          </w:p>
        </w:tc>
        <w:tc>
          <w:tcPr>
            <w:tcW w:w="420" w:type="dxa"/>
            <w:vAlign w:val="bottom"/>
            <w:tcBorders>
              <w:bottom w:val="single" w:sz="8" w:color="auto"/>
            </w:tcBorders>
            <w:shd w:val="clear" w:color="auto" w:fill="E6E6E6"/>
          </w:tcPr>
          <w:p>
            <w:pPr>
              <w:spacing w:after="0"/>
              <w:rPr>
                <w:sz w:val="23"/>
                <w:szCs w:val="23"/>
                <w:color w:val="auto"/>
              </w:rPr>
            </w:pPr>
          </w:p>
        </w:tc>
        <w:tc>
          <w:tcPr>
            <w:tcW w:w="1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49,860</w:t>
            </w:r>
          </w:p>
        </w:tc>
      </w:tr>
      <w:tr>
        <w:trPr>
          <w:trHeight w:val="264"/>
        </w:trPr>
        <w:tc>
          <w:tcPr>
            <w:tcW w:w="5160" w:type="dxa"/>
            <w:vAlign w:val="bottom"/>
            <w:gridSpan w:val="2"/>
          </w:tcPr>
          <w:p>
            <w:pPr>
              <w:ind w:left="180"/>
              <w:spacing w:after="0"/>
              <w:rPr>
                <w:sz w:val="20"/>
                <w:szCs w:val="20"/>
                <w:color w:val="auto"/>
              </w:rPr>
            </w:pPr>
            <w:r>
              <w:rPr>
                <w:rFonts w:ascii="Arial" w:cs="Arial" w:eastAsia="Arial" w:hAnsi="Arial"/>
                <w:sz w:val="20"/>
                <w:szCs w:val="20"/>
                <w:color w:val="auto"/>
              </w:rPr>
              <w:t>Income (loss) before tax</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88,310</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(81,226)</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(75,142)</w:t>
            </w:r>
          </w:p>
        </w:tc>
      </w:tr>
      <w:tr>
        <w:trPr>
          <w:trHeight w:val="285"/>
        </w:trPr>
        <w:tc>
          <w:tcPr>
            <w:tcW w:w="5160" w:type="dxa"/>
            <w:vAlign w:val="bottom"/>
            <w:gridSpan w:val="2"/>
            <w:shd w:val="clear" w:color="auto" w:fill="E6E6E6"/>
          </w:tcPr>
          <w:p>
            <w:pPr>
              <w:ind w:left="40"/>
              <w:spacing w:after="0"/>
              <w:rPr>
                <w:sz w:val="20"/>
                <w:szCs w:val="20"/>
                <w:color w:val="auto"/>
              </w:rPr>
            </w:pPr>
            <w:r>
              <w:rPr>
                <w:rFonts w:ascii="Arial" w:cs="Arial" w:eastAsia="Arial" w:hAnsi="Arial"/>
                <w:sz w:val="20"/>
                <w:szCs w:val="20"/>
                <w:color w:val="auto"/>
              </w:rPr>
              <w:t>Income tax expense (benefit)</w:t>
            </w:r>
          </w:p>
        </w:tc>
        <w:tc>
          <w:tcPr>
            <w:tcW w:w="36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25,058</w:t>
            </w:r>
          </w:p>
        </w:tc>
        <w:tc>
          <w:tcPr>
            <w:tcW w:w="8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(98,876)</w:t>
            </w:r>
          </w:p>
        </w:tc>
        <w:tc>
          <w:tcPr>
            <w:tcW w:w="8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11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11,051</w:t>
            </w:r>
          </w:p>
        </w:tc>
      </w:tr>
      <w:tr>
        <w:trPr>
          <w:trHeight w:val="269"/>
        </w:trPr>
        <w:tc>
          <w:tcPr>
            <w:tcW w:w="5140" w:type="dxa"/>
            <w:vAlign w:val="bottom"/>
            <w:tcBorders>
              <w:bottom w:val="single" w:sz="8" w:color="E6E6E6"/>
            </w:tcBorders>
          </w:tcPr>
          <w:p>
            <w:pPr>
              <w:ind w:left="40"/>
              <w:spacing w:after="0"/>
              <w:rPr>
                <w:sz w:val="20"/>
                <w:szCs w:val="20"/>
                <w:color w:val="auto"/>
              </w:rPr>
            </w:pPr>
            <w:r>
              <w:rPr>
                <w:rFonts w:ascii="Arial" w:cs="Arial" w:eastAsia="Arial" w:hAnsi="Arial"/>
                <w:sz w:val="20"/>
                <w:szCs w:val="20"/>
                <w:color w:val="auto"/>
              </w:rPr>
              <w:t>Loss from equity method investments</w:t>
            </w: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w:t>
            </w:r>
          </w:p>
        </w:tc>
        <w:tc>
          <w:tcPr>
            <w:tcW w:w="80" w:type="dxa"/>
            <w:vAlign w:val="bottom"/>
            <w:tcBorders>
              <w:bottom w:val="single" w:sz="8" w:color="E6E6E6"/>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(104)</w:t>
            </w:r>
          </w:p>
        </w:tc>
        <w:tc>
          <w:tcPr>
            <w:tcW w:w="80" w:type="dxa"/>
            <w:vAlign w:val="bottom"/>
            <w:tcBorders>
              <w:bottom w:val="single" w:sz="8" w:color="E6E6E6"/>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w:t>
            </w:r>
          </w:p>
        </w:tc>
      </w:tr>
      <w:tr>
        <w:trPr>
          <w:trHeight w:val="279"/>
        </w:trPr>
        <w:tc>
          <w:tcPr>
            <w:tcW w:w="5160" w:type="dxa"/>
            <w:vAlign w:val="bottom"/>
            <w:gridSpan w:val="2"/>
            <w:shd w:val="clear" w:color="auto" w:fill="E6E6E6"/>
          </w:tcPr>
          <w:p>
            <w:pPr>
              <w:ind w:left="160"/>
              <w:spacing w:after="0"/>
              <w:rPr>
                <w:sz w:val="20"/>
                <w:szCs w:val="20"/>
                <w:color w:val="auto"/>
              </w:rPr>
            </w:pPr>
            <w:r>
              <w:rPr>
                <w:rFonts w:ascii="Arial" w:cs="Arial" w:eastAsia="Arial" w:hAnsi="Arial"/>
                <w:sz w:val="20"/>
                <w:szCs w:val="20"/>
                <w:color w:val="auto"/>
              </w:rPr>
              <w:t>Net income (loss)</w:t>
            </w:r>
          </w:p>
        </w:tc>
        <w:tc>
          <w:tcPr>
            <w:tcW w:w="360" w:type="dxa"/>
            <w:vAlign w:val="bottom"/>
            <w:shd w:val="clear" w:color="auto" w:fill="E6E6E6"/>
          </w:tcPr>
          <w:p>
            <w:pPr>
              <w:jc w:val="right"/>
              <w:ind w:right="142"/>
              <w:spacing w:after="0"/>
              <w:rPr>
                <w:sz w:val="20"/>
                <w:szCs w:val="20"/>
                <w:color w:val="auto"/>
              </w:rPr>
            </w:pPr>
            <w:r>
              <w:rPr>
                <w:rFonts w:ascii="Arial" w:cs="Arial" w:eastAsia="Arial" w:hAnsi="Arial"/>
                <w:sz w:val="20"/>
                <w:szCs w:val="20"/>
                <w:color w:val="auto"/>
                <w:w w:val="89"/>
              </w:rPr>
              <w:t>$</w:t>
            </w: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63,234</w:t>
            </w:r>
          </w:p>
        </w:tc>
        <w:tc>
          <w:tcPr>
            <w:tcW w:w="460" w:type="dxa"/>
            <w:vAlign w:val="bottom"/>
            <w:gridSpan w:val="2"/>
            <w:shd w:val="clear" w:color="auto" w:fill="E6E6E6"/>
          </w:tcPr>
          <w:p>
            <w:pPr>
              <w:jc w:val="right"/>
              <w:ind w:right="240"/>
              <w:spacing w:after="0"/>
              <w:rPr>
                <w:sz w:val="20"/>
                <w:szCs w:val="20"/>
                <w:color w:val="auto"/>
              </w:rPr>
            </w:pPr>
            <w:r>
              <w:rPr>
                <w:rFonts w:ascii="Arial" w:cs="Arial" w:eastAsia="Arial" w:hAnsi="Arial"/>
                <w:sz w:val="20"/>
                <w:szCs w:val="20"/>
                <w:color w:val="auto"/>
              </w:rPr>
              <w:t>$</w:t>
            </w: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17,546</w:t>
            </w:r>
          </w:p>
        </w:tc>
        <w:tc>
          <w:tcPr>
            <w:tcW w:w="500" w:type="dxa"/>
            <w:vAlign w:val="bottom"/>
            <w:gridSpan w:val="2"/>
            <w:shd w:val="clear" w:color="auto" w:fill="E6E6E6"/>
          </w:tcPr>
          <w:p>
            <w:pPr>
              <w:jc w:val="right"/>
              <w:ind w:right="280"/>
              <w:spacing w:after="0"/>
              <w:rPr>
                <w:sz w:val="20"/>
                <w:szCs w:val="20"/>
                <w:color w:val="auto"/>
              </w:rPr>
            </w:pPr>
            <w:r>
              <w:rPr>
                <w:rFonts w:ascii="Arial" w:cs="Arial" w:eastAsia="Arial" w:hAnsi="Arial"/>
                <w:sz w:val="20"/>
                <w:szCs w:val="20"/>
                <w:color w:val="auto"/>
              </w:rPr>
              <w:t>$</w:t>
            </w:r>
          </w:p>
        </w:tc>
        <w:tc>
          <w:tcPr>
            <w:tcW w:w="11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(86,246)</w:t>
            </w:r>
          </w:p>
        </w:tc>
      </w:tr>
      <w:tr>
        <w:trPr>
          <w:trHeight w:val="279"/>
        </w:trPr>
        <w:tc>
          <w:tcPr>
            <w:tcW w:w="5140" w:type="dxa"/>
            <w:vAlign w:val="bottom"/>
            <w:tcBorders>
              <w:top w:val="single" w:sz="8" w:color="E6E6E6"/>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80" w:type="dxa"/>
            <w:vAlign w:val="bottom"/>
            <w:tcBorders>
              <w:top w:val="single" w:sz="8" w:color="E6E6E6"/>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80" w:type="dxa"/>
            <w:vAlign w:val="bottom"/>
            <w:tcBorders>
              <w:top w:val="single" w:sz="8" w:color="E6E6E6"/>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r>
      <w:tr>
        <w:trPr>
          <w:trHeight w:val="279"/>
        </w:trPr>
        <w:tc>
          <w:tcPr>
            <w:tcW w:w="5160" w:type="dxa"/>
            <w:vAlign w:val="bottom"/>
            <w:gridSpan w:val="2"/>
            <w:shd w:val="clear" w:color="auto" w:fill="E6E6E6"/>
          </w:tcPr>
          <w:p>
            <w:pPr>
              <w:ind w:left="60"/>
              <w:spacing w:after="0"/>
              <w:rPr>
                <w:sz w:val="20"/>
                <w:szCs w:val="20"/>
                <w:color w:val="auto"/>
              </w:rPr>
            </w:pPr>
            <w:r>
              <w:rPr>
                <w:rFonts w:ascii="Arial" w:cs="Arial" w:eastAsia="Arial" w:hAnsi="Arial"/>
                <w:sz w:val="20"/>
                <w:szCs w:val="20"/>
                <w:color w:val="auto"/>
              </w:rPr>
              <w:t>Basic income (loss) per share</w:t>
            </w:r>
          </w:p>
        </w:tc>
        <w:tc>
          <w:tcPr>
            <w:tcW w:w="360" w:type="dxa"/>
            <w:vAlign w:val="bottom"/>
            <w:shd w:val="clear" w:color="auto" w:fill="E6E6E6"/>
          </w:tcPr>
          <w:p>
            <w:pPr>
              <w:jc w:val="right"/>
              <w:ind w:right="142"/>
              <w:spacing w:after="0"/>
              <w:rPr>
                <w:sz w:val="20"/>
                <w:szCs w:val="20"/>
                <w:color w:val="auto"/>
              </w:rPr>
            </w:pPr>
            <w:r>
              <w:rPr>
                <w:rFonts w:ascii="Arial" w:cs="Arial" w:eastAsia="Arial" w:hAnsi="Arial"/>
                <w:sz w:val="20"/>
                <w:szCs w:val="20"/>
                <w:color w:val="auto"/>
                <w:w w:val="89"/>
              </w:rPr>
              <w:t>$</w:t>
            </w: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1.17</w:t>
            </w:r>
          </w:p>
        </w:tc>
        <w:tc>
          <w:tcPr>
            <w:tcW w:w="460" w:type="dxa"/>
            <w:vAlign w:val="bottom"/>
            <w:gridSpan w:val="2"/>
            <w:shd w:val="clear" w:color="auto" w:fill="E6E6E6"/>
          </w:tcPr>
          <w:p>
            <w:pPr>
              <w:jc w:val="right"/>
              <w:ind w:right="240"/>
              <w:spacing w:after="0"/>
              <w:rPr>
                <w:sz w:val="20"/>
                <w:szCs w:val="20"/>
                <w:color w:val="auto"/>
              </w:rPr>
            </w:pPr>
            <w:r>
              <w:rPr>
                <w:rFonts w:ascii="Arial" w:cs="Arial" w:eastAsia="Arial" w:hAnsi="Arial"/>
                <w:sz w:val="20"/>
                <w:szCs w:val="20"/>
                <w:color w:val="auto"/>
              </w:rPr>
              <w:t>$</w:t>
            </w: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0.33</w:t>
            </w:r>
          </w:p>
        </w:tc>
        <w:tc>
          <w:tcPr>
            <w:tcW w:w="500" w:type="dxa"/>
            <w:vAlign w:val="bottom"/>
            <w:gridSpan w:val="2"/>
            <w:shd w:val="clear" w:color="auto" w:fill="E6E6E6"/>
          </w:tcPr>
          <w:p>
            <w:pPr>
              <w:jc w:val="right"/>
              <w:ind w:right="280"/>
              <w:spacing w:after="0"/>
              <w:rPr>
                <w:sz w:val="20"/>
                <w:szCs w:val="20"/>
                <w:color w:val="auto"/>
              </w:rPr>
            </w:pPr>
            <w:r>
              <w:rPr>
                <w:rFonts w:ascii="Arial" w:cs="Arial" w:eastAsia="Arial" w:hAnsi="Arial"/>
                <w:sz w:val="20"/>
                <w:szCs w:val="20"/>
                <w:color w:val="auto"/>
              </w:rPr>
              <w:t>$</w:t>
            </w:r>
          </w:p>
        </w:tc>
        <w:tc>
          <w:tcPr>
            <w:tcW w:w="11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(1.61)</w:t>
            </w:r>
          </w:p>
        </w:tc>
      </w:tr>
      <w:tr>
        <w:trPr>
          <w:trHeight w:val="274"/>
        </w:trPr>
        <w:tc>
          <w:tcPr>
            <w:tcW w:w="5160" w:type="dxa"/>
            <w:vAlign w:val="bottom"/>
            <w:gridSpan w:val="2"/>
          </w:tcPr>
          <w:p>
            <w:pPr>
              <w:ind w:left="40"/>
              <w:spacing w:after="0"/>
              <w:rPr>
                <w:sz w:val="20"/>
                <w:szCs w:val="20"/>
                <w:color w:val="auto"/>
              </w:rPr>
            </w:pPr>
            <w:r>
              <w:rPr>
                <w:rFonts w:ascii="Arial" w:cs="Arial" w:eastAsia="Arial" w:hAnsi="Arial"/>
                <w:sz w:val="20"/>
                <w:szCs w:val="20"/>
                <w:color w:val="auto"/>
              </w:rPr>
              <w:t>Diluted income (loss) per share</w:t>
            </w:r>
          </w:p>
        </w:tc>
        <w:tc>
          <w:tcPr>
            <w:tcW w:w="360" w:type="dxa"/>
            <w:vAlign w:val="bottom"/>
          </w:tcPr>
          <w:p>
            <w:pPr>
              <w:jc w:val="right"/>
              <w:ind w:right="142"/>
              <w:spacing w:after="0"/>
              <w:rPr>
                <w:sz w:val="20"/>
                <w:szCs w:val="20"/>
                <w:color w:val="auto"/>
              </w:rPr>
            </w:pPr>
            <w:r>
              <w:rPr>
                <w:rFonts w:ascii="Arial" w:cs="Arial" w:eastAsia="Arial" w:hAnsi="Arial"/>
                <w:sz w:val="20"/>
                <w:szCs w:val="20"/>
                <w:color w:val="auto"/>
                <w:w w:val="89"/>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1.16</w:t>
            </w:r>
          </w:p>
        </w:tc>
        <w:tc>
          <w:tcPr>
            <w:tcW w:w="4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0.32</w:t>
            </w:r>
          </w:p>
        </w:tc>
        <w:tc>
          <w:tcPr>
            <w:tcW w:w="50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(1.61)</w:t>
            </w:r>
          </w:p>
        </w:tc>
      </w:tr>
      <w:tr>
        <w:trPr>
          <w:trHeight w:val="314"/>
        </w:trPr>
        <w:tc>
          <w:tcPr>
            <w:tcW w:w="51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20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120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1160" w:type="dxa"/>
            <w:vAlign w:val="bottom"/>
            <w:shd w:val="clear" w:color="auto" w:fill="E6E6E6"/>
          </w:tcPr>
          <w:p>
            <w:pPr>
              <w:spacing w:after="0"/>
              <w:rPr>
                <w:sz w:val="24"/>
                <w:szCs w:val="24"/>
                <w:color w:val="auto"/>
              </w:rPr>
            </w:pPr>
          </w:p>
        </w:tc>
      </w:tr>
      <w:tr>
        <w:trPr>
          <w:trHeight w:val="274"/>
        </w:trPr>
        <w:tc>
          <w:tcPr>
            <w:tcW w:w="5160" w:type="dxa"/>
            <w:vAlign w:val="bottom"/>
            <w:gridSpan w:val="2"/>
          </w:tcPr>
          <w:p>
            <w:pPr>
              <w:ind w:left="40"/>
              <w:spacing w:after="0"/>
              <w:rPr>
                <w:sz w:val="20"/>
                <w:szCs w:val="20"/>
                <w:color w:val="auto"/>
              </w:rPr>
            </w:pPr>
            <w:r>
              <w:rPr>
                <w:rFonts w:ascii="Arial" w:cs="Arial" w:eastAsia="Arial" w:hAnsi="Arial"/>
                <w:sz w:val="20"/>
                <w:szCs w:val="20"/>
                <w:color w:val="auto"/>
              </w:rPr>
              <w:t>Shares used in computing basic income (loss) per share</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54,240</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53,939</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53,472</w:t>
            </w:r>
          </w:p>
        </w:tc>
      </w:tr>
      <w:tr>
        <w:trPr>
          <w:trHeight w:val="285"/>
        </w:trPr>
        <w:tc>
          <w:tcPr>
            <w:tcW w:w="5160" w:type="dxa"/>
            <w:vAlign w:val="bottom"/>
            <w:gridSpan w:val="2"/>
            <w:shd w:val="clear" w:color="auto" w:fill="E6E6E6"/>
          </w:tcPr>
          <w:p>
            <w:pPr>
              <w:ind w:left="40"/>
              <w:spacing w:after="0"/>
              <w:rPr>
                <w:sz w:val="20"/>
                <w:szCs w:val="20"/>
                <w:color w:val="auto"/>
              </w:rPr>
            </w:pPr>
            <w:r>
              <w:rPr>
                <w:rFonts w:ascii="Arial" w:cs="Arial" w:eastAsia="Arial" w:hAnsi="Arial"/>
                <w:sz w:val="20"/>
                <w:szCs w:val="20"/>
                <w:color w:val="auto"/>
                <w:w w:val="99"/>
              </w:rPr>
              <w:t>Shares used in computing diluted income (loss) per share</w:t>
            </w:r>
          </w:p>
        </w:tc>
        <w:tc>
          <w:tcPr>
            <w:tcW w:w="36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54,574</w:t>
            </w:r>
          </w:p>
        </w:tc>
        <w:tc>
          <w:tcPr>
            <w:tcW w:w="8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54,212</w:t>
            </w:r>
          </w:p>
        </w:tc>
        <w:tc>
          <w:tcPr>
            <w:tcW w:w="8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11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53,472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3249930</wp:posOffset>
            </wp:positionH>
            <wp:positionV relativeFrom="paragraph">
              <wp:posOffset>-4128770</wp:posOffset>
            </wp:positionV>
            <wp:extent cx="31432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58">
                      <a:extLst>
                        <a:ext uri="{28A0092B-C50C-407E-A947-70E740481C1C}"/>
                      </a:extLst>
                    </a:blip>
                    <a:srcRect/>
                    <a:stretch>
                      <a:fillRect/>
                    </a:stretch>
                  </pic:blipFill>
                  <pic:spPr bwMode="auto">
                    <a:xfrm>
                      <a:off x="0" y="0"/>
                      <a:ext cx="3143250" cy="25400"/>
                    </a:xfrm>
                    <a:prstGeom prst="rect">
                      <a:avLst/>
                    </a:prstGeom>
                    <a:noFill/>
                  </pic:spPr>
                </pic:pic>
              </a:graphicData>
            </a:graphic>
          </wp:anchor>
        </w:drawing>
        <w:drawing>
          <wp:anchor simplePos="0" relativeHeight="251657728" behindDoc="1" locked="0" layoutInCell="0" allowOverlap="1">
            <wp:simplePos x="0" y="0"/>
            <wp:positionH relativeFrom="column">
              <wp:posOffset>3249930</wp:posOffset>
            </wp:positionH>
            <wp:positionV relativeFrom="paragraph">
              <wp:posOffset>-3773805</wp:posOffset>
            </wp:positionV>
            <wp:extent cx="31432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9">
                      <a:extLst>
                        <a:ext uri="{28A0092B-C50C-407E-A947-70E740481C1C}"/>
                      </a:extLst>
                    </a:blip>
                    <a:srcRect/>
                    <a:stretch>
                      <a:fillRect/>
                    </a:stretch>
                  </pic:blipFill>
                  <pic:spPr bwMode="auto">
                    <a:xfrm>
                      <a:off x="0" y="0"/>
                      <a:ext cx="3143250" cy="25400"/>
                    </a:xfrm>
                    <a:prstGeom prst="rect">
                      <a:avLst/>
                    </a:prstGeom>
                    <a:noFill/>
                  </pic:spPr>
                </pic:pic>
              </a:graphicData>
            </a:graphic>
          </wp:anchor>
        </w:drawing>
        <w:drawing>
          <wp:anchor simplePos="0" relativeHeight="251657728" behindDoc="1" locked="0" layoutInCell="0" allowOverlap="1">
            <wp:simplePos x="0" y="0"/>
            <wp:positionH relativeFrom="column">
              <wp:posOffset>3249930</wp:posOffset>
            </wp:positionH>
            <wp:positionV relativeFrom="paragraph">
              <wp:posOffset>-2532380</wp:posOffset>
            </wp:positionV>
            <wp:extent cx="31432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60">
                      <a:extLst>
                        <a:ext uri="{28A0092B-C50C-407E-A947-70E740481C1C}"/>
                      </a:extLst>
                    </a:blip>
                    <a:srcRect/>
                    <a:stretch>
                      <a:fillRect/>
                    </a:stretch>
                  </pic:blipFill>
                  <pic:spPr bwMode="auto">
                    <a:xfrm>
                      <a:off x="0" y="0"/>
                      <a:ext cx="3143250" cy="25400"/>
                    </a:xfrm>
                    <a:prstGeom prst="rect">
                      <a:avLst/>
                    </a:prstGeom>
                    <a:noFill/>
                  </pic:spPr>
                </pic:pic>
              </a:graphicData>
            </a:graphic>
          </wp:anchor>
        </w:drawing>
        <w:drawing>
          <wp:anchor simplePos="0" relativeHeight="251657728" behindDoc="1" locked="0" layoutInCell="0" allowOverlap="1">
            <wp:simplePos x="0" y="0"/>
            <wp:positionH relativeFrom="column">
              <wp:posOffset>3249930</wp:posOffset>
            </wp:positionH>
            <wp:positionV relativeFrom="paragraph">
              <wp:posOffset>-1823085</wp:posOffset>
            </wp:positionV>
            <wp:extent cx="31432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61">
                      <a:extLst>
                        <a:ext uri="{28A0092B-C50C-407E-A947-70E740481C1C}"/>
                      </a:extLst>
                    </a:blip>
                    <a:srcRect/>
                    <a:stretch>
                      <a:fillRect/>
                    </a:stretch>
                  </pic:blipFill>
                  <pic:spPr bwMode="auto">
                    <a:xfrm>
                      <a:off x="0" y="0"/>
                      <a:ext cx="3143250" cy="25400"/>
                    </a:xfrm>
                    <a:prstGeom prst="rect">
                      <a:avLst/>
                    </a:prstGeom>
                    <a:noFill/>
                  </pic:spPr>
                </pic:pic>
              </a:graphicData>
            </a:graphic>
          </wp:anchor>
        </w:drawing>
        <w:drawing>
          <wp:anchor simplePos="0" relativeHeight="251657728" behindDoc="1" locked="0" layoutInCell="0" allowOverlap="1">
            <wp:simplePos x="0" y="0"/>
            <wp:positionH relativeFrom="column">
              <wp:posOffset>3249930</wp:posOffset>
            </wp:positionH>
            <wp:positionV relativeFrom="paragraph">
              <wp:posOffset>-1290955</wp:posOffset>
            </wp:positionV>
            <wp:extent cx="31432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62">
                      <a:extLst>
                        <a:ext uri="{28A0092B-C50C-407E-A947-70E740481C1C}"/>
                      </a:extLst>
                    </a:blip>
                    <a:srcRect/>
                    <a:stretch>
                      <a:fillRect/>
                    </a:stretch>
                  </pic:blipFill>
                  <pic:spPr bwMode="auto">
                    <a:xfrm>
                      <a:off x="0" y="0"/>
                      <a:ext cx="3143250" cy="25400"/>
                    </a:xfrm>
                    <a:prstGeom prst="rect">
                      <a:avLst/>
                    </a:prstGeom>
                    <a:noFill/>
                  </pic:spPr>
                </pic:pic>
              </a:graphicData>
            </a:graphic>
          </wp:anchor>
        </w:drawing>
        <w:drawing>
          <wp:anchor simplePos="0" relativeHeight="251657728" behindDoc="1" locked="0" layoutInCell="0" allowOverlap="1">
            <wp:simplePos x="0" y="0"/>
            <wp:positionH relativeFrom="column">
              <wp:posOffset>3249930</wp:posOffset>
            </wp:positionH>
            <wp:positionV relativeFrom="paragraph">
              <wp:posOffset>-1125855</wp:posOffset>
            </wp:positionV>
            <wp:extent cx="3143250" cy="501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63">
                      <a:extLst>
                        <a:ext uri="{28A0092B-C50C-407E-A947-70E740481C1C}"/>
                      </a:extLst>
                    </a:blip>
                    <a:srcRect/>
                    <a:stretch>
                      <a:fillRect/>
                    </a:stretch>
                  </pic:blipFill>
                  <pic:spPr bwMode="auto">
                    <a:xfrm>
                      <a:off x="0" y="0"/>
                      <a:ext cx="3143250" cy="50165"/>
                    </a:xfrm>
                    <a:prstGeom prst="rect">
                      <a:avLst/>
                    </a:prstGeom>
                    <a:noFill/>
                  </pic:spPr>
                </pic:pic>
              </a:graphicData>
            </a:graphic>
          </wp:anchor>
        </w:drawing>
      </w:r>
    </w:p>
    <w:p>
      <w:pPr>
        <w:sectPr>
          <w:pgSz w:w="11880" w:h="15480" w:orient="portrait"/>
          <w:cols w:equalWidth="0" w:num="1">
            <w:col w:w="10040"/>
          </w:cols>
          <w:pgMar w:left="920" w:top="68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F-3</w:t>
      </w:r>
    </w:p>
    <w:p>
      <w:pPr>
        <w:sectPr>
          <w:pgSz w:w="11880" w:h="15480" w:orient="portrait"/>
          <w:cols w:equalWidth="0" w:num="1">
            <w:col w:w="10040"/>
          </w:cols>
          <w:pgMar w:left="920" w:top="688" w:right="920" w:bottom="0" w:gutter="0" w:footer="0" w:header="0"/>
          <w:type w:val="continuous"/>
        </w:sectPr>
      </w:pPr>
    </w:p>
    <w:bookmarkStart w:id="61" w:name="page62"/>
    <w:bookmarkEnd w:id="61"/>
    <w:p>
      <w:pPr>
        <w:jc w:val="center"/>
        <w:spacing w:after="0"/>
        <w:rPr>
          <w:sz w:val="20"/>
          <w:szCs w:val="20"/>
          <w:color w:val="auto"/>
        </w:rPr>
      </w:pPr>
      <w:r>
        <w:rPr>
          <w:rFonts w:ascii="Arial" w:cs="Arial" w:eastAsia="Arial" w:hAnsi="Arial"/>
          <w:sz w:val="24"/>
          <w:szCs w:val="24"/>
          <w:b w:val="1"/>
          <w:bCs w:val="1"/>
          <w:color w:val="auto"/>
        </w:rPr>
        <w:t>LIVANOVA PLC AND SUBSIDIARIES</w:t>
      </w:r>
    </w:p>
    <w:p>
      <w:pPr>
        <w:jc w:val="center"/>
        <w:spacing w:after="0" w:line="222" w:lineRule="auto"/>
        <w:rPr>
          <w:sz w:val="20"/>
          <w:szCs w:val="20"/>
          <w:color w:val="auto"/>
        </w:rPr>
      </w:pPr>
      <w:r>
        <w:rPr>
          <w:rFonts w:ascii="Arial" w:cs="Arial" w:eastAsia="Arial" w:hAnsi="Arial"/>
          <w:sz w:val="24"/>
          <w:szCs w:val="24"/>
          <w:b w:val="1"/>
          <w:bCs w:val="1"/>
          <w:color w:val="auto"/>
        </w:rPr>
        <w:t>CONSOLIDATED STATEMENTS OF COMPREHENSIVE INCOME (LOSS)</w:t>
      </w:r>
    </w:p>
    <w:tbl>
      <w:tblPr>
        <w:tblLayout w:type="fixed"/>
        <w:tblInd w:w="0" w:type="dxa"/>
        <w:tblCellMar>
          <w:top w:w="0" w:type="dxa"/>
          <w:left w:w="0" w:type="dxa"/>
          <w:bottom w:w="0" w:type="dxa"/>
          <w:right w:w="0" w:type="dxa"/>
        </w:tblCellMar>
      </w:tblPr>
      <w:tr>
        <w:trPr>
          <w:trHeight w:val="235"/>
        </w:trPr>
        <w:tc>
          <w:tcPr>
            <w:tcW w:w="4300" w:type="dxa"/>
            <w:vAlign w:val="bottom"/>
          </w:tcPr>
          <w:p>
            <w:pPr>
              <w:spacing w:after="0"/>
              <w:rPr>
                <w:sz w:val="20"/>
                <w:szCs w:val="20"/>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9"/>
              </w:rPr>
              <w:t>(In thousands)</w:t>
            </w: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14"/>
        </w:trPr>
        <w:tc>
          <w:tcPr>
            <w:tcW w:w="4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20"/>
                <w:szCs w:val="20"/>
                <w:b w:val="1"/>
                <w:bCs w:val="1"/>
                <w:color w:val="auto"/>
              </w:rPr>
              <w:t>Year Ended December 31,</w:t>
            </w:r>
          </w:p>
        </w:tc>
        <w:tc>
          <w:tcPr>
            <w:tcW w:w="1040" w:type="dxa"/>
            <w:vAlign w:val="bottom"/>
            <w:tcBorders>
              <w:bottom w:val="single" w:sz="8" w:color="auto"/>
            </w:tcBorders>
          </w:tcPr>
          <w:p>
            <w:pPr>
              <w:spacing w:after="0"/>
              <w:rPr>
                <w:sz w:val="24"/>
                <w:szCs w:val="24"/>
                <w:color w:val="auto"/>
              </w:rPr>
            </w:pPr>
          </w:p>
        </w:tc>
      </w:tr>
      <w:tr>
        <w:trPr>
          <w:trHeight w:val="260"/>
        </w:trPr>
        <w:tc>
          <w:tcPr>
            <w:tcW w:w="4300" w:type="dxa"/>
            <w:vAlign w:val="bottom"/>
            <w:tcBorders>
              <w:bottom w:val="single" w:sz="8" w:color="E6E6E6"/>
            </w:tcBorders>
          </w:tcPr>
          <w:p>
            <w:pPr>
              <w:spacing w:after="0"/>
              <w:rPr>
                <w:sz w:val="22"/>
                <w:szCs w:val="22"/>
                <w:color w:val="auto"/>
              </w:rPr>
            </w:pPr>
          </w:p>
        </w:tc>
        <w:tc>
          <w:tcPr>
            <w:tcW w:w="1200" w:type="dxa"/>
            <w:vAlign w:val="bottom"/>
            <w:tcBorders>
              <w:bottom w:val="single" w:sz="8" w:color="E6E6E6"/>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2024</w:t>
            </w:r>
          </w:p>
        </w:tc>
        <w:tc>
          <w:tcPr>
            <w:tcW w:w="80" w:type="dxa"/>
            <w:vAlign w:val="bottom"/>
            <w:tcBorders>
              <w:bottom w:val="single" w:sz="8" w:color="E6E6E6"/>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2023</w:t>
            </w:r>
          </w:p>
        </w:tc>
        <w:tc>
          <w:tcPr>
            <w:tcW w:w="80" w:type="dxa"/>
            <w:vAlign w:val="bottom"/>
            <w:tcBorders>
              <w:bottom w:val="single" w:sz="8" w:color="E6E6E6"/>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2022</w:t>
            </w:r>
          </w:p>
        </w:tc>
      </w:tr>
      <w:tr>
        <w:trPr>
          <w:trHeight w:val="269"/>
        </w:trPr>
        <w:tc>
          <w:tcPr>
            <w:tcW w:w="4300" w:type="dxa"/>
            <w:vAlign w:val="bottom"/>
            <w:shd w:val="clear" w:color="auto" w:fill="E6E6E6"/>
          </w:tcPr>
          <w:p>
            <w:pPr>
              <w:ind w:left="40"/>
              <w:spacing w:after="0"/>
              <w:rPr>
                <w:sz w:val="20"/>
                <w:szCs w:val="20"/>
                <w:color w:val="auto"/>
              </w:rPr>
            </w:pPr>
            <w:r>
              <w:rPr>
                <w:rFonts w:ascii="Arial" w:cs="Arial" w:eastAsia="Arial" w:hAnsi="Arial"/>
                <w:sz w:val="20"/>
                <w:szCs w:val="20"/>
                <w:color w:val="auto"/>
              </w:rPr>
              <w:t>Net income (loss)</w:t>
            </w:r>
          </w:p>
        </w:tc>
        <w:tc>
          <w:tcPr>
            <w:tcW w:w="1540" w:type="dxa"/>
            <w:vAlign w:val="bottom"/>
            <w:gridSpan w:val="2"/>
            <w:shd w:val="clear" w:color="auto" w:fill="E6E6E6"/>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63,234</w:t>
            </w:r>
          </w:p>
        </w:tc>
        <w:tc>
          <w:tcPr>
            <w:tcW w:w="420" w:type="dxa"/>
            <w:vAlign w:val="bottom"/>
            <w:gridSpan w:val="2"/>
            <w:shd w:val="clear" w:color="auto" w:fill="E6E6E6"/>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17,546</w:t>
            </w:r>
          </w:p>
        </w:tc>
        <w:tc>
          <w:tcPr>
            <w:tcW w:w="500" w:type="dxa"/>
            <w:vAlign w:val="bottom"/>
            <w:gridSpan w:val="2"/>
            <w:shd w:val="clear" w:color="auto" w:fill="E6E6E6"/>
          </w:tcPr>
          <w:p>
            <w:pPr>
              <w:jc w:val="right"/>
              <w:ind w:right="280"/>
              <w:spacing w:after="0"/>
              <w:rPr>
                <w:sz w:val="20"/>
                <w:szCs w:val="20"/>
                <w:color w:val="auto"/>
              </w:rPr>
            </w:pPr>
            <w:r>
              <w:rPr>
                <w:rFonts w:ascii="Arial" w:cs="Arial" w:eastAsia="Arial" w:hAnsi="Arial"/>
                <w:sz w:val="20"/>
                <w:szCs w:val="20"/>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(86,246)</w:t>
            </w:r>
          </w:p>
        </w:tc>
      </w:tr>
      <w:tr>
        <w:trPr>
          <w:trHeight w:val="274"/>
        </w:trPr>
        <w:tc>
          <w:tcPr>
            <w:tcW w:w="4300" w:type="dxa"/>
            <w:vAlign w:val="bottom"/>
          </w:tcPr>
          <w:p>
            <w:pPr>
              <w:ind w:left="40"/>
              <w:spacing w:after="0"/>
              <w:rPr>
                <w:sz w:val="20"/>
                <w:szCs w:val="20"/>
                <w:color w:val="auto"/>
              </w:rPr>
            </w:pPr>
            <w:r>
              <w:rPr>
                <w:rFonts w:ascii="Arial" w:cs="Arial" w:eastAsia="Arial" w:hAnsi="Arial"/>
                <w:sz w:val="20"/>
                <w:szCs w:val="20"/>
                <w:color w:val="auto"/>
              </w:rPr>
              <w:t>Other comprehensive (loss) income:</w:t>
            </w:r>
          </w:p>
        </w:tc>
        <w:tc>
          <w:tcPr>
            <w:tcW w:w="1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85"/>
        </w:trPr>
        <w:tc>
          <w:tcPr>
            <w:tcW w:w="4300" w:type="dxa"/>
            <w:vAlign w:val="bottom"/>
            <w:shd w:val="clear" w:color="auto" w:fill="E6E6E6"/>
          </w:tcPr>
          <w:p>
            <w:pPr>
              <w:ind w:left="180"/>
              <w:spacing w:after="0"/>
              <w:rPr>
                <w:sz w:val="20"/>
                <w:szCs w:val="20"/>
                <w:color w:val="auto"/>
              </w:rPr>
            </w:pPr>
            <w:r>
              <w:rPr>
                <w:rFonts w:ascii="Arial" w:cs="Arial" w:eastAsia="Arial" w:hAnsi="Arial"/>
                <w:sz w:val="20"/>
                <w:szCs w:val="20"/>
                <w:color w:val="auto"/>
              </w:rPr>
              <w:t>Unrealized (loss) gain on cash flow hedges</w:t>
            </w:r>
          </w:p>
        </w:tc>
        <w:tc>
          <w:tcPr>
            <w:tcW w:w="120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(966)</w:t>
            </w:r>
          </w:p>
        </w:tc>
        <w:tc>
          <w:tcPr>
            <w:tcW w:w="8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1,911</w:t>
            </w:r>
          </w:p>
        </w:tc>
      </w:tr>
      <w:tr>
        <w:trPr>
          <w:trHeight w:val="269"/>
        </w:trPr>
        <w:tc>
          <w:tcPr>
            <w:tcW w:w="4300" w:type="dxa"/>
            <w:vAlign w:val="bottom"/>
            <w:tcBorders>
              <w:bottom w:val="single" w:sz="8" w:color="E6E6E6"/>
            </w:tcBorders>
          </w:tcPr>
          <w:p>
            <w:pPr>
              <w:ind w:left="180"/>
              <w:spacing w:after="0"/>
              <w:rPr>
                <w:sz w:val="20"/>
                <w:szCs w:val="20"/>
                <w:color w:val="auto"/>
              </w:rPr>
            </w:pPr>
            <w:r>
              <w:rPr>
                <w:rFonts w:ascii="Arial" w:cs="Arial" w:eastAsia="Arial" w:hAnsi="Arial"/>
                <w:sz w:val="20"/>
                <w:szCs w:val="20"/>
                <w:color w:val="auto"/>
              </w:rPr>
              <w:t>Tax effect</w:t>
            </w:r>
          </w:p>
        </w:tc>
        <w:tc>
          <w:tcPr>
            <w:tcW w:w="1200" w:type="dxa"/>
            <w:vAlign w:val="bottom"/>
            <w:tcBorders>
              <w:bottom w:val="single" w:sz="8" w:color="E6E6E6"/>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69"/>
        </w:trPr>
        <w:tc>
          <w:tcPr>
            <w:tcW w:w="4300" w:type="dxa"/>
            <w:vAlign w:val="bottom"/>
            <w:shd w:val="clear" w:color="auto" w:fill="E6E6E6"/>
          </w:tcPr>
          <w:p>
            <w:pPr>
              <w:ind w:left="180"/>
              <w:spacing w:after="0"/>
              <w:rPr>
                <w:sz w:val="20"/>
                <w:szCs w:val="20"/>
                <w:color w:val="auto"/>
              </w:rPr>
            </w:pPr>
            <w:r>
              <w:rPr>
                <w:rFonts w:ascii="Arial" w:cs="Arial" w:eastAsia="Arial" w:hAnsi="Arial"/>
                <w:sz w:val="20"/>
                <w:szCs w:val="20"/>
                <w:color w:val="auto"/>
              </w:rPr>
              <w:t>Net of tax</w:t>
            </w:r>
          </w:p>
        </w:tc>
        <w:tc>
          <w:tcPr>
            <w:tcW w:w="1200" w:type="dxa"/>
            <w:vAlign w:val="bottom"/>
            <w:shd w:val="clear" w:color="auto" w:fill="E6E6E6"/>
          </w:tcPr>
          <w:p>
            <w:pPr>
              <w:spacing w:after="0"/>
              <w:rPr>
                <w:sz w:val="23"/>
                <w:szCs w:val="23"/>
                <w:color w:val="auto"/>
              </w:rPr>
            </w:pPr>
          </w:p>
        </w:tc>
        <w:tc>
          <w:tcPr>
            <w:tcW w:w="340" w:type="dxa"/>
            <w:vAlign w:val="bottom"/>
            <w:shd w:val="clear" w:color="auto" w:fill="E6E6E6"/>
          </w:tcPr>
          <w:p>
            <w:pPr>
              <w:spacing w:after="0"/>
              <w:rPr>
                <w:sz w:val="23"/>
                <w:szCs w:val="23"/>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3"/>
                <w:szCs w:val="23"/>
                <w:color w:val="auto"/>
              </w:rPr>
            </w:pPr>
          </w:p>
        </w:tc>
        <w:tc>
          <w:tcPr>
            <w:tcW w:w="340" w:type="dxa"/>
            <w:vAlign w:val="bottom"/>
            <w:shd w:val="clear" w:color="auto" w:fill="E6E6E6"/>
          </w:tcPr>
          <w:p>
            <w:pPr>
              <w:spacing w:after="0"/>
              <w:rPr>
                <w:sz w:val="23"/>
                <w:szCs w:val="23"/>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(966)</w:t>
            </w:r>
          </w:p>
        </w:tc>
        <w:tc>
          <w:tcPr>
            <w:tcW w:w="80" w:type="dxa"/>
            <w:vAlign w:val="bottom"/>
            <w:shd w:val="clear" w:color="auto" w:fill="E6E6E6"/>
          </w:tcPr>
          <w:p>
            <w:pPr>
              <w:spacing w:after="0"/>
              <w:rPr>
                <w:sz w:val="23"/>
                <w:szCs w:val="23"/>
                <w:color w:val="auto"/>
              </w:rPr>
            </w:pPr>
          </w:p>
        </w:tc>
        <w:tc>
          <w:tcPr>
            <w:tcW w:w="420" w:type="dxa"/>
            <w:vAlign w:val="bottom"/>
            <w:shd w:val="clear" w:color="auto" w:fill="E6E6E6"/>
          </w:tcPr>
          <w:p>
            <w:pPr>
              <w:spacing w:after="0"/>
              <w:rPr>
                <w:sz w:val="23"/>
                <w:szCs w:val="23"/>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1,911</w:t>
            </w:r>
          </w:p>
        </w:tc>
      </w:tr>
      <w:tr>
        <w:trPr>
          <w:trHeight w:val="269"/>
        </w:trPr>
        <w:tc>
          <w:tcPr>
            <w:tcW w:w="4300" w:type="dxa"/>
            <w:vAlign w:val="bottom"/>
            <w:tcBorders>
              <w:bottom w:val="single" w:sz="8" w:color="E6E6E6"/>
            </w:tcBorders>
          </w:tcPr>
          <w:p>
            <w:pPr>
              <w:ind w:left="180"/>
              <w:spacing w:after="0"/>
              <w:rPr>
                <w:sz w:val="20"/>
                <w:szCs w:val="20"/>
                <w:color w:val="auto"/>
              </w:rPr>
            </w:pPr>
            <w:r>
              <w:rPr>
                <w:rFonts w:ascii="Arial" w:cs="Arial" w:eastAsia="Arial" w:hAnsi="Arial"/>
                <w:sz w:val="20"/>
                <w:szCs w:val="20"/>
                <w:color w:val="auto"/>
                <w:w w:val="92"/>
              </w:rPr>
              <w:t>Foreign currency translation adjustment, net of tax</w:t>
            </w:r>
          </w:p>
        </w:tc>
        <w:tc>
          <w:tcPr>
            <w:tcW w:w="1200" w:type="dxa"/>
            <w:vAlign w:val="bottom"/>
            <w:tcBorders>
              <w:bottom w:val="single" w:sz="8" w:color="E6E6E6"/>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(52,287)</w:t>
            </w:r>
          </w:p>
        </w:tc>
        <w:tc>
          <w:tcPr>
            <w:tcW w:w="80" w:type="dxa"/>
            <w:vAlign w:val="bottom"/>
            <w:tcBorders>
              <w:bottom w:val="single" w:sz="8" w:color="E6E6E6"/>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21,202</w:t>
            </w:r>
          </w:p>
        </w:tc>
        <w:tc>
          <w:tcPr>
            <w:tcW w:w="80" w:type="dxa"/>
            <w:vAlign w:val="bottom"/>
            <w:tcBorders>
              <w:bottom w:val="single" w:sz="8" w:color="E6E6E6"/>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(42,853)</w:t>
            </w:r>
          </w:p>
        </w:tc>
      </w:tr>
      <w:tr>
        <w:trPr>
          <w:trHeight w:val="279"/>
        </w:trPr>
        <w:tc>
          <w:tcPr>
            <w:tcW w:w="43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Total other comprehensive (loss) income</w:t>
            </w:r>
          </w:p>
        </w:tc>
        <w:tc>
          <w:tcPr>
            <w:tcW w:w="120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(52,287)</w:t>
            </w:r>
          </w:p>
        </w:tc>
        <w:tc>
          <w:tcPr>
            <w:tcW w:w="8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20,236</w:t>
            </w:r>
          </w:p>
        </w:tc>
        <w:tc>
          <w:tcPr>
            <w:tcW w:w="80" w:type="dxa"/>
            <w:vAlign w:val="bottom"/>
            <w:tcBorders>
              <w:bottom w:val="single" w:sz="8" w:color="E6E6E6"/>
            </w:tcBorders>
            <w:shd w:val="clear" w:color="auto" w:fill="E6E6E6"/>
          </w:tcPr>
          <w:p>
            <w:pPr>
              <w:spacing w:after="0"/>
              <w:rPr>
                <w:sz w:val="24"/>
                <w:szCs w:val="24"/>
                <w:color w:val="auto"/>
              </w:rPr>
            </w:pPr>
          </w:p>
        </w:tc>
        <w:tc>
          <w:tcPr>
            <w:tcW w:w="420" w:type="dxa"/>
            <w:vAlign w:val="bottom"/>
            <w:tcBorders>
              <w:bottom w:val="single" w:sz="8" w:color="auto"/>
            </w:tcBorders>
            <w:shd w:val="clear" w:color="auto" w:fill="E6E6E6"/>
          </w:tcPr>
          <w:p>
            <w:pPr>
              <w:spacing w:after="0"/>
              <w:rPr>
                <w:sz w:val="24"/>
                <w:szCs w:val="24"/>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(40,942)</w:t>
            </w:r>
          </w:p>
        </w:tc>
      </w:tr>
      <w:tr>
        <w:trPr>
          <w:trHeight w:val="221"/>
        </w:trPr>
        <w:tc>
          <w:tcPr>
            <w:tcW w:w="4300" w:type="dxa"/>
            <w:vAlign w:val="bottom"/>
          </w:tcPr>
          <w:p>
            <w:pPr>
              <w:ind w:left="40"/>
              <w:spacing w:after="0" w:line="221" w:lineRule="exact"/>
              <w:rPr>
                <w:sz w:val="20"/>
                <w:szCs w:val="20"/>
                <w:color w:val="auto"/>
              </w:rPr>
            </w:pPr>
            <w:r>
              <w:rPr>
                <w:rFonts w:ascii="Arial" w:cs="Arial" w:eastAsia="Arial" w:hAnsi="Arial"/>
                <w:sz w:val="20"/>
                <w:szCs w:val="20"/>
                <w:color w:val="auto"/>
              </w:rPr>
              <w:t>Total comprehensive income (loss)</w:t>
            </w:r>
          </w:p>
        </w:tc>
        <w:tc>
          <w:tcPr>
            <w:tcW w:w="1540" w:type="dxa"/>
            <w:vAlign w:val="bottom"/>
            <w:gridSpan w:val="2"/>
          </w:tcPr>
          <w:p>
            <w:pPr>
              <w:jc w:val="right"/>
              <w:ind w:right="200"/>
              <w:spacing w:after="0" w:line="221" w:lineRule="exact"/>
              <w:rPr>
                <w:sz w:val="20"/>
                <w:szCs w:val="20"/>
                <w:color w:val="auto"/>
              </w:rPr>
            </w:pPr>
            <w:r>
              <w:rPr>
                <w:rFonts w:ascii="Arial" w:cs="Arial" w:eastAsia="Arial" w:hAnsi="Arial"/>
                <w:sz w:val="20"/>
                <w:szCs w:val="20"/>
                <w:color w:val="auto"/>
              </w:rPr>
              <w:t>$</w:t>
            </w:r>
          </w:p>
        </w:tc>
        <w:tc>
          <w:tcPr>
            <w:tcW w:w="1120" w:type="dxa"/>
            <w:vAlign w:val="bottom"/>
          </w:tcPr>
          <w:p>
            <w:pPr>
              <w:jc w:val="right"/>
              <w:spacing w:after="0" w:line="221" w:lineRule="exact"/>
              <w:rPr>
                <w:sz w:val="20"/>
                <w:szCs w:val="20"/>
                <w:color w:val="auto"/>
              </w:rPr>
            </w:pPr>
            <w:r>
              <w:rPr>
                <w:rFonts w:ascii="Arial" w:cs="Arial" w:eastAsia="Arial" w:hAnsi="Arial"/>
                <w:sz w:val="20"/>
                <w:szCs w:val="20"/>
                <w:color w:val="auto"/>
              </w:rPr>
              <w:t>10,947</w:t>
            </w:r>
          </w:p>
        </w:tc>
        <w:tc>
          <w:tcPr>
            <w:tcW w:w="420" w:type="dxa"/>
            <w:vAlign w:val="bottom"/>
            <w:gridSpan w:val="2"/>
          </w:tcPr>
          <w:p>
            <w:pPr>
              <w:jc w:val="right"/>
              <w:ind w:right="200"/>
              <w:spacing w:after="0" w:line="221" w:lineRule="exact"/>
              <w:rPr>
                <w:sz w:val="20"/>
                <w:szCs w:val="20"/>
                <w:color w:val="auto"/>
              </w:rPr>
            </w:pPr>
            <w:r>
              <w:rPr>
                <w:rFonts w:ascii="Arial" w:cs="Arial" w:eastAsia="Arial" w:hAnsi="Arial"/>
                <w:sz w:val="20"/>
                <w:szCs w:val="20"/>
                <w:color w:val="auto"/>
              </w:rPr>
              <w:t>$</w:t>
            </w:r>
          </w:p>
        </w:tc>
        <w:tc>
          <w:tcPr>
            <w:tcW w:w="1120" w:type="dxa"/>
            <w:vAlign w:val="bottom"/>
          </w:tcPr>
          <w:p>
            <w:pPr>
              <w:jc w:val="right"/>
              <w:spacing w:after="0" w:line="221" w:lineRule="exact"/>
              <w:rPr>
                <w:sz w:val="20"/>
                <w:szCs w:val="20"/>
                <w:color w:val="auto"/>
              </w:rPr>
            </w:pPr>
            <w:r>
              <w:rPr>
                <w:rFonts w:ascii="Arial" w:cs="Arial" w:eastAsia="Arial" w:hAnsi="Arial"/>
                <w:sz w:val="20"/>
                <w:szCs w:val="20"/>
                <w:color w:val="auto"/>
              </w:rPr>
              <w:t>37,782</w:t>
            </w:r>
          </w:p>
        </w:tc>
        <w:tc>
          <w:tcPr>
            <w:tcW w:w="500" w:type="dxa"/>
            <w:vAlign w:val="bottom"/>
            <w:gridSpan w:val="2"/>
          </w:tcPr>
          <w:p>
            <w:pPr>
              <w:jc w:val="right"/>
              <w:ind w:right="280"/>
              <w:spacing w:after="0" w:line="221" w:lineRule="exact"/>
              <w:rPr>
                <w:sz w:val="20"/>
                <w:szCs w:val="20"/>
                <w:color w:val="auto"/>
              </w:rPr>
            </w:pPr>
            <w:r>
              <w:rPr>
                <w:rFonts w:ascii="Arial" w:cs="Arial" w:eastAsia="Arial" w:hAnsi="Arial"/>
                <w:sz w:val="20"/>
                <w:szCs w:val="20"/>
                <w:color w:val="auto"/>
              </w:rPr>
              <w:t>$</w:t>
            </w:r>
          </w:p>
        </w:tc>
        <w:tc>
          <w:tcPr>
            <w:tcW w:w="1040" w:type="dxa"/>
            <w:vAlign w:val="bottom"/>
          </w:tcPr>
          <w:p>
            <w:pPr>
              <w:jc w:val="right"/>
              <w:spacing w:after="0" w:line="221" w:lineRule="exact"/>
              <w:rPr>
                <w:sz w:val="20"/>
                <w:szCs w:val="20"/>
                <w:color w:val="auto"/>
              </w:rPr>
            </w:pPr>
            <w:r>
              <w:rPr>
                <w:rFonts w:ascii="Arial" w:cs="Arial" w:eastAsia="Arial" w:hAnsi="Arial"/>
                <w:sz w:val="20"/>
                <w:szCs w:val="20"/>
                <w:color w:val="auto"/>
              </w:rPr>
              <w:t>(127,188)</w:t>
            </w:r>
          </w:p>
        </w:tc>
      </w:tr>
      <w:tr>
        <w:trPr>
          <w:trHeight w:val="20"/>
        </w:trPr>
        <w:tc>
          <w:tcPr>
            <w:tcW w:w="4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3473450</wp:posOffset>
            </wp:positionH>
            <wp:positionV relativeFrom="paragraph">
              <wp:posOffset>-1449705</wp:posOffset>
            </wp:positionV>
            <wp:extent cx="291909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64">
                      <a:extLst>
                        <a:ext uri="{28A0092B-C50C-407E-A947-70E740481C1C}"/>
                      </a:extLst>
                    </a:blip>
                    <a:srcRect/>
                    <a:stretch>
                      <a:fillRect/>
                    </a:stretch>
                  </pic:blipFill>
                  <pic:spPr bwMode="auto">
                    <a:xfrm>
                      <a:off x="0" y="0"/>
                      <a:ext cx="2919095" cy="25400"/>
                    </a:xfrm>
                    <a:prstGeom prst="rect">
                      <a:avLst/>
                    </a:prstGeom>
                    <a:noFill/>
                  </pic:spPr>
                </pic:pic>
              </a:graphicData>
            </a:graphic>
          </wp:anchor>
        </w:drawing>
        <w:drawing>
          <wp:anchor simplePos="0" relativeHeight="251657728" behindDoc="1" locked="0" layoutInCell="0" allowOverlap="1">
            <wp:simplePos x="0" y="0"/>
            <wp:positionH relativeFrom="column">
              <wp:posOffset>3473450</wp:posOffset>
            </wp:positionH>
            <wp:positionV relativeFrom="paragraph">
              <wp:posOffset>-740410</wp:posOffset>
            </wp:positionV>
            <wp:extent cx="291909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65">
                      <a:extLst>
                        <a:ext uri="{28A0092B-C50C-407E-A947-70E740481C1C}"/>
                      </a:extLst>
                    </a:blip>
                    <a:srcRect/>
                    <a:stretch>
                      <a:fillRect/>
                    </a:stretch>
                  </pic:blipFill>
                  <pic:spPr bwMode="auto">
                    <a:xfrm>
                      <a:off x="0" y="0"/>
                      <a:ext cx="2919095" cy="25400"/>
                    </a:xfrm>
                    <a:prstGeom prst="rect">
                      <a:avLst/>
                    </a:prstGeom>
                    <a:noFill/>
                  </pic:spPr>
                </pic:pic>
              </a:graphicData>
            </a:graphic>
          </wp:anchor>
        </w:drawing>
        <w:drawing>
          <wp:anchor simplePos="0" relativeHeight="251657728" behindDoc="1" locked="0" layoutInCell="0" allowOverlap="1">
            <wp:simplePos x="0" y="0"/>
            <wp:positionH relativeFrom="column">
              <wp:posOffset>3473450</wp:posOffset>
            </wp:positionH>
            <wp:positionV relativeFrom="paragraph">
              <wp:posOffset>-385445</wp:posOffset>
            </wp:positionV>
            <wp:extent cx="291909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66">
                      <a:extLst>
                        <a:ext uri="{28A0092B-C50C-407E-A947-70E740481C1C}"/>
                      </a:extLst>
                    </a:blip>
                    <a:srcRect/>
                    <a:stretch>
                      <a:fillRect/>
                    </a:stretch>
                  </pic:blipFill>
                  <pic:spPr bwMode="auto">
                    <a:xfrm>
                      <a:off x="0" y="0"/>
                      <a:ext cx="2919095" cy="25400"/>
                    </a:xfrm>
                    <a:prstGeom prst="rect">
                      <a:avLst/>
                    </a:prstGeom>
                    <a:noFill/>
                  </pic:spPr>
                </pic:pic>
              </a:graphicData>
            </a:graphic>
          </wp:anchor>
        </w:drawing>
        <w:drawing>
          <wp:anchor simplePos="0" relativeHeight="251657728" behindDoc="1" locked="0" layoutInCell="0" allowOverlap="1">
            <wp:simplePos x="0" y="0"/>
            <wp:positionH relativeFrom="column">
              <wp:posOffset>3473450</wp:posOffset>
            </wp:positionH>
            <wp:positionV relativeFrom="paragraph">
              <wp:posOffset>-208280</wp:posOffset>
            </wp:positionV>
            <wp:extent cx="291909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67">
                      <a:extLst>
                        <a:ext uri="{28A0092B-C50C-407E-A947-70E740481C1C}"/>
                      </a:extLst>
                    </a:blip>
                    <a:srcRect/>
                    <a:stretch>
                      <a:fillRect/>
                    </a:stretch>
                  </pic:blipFill>
                  <pic:spPr bwMode="auto">
                    <a:xfrm>
                      <a:off x="0" y="0"/>
                      <a:ext cx="2919095" cy="25400"/>
                    </a:xfrm>
                    <a:prstGeom prst="rect">
                      <a:avLst/>
                    </a:prstGeom>
                    <a:noFill/>
                  </pic:spPr>
                </pic:pic>
              </a:graphicData>
            </a:graphic>
          </wp:anchor>
        </w:drawing>
      </w:r>
    </w:p>
    <w:p>
      <w:pPr>
        <w:sectPr>
          <w:pgSz w:w="11880" w:h="15480" w:orient="portrait"/>
          <w:cols w:equalWidth="0" w:num="1">
            <w:col w:w="10040"/>
          </w:cols>
          <w:pgMar w:left="920" w:top="64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F-4</w:t>
      </w:r>
    </w:p>
    <w:p>
      <w:pPr>
        <w:sectPr>
          <w:pgSz w:w="11880" w:h="15480" w:orient="portrait"/>
          <w:cols w:equalWidth="0" w:num="1">
            <w:col w:w="10040"/>
          </w:cols>
          <w:pgMar w:left="920" w:top="647" w:right="920" w:bottom="0" w:gutter="0" w:footer="0" w:header="0"/>
          <w:type w:val="continuous"/>
        </w:sectPr>
      </w:pPr>
    </w:p>
    <w:bookmarkStart w:id="62" w:name="page63"/>
    <w:bookmarkEnd w:id="62"/>
    <w:p>
      <w:pPr>
        <w:jc w:val="center"/>
        <w:spacing w:after="0"/>
        <w:rPr>
          <w:sz w:val="20"/>
          <w:szCs w:val="20"/>
          <w:color w:val="auto"/>
        </w:rPr>
      </w:pPr>
      <w:r>
        <w:rPr>
          <w:rFonts w:ascii="Arial" w:cs="Arial" w:eastAsia="Arial" w:hAnsi="Arial"/>
          <w:sz w:val="24"/>
          <w:szCs w:val="24"/>
          <w:b w:val="1"/>
          <w:bCs w:val="1"/>
          <w:color w:val="auto"/>
        </w:rPr>
        <w:t>LIVANOVA PLC AND SUBSIDIARIES</w:t>
      </w:r>
    </w:p>
    <w:p>
      <w:pPr>
        <w:jc w:val="center"/>
        <w:spacing w:after="0" w:line="204" w:lineRule="auto"/>
        <w:rPr>
          <w:sz w:val="20"/>
          <w:szCs w:val="20"/>
          <w:color w:val="auto"/>
        </w:rPr>
      </w:pPr>
      <w:r>
        <w:rPr>
          <w:rFonts w:ascii="Arial" w:cs="Arial" w:eastAsia="Arial" w:hAnsi="Arial"/>
          <w:sz w:val="24"/>
          <w:szCs w:val="24"/>
          <w:b w:val="1"/>
          <w:bCs w:val="1"/>
          <w:color w:val="auto"/>
        </w:rPr>
        <w:t>CONSOLIDATED BALANCE SHEETS</w:t>
      </w:r>
    </w:p>
    <w:p>
      <w:pPr>
        <w:jc w:val="center"/>
        <w:spacing w:after="0" w:line="222" w:lineRule="auto"/>
        <w:rPr>
          <w:sz w:val="20"/>
          <w:szCs w:val="20"/>
          <w:color w:val="auto"/>
        </w:rPr>
      </w:pPr>
      <w:r>
        <w:rPr>
          <w:rFonts w:ascii="Arial" w:cs="Arial" w:eastAsia="Arial" w:hAnsi="Arial"/>
          <w:sz w:val="24"/>
          <w:szCs w:val="24"/>
          <w:b w:val="1"/>
          <w:bCs w:val="1"/>
          <w:color w:val="auto"/>
        </w:rPr>
        <w:t>December 31, 2024 and 2023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060" w:type="dxa"/>
            <w:vAlign w:val="bottom"/>
          </w:tcPr>
          <w:p>
            <w:pPr>
              <w:ind w:left="40"/>
              <w:spacing w:after="0"/>
              <w:rPr>
                <w:sz w:val="20"/>
                <w:szCs w:val="20"/>
                <w:color w:val="auto"/>
              </w:rPr>
            </w:pPr>
            <w:r>
              <w:rPr>
                <w:rFonts w:ascii="Arial" w:cs="Arial" w:eastAsia="Arial" w:hAnsi="Arial"/>
                <w:sz w:val="20"/>
                <w:szCs w:val="20"/>
                <w:b w:val="1"/>
                <w:bCs w:val="1"/>
                <w:color w:val="auto"/>
              </w:rPr>
              <w:t>ASSETS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22"/>
              <w:spacing w:after="0"/>
              <w:rPr>
                <w:sz w:val="20"/>
                <w:szCs w:val="20"/>
                <w:color w:val="auto"/>
              </w:rPr>
            </w:pPr>
            <w:r>
              <w:rPr>
                <w:rFonts w:ascii="Arial" w:cs="Arial" w:eastAsia="Arial" w:hAnsi="Arial"/>
                <w:sz w:val="20"/>
                <w:szCs w:val="20"/>
                <w:b w:val="1"/>
                <w:bCs w:val="1"/>
                <w:color w:val="auto"/>
              </w:rPr>
              <w:t>2023</w:t>
            </w:r>
          </w:p>
        </w:tc>
        <w:tc>
          <w:tcPr>
            <w:tcW w:w="0" w:type="dxa"/>
            <w:vAlign w:val="bottom"/>
          </w:tcPr>
          <w:p>
            <w:pPr>
              <w:spacing w:after="0"/>
              <w:rPr>
                <w:sz w:val="1"/>
                <w:szCs w:val="1"/>
                <w:color w:val="auto"/>
              </w:rPr>
            </w:pPr>
          </w:p>
        </w:tc>
      </w:tr>
      <w:tr>
        <w:trPr>
          <w:trHeight w:val="264"/>
        </w:trPr>
        <w:tc>
          <w:tcPr>
            <w:tcW w:w="7060" w:type="dxa"/>
            <w:vAlign w:val="bottom"/>
          </w:tcPr>
          <w:p>
            <w:pPr>
              <w:ind w:left="40"/>
              <w:spacing w:after="0"/>
              <w:rPr>
                <w:sz w:val="20"/>
                <w:szCs w:val="20"/>
                <w:color w:val="auto"/>
              </w:rPr>
            </w:pPr>
            <w:r>
              <w:rPr>
                <w:rFonts w:ascii="Arial" w:cs="Arial" w:eastAsia="Arial" w:hAnsi="Arial"/>
                <w:sz w:val="20"/>
                <w:szCs w:val="20"/>
                <w:b w:val="1"/>
                <w:bCs w:val="1"/>
                <w:i w:val="1"/>
                <w:iCs w:val="1"/>
                <w:color w:val="auto"/>
              </w:rPr>
              <w:t>Current Assets:</w:t>
            </w: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7060" w:type="dxa"/>
            <w:vAlign w:val="bottom"/>
            <w:shd w:val="clear" w:color="auto" w:fill="E6E6E6"/>
          </w:tcPr>
          <w:p>
            <w:pPr>
              <w:ind w:left="180"/>
              <w:spacing w:after="0"/>
              <w:rPr>
                <w:sz w:val="20"/>
                <w:szCs w:val="20"/>
                <w:color w:val="auto"/>
              </w:rPr>
            </w:pPr>
            <w:r>
              <w:rPr>
                <w:rFonts w:ascii="Arial" w:cs="Arial" w:eastAsia="Arial" w:hAnsi="Arial"/>
                <w:sz w:val="20"/>
                <w:szCs w:val="20"/>
                <w:color w:val="auto"/>
              </w:rPr>
              <w:t>Cash and cash equivalents</w:t>
            </w:r>
          </w:p>
        </w:tc>
        <w:tc>
          <w:tcPr>
            <w:tcW w:w="340" w:type="dxa"/>
            <w:vAlign w:val="bottom"/>
            <w:shd w:val="clear" w:color="auto" w:fill="E6E6E6"/>
          </w:tcPr>
          <w:p>
            <w:pPr>
              <w:jc w:val="right"/>
              <w:ind w:right="82"/>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428,858</w:t>
            </w:r>
          </w:p>
        </w:tc>
        <w:tc>
          <w:tcPr>
            <w:tcW w:w="420" w:type="dxa"/>
            <w:vAlign w:val="bottom"/>
            <w:gridSpan w:val="3"/>
            <w:shd w:val="clear" w:color="auto" w:fill="E6E6E6"/>
          </w:tcPr>
          <w:p>
            <w:pPr>
              <w:jc w:val="right"/>
              <w:ind w:right="200"/>
              <w:spacing w:after="0"/>
              <w:rPr>
                <w:sz w:val="20"/>
                <w:szCs w:val="20"/>
                <w:color w:val="auto"/>
              </w:rPr>
            </w:pPr>
            <w:r>
              <w:rPr>
                <w:rFonts w:ascii="Arial" w:cs="Arial" w:eastAsia="Arial" w:hAnsi="Arial"/>
                <w:sz w:val="20"/>
                <w:szCs w:val="20"/>
                <w:color w:val="auto"/>
              </w:rPr>
              <w:t>$</w:t>
            </w:r>
          </w:p>
        </w:tc>
        <w:tc>
          <w:tcPr>
            <w:tcW w:w="11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266,504</w:t>
            </w:r>
          </w:p>
        </w:tc>
        <w:tc>
          <w:tcPr>
            <w:tcW w:w="0" w:type="dxa"/>
            <w:vAlign w:val="bottom"/>
          </w:tcPr>
          <w:p>
            <w:pPr>
              <w:spacing w:after="0"/>
              <w:rPr>
                <w:sz w:val="1"/>
                <w:szCs w:val="1"/>
                <w:color w:val="auto"/>
              </w:rPr>
            </w:pPr>
          </w:p>
        </w:tc>
      </w:tr>
      <w:tr>
        <w:trPr>
          <w:trHeight w:val="274"/>
        </w:trPr>
        <w:tc>
          <w:tcPr>
            <w:tcW w:w="7060" w:type="dxa"/>
            <w:vAlign w:val="bottom"/>
          </w:tcPr>
          <w:p>
            <w:pPr>
              <w:ind w:left="180"/>
              <w:spacing w:after="0"/>
              <w:rPr>
                <w:sz w:val="20"/>
                <w:szCs w:val="20"/>
                <w:color w:val="auto"/>
              </w:rPr>
            </w:pPr>
            <w:r>
              <w:rPr>
                <w:rFonts w:ascii="Arial" w:cs="Arial" w:eastAsia="Arial" w:hAnsi="Arial"/>
                <w:sz w:val="20"/>
                <w:szCs w:val="20"/>
                <w:color w:val="auto"/>
              </w:rPr>
              <w:t>Restricted cash</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294,698</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311,368</w:t>
            </w:r>
          </w:p>
        </w:tc>
        <w:tc>
          <w:tcPr>
            <w:tcW w:w="0" w:type="dxa"/>
            <w:vAlign w:val="bottom"/>
          </w:tcPr>
          <w:p>
            <w:pPr>
              <w:spacing w:after="0"/>
              <w:rPr>
                <w:sz w:val="1"/>
                <w:szCs w:val="1"/>
                <w:color w:val="auto"/>
              </w:rPr>
            </w:pPr>
          </w:p>
        </w:tc>
      </w:tr>
      <w:tr>
        <w:trPr>
          <w:trHeight w:val="194"/>
        </w:trPr>
        <w:tc>
          <w:tcPr>
            <w:tcW w:w="7060" w:type="dxa"/>
            <w:vAlign w:val="bottom"/>
            <w:shd w:val="clear" w:color="auto" w:fill="E6E6E6"/>
          </w:tcPr>
          <w:p>
            <w:pPr>
              <w:ind w:left="180"/>
              <w:spacing w:after="0" w:line="194" w:lineRule="exact"/>
              <w:rPr>
                <w:sz w:val="20"/>
                <w:szCs w:val="20"/>
                <w:color w:val="auto"/>
              </w:rPr>
            </w:pPr>
            <w:r>
              <w:rPr>
                <w:rFonts w:ascii="Arial" w:cs="Arial" w:eastAsia="Arial" w:hAnsi="Arial"/>
                <w:sz w:val="20"/>
                <w:szCs w:val="20"/>
                <w:color w:val="auto"/>
                <w:w w:val="90"/>
              </w:rPr>
              <w:t>Accounts receivable, net of allowance of $11,275 at December 31, 2024 and $12,019</w:t>
            </w:r>
          </w:p>
        </w:tc>
        <w:tc>
          <w:tcPr>
            <w:tcW w:w="340" w:type="dxa"/>
            <w:vAlign w:val="bottom"/>
            <w:shd w:val="clear" w:color="auto" w:fill="E6E6E6"/>
          </w:tcPr>
          <w:p>
            <w:pPr>
              <w:spacing w:after="0"/>
              <w:rPr>
                <w:sz w:val="16"/>
                <w:szCs w:val="16"/>
                <w:color w:val="auto"/>
              </w:rPr>
            </w:pPr>
          </w:p>
        </w:tc>
        <w:tc>
          <w:tcPr>
            <w:tcW w:w="112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193,158</w:t>
            </w:r>
          </w:p>
        </w:tc>
        <w:tc>
          <w:tcPr>
            <w:tcW w:w="8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320" w:type="dxa"/>
            <w:vAlign w:val="bottom"/>
            <w:shd w:val="clear" w:color="auto" w:fill="E6E6E6"/>
          </w:tcPr>
          <w:p>
            <w:pPr>
              <w:spacing w:after="0"/>
              <w:rPr>
                <w:sz w:val="16"/>
                <w:szCs w:val="16"/>
                <w:color w:val="auto"/>
              </w:rPr>
            </w:pPr>
          </w:p>
        </w:tc>
        <w:tc>
          <w:tcPr>
            <w:tcW w:w="110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215,072</w:t>
            </w:r>
          </w:p>
        </w:tc>
        <w:tc>
          <w:tcPr>
            <w:tcW w:w="0" w:type="dxa"/>
            <w:vAlign w:val="bottom"/>
          </w:tcPr>
          <w:p>
            <w:pPr>
              <w:spacing w:after="0"/>
              <w:rPr>
                <w:sz w:val="1"/>
                <w:szCs w:val="1"/>
                <w:color w:val="auto"/>
              </w:rPr>
            </w:pPr>
          </w:p>
        </w:tc>
      </w:tr>
      <w:tr>
        <w:trPr>
          <w:trHeight w:val="268"/>
        </w:trPr>
        <w:tc>
          <w:tcPr>
            <w:tcW w:w="7060" w:type="dxa"/>
            <w:vAlign w:val="bottom"/>
            <w:shd w:val="clear" w:color="auto" w:fill="E6E6E6"/>
          </w:tcPr>
          <w:p>
            <w:pPr>
              <w:ind w:left="180"/>
              <w:spacing w:after="0"/>
              <w:rPr>
                <w:sz w:val="20"/>
                <w:szCs w:val="20"/>
                <w:color w:val="auto"/>
              </w:rPr>
            </w:pPr>
            <w:r>
              <w:rPr>
                <w:rFonts w:ascii="Arial" w:cs="Arial" w:eastAsia="Arial" w:hAnsi="Arial"/>
                <w:sz w:val="20"/>
                <w:szCs w:val="20"/>
                <w:color w:val="auto"/>
              </w:rPr>
              <w:t>at December 31, 2023</w:t>
            </w:r>
          </w:p>
        </w:tc>
        <w:tc>
          <w:tcPr>
            <w:tcW w:w="340" w:type="dxa"/>
            <w:vAlign w:val="bottom"/>
            <w:shd w:val="clear" w:color="auto" w:fill="E6E6E6"/>
          </w:tcPr>
          <w:p>
            <w:pPr>
              <w:spacing w:after="0"/>
              <w:rPr>
                <w:sz w:val="23"/>
                <w:szCs w:val="23"/>
                <w:color w:val="auto"/>
              </w:rPr>
            </w:pPr>
          </w:p>
        </w:tc>
        <w:tc>
          <w:tcPr>
            <w:tcW w:w="112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320" w:type="dxa"/>
            <w:vAlign w:val="bottom"/>
            <w:shd w:val="clear" w:color="auto" w:fill="E6E6E6"/>
          </w:tcPr>
          <w:p>
            <w:pPr>
              <w:spacing w:after="0"/>
              <w:rPr>
                <w:sz w:val="23"/>
                <w:szCs w:val="23"/>
                <w:color w:val="auto"/>
              </w:rPr>
            </w:pPr>
          </w:p>
        </w:tc>
        <w:tc>
          <w:tcPr>
            <w:tcW w:w="1100" w:type="dxa"/>
            <w:vAlign w:val="bottom"/>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7060" w:type="dxa"/>
            <w:vAlign w:val="bottom"/>
          </w:tcPr>
          <w:p>
            <w:pPr>
              <w:ind w:left="180"/>
              <w:spacing w:after="0"/>
              <w:rPr>
                <w:sz w:val="20"/>
                <w:szCs w:val="20"/>
                <w:color w:val="auto"/>
              </w:rPr>
            </w:pPr>
            <w:r>
              <w:rPr>
                <w:rFonts w:ascii="Arial" w:cs="Arial" w:eastAsia="Arial" w:hAnsi="Arial"/>
                <w:sz w:val="20"/>
                <w:szCs w:val="20"/>
                <w:color w:val="auto"/>
              </w:rPr>
              <w:t>Inventories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147,566</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147,887</w:t>
            </w:r>
          </w:p>
        </w:tc>
        <w:tc>
          <w:tcPr>
            <w:tcW w:w="0" w:type="dxa"/>
            <w:vAlign w:val="bottom"/>
          </w:tcPr>
          <w:p>
            <w:pPr>
              <w:spacing w:after="0"/>
              <w:rPr>
                <w:sz w:val="1"/>
                <w:szCs w:val="1"/>
                <w:color w:val="auto"/>
              </w:rPr>
            </w:pPr>
          </w:p>
        </w:tc>
      </w:tr>
      <w:tr>
        <w:trPr>
          <w:trHeight w:val="285"/>
        </w:trPr>
        <w:tc>
          <w:tcPr>
            <w:tcW w:w="7060" w:type="dxa"/>
            <w:vAlign w:val="bottom"/>
            <w:shd w:val="clear" w:color="auto" w:fill="E6E6E6"/>
          </w:tcPr>
          <w:p>
            <w:pPr>
              <w:ind w:left="180"/>
              <w:spacing w:after="0"/>
              <w:rPr>
                <w:sz w:val="20"/>
                <w:szCs w:val="20"/>
                <w:color w:val="auto"/>
              </w:rPr>
            </w:pPr>
            <w:r>
              <w:rPr>
                <w:rFonts w:ascii="Arial" w:cs="Arial" w:eastAsia="Arial" w:hAnsi="Arial"/>
                <w:sz w:val="20"/>
                <w:szCs w:val="20"/>
                <w:color w:val="auto"/>
              </w:rPr>
              <w:t>Prepaid and refundable taxes</w:t>
            </w:r>
          </w:p>
        </w:tc>
        <w:tc>
          <w:tcPr>
            <w:tcW w:w="34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30,544</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20,145</w:t>
            </w:r>
          </w:p>
        </w:tc>
        <w:tc>
          <w:tcPr>
            <w:tcW w:w="0" w:type="dxa"/>
            <w:vAlign w:val="bottom"/>
          </w:tcPr>
          <w:p>
            <w:pPr>
              <w:spacing w:after="0"/>
              <w:rPr>
                <w:sz w:val="1"/>
                <w:szCs w:val="1"/>
                <w:color w:val="auto"/>
              </w:rPr>
            </w:pPr>
          </w:p>
        </w:tc>
      </w:tr>
      <w:tr>
        <w:trPr>
          <w:trHeight w:val="269"/>
        </w:trPr>
        <w:tc>
          <w:tcPr>
            <w:tcW w:w="7060" w:type="dxa"/>
            <w:vAlign w:val="bottom"/>
            <w:tcBorders>
              <w:bottom w:val="single" w:sz="8" w:color="E6E6E6"/>
            </w:tcBorders>
          </w:tcPr>
          <w:p>
            <w:pPr>
              <w:ind w:left="180"/>
              <w:spacing w:after="0"/>
              <w:rPr>
                <w:sz w:val="20"/>
                <w:szCs w:val="20"/>
                <w:color w:val="auto"/>
              </w:rPr>
            </w:pPr>
            <w:r>
              <w:rPr>
                <w:rFonts w:ascii="Arial" w:cs="Arial" w:eastAsia="Arial" w:hAnsi="Arial"/>
                <w:sz w:val="20"/>
                <w:szCs w:val="20"/>
                <w:color w:val="auto"/>
              </w:rPr>
              <w:t>Prepaid expenses and other current assets</w:t>
            </w: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32,362</w:t>
            </w:r>
          </w:p>
        </w:tc>
        <w:tc>
          <w:tcPr>
            <w:tcW w:w="80" w:type="dxa"/>
            <w:vAlign w:val="bottom"/>
            <w:tcBorders>
              <w:bottom w:val="single" w:sz="8" w:color="E6E6E6"/>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27,182</w:t>
            </w:r>
          </w:p>
        </w:tc>
        <w:tc>
          <w:tcPr>
            <w:tcW w:w="0" w:type="dxa"/>
            <w:vAlign w:val="bottom"/>
          </w:tcPr>
          <w:p>
            <w:pPr>
              <w:spacing w:after="0"/>
              <w:rPr>
                <w:sz w:val="1"/>
                <w:szCs w:val="1"/>
                <w:color w:val="auto"/>
              </w:rPr>
            </w:pPr>
          </w:p>
        </w:tc>
      </w:tr>
      <w:tr>
        <w:trPr>
          <w:trHeight w:val="270"/>
        </w:trPr>
        <w:tc>
          <w:tcPr>
            <w:tcW w:w="7060" w:type="dxa"/>
            <w:vAlign w:val="bottom"/>
            <w:shd w:val="clear" w:color="auto" w:fill="E6E6E6"/>
          </w:tcPr>
          <w:p>
            <w:pPr>
              <w:ind w:left="260"/>
              <w:spacing w:after="0"/>
              <w:rPr>
                <w:sz w:val="20"/>
                <w:szCs w:val="20"/>
                <w:color w:val="auto"/>
              </w:rPr>
            </w:pPr>
            <w:r>
              <w:rPr>
                <w:rFonts w:ascii="Arial" w:cs="Arial" w:eastAsia="Arial" w:hAnsi="Arial"/>
                <w:sz w:val="20"/>
                <w:szCs w:val="20"/>
                <w:color w:val="auto"/>
              </w:rPr>
              <w:t>Total Current Assets</w:t>
            </w:r>
          </w:p>
        </w:tc>
        <w:tc>
          <w:tcPr>
            <w:tcW w:w="340" w:type="dxa"/>
            <w:vAlign w:val="bottom"/>
            <w:shd w:val="clear" w:color="auto" w:fill="E6E6E6"/>
          </w:tcPr>
          <w:p>
            <w:pPr>
              <w:spacing w:after="0"/>
              <w:rPr>
                <w:sz w:val="23"/>
                <w:szCs w:val="23"/>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1,127,186</w:t>
            </w:r>
          </w:p>
        </w:tc>
        <w:tc>
          <w:tcPr>
            <w:tcW w:w="8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320" w:type="dxa"/>
            <w:vAlign w:val="bottom"/>
            <w:shd w:val="clear" w:color="auto" w:fill="E6E6E6"/>
          </w:tcPr>
          <w:p>
            <w:pPr>
              <w:spacing w:after="0"/>
              <w:rPr>
                <w:sz w:val="23"/>
                <w:szCs w:val="23"/>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988,158</w:t>
            </w:r>
          </w:p>
        </w:tc>
        <w:tc>
          <w:tcPr>
            <w:tcW w:w="0" w:type="dxa"/>
            <w:vAlign w:val="bottom"/>
          </w:tcPr>
          <w:p>
            <w:pPr>
              <w:spacing w:after="0"/>
              <w:rPr>
                <w:sz w:val="1"/>
                <w:szCs w:val="1"/>
                <w:color w:val="auto"/>
              </w:rPr>
            </w:pPr>
          </w:p>
        </w:tc>
      </w:tr>
      <w:tr>
        <w:trPr>
          <w:trHeight w:val="274"/>
        </w:trPr>
        <w:tc>
          <w:tcPr>
            <w:tcW w:w="7060" w:type="dxa"/>
            <w:vAlign w:val="bottom"/>
          </w:tcPr>
          <w:p>
            <w:pPr>
              <w:ind w:left="40"/>
              <w:spacing w:after="0"/>
              <w:rPr>
                <w:sz w:val="20"/>
                <w:szCs w:val="20"/>
                <w:color w:val="auto"/>
              </w:rPr>
            </w:pPr>
            <w:r>
              <w:rPr>
                <w:rFonts w:ascii="Arial" w:cs="Arial" w:eastAsia="Arial" w:hAnsi="Arial"/>
                <w:sz w:val="20"/>
                <w:szCs w:val="20"/>
                <w:color w:val="auto"/>
              </w:rPr>
              <w:t>Property, plant, and equipment, net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170,260</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154,181</w:t>
            </w:r>
          </w:p>
        </w:tc>
        <w:tc>
          <w:tcPr>
            <w:tcW w:w="0" w:type="dxa"/>
            <w:vAlign w:val="bottom"/>
          </w:tcPr>
          <w:p>
            <w:pPr>
              <w:spacing w:after="0"/>
              <w:rPr>
                <w:sz w:val="1"/>
                <w:szCs w:val="1"/>
                <w:color w:val="auto"/>
              </w:rPr>
            </w:pPr>
          </w:p>
        </w:tc>
      </w:tr>
      <w:tr>
        <w:trPr>
          <w:trHeight w:val="285"/>
        </w:trPr>
        <w:tc>
          <w:tcPr>
            <w:tcW w:w="7060" w:type="dxa"/>
            <w:vAlign w:val="bottom"/>
            <w:shd w:val="clear" w:color="auto" w:fill="E6E6E6"/>
          </w:tcPr>
          <w:p>
            <w:pPr>
              <w:ind w:left="40"/>
              <w:spacing w:after="0"/>
              <w:rPr>
                <w:sz w:val="20"/>
                <w:szCs w:val="20"/>
                <w:color w:val="auto"/>
              </w:rPr>
            </w:pPr>
            <w:r>
              <w:rPr>
                <w:rFonts w:ascii="Arial" w:cs="Arial" w:eastAsia="Arial" w:hAnsi="Arial"/>
                <w:sz w:val="20"/>
                <w:szCs w:val="20"/>
                <w:color w:val="auto"/>
              </w:rPr>
              <w:t>Goodwill</w:t>
            </w:r>
          </w:p>
        </w:tc>
        <w:tc>
          <w:tcPr>
            <w:tcW w:w="34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750,006</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782,941</w:t>
            </w:r>
          </w:p>
        </w:tc>
        <w:tc>
          <w:tcPr>
            <w:tcW w:w="0" w:type="dxa"/>
            <w:vAlign w:val="bottom"/>
          </w:tcPr>
          <w:p>
            <w:pPr>
              <w:spacing w:after="0"/>
              <w:rPr>
                <w:sz w:val="1"/>
                <w:szCs w:val="1"/>
                <w:color w:val="auto"/>
              </w:rPr>
            </w:pPr>
          </w:p>
        </w:tc>
      </w:tr>
      <w:tr>
        <w:trPr>
          <w:trHeight w:val="274"/>
        </w:trPr>
        <w:tc>
          <w:tcPr>
            <w:tcW w:w="7060" w:type="dxa"/>
            <w:vAlign w:val="bottom"/>
          </w:tcPr>
          <w:p>
            <w:pPr>
              <w:ind w:left="40"/>
              <w:spacing w:after="0"/>
              <w:rPr>
                <w:sz w:val="20"/>
                <w:szCs w:val="20"/>
                <w:color w:val="auto"/>
              </w:rPr>
            </w:pPr>
            <w:r>
              <w:rPr>
                <w:rFonts w:ascii="Arial" w:cs="Arial" w:eastAsia="Arial" w:hAnsi="Arial"/>
                <w:sz w:val="20"/>
                <w:szCs w:val="20"/>
                <w:color w:val="auto"/>
              </w:rPr>
              <w:t>Intangible assets, net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237,294</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261,178</w:t>
            </w:r>
          </w:p>
        </w:tc>
        <w:tc>
          <w:tcPr>
            <w:tcW w:w="0" w:type="dxa"/>
            <w:vAlign w:val="bottom"/>
          </w:tcPr>
          <w:p>
            <w:pPr>
              <w:spacing w:after="0"/>
              <w:rPr>
                <w:sz w:val="1"/>
                <w:szCs w:val="1"/>
                <w:color w:val="auto"/>
              </w:rPr>
            </w:pPr>
          </w:p>
        </w:tc>
      </w:tr>
      <w:tr>
        <w:trPr>
          <w:trHeight w:val="285"/>
        </w:trPr>
        <w:tc>
          <w:tcPr>
            <w:tcW w:w="7060" w:type="dxa"/>
            <w:vAlign w:val="bottom"/>
            <w:shd w:val="clear" w:color="auto" w:fill="E6E6E6"/>
          </w:tcPr>
          <w:p>
            <w:pPr>
              <w:ind w:left="40"/>
              <w:spacing w:after="0"/>
              <w:rPr>
                <w:sz w:val="20"/>
                <w:szCs w:val="20"/>
                <w:color w:val="auto"/>
              </w:rPr>
            </w:pPr>
            <w:r>
              <w:rPr>
                <w:rFonts w:ascii="Arial" w:cs="Arial" w:eastAsia="Arial" w:hAnsi="Arial"/>
                <w:sz w:val="20"/>
                <w:szCs w:val="20"/>
                <w:color w:val="auto"/>
              </w:rPr>
              <w:t>Operating lease assets</w:t>
            </w:r>
          </w:p>
        </w:tc>
        <w:tc>
          <w:tcPr>
            <w:tcW w:w="34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46,837</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50,845</w:t>
            </w:r>
          </w:p>
        </w:tc>
        <w:tc>
          <w:tcPr>
            <w:tcW w:w="0" w:type="dxa"/>
            <w:vAlign w:val="bottom"/>
          </w:tcPr>
          <w:p>
            <w:pPr>
              <w:spacing w:after="0"/>
              <w:rPr>
                <w:sz w:val="1"/>
                <w:szCs w:val="1"/>
                <w:color w:val="auto"/>
              </w:rPr>
            </w:pPr>
          </w:p>
        </w:tc>
      </w:tr>
      <w:tr>
        <w:trPr>
          <w:trHeight w:val="274"/>
        </w:trPr>
        <w:tc>
          <w:tcPr>
            <w:tcW w:w="7060" w:type="dxa"/>
            <w:vAlign w:val="bottom"/>
          </w:tcPr>
          <w:p>
            <w:pPr>
              <w:ind w:left="40"/>
              <w:spacing w:after="0"/>
              <w:rPr>
                <w:sz w:val="20"/>
                <w:szCs w:val="20"/>
                <w:color w:val="auto"/>
              </w:rPr>
            </w:pPr>
            <w:r>
              <w:rPr>
                <w:rFonts w:ascii="Arial" w:cs="Arial" w:eastAsia="Arial" w:hAnsi="Arial"/>
                <w:sz w:val="20"/>
                <w:szCs w:val="20"/>
                <w:color w:val="auto"/>
              </w:rPr>
              <w:t>Investments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25,084</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22,843</w:t>
            </w:r>
          </w:p>
        </w:tc>
        <w:tc>
          <w:tcPr>
            <w:tcW w:w="0" w:type="dxa"/>
            <w:vAlign w:val="bottom"/>
          </w:tcPr>
          <w:p>
            <w:pPr>
              <w:spacing w:after="0"/>
              <w:rPr>
                <w:sz w:val="1"/>
                <w:szCs w:val="1"/>
                <w:color w:val="auto"/>
              </w:rPr>
            </w:pPr>
          </w:p>
        </w:tc>
      </w:tr>
      <w:tr>
        <w:trPr>
          <w:trHeight w:val="285"/>
        </w:trPr>
        <w:tc>
          <w:tcPr>
            <w:tcW w:w="7060" w:type="dxa"/>
            <w:vAlign w:val="bottom"/>
            <w:shd w:val="clear" w:color="auto" w:fill="E6E6E6"/>
          </w:tcPr>
          <w:p>
            <w:pPr>
              <w:ind w:left="40"/>
              <w:spacing w:after="0"/>
              <w:rPr>
                <w:sz w:val="20"/>
                <w:szCs w:val="20"/>
                <w:color w:val="auto"/>
              </w:rPr>
            </w:pPr>
            <w:r>
              <w:rPr>
                <w:rFonts w:ascii="Arial" w:cs="Arial" w:eastAsia="Arial" w:hAnsi="Arial"/>
                <w:sz w:val="20"/>
                <w:szCs w:val="20"/>
                <w:color w:val="auto"/>
              </w:rPr>
              <w:t>Deferred tax assets</w:t>
            </w:r>
          </w:p>
        </w:tc>
        <w:tc>
          <w:tcPr>
            <w:tcW w:w="34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111,855</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118,858</w:t>
            </w:r>
          </w:p>
        </w:tc>
        <w:tc>
          <w:tcPr>
            <w:tcW w:w="0" w:type="dxa"/>
            <w:vAlign w:val="bottom"/>
          </w:tcPr>
          <w:p>
            <w:pPr>
              <w:spacing w:after="0"/>
              <w:rPr>
                <w:sz w:val="1"/>
                <w:szCs w:val="1"/>
                <w:color w:val="auto"/>
              </w:rPr>
            </w:pPr>
          </w:p>
        </w:tc>
      </w:tr>
      <w:tr>
        <w:trPr>
          <w:trHeight w:val="274"/>
        </w:trPr>
        <w:tc>
          <w:tcPr>
            <w:tcW w:w="7060" w:type="dxa"/>
            <w:vAlign w:val="bottom"/>
          </w:tcPr>
          <w:p>
            <w:pPr>
              <w:ind w:left="40"/>
              <w:spacing w:after="0"/>
              <w:rPr>
                <w:sz w:val="20"/>
                <w:szCs w:val="20"/>
                <w:color w:val="auto"/>
              </w:rPr>
            </w:pPr>
            <w:r>
              <w:rPr>
                <w:rFonts w:ascii="Arial" w:cs="Arial" w:eastAsia="Arial" w:hAnsi="Arial"/>
                <w:sz w:val="20"/>
                <w:szCs w:val="20"/>
                <w:color w:val="auto"/>
              </w:rPr>
              <w:t>Long-term derivative assets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23,735</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38,496</w:t>
            </w:r>
          </w:p>
        </w:tc>
        <w:tc>
          <w:tcPr>
            <w:tcW w:w="0" w:type="dxa"/>
            <w:vAlign w:val="bottom"/>
          </w:tcPr>
          <w:p>
            <w:pPr>
              <w:spacing w:after="0"/>
              <w:rPr>
                <w:sz w:val="1"/>
                <w:szCs w:val="1"/>
                <w:color w:val="auto"/>
              </w:rPr>
            </w:pPr>
          </w:p>
        </w:tc>
      </w:tr>
      <w:tr>
        <w:trPr>
          <w:trHeight w:val="294"/>
        </w:trPr>
        <w:tc>
          <w:tcPr>
            <w:tcW w:w="706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Other assets</w:t>
            </w:r>
          </w:p>
        </w:tc>
        <w:tc>
          <w:tcPr>
            <w:tcW w:w="34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14,132</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12,063</w:t>
            </w:r>
          </w:p>
        </w:tc>
        <w:tc>
          <w:tcPr>
            <w:tcW w:w="0" w:type="dxa"/>
            <w:vAlign w:val="bottom"/>
          </w:tcPr>
          <w:p>
            <w:pPr>
              <w:spacing w:after="0"/>
              <w:rPr>
                <w:sz w:val="1"/>
                <w:szCs w:val="1"/>
                <w:color w:val="auto"/>
              </w:rPr>
            </w:pPr>
          </w:p>
        </w:tc>
      </w:tr>
      <w:tr>
        <w:trPr>
          <w:trHeight w:val="259"/>
        </w:trPr>
        <w:tc>
          <w:tcPr>
            <w:tcW w:w="7060" w:type="dxa"/>
            <w:vAlign w:val="bottom"/>
          </w:tcPr>
          <w:p>
            <w:pPr>
              <w:ind w:left="260"/>
              <w:spacing w:after="0" w:line="221" w:lineRule="exact"/>
              <w:rPr>
                <w:sz w:val="20"/>
                <w:szCs w:val="20"/>
                <w:color w:val="auto"/>
              </w:rPr>
            </w:pPr>
            <w:r>
              <w:rPr>
                <w:rFonts w:ascii="Arial" w:cs="Arial" w:eastAsia="Arial" w:hAnsi="Arial"/>
                <w:sz w:val="20"/>
                <w:szCs w:val="20"/>
                <w:color w:val="auto"/>
              </w:rPr>
              <w:t>Total Assets</w:t>
            </w:r>
          </w:p>
        </w:tc>
        <w:tc>
          <w:tcPr>
            <w:tcW w:w="340" w:type="dxa"/>
            <w:vAlign w:val="bottom"/>
          </w:tcPr>
          <w:p>
            <w:pPr>
              <w:jc w:val="right"/>
              <w:ind w:right="82"/>
              <w:spacing w:after="0" w:line="221" w:lineRule="exact"/>
              <w:rPr>
                <w:sz w:val="20"/>
                <w:szCs w:val="20"/>
                <w:color w:val="auto"/>
              </w:rPr>
            </w:pPr>
            <w:r>
              <w:rPr>
                <w:rFonts w:ascii="Arial" w:cs="Arial" w:eastAsia="Arial" w:hAnsi="Arial"/>
                <w:sz w:val="20"/>
                <w:szCs w:val="20"/>
                <w:color w:val="auto"/>
              </w:rPr>
              <w:t>$</w:t>
            </w:r>
          </w:p>
        </w:tc>
        <w:tc>
          <w:tcPr>
            <w:tcW w:w="1120" w:type="dxa"/>
            <w:vAlign w:val="bottom"/>
          </w:tcPr>
          <w:p>
            <w:pPr>
              <w:jc w:val="right"/>
              <w:spacing w:after="0" w:line="221" w:lineRule="exact"/>
              <w:rPr>
                <w:sz w:val="20"/>
                <w:szCs w:val="20"/>
                <w:color w:val="auto"/>
              </w:rPr>
            </w:pPr>
            <w:r>
              <w:rPr>
                <w:rFonts w:ascii="Arial" w:cs="Arial" w:eastAsia="Arial" w:hAnsi="Arial"/>
                <w:sz w:val="20"/>
                <w:szCs w:val="20"/>
                <w:color w:val="auto"/>
              </w:rPr>
              <w:t>2,506,389</w:t>
            </w:r>
          </w:p>
        </w:tc>
        <w:tc>
          <w:tcPr>
            <w:tcW w:w="420" w:type="dxa"/>
            <w:vAlign w:val="bottom"/>
            <w:gridSpan w:val="3"/>
          </w:tcPr>
          <w:p>
            <w:pPr>
              <w:jc w:val="right"/>
              <w:ind w:right="200"/>
              <w:spacing w:after="0" w:line="221" w:lineRule="exact"/>
              <w:rPr>
                <w:sz w:val="20"/>
                <w:szCs w:val="20"/>
                <w:color w:val="auto"/>
              </w:rPr>
            </w:pPr>
            <w:r>
              <w:rPr>
                <w:rFonts w:ascii="Arial" w:cs="Arial" w:eastAsia="Arial" w:hAnsi="Arial"/>
                <w:sz w:val="20"/>
                <w:szCs w:val="20"/>
                <w:color w:val="auto"/>
              </w:rPr>
              <w:t>$</w:t>
            </w:r>
          </w:p>
        </w:tc>
        <w:tc>
          <w:tcPr>
            <w:tcW w:w="1100" w:type="dxa"/>
            <w:vAlign w:val="bottom"/>
          </w:tcPr>
          <w:p>
            <w:pPr>
              <w:jc w:val="right"/>
              <w:spacing w:after="0" w:line="221" w:lineRule="exact"/>
              <w:rPr>
                <w:sz w:val="20"/>
                <w:szCs w:val="20"/>
                <w:color w:val="auto"/>
              </w:rPr>
            </w:pPr>
            <w:r>
              <w:rPr>
                <w:rFonts w:ascii="Arial" w:cs="Arial" w:eastAsia="Arial" w:hAnsi="Arial"/>
                <w:sz w:val="20"/>
                <w:szCs w:val="20"/>
                <w:color w:val="auto"/>
              </w:rPr>
              <w:t>2,429,563</w:t>
            </w:r>
          </w:p>
        </w:tc>
        <w:tc>
          <w:tcPr>
            <w:tcW w:w="0" w:type="dxa"/>
            <w:vAlign w:val="bottom"/>
          </w:tcPr>
          <w:p>
            <w:pPr>
              <w:spacing w:after="0"/>
              <w:rPr>
                <w:sz w:val="1"/>
                <w:szCs w:val="1"/>
                <w:color w:val="auto"/>
              </w:rPr>
            </w:pPr>
          </w:p>
        </w:tc>
      </w:tr>
      <w:tr>
        <w:trPr>
          <w:trHeight w:val="250"/>
        </w:trPr>
        <w:tc>
          <w:tcPr>
            <w:tcW w:w="7060" w:type="dxa"/>
            <w:vAlign w:val="bottom"/>
            <w:tcBorders>
              <w:top w:val="single" w:sz="8" w:color="E6E6E6"/>
            </w:tcBorders>
            <w:shd w:val="clear" w:color="auto" w:fill="E6E6E6"/>
          </w:tcPr>
          <w:p>
            <w:pPr>
              <w:ind w:left="40"/>
              <w:spacing w:after="0"/>
              <w:rPr>
                <w:sz w:val="20"/>
                <w:szCs w:val="20"/>
                <w:color w:val="auto"/>
              </w:rPr>
            </w:pPr>
            <w:r>
              <w:rPr>
                <w:rFonts w:ascii="Arial" w:cs="Arial" w:eastAsia="Arial" w:hAnsi="Arial"/>
                <w:sz w:val="20"/>
                <w:szCs w:val="20"/>
                <w:b w:val="1"/>
                <w:bCs w:val="1"/>
                <w:color w:val="auto"/>
              </w:rPr>
              <w:t>LIABILITIES AND STOCKHOLDERS’ EQUITY</w:t>
            </w:r>
          </w:p>
        </w:tc>
        <w:tc>
          <w:tcPr>
            <w:tcW w:w="340" w:type="dxa"/>
            <w:vAlign w:val="bottom"/>
            <w:tcBorders>
              <w:top w:val="single" w:sz="8" w:color="auto"/>
            </w:tcBorders>
            <w:shd w:val="clear" w:color="auto" w:fill="E6E6E6"/>
          </w:tcPr>
          <w:p>
            <w:pPr>
              <w:spacing w:after="0"/>
              <w:rPr>
                <w:sz w:val="21"/>
                <w:szCs w:val="21"/>
                <w:color w:val="auto"/>
              </w:rPr>
            </w:pPr>
          </w:p>
        </w:tc>
        <w:tc>
          <w:tcPr>
            <w:tcW w:w="1120" w:type="dxa"/>
            <w:vAlign w:val="bottom"/>
            <w:tcBorders>
              <w:top w:val="single" w:sz="8" w:color="auto"/>
            </w:tcBorders>
            <w:shd w:val="clear" w:color="auto" w:fill="E6E6E6"/>
          </w:tcPr>
          <w:p>
            <w:pPr>
              <w:spacing w:after="0"/>
              <w:rPr>
                <w:sz w:val="21"/>
                <w:szCs w:val="21"/>
                <w:color w:val="auto"/>
              </w:rPr>
            </w:pPr>
          </w:p>
        </w:tc>
        <w:tc>
          <w:tcPr>
            <w:tcW w:w="80" w:type="dxa"/>
            <w:vAlign w:val="bottom"/>
            <w:tcBorders>
              <w:top w:val="single" w:sz="8" w:color="E6E6E6"/>
            </w:tcBorders>
            <w:shd w:val="clear" w:color="auto" w:fill="E6E6E6"/>
          </w:tcPr>
          <w:p>
            <w:pPr>
              <w:spacing w:after="0"/>
              <w:rPr>
                <w:sz w:val="21"/>
                <w:szCs w:val="21"/>
                <w:color w:val="auto"/>
              </w:rPr>
            </w:pPr>
          </w:p>
        </w:tc>
        <w:tc>
          <w:tcPr>
            <w:tcW w:w="20" w:type="dxa"/>
            <w:vAlign w:val="bottom"/>
            <w:tcBorders>
              <w:top w:val="single" w:sz="8" w:color="E6E6E6"/>
            </w:tcBorders>
            <w:shd w:val="clear" w:color="auto" w:fill="E6E6E6"/>
          </w:tcPr>
          <w:p>
            <w:pPr>
              <w:spacing w:after="0"/>
              <w:rPr>
                <w:sz w:val="21"/>
                <w:szCs w:val="21"/>
                <w:color w:val="auto"/>
              </w:rPr>
            </w:pPr>
          </w:p>
        </w:tc>
        <w:tc>
          <w:tcPr>
            <w:tcW w:w="320" w:type="dxa"/>
            <w:vAlign w:val="bottom"/>
            <w:tcBorders>
              <w:top w:val="single" w:sz="8" w:color="auto"/>
            </w:tcBorders>
            <w:shd w:val="clear" w:color="auto" w:fill="E6E6E6"/>
          </w:tcPr>
          <w:p>
            <w:pPr>
              <w:spacing w:after="0"/>
              <w:rPr>
                <w:sz w:val="21"/>
                <w:szCs w:val="21"/>
                <w:color w:val="auto"/>
              </w:rPr>
            </w:pPr>
          </w:p>
        </w:tc>
        <w:tc>
          <w:tcPr>
            <w:tcW w:w="1100" w:type="dxa"/>
            <w:vAlign w:val="bottom"/>
            <w:tcBorders>
              <w:top w:val="single" w:sz="8" w:color="auto"/>
            </w:tcBorders>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7060" w:type="dxa"/>
            <w:vAlign w:val="bottom"/>
          </w:tcPr>
          <w:p>
            <w:pPr>
              <w:ind w:left="40"/>
              <w:spacing w:after="0"/>
              <w:rPr>
                <w:sz w:val="20"/>
                <w:szCs w:val="20"/>
                <w:color w:val="auto"/>
              </w:rPr>
            </w:pPr>
            <w:r>
              <w:rPr>
                <w:rFonts w:ascii="Arial" w:cs="Arial" w:eastAsia="Arial" w:hAnsi="Arial"/>
                <w:sz w:val="20"/>
                <w:szCs w:val="20"/>
                <w:b w:val="1"/>
                <w:bCs w:val="1"/>
                <w:i w:val="1"/>
                <w:iCs w:val="1"/>
                <w:color w:val="auto"/>
              </w:rPr>
              <w:t>Current Liabilities:</w:t>
            </w: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7060" w:type="dxa"/>
            <w:vAlign w:val="bottom"/>
            <w:shd w:val="clear" w:color="auto" w:fill="E6E6E6"/>
          </w:tcPr>
          <w:p>
            <w:pPr>
              <w:ind w:left="180"/>
              <w:spacing w:after="0"/>
              <w:rPr>
                <w:sz w:val="20"/>
                <w:szCs w:val="20"/>
                <w:color w:val="auto"/>
              </w:rPr>
            </w:pPr>
            <w:r>
              <w:rPr>
                <w:rFonts w:ascii="Arial" w:cs="Arial" w:eastAsia="Arial" w:hAnsi="Arial"/>
                <w:sz w:val="20"/>
                <w:szCs w:val="20"/>
                <w:color w:val="auto"/>
              </w:rPr>
              <w:t>Current debt obligations</w:t>
            </w:r>
          </w:p>
        </w:tc>
        <w:tc>
          <w:tcPr>
            <w:tcW w:w="340" w:type="dxa"/>
            <w:vAlign w:val="bottom"/>
            <w:shd w:val="clear" w:color="auto" w:fill="E6E6E6"/>
          </w:tcPr>
          <w:p>
            <w:pPr>
              <w:jc w:val="right"/>
              <w:ind w:right="82"/>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78,004</w:t>
            </w:r>
          </w:p>
        </w:tc>
        <w:tc>
          <w:tcPr>
            <w:tcW w:w="420" w:type="dxa"/>
            <w:vAlign w:val="bottom"/>
            <w:gridSpan w:val="3"/>
            <w:shd w:val="clear" w:color="auto" w:fill="E6E6E6"/>
          </w:tcPr>
          <w:p>
            <w:pPr>
              <w:jc w:val="right"/>
              <w:ind w:right="200"/>
              <w:spacing w:after="0"/>
              <w:rPr>
                <w:sz w:val="20"/>
                <w:szCs w:val="20"/>
                <w:color w:val="auto"/>
              </w:rPr>
            </w:pPr>
            <w:r>
              <w:rPr>
                <w:rFonts w:ascii="Arial" w:cs="Arial" w:eastAsia="Arial" w:hAnsi="Arial"/>
                <w:sz w:val="20"/>
                <w:szCs w:val="20"/>
                <w:color w:val="auto"/>
              </w:rPr>
              <w:t>$</w:t>
            </w:r>
          </w:p>
        </w:tc>
        <w:tc>
          <w:tcPr>
            <w:tcW w:w="11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18,111</w:t>
            </w:r>
          </w:p>
        </w:tc>
        <w:tc>
          <w:tcPr>
            <w:tcW w:w="0" w:type="dxa"/>
            <w:vAlign w:val="bottom"/>
          </w:tcPr>
          <w:p>
            <w:pPr>
              <w:spacing w:after="0"/>
              <w:rPr>
                <w:sz w:val="1"/>
                <w:szCs w:val="1"/>
                <w:color w:val="auto"/>
              </w:rPr>
            </w:pPr>
          </w:p>
        </w:tc>
      </w:tr>
      <w:tr>
        <w:trPr>
          <w:trHeight w:val="274"/>
        </w:trPr>
        <w:tc>
          <w:tcPr>
            <w:tcW w:w="7060" w:type="dxa"/>
            <w:vAlign w:val="bottom"/>
          </w:tcPr>
          <w:p>
            <w:pPr>
              <w:ind w:left="180"/>
              <w:spacing w:after="0"/>
              <w:rPr>
                <w:sz w:val="20"/>
                <w:szCs w:val="20"/>
                <w:color w:val="auto"/>
              </w:rPr>
            </w:pPr>
            <w:r>
              <w:rPr>
                <w:rFonts w:ascii="Arial" w:cs="Arial" w:eastAsia="Arial" w:hAnsi="Arial"/>
                <w:sz w:val="20"/>
                <w:szCs w:val="20"/>
                <w:color w:val="auto"/>
              </w:rPr>
              <w:t>Accounts payable</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69,726</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80,845</w:t>
            </w:r>
          </w:p>
        </w:tc>
        <w:tc>
          <w:tcPr>
            <w:tcW w:w="0" w:type="dxa"/>
            <w:vAlign w:val="bottom"/>
          </w:tcPr>
          <w:p>
            <w:pPr>
              <w:spacing w:after="0"/>
              <w:rPr>
                <w:sz w:val="1"/>
                <w:szCs w:val="1"/>
                <w:color w:val="auto"/>
              </w:rPr>
            </w:pPr>
          </w:p>
        </w:tc>
      </w:tr>
      <w:tr>
        <w:trPr>
          <w:trHeight w:val="285"/>
        </w:trPr>
        <w:tc>
          <w:tcPr>
            <w:tcW w:w="7060" w:type="dxa"/>
            <w:vAlign w:val="bottom"/>
            <w:shd w:val="clear" w:color="auto" w:fill="E6E6E6"/>
          </w:tcPr>
          <w:p>
            <w:pPr>
              <w:ind w:left="180"/>
              <w:spacing w:after="0"/>
              <w:rPr>
                <w:sz w:val="20"/>
                <w:szCs w:val="20"/>
                <w:color w:val="auto"/>
              </w:rPr>
            </w:pPr>
            <w:r>
              <w:rPr>
                <w:rFonts w:ascii="Arial" w:cs="Arial" w:eastAsia="Arial" w:hAnsi="Arial"/>
                <w:sz w:val="20"/>
                <w:szCs w:val="20"/>
                <w:color w:val="auto"/>
              </w:rPr>
              <w:t>Accrued liabilities and other</w:t>
            </w:r>
          </w:p>
        </w:tc>
        <w:tc>
          <w:tcPr>
            <w:tcW w:w="34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118,485</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107,301</w:t>
            </w:r>
          </w:p>
        </w:tc>
        <w:tc>
          <w:tcPr>
            <w:tcW w:w="0" w:type="dxa"/>
            <w:vAlign w:val="bottom"/>
          </w:tcPr>
          <w:p>
            <w:pPr>
              <w:spacing w:after="0"/>
              <w:rPr>
                <w:sz w:val="1"/>
                <w:szCs w:val="1"/>
                <w:color w:val="auto"/>
              </w:rPr>
            </w:pPr>
          </w:p>
        </w:tc>
      </w:tr>
      <w:tr>
        <w:trPr>
          <w:trHeight w:val="274"/>
        </w:trPr>
        <w:tc>
          <w:tcPr>
            <w:tcW w:w="7060" w:type="dxa"/>
            <w:vAlign w:val="bottom"/>
          </w:tcPr>
          <w:p>
            <w:pPr>
              <w:ind w:left="180"/>
              <w:spacing w:after="0"/>
              <w:rPr>
                <w:sz w:val="20"/>
                <w:szCs w:val="20"/>
                <w:color w:val="auto"/>
              </w:rPr>
            </w:pPr>
            <w:r>
              <w:rPr>
                <w:rFonts w:ascii="Arial" w:cs="Arial" w:eastAsia="Arial" w:hAnsi="Arial"/>
                <w:sz w:val="20"/>
                <w:szCs w:val="20"/>
                <w:color w:val="auto"/>
              </w:rPr>
              <w:t>Current litigation provision liability</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12,918</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10,756</w:t>
            </w:r>
          </w:p>
        </w:tc>
        <w:tc>
          <w:tcPr>
            <w:tcW w:w="0" w:type="dxa"/>
            <w:vAlign w:val="bottom"/>
          </w:tcPr>
          <w:p>
            <w:pPr>
              <w:spacing w:after="0"/>
              <w:rPr>
                <w:sz w:val="1"/>
                <w:szCs w:val="1"/>
                <w:color w:val="auto"/>
              </w:rPr>
            </w:pPr>
          </w:p>
        </w:tc>
      </w:tr>
      <w:tr>
        <w:trPr>
          <w:trHeight w:val="285"/>
        </w:trPr>
        <w:tc>
          <w:tcPr>
            <w:tcW w:w="7060" w:type="dxa"/>
            <w:vAlign w:val="bottom"/>
            <w:shd w:val="clear" w:color="auto" w:fill="E6E6E6"/>
          </w:tcPr>
          <w:p>
            <w:pPr>
              <w:ind w:left="180"/>
              <w:spacing w:after="0"/>
              <w:rPr>
                <w:sz w:val="20"/>
                <w:szCs w:val="20"/>
                <w:color w:val="auto"/>
              </w:rPr>
            </w:pPr>
            <w:r>
              <w:rPr>
                <w:rFonts w:ascii="Arial" w:cs="Arial" w:eastAsia="Arial" w:hAnsi="Arial"/>
                <w:sz w:val="20"/>
                <w:szCs w:val="20"/>
                <w:color w:val="auto"/>
              </w:rPr>
              <w:t>Taxes payable</w:t>
            </w:r>
          </w:p>
        </w:tc>
        <w:tc>
          <w:tcPr>
            <w:tcW w:w="34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32,456</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23,340</w:t>
            </w:r>
          </w:p>
        </w:tc>
        <w:tc>
          <w:tcPr>
            <w:tcW w:w="0" w:type="dxa"/>
            <w:vAlign w:val="bottom"/>
          </w:tcPr>
          <w:p>
            <w:pPr>
              <w:spacing w:after="0"/>
              <w:rPr>
                <w:sz w:val="1"/>
                <w:szCs w:val="1"/>
                <w:color w:val="auto"/>
              </w:rPr>
            </w:pPr>
          </w:p>
        </w:tc>
      </w:tr>
      <w:tr>
        <w:trPr>
          <w:trHeight w:val="269"/>
        </w:trPr>
        <w:tc>
          <w:tcPr>
            <w:tcW w:w="7060" w:type="dxa"/>
            <w:vAlign w:val="bottom"/>
            <w:tcBorders>
              <w:bottom w:val="single" w:sz="8" w:color="E6E6E6"/>
            </w:tcBorders>
          </w:tcPr>
          <w:p>
            <w:pPr>
              <w:ind w:left="180"/>
              <w:spacing w:after="0"/>
              <w:rPr>
                <w:sz w:val="20"/>
                <w:szCs w:val="20"/>
                <w:color w:val="auto"/>
              </w:rPr>
            </w:pPr>
            <w:r>
              <w:rPr>
                <w:rFonts w:ascii="Arial" w:cs="Arial" w:eastAsia="Arial" w:hAnsi="Arial"/>
                <w:sz w:val="20"/>
                <w:szCs w:val="20"/>
                <w:color w:val="auto"/>
              </w:rPr>
              <w:t>Accrued employee compensation and related benefits</w:t>
            </w: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80,536</w:t>
            </w:r>
          </w:p>
        </w:tc>
        <w:tc>
          <w:tcPr>
            <w:tcW w:w="80" w:type="dxa"/>
            <w:vAlign w:val="bottom"/>
            <w:tcBorders>
              <w:bottom w:val="single" w:sz="8" w:color="E6E6E6"/>
            </w:tcBorders>
          </w:tcPr>
          <w:p>
            <w:pPr>
              <w:spacing w:after="0"/>
              <w:rPr>
                <w:sz w:val="23"/>
                <w:szCs w:val="23"/>
                <w:color w:val="auto"/>
              </w:rPr>
            </w:pPr>
          </w:p>
        </w:tc>
        <w:tc>
          <w:tcPr>
            <w:tcW w:w="20" w:type="dxa"/>
            <w:vAlign w:val="bottom"/>
            <w:tcBorders>
              <w:bottom w:val="single" w:sz="8" w:color="E6E6E6"/>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94,630</w:t>
            </w:r>
          </w:p>
        </w:tc>
        <w:tc>
          <w:tcPr>
            <w:tcW w:w="0" w:type="dxa"/>
            <w:vAlign w:val="bottom"/>
          </w:tcPr>
          <w:p>
            <w:pPr>
              <w:spacing w:after="0"/>
              <w:rPr>
                <w:sz w:val="1"/>
                <w:szCs w:val="1"/>
                <w:color w:val="auto"/>
              </w:rPr>
            </w:pPr>
          </w:p>
        </w:tc>
      </w:tr>
      <w:tr>
        <w:trPr>
          <w:trHeight w:val="270"/>
        </w:trPr>
        <w:tc>
          <w:tcPr>
            <w:tcW w:w="7060" w:type="dxa"/>
            <w:vAlign w:val="bottom"/>
            <w:shd w:val="clear" w:color="auto" w:fill="E6E6E6"/>
          </w:tcPr>
          <w:p>
            <w:pPr>
              <w:ind w:left="260"/>
              <w:spacing w:after="0"/>
              <w:rPr>
                <w:sz w:val="20"/>
                <w:szCs w:val="20"/>
                <w:color w:val="auto"/>
              </w:rPr>
            </w:pPr>
            <w:r>
              <w:rPr>
                <w:rFonts w:ascii="Arial" w:cs="Arial" w:eastAsia="Arial" w:hAnsi="Arial"/>
                <w:sz w:val="20"/>
                <w:szCs w:val="20"/>
                <w:color w:val="auto"/>
              </w:rPr>
              <w:t>Total Current Liabilities</w:t>
            </w:r>
          </w:p>
        </w:tc>
        <w:tc>
          <w:tcPr>
            <w:tcW w:w="340" w:type="dxa"/>
            <w:vAlign w:val="bottom"/>
            <w:shd w:val="clear" w:color="auto" w:fill="E6E6E6"/>
          </w:tcPr>
          <w:p>
            <w:pPr>
              <w:spacing w:after="0"/>
              <w:rPr>
                <w:sz w:val="23"/>
                <w:szCs w:val="23"/>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392,125</w:t>
            </w:r>
          </w:p>
        </w:tc>
        <w:tc>
          <w:tcPr>
            <w:tcW w:w="8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320" w:type="dxa"/>
            <w:vAlign w:val="bottom"/>
            <w:shd w:val="clear" w:color="auto" w:fill="E6E6E6"/>
          </w:tcPr>
          <w:p>
            <w:pPr>
              <w:spacing w:after="0"/>
              <w:rPr>
                <w:sz w:val="23"/>
                <w:szCs w:val="23"/>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334,983</w:t>
            </w:r>
          </w:p>
        </w:tc>
        <w:tc>
          <w:tcPr>
            <w:tcW w:w="0" w:type="dxa"/>
            <w:vAlign w:val="bottom"/>
          </w:tcPr>
          <w:p>
            <w:pPr>
              <w:spacing w:after="0"/>
              <w:rPr>
                <w:sz w:val="1"/>
                <w:szCs w:val="1"/>
                <w:color w:val="auto"/>
              </w:rPr>
            </w:pPr>
          </w:p>
        </w:tc>
      </w:tr>
      <w:tr>
        <w:trPr>
          <w:trHeight w:val="274"/>
        </w:trPr>
        <w:tc>
          <w:tcPr>
            <w:tcW w:w="7060" w:type="dxa"/>
            <w:vAlign w:val="bottom"/>
          </w:tcPr>
          <w:p>
            <w:pPr>
              <w:ind w:left="40"/>
              <w:spacing w:after="0"/>
              <w:rPr>
                <w:sz w:val="20"/>
                <w:szCs w:val="20"/>
                <w:color w:val="auto"/>
              </w:rPr>
            </w:pPr>
            <w:r>
              <w:rPr>
                <w:rFonts w:ascii="Arial" w:cs="Arial" w:eastAsia="Arial" w:hAnsi="Arial"/>
                <w:sz w:val="20"/>
                <w:szCs w:val="20"/>
                <w:color w:val="auto"/>
              </w:rPr>
              <w:t>Long-term debt obligations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549,624</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568,543</w:t>
            </w:r>
          </w:p>
        </w:tc>
        <w:tc>
          <w:tcPr>
            <w:tcW w:w="0" w:type="dxa"/>
            <w:vAlign w:val="bottom"/>
          </w:tcPr>
          <w:p>
            <w:pPr>
              <w:spacing w:after="0"/>
              <w:rPr>
                <w:sz w:val="1"/>
                <w:szCs w:val="1"/>
                <w:color w:val="auto"/>
              </w:rPr>
            </w:pPr>
          </w:p>
        </w:tc>
      </w:tr>
      <w:tr>
        <w:trPr>
          <w:trHeight w:val="285"/>
        </w:trPr>
        <w:tc>
          <w:tcPr>
            <w:tcW w:w="7060" w:type="dxa"/>
            <w:vAlign w:val="bottom"/>
            <w:shd w:val="clear" w:color="auto" w:fill="E6E6E6"/>
          </w:tcPr>
          <w:p>
            <w:pPr>
              <w:ind w:left="40"/>
              <w:spacing w:after="0"/>
              <w:rPr>
                <w:sz w:val="20"/>
                <w:szCs w:val="20"/>
                <w:color w:val="auto"/>
              </w:rPr>
            </w:pPr>
            <w:r>
              <w:rPr>
                <w:rFonts w:ascii="Arial" w:cs="Arial" w:eastAsia="Arial" w:hAnsi="Arial"/>
                <w:sz w:val="20"/>
                <w:szCs w:val="20"/>
                <w:color w:val="auto"/>
              </w:rPr>
              <w:t>Contingent consideration</w:t>
            </w:r>
          </w:p>
        </w:tc>
        <w:tc>
          <w:tcPr>
            <w:tcW w:w="34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84,218</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80,902</w:t>
            </w:r>
          </w:p>
        </w:tc>
        <w:tc>
          <w:tcPr>
            <w:tcW w:w="0" w:type="dxa"/>
            <w:vAlign w:val="bottom"/>
          </w:tcPr>
          <w:p>
            <w:pPr>
              <w:spacing w:after="0"/>
              <w:rPr>
                <w:sz w:val="1"/>
                <w:szCs w:val="1"/>
                <w:color w:val="auto"/>
              </w:rPr>
            </w:pPr>
          </w:p>
        </w:tc>
      </w:tr>
      <w:tr>
        <w:trPr>
          <w:trHeight w:val="274"/>
        </w:trPr>
        <w:tc>
          <w:tcPr>
            <w:tcW w:w="7060" w:type="dxa"/>
            <w:vAlign w:val="bottom"/>
          </w:tcPr>
          <w:p>
            <w:pPr>
              <w:ind w:left="40"/>
              <w:spacing w:after="0"/>
              <w:rPr>
                <w:sz w:val="20"/>
                <w:szCs w:val="20"/>
                <w:color w:val="auto"/>
              </w:rPr>
            </w:pPr>
            <w:r>
              <w:rPr>
                <w:rFonts w:ascii="Arial" w:cs="Arial" w:eastAsia="Arial" w:hAnsi="Arial"/>
                <w:sz w:val="20"/>
                <w:szCs w:val="20"/>
                <w:color w:val="auto"/>
              </w:rPr>
              <w:t>Deferred tax liabilities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10,915</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11,567</w:t>
            </w:r>
          </w:p>
        </w:tc>
        <w:tc>
          <w:tcPr>
            <w:tcW w:w="0" w:type="dxa"/>
            <w:vAlign w:val="bottom"/>
          </w:tcPr>
          <w:p>
            <w:pPr>
              <w:spacing w:after="0"/>
              <w:rPr>
                <w:sz w:val="1"/>
                <w:szCs w:val="1"/>
                <w:color w:val="auto"/>
              </w:rPr>
            </w:pPr>
          </w:p>
        </w:tc>
      </w:tr>
      <w:tr>
        <w:trPr>
          <w:trHeight w:val="285"/>
        </w:trPr>
        <w:tc>
          <w:tcPr>
            <w:tcW w:w="7060" w:type="dxa"/>
            <w:vAlign w:val="bottom"/>
            <w:shd w:val="clear" w:color="auto" w:fill="E6E6E6"/>
          </w:tcPr>
          <w:p>
            <w:pPr>
              <w:ind w:left="40"/>
              <w:spacing w:after="0"/>
              <w:rPr>
                <w:sz w:val="20"/>
                <w:szCs w:val="20"/>
                <w:color w:val="auto"/>
              </w:rPr>
            </w:pPr>
            <w:r>
              <w:rPr>
                <w:rFonts w:ascii="Arial" w:cs="Arial" w:eastAsia="Arial" w:hAnsi="Arial"/>
                <w:sz w:val="20"/>
                <w:szCs w:val="20"/>
                <w:color w:val="auto"/>
              </w:rPr>
              <w:t>Long-term operating lease liabilities</w:t>
            </w:r>
          </w:p>
        </w:tc>
        <w:tc>
          <w:tcPr>
            <w:tcW w:w="34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40,105</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45,388</w:t>
            </w:r>
          </w:p>
        </w:tc>
        <w:tc>
          <w:tcPr>
            <w:tcW w:w="0" w:type="dxa"/>
            <w:vAlign w:val="bottom"/>
          </w:tcPr>
          <w:p>
            <w:pPr>
              <w:spacing w:after="0"/>
              <w:rPr>
                <w:sz w:val="1"/>
                <w:szCs w:val="1"/>
                <w:color w:val="auto"/>
              </w:rPr>
            </w:pPr>
          </w:p>
        </w:tc>
      </w:tr>
      <w:tr>
        <w:trPr>
          <w:trHeight w:val="274"/>
        </w:trPr>
        <w:tc>
          <w:tcPr>
            <w:tcW w:w="7060" w:type="dxa"/>
            <w:vAlign w:val="bottom"/>
          </w:tcPr>
          <w:p>
            <w:pPr>
              <w:ind w:left="40"/>
              <w:spacing w:after="0"/>
              <w:rPr>
                <w:sz w:val="20"/>
                <w:szCs w:val="20"/>
                <w:color w:val="auto"/>
              </w:rPr>
            </w:pPr>
            <w:r>
              <w:rPr>
                <w:rFonts w:ascii="Arial" w:cs="Arial" w:eastAsia="Arial" w:hAnsi="Arial"/>
                <w:sz w:val="20"/>
                <w:szCs w:val="20"/>
                <w:color w:val="auto"/>
              </w:rPr>
              <w:t>Long-term employee compensation and related benefits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12,847</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17,254</w:t>
            </w:r>
          </w:p>
        </w:tc>
        <w:tc>
          <w:tcPr>
            <w:tcW w:w="0" w:type="dxa"/>
            <w:vAlign w:val="bottom"/>
          </w:tcPr>
          <w:p>
            <w:pPr>
              <w:spacing w:after="0"/>
              <w:rPr>
                <w:sz w:val="1"/>
                <w:szCs w:val="1"/>
                <w:color w:val="auto"/>
              </w:rPr>
            </w:pPr>
          </w:p>
        </w:tc>
      </w:tr>
      <w:tr>
        <w:trPr>
          <w:trHeight w:val="285"/>
        </w:trPr>
        <w:tc>
          <w:tcPr>
            <w:tcW w:w="7060" w:type="dxa"/>
            <w:vAlign w:val="bottom"/>
            <w:shd w:val="clear" w:color="auto" w:fill="E6E6E6"/>
          </w:tcPr>
          <w:p>
            <w:pPr>
              <w:ind w:left="40"/>
              <w:spacing w:after="0"/>
              <w:rPr>
                <w:sz w:val="20"/>
                <w:szCs w:val="20"/>
                <w:color w:val="auto"/>
              </w:rPr>
            </w:pPr>
            <w:r>
              <w:rPr>
                <w:rFonts w:ascii="Arial" w:cs="Arial" w:eastAsia="Arial" w:hAnsi="Arial"/>
                <w:sz w:val="20"/>
                <w:szCs w:val="20"/>
                <w:color w:val="auto"/>
              </w:rPr>
              <w:t>Long-term derivative liabilities</w:t>
            </w:r>
          </w:p>
        </w:tc>
        <w:tc>
          <w:tcPr>
            <w:tcW w:w="34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51,819</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45,569</w:t>
            </w:r>
          </w:p>
        </w:tc>
        <w:tc>
          <w:tcPr>
            <w:tcW w:w="0" w:type="dxa"/>
            <w:vAlign w:val="bottom"/>
          </w:tcPr>
          <w:p>
            <w:pPr>
              <w:spacing w:after="0"/>
              <w:rPr>
                <w:sz w:val="1"/>
                <w:szCs w:val="1"/>
                <w:color w:val="auto"/>
              </w:rPr>
            </w:pPr>
          </w:p>
        </w:tc>
      </w:tr>
      <w:tr>
        <w:trPr>
          <w:trHeight w:val="269"/>
        </w:trPr>
        <w:tc>
          <w:tcPr>
            <w:tcW w:w="7060" w:type="dxa"/>
            <w:vAlign w:val="bottom"/>
            <w:tcBorders>
              <w:bottom w:val="single" w:sz="8" w:color="E6E6E6"/>
            </w:tcBorders>
          </w:tcPr>
          <w:p>
            <w:pPr>
              <w:ind w:left="40"/>
              <w:spacing w:after="0"/>
              <w:rPr>
                <w:sz w:val="20"/>
                <w:szCs w:val="20"/>
                <w:color w:val="auto"/>
              </w:rPr>
            </w:pPr>
            <w:r>
              <w:rPr>
                <w:rFonts w:ascii="Arial" w:cs="Arial" w:eastAsia="Arial" w:hAnsi="Arial"/>
                <w:sz w:val="20"/>
                <w:szCs w:val="20"/>
                <w:color w:val="auto"/>
              </w:rPr>
              <w:t>Other long-term liabilities</w:t>
            </w: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44,478</w:t>
            </w:r>
          </w:p>
        </w:tc>
        <w:tc>
          <w:tcPr>
            <w:tcW w:w="80" w:type="dxa"/>
            <w:vAlign w:val="bottom"/>
            <w:tcBorders>
              <w:bottom w:val="single" w:sz="8" w:color="E6E6E6"/>
            </w:tcBorders>
          </w:tcPr>
          <w:p>
            <w:pPr>
              <w:spacing w:after="0"/>
              <w:rPr>
                <w:sz w:val="23"/>
                <w:szCs w:val="23"/>
                <w:color w:val="auto"/>
              </w:rPr>
            </w:pPr>
          </w:p>
        </w:tc>
        <w:tc>
          <w:tcPr>
            <w:tcW w:w="20" w:type="dxa"/>
            <w:vAlign w:val="bottom"/>
            <w:tcBorders>
              <w:bottom w:val="single" w:sz="8" w:color="E6E6E6"/>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47,729</w:t>
            </w:r>
          </w:p>
        </w:tc>
        <w:tc>
          <w:tcPr>
            <w:tcW w:w="0" w:type="dxa"/>
            <w:vAlign w:val="bottom"/>
          </w:tcPr>
          <w:p>
            <w:pPr>
              <w:spacing w:after="0"/>
              <w:rPr>
                <w:sz w:val="1"/>
                <w:szCs w:val="1"/>
                <w:color w:val="auto"/>
              </w:rPr>
            </w:pPr>
          </w:p>
        </w:tc>
      </w:tr>
      <w:tr>
        <w:trPr>
          <w:trHeight w:val="270"/>
        </w:trPr>
        <w:tc>
          <w:tcPr>
            <w:tcW w:w="7060" w:type="dxa"/>
            <w:vAlign w:val="bottom"/>
            <w:shd w:val="clear" w:color="auto" w:fill="E6E6E6"/>
          </w:tcPr>
          <w:p>
            <w:pPr>
              <w:ind w:left="260"/>
              <w:spacing w:after="0"/>
              <w:rPr>
                <w:sz w:val="20"/>
                <w:szCs w:val="20"/>
                <w:color w:val="auto"/>
              </w:rPr>
            </w:pPr>
            <w:r>
              <w:rPr>
                <w:rFonts w:ascii="Arial" w:cs="Arial" w:eastAsia="Arial" w:hAnsi="Arial"/>
                <w:sz w:val="20"/>
                <w:szCs w:val="20"/>
                <w:color w:val="auto"/>
              </w:rPr>
              <w:t>Total Liabilities</w:t>
            </w:r>
          </w:p>
        </w:tc>
        <w:tc>
          <w:tcPr>
            <w:tcW w:w="340" w:type="dxa"/>
            <w:vAlign w:val="bottom"/>
            <w:shd w:val="clear" w:color="auto" w:fill="E6E6E6"/>
          </w:tcPr>
          <w:p>
            <w:pPr>
              <w:spacing w:after="0"/>
              <w:rPr>
                <w:sz w:val="23"/>
                <w:szCs w:val="23"/>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1,186,131</w:t>
            </w:r>
          </w:p>
        </w:tc>
        <w:tc>
          <w:tcPr>
            <w:tcW w:w="8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320" w:type="dxa"/>
            <w:vAlign w:val="bottom"/>
            <w:shd w:val="clear" w:color="auto" w:fill="E6E6E6"/>
          </w:tcPr>
          <w:p>
            <w:pPr>
              <w:spacing w:after="0"/>
              <w:rPr>
                <w:sz w:val="23"/>
                <w:szCs w:val="23"/>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1,151,935</w:t>
            </w:r>
          </w:p>
        </w:tc>
        <w:tc>
          <w:tcPr>
            <w:tcW w:w="0" w:type="dxa"/>
            <w:vAlign w:val="bottom"/>
          </w:tcPr>
          <w:p>
            <w:pPr>
              <w:spacing w:after="0"/>
              <w:rPr>
                <w:sz w:val="1"/>
                <w:szCs w:val="1"/>
                <w:color w:val="auto"/>
              </w:rPr>
            </w:pPr>
          </w:p>
        </w:tc>
      </w:tr>
      <w:tr>
        <w:trPr>
          <w:trHeight w:val="274"/>
        </w:trPr>
        <w:tc>
          <w:tcPr>
            <w:tcW w:w="7060" w:type="dxa"/>
            <w:vAlign w:val="bottom"/>
          </w:tcPr>
          <w:p>
            <w:pPr>
              <w:ind w:left="40"/>
              <w:spacing w:after="0"/>
              <w:rPr>
                <w:sz w:val="20"/>
                <w:szCs w:val="20"/>
                <w:color w:val="auto"/>
              </w:rPr>
            </w:pPr>
            <w:r>
              <w:rPr>
                <w:rFonts w:ascii="Arial" w:cs="Arial" w:eastAsia="Arial" w:hAnsi="Arial"/>
                <w:sz w:val="20"/>
                <w:szCs w:val="20"/>
                <w:color w:val="auto"/>
              </w:rPr>
              <w:t>Commitments and contingencies (Note 11)</w:t>
            </w: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7060" w:type="dxa"/>
            <w:vAlign w:val="bottom"/>
            <w:shd w:val="clear" w:color="auto" w:fill="E6E6E6"/>
          </w:tcPr>
          <w:p>
            <w:pPr>
              <w:ind w:left="40"/>
              <w:spacing w:after="0"/>
              <w:rPr>
                <w:sz w:val="20"/>
                <w:szCs w:val="20"/>
                <w:color w:val="auto"/>
              </w:rPr>
            </w:pPr>
            <w:r>
              <w:rPr>
                <w:rFonts w:ascii="Arial" w:cs="Arial" w:eastAsia="Arial" w:hAnsi="Arial"/>
                <w:sz w:val="20"/>
                <w:szCs w:val="20"/>
                <w:b w:val="1"/>
                <w:bCs w:val="1"/>
                <w:i w:val="1"/>
                <w:iCs w:val="1"/>
                <w:color w:val="auto"/>
              </w:rPr>
              <w:t>Stockholders’ Equity:</w:t>
            </w:r>
          </w:p>
        </w:tc>
        <w:tc>
          <w:tcPr>
            <w:tcW w:w="340" w:type="dxa"/>
            <w:vAlign w:val="bottom"/>
            <w:shd w:val="clear" w:color="auto" w:fill="E6E6E6"/>
          </w:tcPr>
          <w:p>
            <w:pPr>
              <w:spacing w:after="0"/>
              <w:rPr>
                <w:sz w:val="24"/>
                <w:szCs w:val="24"/>
                <w:color w:val="auto"/>
              </w:rPr>
            </w:pPr>
          </w:p>
        </w:tc>
        <w:tc>
          <w:tcPr>
            <w:tcW w:w="11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110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7060" w:type="dxa"/>
            <w:vAlign w:val="bottom"/>
          </w:tcPr>
          <w:p>
            <w:pPr>
              <w:ind w:left="40"/>
              <w:spacing w:after="0" w:line="198" w:lineRule="exact"/>
              <w:rPr>
                <w:sz w:val="20"/>
                <w:szCs w:val="20"/>
                <w:color w:val="auto"/>
              </w:rPr>
            </w:pPr>
            <w:r>
              <w:rPr>
                <w:rFonts w:ascii="Arial" w:cs="Arial" w:eastAsia="Arial" w:hAnsi="Arial"/>
                <w:sz w:val="20"/>
                <w:szCs w:val="20"/>
                <w:color w:val="auto"/>
                <w:w w:val="96"/>
              </w:rPr>
              <w:t>Ordinary Shares, £1.00 par value: unlimited shares authorized; 54,437,670 shares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60" w:type="dxa"/>
            <w:vAlign w:val="bottom"/>
          </w:tcPr>
          <w:p>
            <w:pPr>
              <w:ind w:left="40"/>
              <w:spacing w:after="0" w:line="196" w:lineRule="exact"/>
              <w:rPr>
                <w:sz w:val="20"/>
                <w:szCs w:val="20"/>
                <w:color w:val="auto"/>
              </w:rPr>
            </w:pPr>
            <w:r>
              <w:rPr>
                <w:rFonts w:ascii="Arial" w:cs="Arial" w:eastAsia="Arial" w:hAnsi="Arial"/>
                <w:sz w:val="20"/>
                <w:szCs w:val="20"/>
                <w:color w:val="auto"/>
                <w:w w:val="92"/>
              </w:rPr>
              <w:t>issued and 54,348,542 shares outstanding at December 31, 2024; 53,942,151 shares</w:t>
            </w:r>
          </w:p>
        </w:tc>
        <w:tc>
          <w:tcPr>
            <w:tcW w:w="34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20"/>
                <w:szCs w:val="20"/>
                <w:color w:val="auto"/>
              </w:rPr>
              <w:t>83,156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20"/>
                <w:szCs w:val="20"/>
                <w:color w:val="auto"/>
              </w:rPr>
              <w:t>82,533</w:t>
            </w:r>
          </w:p>
        </w:tc>
        <w:tc>
          <w:tcPr>
            <w:tcW w:w="0" w:type="dxa"/>
            <w:vAlign w:val="bottom"/>
          </w:tcPr>
          <w:p>
            <w:pPr>
              <w:spacing w:after="0"/>
              <w:rPr>
                <w:sz w:val="1"/>
                <w:szCs w:val="1"/>
                <w:color w:val="auto"/>
              </w:rPr>
            </w:pPr>
          </w:p>
        </w:tc>
      </w:tr>
      <w:tr>
        <w:trPr>
          <w:trHeight w:val="262"/>
        </w:trPr>
        <w:tc>
          <w:tcPr>
            <w:tcW w:w="7060" w:type="dxa"/>
            <w:vAlign w:val="bottom"/>
          </w:tcPr>
          <w:p>
            <w:pPr>
              <w:ind w:left="40"/>
              <w:spacing w:after="0"/>
              <w:rPr>
                <w:sz w:val="20"/>
                <w:szCs w:val="20"/>
                <w:color w:val="auto"/>
              </w:rPr>
            </w:pPr>
            <w:r>
              <w:rPr>
                <w:rFonts w:ascii="Arial" w:cs="Arial" w:eastAsia="Arial" w:hAnsi="Arial"/>
                <w:sz w:val="20"/>
                <w:szCs w:val="20"/>
                <w:color w:val="auto"/>
              </w:rPr>
              <w:t>issued and 53,918,222 shares outstanding at December 31, 2023</w:t>
            </w:r>
          </w:p>
        </w:tc>
        <w:tc>
          <w:tcPr>
            <w:tcW w:w="34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7060" w:type="dxa"/>
            <w:vAlign w:val="bottom"/>
            <w:shd w:val="clear" w:color="auto" w:fill="E6E6E6"/>
          </w:tcPr>
          <w:p>
            <w:pPr>
              <w:ind w:left="40"/>
              <w:spacing w:after="0"/>
              <w:rPr>
                <w:sz w:val="20"/>
                <w:szCs w:val="20"/>
                <w:color w:val="auto"/>
              </w:rPr>
            </w:pPr>
            <w:r>
              <w:rPr>
                <w:rFonts w:ascii="Arial" w:cs="Arial" w:eastAsia="Arial" w:hAnsi="Arial"/>
                <w:sz w:val="20"/>
                <w:szCs w:val="20"/>
                <w:color w:val="auto"/>
              </w:rPr>
              <w:t>Additional paid-in capital</w:t>
            </w:r>
          </w:p>
        </w:tc>
        <w:tc>
          <w:tcPr>
            <w:tcW w:w="34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2,220,658</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2,189,517</w:t>
            </w:r>
          </w:p>
        </w:tc>
        <w:tc>
          <w:tcPr>
            <w:tcW w:w="0" w:type="dxa"/>
            <w:vAlign w:val="bottom"/>
          </w:tcPr>
          <w:p>
            <w:pPr>
              <w:spacing w:after="0"/>
              <w:rPr>
                <w:sz w:val="1"/>
                <w:szCs w:val="1"/>
                <w:color w:val="auto"/>
              </w:rPr>
            </w:pPr>
          </w:p>
        </w:tc>
      </w:tr>
      <w:tr>
        <w:trPr>
          <w:trHeight w:val="274"/>
        </w:trPr>
        <w:tc>
          <w:tcPr>
            <w:tcW w:w="7060" w:type="dxa"/>
            <w:vAlign w:val="bottom"/>
          </w:tcPr>
          <w:p>
            <w:pPr>
              <w:ind w:left="40"/>
              <w:spacing w:after="0"/>
              <w:rPr>
                <w:sz w:val="20"/>
                <w:szCs w:val="20"/>
                <w:color w:val="auto"/>
              </w:rPr>
            </w:pPr>
            <w:r>
              <w:rPr>
                <w:rFonts w:ascii="Arial" w:cs="Arial" w:eastAsia="Arial" w:hAnsi="Arial"/>
                <w:sz w:val="20"/>
                <w:szCs w:val="20"/>
                <w:color w:val="auto"/>
              </w:rPr>
              <w:t>Accumulated other comprehensive loss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(80,170)</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(27,883)</w:t>
            </w:r>
          </w:p>
        </w:tc>
        <w:tc>
          <w:tcPr>
            <w:tcW w:w="0" w:type="dxa"/>
            <w:vAlign w:val="bottom"/>
          </w:tcPr>
          <w:p>
            <w:pPr>
              <w:spacing w:after="0"/>
              <w:rPr>
                <w:sz w:val="1"/>
                <w:szCs w:val="1"/>
                <w:color w:val="auto"/>
              </w:rPr>
            </w:pPr>
          </w:p>
        </w:tc>
      </w:tr>
      <w:tr>
        <w:trPr>
          <w:trHeight w:val="285"/>
        </w:trPr>
        <w:tc>
          <w:tcPr>
            <w:tcW w:w="7060" w:type="dxa"/>
            <w:vAlign w:val="bottom"/>
            <w:shd w:val="clear" w:color="auto" w:fill="E6E6E6"/>
          </w:tcPr>
          <w:p>
            <w:pPr>
              <w:ind w:left="40"/>
              <w:spacing w:after="0"/>
              <w:rPr>
                <w:sz w:val="20"/>
                <w:szCs w:val="20"/>
                <w:color w:val="auto"/>
              </w:rPr>
            </w:pPr>
            <w:r>
              <w:rPr>
                <w:rFonts w:ascii="Arial" w:cs="Arial" w:eastAsia="Arial" w:hAnsi="Arial"/>
                <w:sz w:val="20"/>
                <w:szCs w:val="20"/>
                <w:color w:val="auto"/>
              </w:rPr>
              <w:t>Accumulated deficit</w:t>
            </w:r>
          </w:p>
        </w:tc>
        <w:tc>
          <w:tcPr>
            <w:tcW w:w="34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(903,250)</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(966,484)</w:t>
            </w:r>
          </w:p>
        </w:tc>
        <w:tc>
          <w:tcPr>
            <w:tcW w:w="0" w:type="dxa"/>
            <w:vAlign w:val="bottom"/>
          </w:tcPr>
          <w:p>
            <w:pPr>
              <w:spacing w:after="0"/>
              <w:rPr>
                <w:sz w:val="1"/>
                <w:szCs w:val="1"/>
                <w:color w:val="auto"/>
              </w:rPr>
            </w:pPr>
          </w:p>
        </w:tc>
      </w:tr>
      <w:tr>
        <w:trPr>
          <w:trHeight w:val="188"/>
        </w:trPr>
        <w:tc>
          <w:tcPr>
            <w:tcW w:w="7060" w:type="dxa"/>
            <w:vAlign w:val="bottom"/>
          </w:tcPr>
          <w:p>
            <w:pPr>
              <w:ind w:left="40"/>
              <w:spacing w:after="0" w:line="188" w:lineRule="exact"/>
              <w:rPr>
                <w:sz w:val="20"/>
                <w:szCs w:val="20"/>
                <w:color w:val="auto"/>
              </w:rPr>
            </w:pPr>
            <w:r>
              <w:rPr>
                <w:rFonts w:ascii="Arial" w:cs="Arial" w:eastAsia="Arial" w:hAnsi="Arial"/>
                <w:sz w:val="20"/>
                <w:szCs w:val="20"/>
                <w:color w:val="auto"/>
                <w:w w:val="91"/>
              </w:rPr>
              <w:t>Treasury stock at cost, 89,128 ordinary shares at December 31, 2024, 23,929 ordinary</w:t>
            </w: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20"/>
                <w:szCs w:val="20"/>
                <w:color w:val="auto"/>
              </w:rPr>
              <w:t>(136)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20"/>
                <w:szCs w:val="20"/>
                <w:color w:val="auto"/>
              </w:rPr>
              <w:t>(55)</w:t>
            </w:r>
          </w:p>
        </w:tc>
        <w:tc>
          <w:tcPr>
            <w:tcW w:w="0" w:type="dxa"/>
            <w:vAlign w:val="bottom"/>
          </w:tcPr>
          <w:p>
            <w:pPr>
              <w:spacing w:after="0"/>
              <w:rPr>
                <w:sz w:val="1"/>
                <w:szCs w:val="1"/>
                <w:color w:val="auto"/>
              </w:rPr>
            </w:pPr>
          </w:p>
        </w:tc>
      </w:tr>
      <w:tr>
        <w:trPr>
          <w:trHeight w:val="258"/>
        </w:trPr>
        <w:tc>
          <w:tcPr>
            <w:tcW w:w="7060" w:type="dxa"/>
            <w:vAlign w:val="bottom"/>
            <w:tcBorders>
              <w:bottom w:val="single" w:sz="8" w:color="E6E6E6"/>
            </w:tcBorders>
          </w:tcPr>
          <w:p>
            <w:pPr>
              <w:ind w:left="40"/>
              <w:spacing w:after="0"/>
              <w:rPr>
                <w:sz w:val="20"/>
                <w:szCs w:val="20"/>
                <w:color w:val="auto"/>
              </w:rPr>
            </w:pPr>
            <w:r>
              <w:rPr>
                <w:rFonts w:ascii="Arial" w:cs="Arial" w:eastAsia="Arial" w:hAnsi="Arial"/>
                <w:sz w:val="20"/>
                <w:szCs w:val="20"/>
                <w:color w:val="auto"/>
              </w:rPr>
              <w:t>shares at December 31, 2023</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7060" w:type="dxa"/>
            <w:vAlign w:val="bottom"/>
            <w:tcBorders>
              <w:bottom w:val="single" w:sz="8" w:color="E6E6E6"/>
            </w:tcBorders>
            <w:shd w:val="clear" w:color="auto" w:fill="E6E6E6"/>
          </w:tcPr>
          <w:p>
            <w:pPr>
              <w:ind w:left="260"/>
              <w:spacing w:after="0"/>
              <w:rPr>
                <w:sz w:val="20"/>
                <w:szCs w:val="20"/>
                <w:color w:val="auto"/>
              </w:rPr>
            </w:pPr>
            <w:r>
              <w:rPr>
                <w:rFonts w:ascii="Arial" w:cs="Arial" w:eastAsia="Arial" w:hAnsi="Arial"/>
                <w:sz w:val="20"/>
                <w:szCs w:val="20"/>
                <w:color w:val="auto"/>
              </w:rPr>
              <w:t>Total Stockholders’ Equity</w:t>
            </w:r>
          </w:p>
        </w:tc>
        <w:tc>
          <w:tcPr>
            <w:tcW w:w="34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1,320,258</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1,277,628</w:t>
            </w:r>
          </w:p>
        </w:tc>
        <w:tc>
          <w:tcPr>
            <w:tcW w:w="0" w:type="dxa"/>
            <w:vAlign w:val="bottom"/>
          </w:tcPr>
          <w:p>
            <w:pPr>
              <w:spacing w:after="0"/>
              <w:rPr>
                <w:sz w:val="1"/>
                <w:szCs w:val="1"/>
                <w:color w:val="auto"/>
              </w:rPr>
            </w:pPr>
          </w:p>
        </w:tc>
      </w:tr>
      <w:tr>
        <w:trPr>
          <w:trHeight w:val="221"/>
        </w:trPr>
        <w:tc>
          <w:tcPr>
            <w:tcW w:w="7060" w:type="dxa"/>
            <w:vAlign w:val="bottom"/>
          </w:tcPr>
          <w:p>
            <w:pPr>
              <w:ind w:left="260"/>
              <w:spacing w:after="0" w:line="221" w:lineRule="exact"/>
              <w:rPr>
                <w:sz w:val="20"/>
                <w:szCs w:val="20"/>
                <w:color w:val="auto"/>
              </w:rPr>
            </w:pPr>
            <w:r>
              <w:rPr>
                <w:rFonts w:ascii="Arial" w:cs="Arial" w:eastAsia="Arial" w:hAnsi="Arial"/>
                <w:sz w:val="20"/>
                <w:szCs w:val="20"/>
                <w:color w:val="auto"/>
              </w:rPr>
              <w:t>Total Liabilities and Stockholders’ Equity</w:t>
            </w:r>
          </w:p>
        </w:tc>
        <w:tc>
          <w:tcPr>
            <w:tcW w:w="340" w:type="dxa"/>
            <w:vAlign w:val="bottom"/>
          </w:tcPr>
          <w:p>
            <w:pPr>
              <w:jc w:val="right"/>
              <w:ind w:right="82"/>
              <w:spacing w:after="0" w:line="221" w:lineRule="exact"/>
              <w:rPr>
                <w:sz w:val="20"/>
                <w:szCs w:val="20"/>
                <w:color w:val="auto"/>
              </w:rPr>
            </w:pPr>
            <w:r>
              <w:rPr>
                <w:rFonts w:ascii="Arial" w:cs="Arial" w:eastAsia="Arial" w:hAnsi="Arial"/>
                <w:sz w:val="20"/>
                <w:szCs w:val="20"/>
                <w:color w:val="auto"/>
              </w:rPr>
              <w:t>$</w:t>
            </w:r>
          </w:p>
        </w:tc>
        <w:tc>
          <w:tcPr>
            <w:tcW w:w="1120" w:type="dxa"/>
            <w:vAlign w:val="bottom"/>
          </w:tcPr>
          <w:p>
            <w:pPr>
              <w:jc w:val="right"/>
              <w:spacing w:after="0" w:line="221" w:lineRule="exact"/>
              <w:rPr>
                <w:sz w:val="20"/>
                <w:szCs w:val="20"/>
                <w:color w:val="auto"/>
              </w:rPr>
            </w:pPr>
            <w:r>
              <w:rPr>
                <w:rFonts w:ascii="Arial" w:cs="Arial" w:eastAsia="Arial" w:hAnsi="Arial"/>
                <w:sz w:val="20"/>
                <w:szCs w:val="20"/>
                <w:color w:val="auto"/>
              </w:rPr>
              <w:t>2,506,389</w:t>
            </w:r>
          </w:p>
        </w:tc>
        <w:tc>
          <w:tcPr>
            <w:tcW w:w="420" w:type="dxa"/>
            <w:vAlign w:val="bottom"/>
            <w:gridSpan w:val="3"/>
          </w:tcPr>
          <w:p>
            <w:pPr>
              <w:jc w:val="right"/>
              <w:ind w:right="200"/>
              <w:spacing w:after="0" w:line="221" w:lineRule="exact"/>
              <w:rPr>
                <w:sz w:val="20"/>
                <w:szCs w:val="20"/>
                <w:color w:val="auto"/>
              </w:rPr>
            </w:pPr>
            <w:r>
              <w:rPr>
                <w:rFonts w:ascii="Arial" w:cs="Arial" w:eastAsia="Arial" w:hAnsi="Arial"/>
                <w:sz w:val="20"/>
                <w:szCs w:val="20"/>
                <w:color w:val="auto"/>
              </w:rPr>
              <w:t>$</w:t>
            </w:r>
          </w:p>
        </w:tc>
        <w:tc>
          <w:tcPr>
            <w:tcW w:w="1100" w:type="dxa"/>
            <w:vAlign w:val="bottom"/>
          </w:tcPr>
          <w:p>
            <w:pPr>
              <w:jc w:val="right"/>
              <w:spacing w:after="0" w:line="221" w:lineRule="exact"/>
              <w:rPr>
                <w:sz w:val="20"/>
                <w:szCs w:val="20"/>
                <w:color w:val="auto"/>
              </w:rPr>
            </w:pPr>
            <w:r>
              <w:rPr>
                <w:rFonts w:ascii="Arial" w:cs="Arial" w:eastAsia="Arial" w:hAnsi="Arial"/>
                <w:sz w:val="20"/>
                <w:szCs w:val="20"/>
                <w:color w:val="auto"/>
              </w:rPr>
              <w:t>2,429,563</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-6770370</wp:posOffset>
            </wp:positionV>
            <wp:extent cx="192024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68">
                      <a:extLst>
                        <a:ext uri="{28A0092B-C50C-407E-A947-70E740481C1C}"/>
                      </a:extLst>
                    </a:blip>
                    <a:srcRect/>
                    <a:stretch>
                      <a:fillRect/>
                    </a:stretch>
                  </pic:blipFill>
                  <pic:spPr bwMode="auto">
                    <a:xfrm>
                      <a:off x="0" y="0"/>
                      <a:ext cx="1920240" cy="25400"/>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-5173980</wp:posOffset>
            </wp:positionV>
            <wp:extent cx="192024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69">
                      <a:extLst>
                        <a:ext uri="{28A0092B-C50C-407E-A947-70E740481C1C}"/>
                      </a:extLst>
                    </a:blip>
                    <a:srcRect/>
                    <a:stretch>
                      <a:fillRect/>
                    </a:stretch>
                  </pic:blipFill>
                  <pic:spPr bwMode="auto">
                    <a:xfrm>
                      <a:off x="0" y="0"/>
                      <a:ext cx="1920240" cy="25400"/>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-5008880</wp:posOffset>
            </wp:positionV>
            <wp:extent cx="1920240" cy="501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70">
                      <a:extLst>
                        <a:ext uri="{28A0092B-C50C-407E-A947-70E740481C1C}"/>
                      </a:extLst>
                    </a:blip>
                    <a:srcRect/>
                    <a:stretch>
                      <a:fillRect/>
                    </a:stretch>
                  </pic:blipFill>
                  <pic:spPr bwMode="auto">
                    <a:xfrm>
                      <a:off x="0" y="0"/>
                      <a:ext cx="1920240" cy="5016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-3577590</wp:posOffset>
            </wp:positionV>
            <wp:extent cx="192024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71">
                      <a:extLst>
                        <a:ext uri="{28A0092B-C50C-407E-A947-70E740481C1C}"/>
                      </a:extLst>
                    </a:blip>
                    <a:srcRect/>
                    <a:stretch>
                      <a:fillRect/>
                    </a:stretch>
                  </pic:blipFill>
                  <pic:spPr bwMode="auto">
                    <a:xfrm>
                      <a:off x="0" y="0"/>
                      <a:ext cx="1920240" cy="25400"/>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-2159000</wp:posOffset>
            </wp:positionV>
            <wp:extent cx="192024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72">
                      <a:extLst>
                        <a:ext uri="{28A0092B-C50C-407E-A947-70E740481C1C}"/>
                      </a:extLst>
                    </a:blip>
                    <a:srcRect/>
                    <a:stretch>
                      <a:fillRect/>
                    </a:stretch>
                  </pic:blipFill>
                  <pic:spPr bwMode="auto">
                    <a:xfrm>
                      <a:off x="0" y="0"/>
                      <a:ext cx="1920240" cy="25400"/>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-385445</wp:posOffset>
            </wp:positionV>
            <wp:extent cx="192024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73">
                      <a:extLst>
                        <a:ext uri="{28A0092B-C50C-407E-A947-70E740481C1C}"/>
                      </a:extLst>
                    </a:blip>
                    <a:srcRect/>
                    <a:stretch>
                      <a:fillRect/>
                    </a:stretch>
                  </pic:blipFill>
                  <pic:spPr bwMode="auto">
                    <a:xfrm>
                      <a:off x="0" y="0"/>
                      <a:ext cx="1920240" cy="25400"/>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-208280</wp:posOffset>
            </wp:positionV>
            <wp:extent cx="192024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74">
                      <a:extLst>
                        <a:ext uri="{28A0092B-C50C-407E-A947-70E740481C1C}"/>
                      </a:extLst>
                    </a:blip>
                    <a:srcRect/>
                    <a:stretch>
                      <a:fillRect/>
                    </a:stretch>
                  </pic:blipFill>
                  <pic:spPr bwMode="auto">
                    <a:xfrm>
                      <a:off x="0" y="0"/>
                      <a:ext cx="1920240" cy="25400"/>
                    </a:xfrm>
                    <a:prstGeom prst="rect">
                      <a:avLst/>
                    </a:prstGeom>
                    <a:noFill/>
                  </pic:spPr>
                </pic:pic>
              </a:graphicData>
            </a:graphic>
          </wp:anchor>
        </w:drawing>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the consolidated financial statements.</w:t>
      </w:r>
    </w:p>
    <w:p>
      <w:pPr>
        <w:jc w:val="center"/>
        <w:spacing w:after="0"/>
        <w:rPr>
          <w:sz w:val="20"/>
          <w:szCs w:val="20"/>
          <w:color w:val="auto"/>
        </w:rPr>
      </w:pPr>
      <w:r>
        <w:rPr>
          <w:rFonts w:ascii="Arial" w:cs="Arial" w:eastAsia="Arial" w:hAnsi="Arial"/>
          <w:sz w:val="20"/>
          <w:szCs w:val="20"/>
          <w:color w:val="auto"/>
        </w:rPr>
        <w:t>F-5</w:t>
      </w:r>
    </w:p>
    <w:p>
      <w:pPr>
        <w:sectPr>
          <w:pgSz w:w="11880" w:h="15480" w:orient="portrait"/>
          <w:cols w:equalWidth="0" w:num="1">
            <w:col w:w="10040"/>
          </w:cols>
          <w:pgMar w:left="920" w:top="471" w:right="920" w:bottom="0" w:gutter="0" w:footer="0" w:header="0"/>
        </w:sectPr>
      </w:pPr>
    </w:p>
    <w:bookmarkStart w:id="63" w:name="page64"/>
    <w:bookmarkEnd w:id="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289" w:type="dxa"/>
        <w:tblCellMar>
          <w:top w:w="0" w:type="dxa"/>
          <w:left w:w="0" w:type="dxa"/>
          <w:bottom w:w="0" w:type="dxa"/>
          <w:right w:w="0" w:type="dxa"/>
        </w:tblCellMar>
      </w:tblPr>
      <w:tr>
        <w:trPr>
          <w:trHeight w:val="2420"/>
        </w:trPr>
        <w:tc>
          <w:tcPr>
            <w:tcW w:w="195" w:type="dxa"/>
            <w:vAlign w:val="bottom"/>
            <w:textDirection w:val="tbRl"/>
          </w:tcPr>
          <w:p>
            <w:pPr>
              <w:spacing w:after="0"/>
              <w:rPr>
                <w:sz w:val="20"/>
                <w:szCs w:val="20"/>
                <w:color w:val="auto"/>
              </w:rPr>
            </w:pPr>
            <w:r>
              <w:rPr>
                <w:rFonts w:ascii="Arial" w:cs="Arial" w:eastAsia="Arial" w:hAnsi="Arial"/>
                <w:sz w:val="17"/>
                <w:szCs w:val="17"/>
                <w:color w:val="auto"/>
              </w:rPr>
              <w:t>See accompanying notes to the</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0"/>
        </w:trPr>
        <w:tc>
          <w:tcPr>
            <w:tcW w:w="485" w:type="dxa"/>
            <w:vAlign w:val="bottom"/>
            <w:textDirection w:val="tbRl"/>
          </w:tcPr>
          <w:p>
            <w:pPr>
              <w:ind w:firstLine="50"/>
              <w:spacing w:after="0" w:line="253" w:lineRule="auto"/>
              <w:rPr>
                <w:sz w:val="20"/>
                <w:szCs w:val="20"/>
                <w:color w:val="auto"/>
              </w:rPr>
            </w:pPr>
            <w:r>
              <w:rPr>
                <w:rFonts w:ascii="Arial" w:cs="Arial" w:eastAsia="Arial" w:hAnsi="Arial"/>
                <w:sz w:val="20"/>
                <w:szCs w:val="20"/>
                <w:color w:val="auto"/>
              </w:rPr>
              <w:t>consolidated financial statements. F-6</w:t>
            </w: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24"/>
          <w:szCs w:val="24"/>
          <w:b w:val="1"/>
          <w:bCs w:val="1"/>
          <w:color w:val="auto"/>
        </w:rPr>
        <w:t>LIVANOVA PLC AND SUBSIDIARIES</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CONSOLIDATED STATEMENTS OF STOCKHOLDERS’ EQUITY</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4"/>
            <w:vMerge w:val="restart"/>
          </w:tcPr>
          <w:p>
            <w:pPr>
              <w:jc w:val="center"/>
              <w:ind w:right="280"/>
              <w:spacing w:after="0"/>
              <w:rPr>
                <w:sz w:val="20"/>
                <w:szCs w:val="20"/>
                <w:color w:val="auto"/>
              </w:rPr>
            </w:pPr>
            <w:r>
              <w:rPr>
                <w:rFonts w:ascii="Arial" w:cs="Arial" w:eastAsia="Arial" w:hAnsi="Arial"/>
                <w:sz w:val="20"/>
                <w:szCs w:val="20"/>
                <w:b w:val="1"/>
                <w:bCs w:val="1"/>
                <w:color w:val="auto"/>
                <w:w w:val="93"/>
              </w:rPr>
              <w:t>Ordinary</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4"/>
            <w:vMerge w:val="restart"/>
          </w:tcPr>
          <w:p>
            <w:pPr>
              <w:jc w:val="center"/>
              <w:ind w:right="260"/>
              <w:spacing w:after="0"/>
              <w:rPr>
                <w:sz w:val="20"/>
                <w:szCs w:val="20"/>
                <w:color w:val="auto"/>
              </w:rPr>
            </w:pPr>
            <w:r>
              <w:rPr>
                <w:rFonts w:ascii="Arial" w:cs="Arial" w:eastAsia="Arial" w:hAnsi="Arial"/>
                <w:sz w:val="20"/>
                <w:szCs w:val="20"/>
                <w:b w:val="1"/>
                <w:bCs w:val="1"/>
                <w:color w:val="auto"/>
                <w:w w:val="89"/>
              </w:rPr>
              <w:t>Additional</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20"/>
                <w:szCs w:val="20"/>
                <w:b w:val="1"/>
                <w:bCs w:val="1"/>
                <w:color w:val="auto"/>
                <w:w w:val="89"/>
              </w:rPr>
              <w:t>Accumulated</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vMerge w:val="restart"/>
          </w:tcPr>
          <w:p>
            <w:pPr>
              <w:jc w:val="center"/>
              <w:ind w:right="162"/>
              <w:spacing w:after="0"/>
              <w:rPr>
                <w:sz w:val="20"/>
                <w:szCs w:val="20"/>
                <w:color w:val="auto"/>
              </w:rPr>
            </w:pPr>
            <w:r>
              <w:rPr>
                <w:rFonts w:ascii="Arial" w:cs="Arial" w:eastAsia="Arial" w:hAnsi="Arial"/>
                <w:sz w:val="20"/>
                <w:szCs w:val="20"/>
                <w:b w:val="1"/>
                <w:bCs w:val="1"/>
                <w:color w:val="auto"/>
                <w:w w:val="91"/>
              </w:rPr>
              <w:t>Total</w:t>
            </w:r>
          </w:p>
        </w:tc>
        <w:tc>
          <w:tcPr>
            <w:tcW w:w="0" w:type="dxa"/>
            <w:vAlign w:val="bottom"/>
          </w:tcPr>
          <w:p>
            <w:pPr>
              <w:spacing w:after="0"/>
              <w:rPr>
                <w:sz w:val="1"/>
                <w:szCs w:val="1"/>
                <w:color w:val="auto"/>
              </w:rPr>
            </w:pPr>
          </w:p>
        </w:tc>
      </w:tr>
      <w:tr>
        <w:trPr>
          <w:trHeight w:val="196"/>
        </w:trPr>
        <w:tc>
          <w:tcPr>
            <w:tcW w:w="3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vMerge w:val="restart"/>
          </w:tcPr>
          <w:p>
            <w:pPr>
              <w:jc w:val="right"/>
              <w:ind w:right="162"/>
              <w:spacing w:after="0"/>
              <w:rPr>
                <w:sz w:val="20"/>
                <w:szCs w:val="20"/>
                <w:color w:val="auto"/>
              </w:rPr>
            </w:pPr>
            <w:r>
              <w:rPr>
                <w:rFonts w:ascii="Arial" w:cs="Arial" w:eastAsia="Arial" w:hAnsi="Arial"/>
                <w:sz w:val="20"/>
                <w:szCs w:val="20"/>
                <w:b w:val="1"/>
                <w:bCs w:val="1"/>
                <w:color w:val="auto"/>
              </w:rPr>
              <w:t>Ordinary</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4"/>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4"/>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3"/>
            <w:vMerge w:val="restart"/>
          </w:tcPr>
          <w:p>
            <w:pPr>
              <w:jc w:val="center"/>
              <w:ind w:right="260"/>
              <w:spacing w:after="0"/>
              <w:rPr>
                <w:sz w:val="20"/>
                <w:szCs w:val="20"/>
                <w:color w:val="auto"/>
              </w:rPr>
            </w:pPr>
            <w:r>
              <w:rPr>
                <w:rFonts w:ascii="Arial" w:cs="Arial" w:eastAsia="Arial" w:hAnsi="Arial"/>
                <w:sz w:val="20"/>
                <w:szCs w:val="20"/>
                <w:b w:val="1"/>
                <w:bCs w:val="1"/>
                <w:color w:val="auto"/>
                <w:w w:val="92"/>
              </w:rPr>
              <w:t>Treasury</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3"/>
          </w:tcPr>
          <w:p>
            <w:pPr>
              <w:jc w:val="center"/>
              <w:ind w:right="200"/>
              <w:spacing w:after="0" w:line="196" w:lineRule="exact"/>
              <w:rPr>
                <w:sz w:val="20"/>
                <w:szCs w:val="20"/>
                <w:color w:val="auto"/>
              </w:rPr>
            </w:pPr>
            <w:r>
              <w:rPr>
                <w:rFonts w:ascii="Arial" w:cs="Arial" w:eastAsia="Arial" w:hAnsi="Arial"/>
                <w:sz w:val="20"/>
                <w:szCs w:val="20"/>
                <w:b w:val="1"/>
                <w:bCs w:val="1"/>
                <w:color w:val="auto"/>
                <w:w w:val="93"/>
              </w:rPr>
              <w:t>Other</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4"/>
            <w:vMerge w:val="restart"/>
          </w:tcPr>
          <w:p>
            <w:pPr>
              <w:jc w:val="center"/>
              <w:ind w:right="80"/>
              <w:spacing w:after="0"/>
              <w:rPr>
                <w:sz w:val="20"/>
                <w:szCs w:val="20"/>
                <w:color w:val="auto"/>
              </w:rPr>
            </w:pPr>
            <w:r>
              <w:rPr>
                <w:rFonts w:ascii="Arial" w:cs="Arial" w:eastAsia="Arial" w:hAnsi="Arial"/>
                <w:sz w:val="20"/>
                <w:szCs w:val="20"/>
                <w:b w:val="1"/>
                <w:bCs w:val="1"/>
                <w:color w:val="auto"/>
                <w:w w:val="87"/>
              </w:rPr>
              <w:t>Accumulated</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4"/>
          </w:tcPr>
          <w:p>
            <w:pPr>
              <w:jc w:val="center"/>
              <w:ind w:right="260"/>
              <w:spacing w:after="0" w:line="196" w:lineRule="exact"/>
              <w:rPr>
                <w:sz w:val="20"/>
                <w:szCs w:val="20"/>
                <w:color w:val="auto"/>
              </w:rPr>
            </w:pPr>
            <w:r>
              <w:rPr>
                <w:rFonts w:ascii="Arial" w:cs="Arial" w:eastAsia="Arial" w:hAnsi="Arial"/>
                <w:sz w:val="20"/>
                <w:szCs w:val="20"/>
                <w:b w:val="1"/>
                <w:bCs w:val="1"/>
                <w:color w:val="auto"/>
                <w:w w:val="86"/>
              </w:rPr>
              <w:t>Shares -</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4"/>
          </w:tcPr>
          <w:p>
            <w:pPr>
              <w:jc w:val="center"/>
              <w:ind w:right="260"/>
              <w:spacing w:after="0" w:line="196" w:lineRule="exact"/>
              <w:rPr>
                <w:sz w:val="20"/>
                <w:szCs w:val="20"/>
                <w:color w:val="auto"/>
              </w:rPr>
            </w:pPr>
            <w:r>
              <w:rPr>
                <w:rFonts w:ascii="Arial" w:cs="Arial" w:eastAsia="Arial" w:hAnsi="Arial"/>
                <w:sz w:val="20"/>
                <w:szCs w:val="20"/>
                <w:b w:val="1"/>
                <w:bCs w:val="1"/>
                <w:color w:val="auto"/>
                <w:w w:val="95"/>
              </w:rPr>
              <w:t>Paid-In</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gridSpan w:val="4"/>
          </w:tcPr>
          <w:p>
            <w:pPr>
              <w:jc w:val="center"/>
              <w:ind w:right="60"/>
              <w:spacing w:after="0" w:line="196" w:lineRule="exact"/>
              <w:rPr>
                <w:sz w:val="20"/>
                <w:szCs w:val="20"/>
                <w:color w:val="auto"/>
              </w:rPr>
            </w:pPr>
            <w:r>
              <w:rPr>
                <w:rFonts w:ascii="Arial" w:cs="Arial" w:eastAsia="Arial" w:hAnsi="Arial"/>
                <w:sz w:val="20"/>
                <w:szCs w:val="20"/>
                <w:b w:val="1"/>
                <w:bCs w:val="1"/>
                <w:color w:val="auto"/>
                <w:w w:val="87"/>
              </w:rPr>
              <w:t>Comprehensive</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4"/>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gridSpan w:val="2"/>
          </w:tcPr>
          <w:p>
            <w:pPr>
              <w:jc w:val="center"/>
              <w:spacing w:after="0" w:line="196" w:lineRule="exact"/>
              <w:rPr>
                <w:sz w:val="20"/>
                <w:szCs w:val="20"/>
                <w:color w:val="auto"/>
              </w:rPr>
            </w:pPr>
            <w:r>
              <w:rPr>
                <w:rFonts w:ascii="Arial" w:cs="Arial" w:eastAsia="Arial" w:hAnsi="Arial"/>
                <w:sz w:val="20"/>
                <w:szCs w:val="20"/>
                <w:b w:val="1"/>
                <w:bCs w:val="1"/>
                <w:color w:val="auto"/>
                <w:w w:val="87"/>
              </w:rPr>
              <w:t>Stockholders’</w:t>
            </w:r>
          </w:p>
        </w:tc>
        <w:tc>
          <w:tcPr>
            <w:tcW w:w="0" w:type="dxa"/>
            <w:vAlign w:val="bottom"/>
          </w:tcPr>
          <w:p>
            <w:pPr>
              <w:spacing w:after="0"/>
              <w:rPr>
                <w:sz w:val="1"/>
                <w:szCs w:val="1"/>
                <w:color w:val="auto"/>
              </w:rPr>
            </w:pPr>
          </w:p>
        </w:tc>
      </w:tr>
      <w:tr>
        <w:trPr>
          <w:trHeight w:val="258"/>
        </w:trPr>
        <w:tc>
          <w:tcPr>
            <w:tcW w:w="394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1200" w:type="dxa"/>
            <w:vAlign w:val="bottom"/>
            <w:tcBorders>
              <w:bottom w:val="single" w:sz="8" w:color="auto"/>
            </w:tcBorders>
          </w:tcPr>
          <w:p>
            <w:pPr>
              <w:jc w:val="right"/>
              <w:ind w:right="282"/>
              <w:spacing w:after="0"/>
              <w:rPr>
                <w:sz w:val="20"/>
                <w:szCs w:val="20"/>
                <w:color w:val="auto"/>
              </w:rPr>
            </w:pPr>
            <w:r>
              <w:rPr>
                <w:rFonts w:ascii="Arial" w:cs="Arial" w:eastAsia="Arial" w:hAnsi="Arial"/>
                <w:sz w:val="20"/>
                <w:szCs w:val="20"/>
                <w:b w:val="1"/>
                <w:bCs w:val="1"/>
                <w:color w:val="auto"/>
              </w:rPr>
              <w:t>Shares</w:t>
            </w:r>
          </w:p>
        </w:tc>
        <w:tc>
          <w:tcPr>
            <w:tcW w:w="8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20"/>
                <w:szCs w:val="20"/>
                <w:b w:val="1"/>
                <w:bCs w:val="1"/>
                <w:color w:val="auto"/>
                <w:w w:val="92"/>
              </w:rPr>
              <w:t>Amount</w:t>
            </w:r>
          </w:p>
        </w:tc>
        <w:tc>
          <w:tcPr>
            <w:tcW w:w="2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20"/>
                <w:szCs w:val="20"/>
                <w:b w:val="1"/>
                <w:bCs w:val="1"/>
                <w:color w:val="auto"/>
                <w:w w:val="92"/>
              </w:rPr>
              <w:t>Capital</w:t>
            </w:r>
          </w:p>
        </w:tc>
        <w:tc>
          <w:tcPr>
            <w:tcW w:w="2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20"/>
                <w:szCs w:val="20"/>
                <w:b w:val="1"/>
                <w:bCs w:val="1"/>
                <w:color w:val="auto"/>
                <w:w w:val="84"/>
              </w:rPr>
              <w:t>Stock</w:t>
            </w:r>
          </w:p>
        </w:tc>
        <w:tc>
          <w:tcPr>
            <w:tcW w:w="4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20"/>
                <w:szCs w:val="20"/>
                <w:b w:val="1"/>
                <w:bCs w:val="1"/>
                <w:color w:val="auto"/>
                <w:w w:val="85"/>
              </w:rPr>
              <w:t>Loss</w:t>
            </w:r>
          </w:p>
        </w:tc>
        <w:tc>
          <w:tcPr>
            <w:tcW w:w="4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20"/>
                <w:szCs w:val="20"/>
                <w:b w:val="1"/>
                <w:bCs w:val="1"/>
                <w:color w:val="auto"/>
                <w:w w:val="88"/>
              </w:rPr>
              <w:t>Deficit</w:t>
            </w:r>
          </w:p>
        </w:tc>
        <w:tc>
          <w:tcPr>
            <w:tcW w:w="2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162"/>
              <w:spacing w:after="0"/>
              <w:rPr>
                <w:sz w:val="20"/>
                <w:szCs w:val="20"/>
                <w:color w:val="auto"/>
              </w:rPr>
            </w:pPr>
            <w:r>
              <w:rPr>
                <w:rFonts w:ascii="Arial" w:cs="Arial" w:eastAsia="Arial" w:hAnsi="Arial"/>
                <w:sz w:val="20"/>
                <w:szCs w:val="20"/>
                <w:b w:val="1"/>
                <w:bCs w:val="1"/>
                <w:color w:val="auto"/>
                <w:w w:val="91"/>
              </w:rPr>
              <w:t>Equity</w:t>
            </w:r>
          </w:p>
        </w:tc>
        <w:tc>
          <w:tcPr>
            <w:tcW w:w="0" w:type="dxa"/>
            <w:vAlign w:val="bottom"/>
          </w:tcPr>
          <w:p>
            <w:pPr>
              <w:spacing w:after="0"/>
              <w:rPr>
                <w:sz w:val="1"/>
                <w:szCs w:val="1"/>
                <w:color w:val="auto"/>
              </w:rPr>
            </w:pPr>
          </w:p>
        </w:tc>
      </w:tr>
      <w:tr>
        <w:trPr>
          <w:trHeight w:val="269"/>
        </w:trPr>
        <w:tc>
          <w:tcPr>
            <w:tcW w:w="4060" w:type="dxa"/>
            <w:vAlign w:val="bottom"/>
            <w:gridSpan w:val="7"/>
            <w:shd w:val="clear" w:color="auto" w:fill="E6E6E6"/>
          </w:tcPr>
          <w:p>
            <w:pPr>
              <w:ind w:left="40"/>
              <w:spacing w:after="0"/>
              <w:rPr>
                <w:sz w:val="20"/>
                <w:szCs w:val="20"/>
                <w:color w:val="auto"/>
              </w:rPr>
            </w:pPr>
            <w:r>
              <w:rPr>
                <w:rFonts w:ascii="Arial" w:cs="Arial" w:eastAsia="Arial" w:hAnsi="Arial"/>
                <w:sz w:val="20"/>
                <w:szCs w:val="20"/>
                <w:color w:val="auto"/>
              </w:rPr>
              <w:t>December 31, 2021</w:t>
            </w: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53,762</w:t>
            </w:r>
          </w:p>
        </w:tc>
        <w:tc>
          <w:tcPr>
            <w:tcW w:w="8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180" w:type="dxa"/>
            <w:vAlign w:val="bottom"/>
            <w:shd w:val="clear" w:color="auto" w:fill="E6E6E6"/>
          </w:tcPr>
          <w:p>
            <w:pPr>
              <w:jc w:val="right"/>
              <w:spacing w:after="0"/>
              <w:rPr>
                <w:sz w:val="20"/>
                <w:szCs w:val="20"/>
                <w:color w:val="auto"/>
              </w:rPr>
            </w:pPr>
            <w:r>
              <w:rPr>
                <w:rFonts w:ascii="Arial" w:cs="Arial" w:eastAsia="Arial" w:hAnsi="Arial"/>
                <w:sz w:val="20"/>
                <w:szCs w:val="20"/>
                <w:color w:val="auto"/>
                <w:w w:val="89"/>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82,295</w:t>
            </w:r>
          </w:p>
        </w:tc>
        <w:tc>
          <w:tcPr>
            <w:tcW w:w="2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160" w:type="dxa"/>
            <w:vAlign w:val="bottom"/>
            <w:shd w:val="clear" w:color="auto" w:fill="E6E6E6"/>
          </w:tcPr>
          <w:p>
            <w:pPr>
              <w:jc w:val="right"/>
              <w:spacing w:after="0"/>
              <w:rPr>
                <w:sz w:val="20"/>
                <w:szCs w:val="20"/>
                <w:color w:val="auto"/>
              </w:rPr>
            </w:pPr>
            <w:r>
              <w:rPr>
                <w:rFonts w:ascii="Arial" w:cs="Arial" w:eastAsia="Arial" w:hAnsi="Arial"/>
                <w:sz w:val="20"/>
                <w:szCs w:val="20"/>
                <w:color w:val="auto"/>
                <w:w w:val="89"/>
              </w:rPr>
              <w:t>$</w:t>
            </w:r>
          </w:p>
        </w:tc>
        <w:tc>
          <w:tcPr>
            <w:tcW w:w="11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2,117,961</w:t>
            </w:r>
          </w:p>
        </w:tc>
        <w:tc>
          <w:tcPr>
            <w:tcW w:w="2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180" w:type="dxa"/>
            <w:vAlign w:val="bottom"/>
            <w:shd w:val="clear" w:color="auto" w:fill="E6E6E6"/>
          </w:tcPr>
          <w:p>
            <w:pPr>
              <w:jc w:val="right"/>
              <w:spacing w:after="0"/>
              <w:rPr>
                <w:sz w:val="20"/>
                <w:szCs w:val="20"/>
                <w:color w:val="auto"/>
              </w:rPr>
            </w:pPr>
            <w:r>
              <w:rPr>
                <w:rFonts w:ascii="Arial" w:cs="Arial" w:eastAsia="Arial" w:hAnsi="Arial"/>
                <w:sz w:val="20"/>
                <w:szCs w:val="20"/>
                <w:color w:val="auto"/>
                <w:w w:val="89"/>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(650)</w:t>
            </w:r>
          </w:p>
        </w:tc>
        <w:tc>
          <w:tcPr>
            <w:tcW w:w="2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4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160" w:type="dxa"/>
            <w:vAlign w:val="bottom"/>
            <w:shd w:val="clear" w:color="auto" w:fill="E6E6E6"/>
          </w:tcPr>
          <w:p>
            <w:pPr>
              <w:jc w:val="right"/>
              <w:spacing w:after="0"/>
              <w:rPr>
                <w:sz w:val="20"/>
                <w:szCs w:val="20"/>
                <w:color w:val="auto"/>
              </w:rPr>
            </w:pPr>
            <w:r>
              <w:rPr>
                <w:rFonts w:ascii="Arial" w:cs="Arial" w:eastAsia="Arial" w:hAnsi="Arial"/>
                <w:sz w:val="20"/>
                <w:szCs w:val="20"/>
                <w:color w:val="auto"/>
                <w:w w:val="89"/>
              </w:rPr>
              <w:t>$</w:t>
            </w: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(7,177)</w:t>
            </w:r>
          </w:p>
        </w:tc>
        <w:tc>
          <w:tcPr>
            <w:tcW w:w="2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4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20" w:type="dxa"/>
            <w:vAlign w:val="bottom"/>
            <w:shd w:val="clear" w:color="auto" w:fill="E6E6E6"/>
          </w:tcPr>
          <w:p>
            <w:pPr>
              <w:jc w:val="right"/>
              <w:ind w:right="22"/>
              <w:spacing w:after="0"/>
              <w:rPr>
                <w:sz w:val="20"/>
                <w:szCs w:val="20"/>
                <w:color w:val="auto"/>
              </w:rPr>
            </w:pPr>
            <w:r>
              <w:rPr>
                <w:rFonts w:ascii="Arial" w:cs="Arial" w:eastAsia="Arial" w:hAnsi="Arial"/>
                <w:sz w:val="20"/>
                <w:szCs w:val="20"/>
                <w:color w:val="auto"/>
                <w:w w:val="71"/>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(897,784)</w:t>
            </w:r>
          </w:p>
        </w:tc>
        <w:tc>
          <w:tcPr>
            <w:tcW w:w="2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60" w:type="dxa"/>
            <w:vAlign w:val="bottom"/>
            <w:shd w:val="clear" w:color="auto" w:fill="E6E6E6"/>
          </w:tcPr>
          <w:p>
            <w:pPr>
              <w:jc w:val="right"/>
              <w:ind w:right="22"/>
              <w:spacing w:after="0"/>
              <w:rPr>
                <w:sz w:val="20"/>
                <w:szCs w:val="20"/>
                <w:color w:val="auto"/>
              </w:rPr>
            </w:pPr>
            <w:r>
              <w:rPr>
                <w:rFonts w:ascii="Arial" w:cs="Arial" w:eastAsia="Arial" w:hAnsi="Arial"/>
                <w:sz w:val="20"/>
                <w:szCs w:val="20"/>
                <w:color w:val="auto"/>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1,294,645</w:t>
            </w:r>
          </w:p>
        </w:tc>
        <w:tc>
          <w:tcPr>
            <w:tcW w:w="0" w:type="dxa"/>
            <w:vAlign w:val="bottom"/>
          </w:tcPr>
          <w:p>
            <w:pPr>
              <w:spacing w:after="0"/>
              <w:rPr>
                <w:sz w:val="1"/>
                <w:szCs w:val="1"/>
                <w:color w:val="auto"/>
              </w:rPr>
            </w:pPr>
          </w:p>
        </w:tc>
      </w:tr>
      <w:tr>
        <w:trPr>
          <w:trHeight w:val="257"/>
        </w:trPr>
        <w:tc>
          <w:tcPr>
            <w:tcW w:w="4060" w:type="dxa"/>
            <w:vAlign w:val="bottom"/>
            <w:gridSpan w:val="7"/>
          </w:tcPr>
          <w:p>
            <w:pPr>
              <w:ind w:left="40"/>
              <w:spacing w:after="0"/>
              <w:rPr>
                <w:sz w:val="20"/>
                <w:szCs w:val="20"/>
                <w:color w:val="auto"/>
              </w:rPr>
            </w:pPr>
            <w:r>
              <w:rPr>
                <w:rFonts w:ascii="Arial" w:cs="Arial" w:eastAsia="Arial" w:hAnsi="Arial"/>
                <w:sz w:val="20"/>
                <w:szCs w:val="20"/>
                <w:color w:val="auto"/>
              </w:rPr>
              <w:t>Stock-based compensation plans</w:t>
            </w:r>
          </w:p>
        </w:tc>
        <w:tc>
          <w:tcPr>
            <w:tcW w:w="1200" w:type="dxa"/>
            <w:vAlign w:val="bottom"/>
          </w:tcPr>
          <w:p>
            <w:pPr>
              <w:jc w:val="right"/>
              <w:spacing w:after="0"/>
              <w:rPr>
                <w:sz w:val="20"/>
                <w:szCs w:val="20"/>
                <w:color w:val="auto"/>
              </w:rPr>
            </w:pPr>
            <w:r>
              <w:rPr>
                <w:rFonts w:ascii="Arial" w:cs="Arial" w:eastAsia="Arial" w:hAnsi="Arial"/>
                <w:sz w:val="20"/>
                <w:szCs w:val="20"/>
                <w:color w:val="auto"/>
              </w:rPr>
              <w:t>90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129</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39,763</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275</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40,167</w:t>
            </w:r>
          </w:p>
        </w:tc>
        <w:tc>
          <w:tcPr>
            <w:tcW w:w="0" w:type="dxa"/>
            <w:vAlign w:val="bottom"/>
          </w:tcPr>
          <w:p>
            <w:pPr>
              <w:spacing w:after="0"/>
              <w:rPr>
                <w:sz w:val="1"/>
                <w:szCs w:val="1"/>
                <w:color w:val="auto"/>
              </w:rPr>
            </w:pPr>
          </w:p>
        </w:tc>
      </w:tr>
      <w:tr>
        <w:trPr>
          <w:trHeight w:val="22"/>
        </w:trPr>
        <w:tc>
          <w:tcPr>
            <w:tcW w:w="3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4060" w:type="dxa"/>
            <w:vAlign w:val="bottom"/>
            <w:tcBorders>
              <w:bottom w:val="single" w:sz="8" w:color="E6E6E6"/>
            </w:tcBorders>
            <w:gridSpan w:val="7"/>
            <w:shd w:val="clear" w:color="auto" w:fill="E6E6E6"/>
          </w:tcPr>
          <w:p>
            <w:pPr>
              <w:ind w:left="40"/>
              <w:spacing w:after="0"/>
              <w:rPr>
                <w:sz w:val="20"/>
                <w:szCs w:val="20"/>
                <w:color w:val="auto"/>
              </w:rPr>
            </w:pPr>
            <w:r>
              <w:rPr>
                <w:rFonts w:ascii="Arial" w:cs="Arial" w:eastAsia="Arial" w:hAnsi="Arial"/>
                <w:sz w:val="20"/>
                <w:szCs w:val="20"/>
                <w:color w:val="auto"/>
              </w:rPr>
              <w:t>Net loss</w:t>
            </w:r>
          </w:p>
        </w:tc>
        <w:tc>
          <w:tcPr>
            <w:tcW w:w="12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180" w:type="dxa"/>
            <w:vAlign w:val="bottom"/>
            <w:tcBorders>
              <w:bottom w:val="single" w:sz="8" w:color="E6E6E6"/>
            </w:tcBorders>
            <w:shd w:val="clear" w:color="auto" w:fill="E6E6E6"/>
          </w:tcPr>
          <w:p>
            <w:pPr>
              <w:spacing w:after="0"/>
              <w:rPr>
                <w:sz w:val="22"/>
                <w:szCs w:val="22"/>
                <w:color w:val="auto"/>
              </w:rPr>
            </w:pPr>
          </w:p>
        </w:tc>
        <w:tc>
          <w:tcPr>
            <w:tcW w:w="1180" w:type="dxa"/>
            <w:vAlign w:val="bottom"/>
            <w:tcBorders>
              <w:bottom w:val="single" w:sz="8" w:color="E6E6E6"/>
            </w:tcBorders>
            <w:gridSpan w:val="4"/>
            <w:shd w:val="clear" w:color="auto" w:fill="E6E6E6"/>
          </w:tcPr>
          <w:p>
            <w:pPr>
              <w:jc w:val="right"/>
              <w:ind w:right="140"/>
              <w:spacing w:after="0"/>
              <w:rPr>
                <w:sz w:val="20"/>
                <w:szCs w:val="20"/>
                <w:color w:val="auto"/>
              </w:rPr>
            </w:pPr>
            <w:r>
              <w:rPr>
                <w:rFonts w:ascii="Arial" w:cs="Arial" w:eastAsia="Arial" w:hAnsi="Arial"/>
                <w:sz w:val="20"/>
                <w:szCs w:val="20"/>
                <w:color w:val="auto"/>
              </w:rPr>
              <w:t>—</w:t>
            </w:r>
          </w:p>
        </w:tc>
        <w:tc>
          <w:tcPr>
            <w:tcW w:w="2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160" w:type="dxa"/>
            <w:vAlign w:val="bottom"/>
            <w:tcBorders>
              <w:bottom w:val="single" w:sz="8" w:color="E6E6E6"/>
            </w:tcBorders>
            <w:shd w:val="clear" w:color="auto" w:fill="E6E6E6"/>
          </w:tcPr>
          <w:p>
            <w:pPr>
              <w:spacing w:after="0"/>
              <w:rPr>
                <w:sz w:val="22"/>
                <w:szCs w:val="22"/>
                <w:color w:val="auto"/>
              </w:rPr>
            </w:pPr>
          </w:p>
        </w:tc>
        <w:tc>
          <w:tcPr>
            <w:tcW w:w="1220" w:type="dxa"/>
            <w:vAlign w:val="bottom"/>
            <w:tcBorders>
              <w:bottom w:val="single" w:sz="8" w:color="E6E6E6"/>
            </w:tcBorders>
            <w:gridSpan w:val="4"/>
            <w:shd w:val="clear" w:color="auto" w:fill="E6E6E6"/>
          </w:tcPr>
          <w:p>
            <w:pPr>
              <w:jc w:val="right"/>
              <w:ind w:right="140"/>
              <w:spacing w:after="0"/>
              <w:rPr>
                <w:sz w:val="20"/>
                <w:szCs w:val="20"/>
                <w:color w:val="auto"/>
              </w:rPr>
            </w:pPr>
            <w:r>
              <w:rPr>
                <w:rFonts w:ascii="Arial" w:cs="Arial" w:eastAsia="Arial" w:hAnsi="Arial"/>
                <w:sz w:val="20"/>
                <w:szCs w:val="20"/>
                <w:color w:val="auto"/>
              </w:rPr>
              <w:t>—</w:t>
            </w:r>
          </w:p>
        </w:tc>
        <w:tc>
          <w:tcPr>
            <w:tcW w:w="2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180" w:type="dxa"/>
            <w:vAlign w:val="bottom"/>
            <w:tcBorders>
              <w:bottom w:val="single" w:sz="8" w:color="E6E6E6"/>
            </w:tcBorders>
            <w:shd w:val="clear" w:color="auto" w:fill="E6E6E6"/>
          </w:tcPr>
          <w:p>
            <w:pPr>
              <w:spacing w:after="0"/>
              <w:rPr>
                <w:sz w:val="22"/>
                <w:szCs w:val="22"/>
                <w:color w:val="auto"/>
              </w:rPr>
            </w:pPr>
          </w:p>
        </w:tc>
        <w:tc>
          <w:tcPr>
            <w:tcW w:w="1160" w:type="dxa"/>
            <w:vAlign w:val="bottom"/>
            <w:tcBorders>
              <w:bottom w:val="single" w:sz="8" w:color="E6E6E6"/>
            </w:tcBorders>
            <w:gridSpan w:val="3"/>
            <w:shd w:val="clear" w:color="auto" w:fill="E6E6E6"/>
          </w:tcPr>
          <w:p>
            <w:pPr>
              <w:jc w:val="right"/>
              <w:ind w:right="120"/>
              <w:spacing w:after="0"/>
              <w:rPr>
                <w:sz w:val="20"/>
                <w:szCs w:val="20"/>
                <w:color w:val="auto"/>
              </w:rPr>
            </w:pPr>
            <w:r>
              <w:rPr>
                <w:rFonts w:ascii="Arial" w:cs="Arial" w:eastAsia="Arial" w:hAnsi="Arial"/>
                <w:sz w:val="20"/>
                <w:szCs w:val="20"/>
                <w:color w:val="auto"/>
              </w:rPr>
              <w:t>—</w:t>
            </w:r>
          </w:p>
        </w:tc>
        <w:tc>
          <w:tcPr>
            <w:tcW w:w="4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160" w:type="dxa"/>
            <w:vAlign w:val="bottom"/>
            <w:tcBorders>
              <w:bottom w:val="single" w:sz="8" w:color="E6E6E6"/>
            </w:tcBorders>
            <w:shd w:val="clear" w:color="auto" w:fill="E6E6E6"/>
          </w:tcPr>
          <w:p>
            <w:pPr>
              <w:spacing w:after="0"/>
              <w:rPr>
                <w:sz w:val="22"/>
                <w:szCs w:val="22"/>
                <w:color w:val="auto"/>
              </w:rPr>
            </w:pPr>
          </w:p>
        </w:tc>
        <w:tc>
          <w:tcPr>
            <w:tcW w:w="1380" w:type="dxa"/>
            <w:vAlign w:val="bottom"/>
            <w:tcBorders>
              <w:bottom w:val="single" w:sz="8" w:color="E6E6E6"/>
            </w:tcBorders>
            <w:gridSpan w:val="3"/>
            <w:shd w:val="clear" w:color="auto" w:fill="E6E6E6"/>
          </w:tcPr>
          <w:p>
            <w:pPr>
              <w:jc w:val="right"/>
              <w:ind w:right="120"/>
              <w:spacing w:after="0"/>
              <w:rPr>
                <w:sz w:val="20"/>
                <w:szCs w:val="20"/>
                <w:color w:val="auto"/>
              </w:rPr>
            </w:pPr>
            <w:r>
              <w:rPr>
                <w:rFonts w:ascii="Arial" w:cs="Arial" w:eastAsia="Arial" w:hAnsi="Arial"/>
                <w:sz w:val="20"/>
                <w:szCs w:val="20"/>
                <w:color w:val="auto"/>
              </w:rPr>
              <w:t>—</w:t>
            </w:r>
          </w:p>
        </w:tc>
        <w:tc>
          <w:tcPr>
            <w:tcW w:w="4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220" w:type="dxa"/>
            <w:vAlign w:val="bottom"/>
            <w:tcBorders>
              <w:bottom w:val="single" w:sz="8" w:color="E6E6E6"/>
            </w:tcBorders>
            <w:shd w:val="clear" w:color="auto" w:fill="E6E6E6"/>
          </w:tcPr>
          <w:p>
            <w:pPr>
              <w:spacing w:after="0"/>
              <w:rPr>
                <w:sz w:val="22"/>
                <w:szCs w:val="22"/>
                <w:color w:val="auto"/>
              </w:rPr>
            </w:pPr>
          </w:p>
        </w:tc>
        <w:tc>
          <w:tcPr>
            <w:tcW w:w="10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(86,246)</w:t>
            </w:r>
          </w:p>
        </w:tc>
        <w:tc>
          <w:tcPr>
            <w:tcW w:w="2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260" w:type="dxa"/>
            <w:vAlign w:val="bottom"/>
            <w:tcBorders>
              <w:bottom w:val="single" w:sz="8" w:color="E6E6E6"/>
            </w:tcBorders>
            <w:shd w:val="clear" w:color="auto" w:fill="E6E6E6"/>
          </w:tcPr>
          <w:p>
            <w:pPr>
              <w:spacing w:after="0"/>
              <w:rPr>
                <w:sz w:val="22"/>
                <w:szCs w:val="22"/>
                <w:color w:val="auto"/>
              </w:rPr>
            </w:pPr>
          </w:p>
        </w:tc>
        <w:tc>
          <w:tcPr>
            <w:tcW w:w="10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(86,246)</w:t>
            </w:r>
          </w:p>
        </w:tc>
        <w:tc>
          <w:tcPr>
            <w:tcW w:w="0" w:type="dxa"/>
            <w:vAlign w:val="bottom"/>
          </w:tcPr>
          <w:p>
            <w:pPr>
              <w:spacing w:after="0"/>
              <w:rPr>
                <w:sz w:val="1"/>
                <w:szCs w:val="1"/>
                <w:color w:val="auto"/>
              </w:rPr>
            </w:pPr>
          </w:p>
        </w:tc>
      </w:tr>
      <w:tr>
        <w:trPr>
          <w:trHeight w:val="269"/>
        </w:trPr>
        <w:tc>
          <w:tcPr>
            <w:tcW w:w="4060" w:type="dxa"/>
            <w:vAlign w:val="bottom"/>
            <w:gridSpan w:val="7"/>
          </w:tcPr>
          <w:p>
            <w:pPr>
              <w:ind w:left="40"/>
              <w:spacing w:after="0"/>
              <w:rPr>
                <w:sz w:val="20"/>
                <w:szCs w:val="20"/>
                <w:color w:val="auto"/>
              </w:rPr>
            </w:pPr>
            <w:r>
              <w:rPr>
                <w:rFonts w:ascii="Arial" w:cs="Arial" w:eastAsia="Arial" w:hAnsi="Arial"/>
                <w:sz w:val="20"/>
                <w:szCs w:val="20"/>
                <w:color w:val="auto"/>
              </w:rPr>
              <w:t>Other comprehensive loss</w:t>
            </w: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4"/>
          </w:tcPr>
          <w:p>
            <w:pPr>
              <w:jc w:val="right"/>
              <w:ind w:right="14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4"/>
          </w:tcPr>
          <w:p>
            <w:pPr>
              <w:jc w:val="right"/>
              <w:ind w:right="14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(40,942)</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(40,942)</w:t>
            </w:r>
          </w:p>
        </w:tc>
        <w:tc>
          <w:tcPr>
            <w:tcW w:w="0" w:type="dxa"/>
            <w:vAlign w:val="bottom"/>
          </w:tcPr>
          <w:p>
            <w:pPr>
              <w:spacing w:after="0"/>
              <w:rPr>
                <w:sz w:val="1"/>
                <w:szCs w:val="1"/>
                <w:color w:val="auto"/>
              </w:rPr>
            </w:pPr>
          </w:p>
        </w:tc>
      </w:tr>
      <w:tr>
        <w:trPr>
          <w:trHeight w:val="279"/>
        </w:trPr>
        <w:tc>
          <w:tcPr>
            <w:tcW w:w="4040" w:type="dxa"/>
            <w:vAlign w:val="bottom"/>
            <w:tcBorders>
              <w:top w:val="single" w:sz="8" w:color="E6E6E6"/>
            </w:tcBorders>
            <w:gridSpan w:val="6"/>
            <w:shd w:val="clear" w:color="auto" w:fill="E6E6E6"/>
          </w:tcPr>
          <w:p>
            <w:pPr>
              <w:ind w:left="40"/>
              <w:spacing w:after="0"/>
              <w:rPr>
                <w:sz w:val="20"/>
                <w:szCs w:val="20"/>
                <w:color w:val="auto"/>
              </w:rPr>
            </w:pPr>
            <w:r>
              <w:rPr>
                <w:rFonts w:ascii="Arial" w:cs="Arial" w:eastAsia="Arial" w:hAnsi="Arial"/>
                <w:sz w:val="20"/>
                <w:szCs w:val="20"/>
                <w:color w:val="auto"/>
              </w:rPr>
              <w:t>December 31, 2022</w:t>
            </w:r>
          </w:p>
        </w:tc>
        <w:tc>
          <w:tcPr>
            <w:tcW w:w="20" w:type="dxa"/>
            <w:vAlign w:val="bottom"/>
            <w:tcBorders>
              <w:top w:val="single" w:sz="8" w:color="auto"/>
            </w:tcBorders>
            <w:shd w:val="clear" w:color="auto" w:fill="E6E6E6"/>
          </w:tcPr>
          <w:p>
            <w:pPr>
              <w:spacing w:after="0"/>
              <w:rPr>
                <w:sz w:val="24"/>
                <w:szCs w:val="24"/>
                <w:color w:val="auto"/>
              </w:rPr>
            </w:pPr>
          </w:p>
        </w:tc>
        <w:tc>
          <w:tcPr>
            <w:tcW w:w="120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53,852</w:t>
            </w:r>
          </w:p>
        </w:tc>
        <w:tc>
          <w:tcPr>
            <w:tcW w:w="80" w:type="dxa"/>
            <w:vAlign w:val="bottom"/>
            <w:tcBorders>
              <w:top w:val="single" w:sz="8" w:color="E6E6E6"/>
            </w:tcBorders>
            <w:shd w:val="clear" w:color="auto" w:fill="E6E6E6"/>
          </w:tcPr>
          <w:p>
            <w:pPr>
              <w:spacing w:after="0"/>
              <w:rPr>
                <w:sz w:val="24"/>
                <w:szCs w:val="24"/>
                <w:color w:val="auto"/>
              </w:rPr>
            </w:pPr>
          </w:p>
        </w:tc>
        <w:tc>
          <w:tcPr>
            <w:tcW w:w="20" w:type="dxa"/>
            <w:vAlign w:val="bottom"/>
            <w:tcBorders>
              <w:top w:val="single" w:sz="8" w:color="E6E6E6"/>
            </w:tcBorders>
            <w:shd w:val="clear" w:color="auto" w:fill="E6E6E6"/>
          </w:tcPr>
          <w:p>
            <w:pPr>
              <w:spacing w:after="0"/>
              <w:rPr>
                <w:sz w:val="24"/>
                <w:szCs w:val="24"/>
                <w:color w:val="auto"/>
              </w:rPr>
            </w:pPr>
          </w:p>
        </w:tc>
        <w:tc>
          <w:tcPr>
            <w:tcW w:w="20" w:type="dxa"/>
            <w:vAlign w:val="bottom"/>
            <w:tcBorders>
              <w:top w:val="single" w:sz="8" w:color="auto"/>
            </w:tcBorders>
            <w:shd w:val="clear" w:color="auto" w:fill="E6E6E6"/>
          </w:tcPr>
          <w:p>
            <w:pPr>
              <w:spacing w:after="0"/>
              <w:rPr>
                <w:sz w:val="24"/>
                <w:szCs w:val="24"/>
                <w:color w:val="auto"/>
              </w:rPr>
            </w:pPr>
          </w:p>
        </w:tc>
        <w:tc>
          <w:tcPr>
            <w:tcW w:w="180" w:type="dxa"/>
            <w:vAlign w:val="bottom"/>
            <w:tcBorders>
              <w:top w:val="single" w:sz="8" w:color="auto"/>
            </w:tcBorders>
            <w:shd w:val="clear" w:color="auto" w:fill="E6E6E6"/>
          </w:tcPr>
          <w:p>
            <w:pPr>
              <w:spacing w:after="0"/>
              <w:rPr>
                <w:sz w:val="24"/>
                <w:szCs w:val="24"/>
                <w:color w:val="auto"/>
              </w:rPr>
            </w:pPr>
          </w:p>
        </w:tc>
        <w:tc>
          <w:tcPr>
            <w:tcW w:w="112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82,424</w:t>
            </w:r>
          </w:p>
        </w:tc>
        <w:tc>
          <w:tcPr>
            <w:tcW w:w="20" w:type="dxa"/>
            <w:vAlign w:val="bottom"/>
            <w:tcBorders>
              <w:top w:val="single" w:sz="8" w:color="auto"/>
            </w:tcBorders>
            <w:shd w:val="clear" w:color="auto" w:fill="E6E6E6"/>
          </w:tcPr>
          <w:p>
            <w:pPr>
              <w:spacing w:after="0"/>
              <w:rPr>
                <w:sz w:val="24"/>
                <w:szCs w:val="24"/>
                <w:color w:val="auto"/>
              </w:rPr>
            </w:pPr>
          </w:p>
        </w:tc>
        <w:tc>
          <w:tcPr>
            <w:tcW w:w="20" w:type="dxa"/>
            <w:vAlign w:val="bottom"/>
            <w:tcBorders>
              <w:top w:val="single" w:sz="8" w:color="auto"/>
            </w:tcBorders>
            <w:shd w:val="clear" w:color="auto" w:fill="E6E6E6"/>
          </w:tcPr>
          <w:p>
            <w:pPr>
              <w:spacing w:after="0"/>
              <w:rPr>
                <w:sz w:val="24"/>
                <w:szCs w:val="24"/>
                <w:color w:val="auto"/>
              </w:rPr>
            </w:pPr>
          </w:p>
        </w:tc>
        <w:tc>
          <w:tcPr>
            <w:tcW w:w="20" w:type="dxa"/>
            <w:vAlign w:val="bottom"/>
            <w:tcBorders>
              <w:top w:val="single" w:sz="8" w:color="E6E6E6"/>
            </w:tcBorders>
            <w:shd w:val="clear" w:color="auto" w:fill="E6E6E6"/>
          </w:tcPr>
          <w:p>
            <w:pPr>
              <w:spacing w:after="0"/>
              <w:rPr>
                <w:sz w:val="24"/>
                <w:szCs w:val="24"/>
                <w:color w:val="auto"/>
              </w:rPr>
            </w:pPr>
          </w:p>
        </w:tc>
        <w:tc>
          <w:tcPr>
            <w:tcW w:w="20" w:type="dxa"/>
            <w:vAlign w:val="bottom"/>
            <w:tcBorders>
              <w:top w:val="single" w:sz="8" w:color="E6E6E6"/>
            </w:tcBorders>
            <w:shd w:val="clear" w:color="auto" w:fill="E6E6E6"/>
          </w:tcPr>
          <w:p>
            <w:pPr>
              <w:spacing w:after="0"/>
              <w:rPr>
                <w:sz w:val="24"/>
                <w:szCs w:val="24"/>
                <w:color w:val="auto"/>
              </w:rPr>
            </w:pPr>
          </w:p>
        </w:tc>
        <w:tc>
          <w:tcPr>
            <w:tcW w:w="20" w:type="dxa"/>
            <w:vAlign w:val="bottom"/>
            <w:tcBorders>
              <w:top w:val="single" w:sz="8" w:color="auto"/>
            </w:tcBorders>
            <w:shd w:val="clear" w:color="auto" w:fill="E6E6E6"/>
          </w:tcPr>
          <w:p>
            <w:pPr>
              <w:spacing w:after="0"/>
              <w:rPr>
                <w:sz w:val="24"/>
                <w:szCs w:val="24"/>
                <w:color w:val="auto"/>
              </w:rPr>
            </w:pPr>
          </w:p>
        </w:tc>
        <w:tc>
          <w:tcPr>
            <w:tcW w:w="160" w:type="dxa"/>
            <w:vAlign w:val="bottom"/>
            <w:tcBorders>
              <w:top w:val="single" w:sz="8" w:color="auto"/>
            </w:tcBorders>
            <w:shd w:val="clear" w:color="auto" w:fill="E6E6E6"/>
          </w:tcPr>
          <w:p>
            <w:pPr>
              <w:spacing w:after="0"/>
              <w:rPr>
                <w:sz w:val="24"/>
                <w:szCs w:val="24"/>
                <w:color w:val="auto"/>
              </w:rPr>
            </w:pPr>
          </w:p>
        </w:tc>
        <w:tc>
          <w:tcPr>
            <w:tcW w:w="116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2,157,724</w:t>
            </w:r>
          </w:p>
        </w:tc>
        <w:tc>
          <w:tcPr>
            <w:tcW w:w="20" w:type="dxa"/>
            <w:vAlign w:val="bottom"/>
            <w:tcBorders>
              <w:top w:val="single" w:sz="8" w:color="auto"/>
            </w:tcBorders>
            <w:shd w:val="clear" w:color="auto" w:fill="E6E6E6"/>
          </w:tcPr>
          <w:p>
            <w:pPr>
              <w:spacing w:after="0"/>
              <w:rPr>
                <w:sz w:val="24"/>
                <w:szCs w:val="24"/>
                <w:color w:val="auto"/>
              </w:rPr>
            </w:pPr>
          </w:p>
        </w:tc>
        <w:tc>
          <w:tcPr>
            <w:tcW w:w="20" w:type="dxa"/>
            <w:vAlign w:val="bottom"/>
            <w:tcBorders>
              <w:top w:val="single" w:sz="8" w:color="auto"/>
            </w:tcBorders>
            <w:shd w:val="clear" w:color="auto" w:fill="E6E6E6"/>
          </w:tcPr>
          <w:p>
            <w:pPr>
              <w:spacing w:after="0"/>
              <w:rPr>
                <w:sz w:val="24"/>
                <w:szCs w:val="24"/>
                <w:color w:val="auto"/>
              </w:rPr>
            </w:pPr>
          </w:p>
        </w:tc>
        <w:tc>
          <w:tcPr>
            <w:tcW w:w="20" w:type="dxa"/>
            <w:vAlign w:val="bottom"/>
            <w:tcBorders>
              <w:top w:val="single" w:sz="8" w:color="E6E6E6"/>
            </w:tcBorders>
            <w:shd w:val="clear" w:color="auto" w:fill="E6E6E6"/>
          </w:tcPr>
          <w:p>
            <w:pPr>
              <w:spacing w:after="0"/>
              <w:rPr>
                <w:sz w:val="24"/>
                <w:szCs w:val="24"/>
                <w:color w:val="auto"/>
              </w:rPr>
            </w:pPr>
          </w:p>
        </w:tc>
        <w:tc>
          <w:tcPr>
            <w:tcW w:w="20" w:type="dxa"/>
            <w:vAlign w:val="bottom"/>
            <w:tcBorders>
              <w:top w:val="single" w:sz="8" w:color="E6E6E6"/>
            </w:tcBorders>
            <w:shd w:val="clear" w:color="auto" w:fill="E6E6E6"/>
          </w:tcPr>
          <w:p>
            <w:pPr>
              <w:spacing w:after="0"/>
              <w:rPr>
                <w:sz w:val="24"/>
                <w:szCs w:val="24"/>
                <w:color w:val="auto"/>
              </w:rPr>
            </w:pPr>
          </w:p>
        </w:tc>
        <w:tc>
          <w:tcPr>
            <w:tcW w:w="20" w:type="dxa"/>
            <w:vAlign w:val="bottom"/>
            <w:tcBorders>
              <w:top w:val="single" w:sz="8" w:color="auto"/>
            </w:tcBorders>
            <w:shd w:val="clear" w:color="auto" w:fill="E6E6E6"/>
          </w:tcPr>
          <w:p>
            <w:pPr>
              <w:spacing w:after="0"/>
              <w:rPr>
                <w:sz w:val="24"/>
                <w:szCs w:val="24"/>
                <w:color w:val="auto"/>
              </w:rPr>
            </w:pPr>
          </w:p>
        </w:tc>
        <w:tc>
          <w:tcPr>
            <w:tcW w:w="180" w:type="dxa"/>
            <w:vAlign w:val="bottom"/>
            <w:tcBorders>
              <w:top w:val="single" w:sz="8" w:color="auto"/>
            </w:tcBorders>
            <w:shd w:val="clear" w:color="auto" w:fill="E6E6E6"/>
          </w:tcPr>
          <w:p>
            <w:pPr>
              <w:spacing w:after="0"/>
              <w:rPr>
                <w:sz w:val="24"/>
                <w:szCs w:val="24"/>
                <w:color w:val="auto"/>
              </w:rPr>
            </w:pPr>
          </w:p>
        </w:tc>
        <w:tc>
          <w:tcPr>
            <w:tcW w:w="112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(375)</w:t>
            </w:r>
          </w:p>
        </w:tc>
        <w:tc>
          <w:tcPr>
            <w:tcW w:w="20" w:type="dxa"/>
            <w:vAlign w:val="bottom"/>
            <w:tcBorders>
              <w:top w:val="single" w:sz="8" w:color="auto"/>
            </w:tcBorders>
            <w:shd w:val="clear" w:color="auto" w:fill="E6E6E6"/>
          </w:tcPr>
          <w:p>
            <w:pPr>
              <w:spacing w:after="0"/>
              <w:rPr>
                <w:sz w:val="24"/>
                <w:szCs w:val="24"/>
                <w:color w:val="auto"/>
              </w:rPr>
            </w:pPr>
          </w:p>
        </w:tc>
        <w:tc>
          <w:tcPr>
            <w:tcW w:w="20" w:type="dxa"/>
            <w:vAlign w:val="bottom"/>
            <w:tcBorders>
              <w:top w:val="single" w:sz="8" w:color="auto"/>
            </w:tcBorders>
            <w:shd w:val="clear" w:color="auto" w:fill="E6E6E6"/>
          </w:tcPr>
          <w:p>
            <w:pPr>
              <w:spacing w:after="0"/>
              <w:rPr>
                <w:sz w:val="24"/>
                <w:szCs w:val="24"/>
                <w:color w:val="auto"/>
              </w:rPr>
            </w:pPr>
          </w:p>
        </w:tc>
        <w:tc>
          <w:tcPr>
            <w:tcW w:w="40" w:type="dxa"/>
            <w:vAlign w:val="bottom"/>
            <w:tcBorders>
              <w:top w:val="single" w:sz="8" w:color="E6E6E6"/>
            </w:tcBorders>
            <w:shd w:val="clear" w:color="auto" w:fill="E6E6E6"/>
          </w:tcPr>
          <w:p>
            <w:pPr>
              <w:spacing w:after="0"/>
              <w:rPr>
                <w:sz w:val="24"/>
                <w:szCs w:val="24"/>
                <w:color w:val="auto"/>
              </w:rPr>
            </w:pPr>
          </w:p>
        </w:tc>
        <w:tc>
          <w:tcPr>
            <w:tcW w:w="20" w:type="dxa"/>
            <w:vAlign w:val="bottom"/>
            <w:tcBorders>
              <w:top w:val="single" w:sz="8" w:color="auto"/>
            </w:tcBorders>
            <w:shd w:val="clear" w:color="auto" w:fill="E6E6E6"/>
          </w:tcPr>
          <w:p>
            <w:pPr>
              <w:spacing w:after="0"/>
              <w:rPr>
                <w:sz w:val="24"/>
                <w:szCs w:val="24"/>
                <w:color w:val="auto"/>
              </w:rPr>
            </w:pPr>
          </w:p>
        </w:tc>
        <w:tc>
          <w:tcPr>
            <w:tcW w:w="160" w:type="dxa"/>
            <w:vAlign w:val="bottom"/>
            <w:tcBorders>
              <w:top w:val="single" w:sz="8" w:color="auto"/>
            </w:tcBorders>
            <w:shd w:val="clear" w:color="auto" w:fill="E6E6E6"/>
          </w:tcPr>
          <w:p>
            <w:pPr>
              <w:spacing w:after="0"/>
              <w:rPr>
                <w:sz w:val="24"/>
                <w:szCs w:val="24"/>
                <w:color w:val="auto"/>
              </w:rPr>
            </w:pPr>
          </w:p>
        </w:tc>
        <w:tc>
          <w:tcPr>
            <w:tcW w:w="134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(48,119)</w:t>
            </w:r>
          </w:p>
        </w:tc>
        <w:tc>
          <w:tcPr>
            <w:tcW w:w="20" w:type="dxa"/>
            <w:vAlign w:val="bottom"/>
            <w:tcBorders>
              <w:top w:val="single" w:sz="8" w:color="auto"/>
            </w:tcBorders>
            <w:shd w:val="clear" w:color="auto" w:fill="E6E6E6"/>
          </w:tcPr>
          <w:p>
            <w:pPr>
              <w:spacing w:after="0"/>
              <w:rPr>
                <w:sz w:val="24"/>
                <w:szCs w:val="24"/>
                <w:color w:val="auto"/>
              </w:rPr>
            </w:pPr>
          </w:p>
        </w:tc>
        <w:tc>
          <w:tcPr>
            <w:tcW w:w="20" w:type="dxa"/>
            <w:vAlign w:val="bottom"/>
            <w:tcBorders>
              <w:top w:val="single" w:sz="8" w:color="E6E6E6"/>
            </w:tcBorders>
            <w:shd w:val="clear" w:color="auto" w:fill="E6E6E6"/>
          </w:tcPr>
          <w:p>
            <w:pPr>
              <w:spacing w:after="0"/>
              <w:rPr>
                <w:sz w:val="24"/>
                <w:szCs w:val="24"/>
                <w:color w:val="auto"/>
              </w:rPr>
            </w:pPr>
          </w:p>
        </w:tc>
        <w:tc>
          <w:tcPr>
            <w:tcW w:w="40" w:type="dxa"/>
            <w:vAlign w:val="bottom"/>
            <w:tcBorders>
              <w:top w:val="single" w:sz="8" w:color="E6E6E6"/>
            </w:tcBorders>
            <w:shd w:val="clear" w:color="auto" w:fill="E6E6E6"/>
          </w:tcPr>
          <w:p>
            <w:pPr>
              <w:spacing w:after="0"/>
              <w:rPr>
                <w:sz w:val="24"/>
                <w:szCs w:val="24"/>
                <w:color w:val="auto"/>
              </w:rPr>
            </w:pPr>
          </w:p>
        </w:tc>
        <w:tc>
          <w:tcPr>
            <w:tcW w:w="20" w:type="dxa"/>
            <w:vAlign w:val="bottom"/>
            <w:tcBorders>
              <w:top w:val="single" w:sz="8" w:color="E6E6E6"/>
            </w:tcBorders>
            <w:shd w:val="clear" w:color="auto" w:fill="E6E6E6"/>
          </w:tcPr>
          <w:p>
            <w:pPr>
              <w:spacing w:after="0"/>
              <w:rPr>
                <w:sz w:val="24"/>
                <w:szCs w:val="24"/>
                <w:color w:val="auto"/>
              </w:rPr>
            </w:pPr>
          </w:p>
        </w:tc>
        <w:tc>
          <w:tcPr>
            <w:tcW w:w="20" w:type="dxa"/>
            <w:vAlign w:val="bottom"/>
            <w:tcBorders>
              <w:top w:val="single" w:sz="8" w:color="E6E6E6"/>
            </w:tcBorders>
            <w:shd w:val="clear" w:color="auto" w:fill="E6E6E6"/>
          </w:tcPr>
          <w:p>
            <w:pPr>
              <w:spacing w:after="0"/>
              <w:rPr>
                <w:sz w:val="24"/>
                <w:szCs w:val="24"/>
                <w:color w:val="auto"/>
              </w:rPr>
            </w:pPr>
          </w:p>
        </w:tc>
        <w:tc>
          <w:tcPr>
            <w:tcW w:w="220" w:type="dxa"/>
            <w:vAlign w:val="bottom"/>
            <w:tcBorders>
              <w:top w:val="single" w:sz="8" w:color="auto"/>
            </w:tcBorders>
            <w:shd w:val="clear" w:color="auto" w:fill="E6E6E6"/>
          </w:tcPr>
          <w:p>
            <w:pPr>
              <w:spacing w:after="0"/>
              <w:rPr>
                <w:sz w:val="24"/>
                <w:szCs w:val="24"/>
                <w:color w:val="auto"/>
              </w:rPr>
            </w:pPr>
          </w:p>
        </w:tc>
        <w:tc>
          <w:tcPr>
            <w:tcW w:w="108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(984,030)</w:t>
            </w:r>
          </w:p>
        </w:tc>
        <w:tc>
          <w:tcPr>
            <w:tcW w:w="20" w:type="dxa"/>
            <w:vAlign w:val="bottom"/>
            <w:tcBorders>
              <w:top w:val="single" w:sz="8" w:color="auto"/>
            </w:tcBorders>
            <w:shd w:val="clear" w:color="auto" w:fill="E6E6E6"/>
          </w:tcPr>
          <w:p>
            <w:pPr>
              <w:spacing w:after="0"/>
              <w:rPr>
                <w:sz w:val="24"/>
                <w:szCs w:val="24"/>
                <w:color w:val="auto"/>
              </w:rPr>
            </w:pPr>
          </w:p>
        </w:tc>
        <w:tc>
          <w:tcPr>
            <w:tcW w:w="20" w:type="dxa"/>
            <w:vAlign w:val="bottom"/>
            <w:tcBorders>
              <w:top w:val="single" w:sz="8" w:color="auto"/>
            </w:tcBorders>
            <w:shd w:val="clear" w:color="auto" w:fill="E6E6E6"/>
          </w:tcPr>
          <w:p>
            <w:pPr>
              <w:spacing w:after="0"/>
              <w:rPr>
                <w:sz w:val="24"/>
                <w:szCs w:val="24"/>
                <w:color w:val="auto"/>
              </w:rPr>
            </w:pPr>
          </w:p>
        </w:tc>
        <w:tc>
          <w:tcPr>
            <w:tcW w:w="20" w:type="dxa"/>
            <w:vAlign w:val="bottom"/>
            <w:tcBorders>
              <w:top w:val="single" w:sz="8" w:color="E6E6E6"/>
            </w:tcBorders>
            <w:shd w:val="clear" w:color="auto" w:fill="E6E6E6"/>
          </w:tcPr>
          <w:p>
            <w:pPr>
              <w:spacing w:after="0"/>
              <w:rPr>
                <w:sz w:val="24"/>
                <w:szCs w:val="24"/>
                <w:color w:val="auto"/>
              </w:rPr>
            </w:pPr>
          </w:p>
        </w:tc>
        <w:tc>
          <w:tcPr>
            <w:tcW w:w="20" w:type="dxa"/>
            <w:vAlign w:val="bottom"/>
            <w:tcBorders>
              <w:top w:val="single" w:sz="8" w:color="E6E6E6"/>
            </w:tcBorders>
            <w:shd w:val="clear" w:color="auto" w:fill="E6E6E6"/>
          </w:tcPr>
          <w:p>
            <w:pPr>
              <w:spacing w:after="0"/>
              <w:rPr>
                <w:sz w:val="24"/>
                <w:szCs w:val="24"/>
                <w:color w:val="auto"/>
              </w:rPr>
            </w:pPr>
          </w:p>
        </w:tc>
        <w:tc>
          <w:tcPr>
            <w:tcW w:w="260" w:type="dxa"/>
            <w:vAlign w:val="bottom"/>
            <w:tcBorders>
              <w:top w:val="single" w:sz="8" w:color="auto"/>
            </w:tcBorders>
            <w:shd w:val="clear" w:color="auto" w:fill="E6E6E6"/>
          </w:tcPr>
          <w:p>
            <w:pPr>
              <w:spacing w:after="0"/>
              <w:rPr>
                <w:sz w:val="24"/>
                <w:szCs w:val="24"/>
                <w:color w:val="auto"/>
              </w:rPr>
            </w:pPr>
          </w:p>
        </w:tc>
        <w:tc>
          <w:tcPr>
            <w:tcW w:w="106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1,207,624</w:t>
            </w:r>
          </w:p>
        </w:tc>
        <w:tc>
          <w:tcPr>
            <w:tcW w:w="0" w:type="dxa"/>
            <w:vAlign w:val="bottom"/>
          </w:tcPr>
          <w:p>
            <w:pPr>
              <w:spacing w:after="0"/>
              <w:rPr>
                <w:sz w:val="1"/>
                <w:szCs w:val="1"/>
                <w:color w:val="auto"/>
              </w:rPr>
            </w:pPr>
          </w:p>
        </w:tc>
      </w:tr>
      <w:tr>
        <w:trPr>
          <w:trHeight w:val="244"/>
        </w:trPr>
        <w:tc>
          <w:tcPr>
            <w:tcW w:w="4020" w:type="dxa"/>
            <w:vAlign w:val="bottom"/>
            <w:tcBorders>
              <w:top w:val="single" w:sz="8" w:color="E6E6E6"/>
            </w:tcBorders>
            <w:gridSpan w:val="5"/>
          </w:tcPr>
          <w:p>
            <w:pPr>
              <w:ind w:left="40"/>
              <w:spacing w:after="0"/>
              <w:rPr>
                <w:sz w:val="20"/>
                <w:szCs w:val="20"/>
                <w:color w:val="auto"/>
              </w:rPr>
            </w:pPr>
            <w:r>
              <w:rPr>
                <w:rFonts w:ascii="Arial" w:cs="Arial" w:eastAsia="Arial" w:hAnsi="Arial"/>
                <w:sz w:val="20"/>
                <w:szCs w:val="20"/>
                <w:color w:val="auto"/>
              </w:rPr>
              <w:t>Stock-based compensation plans</w:t>
            </w:r>
          </w:p>
        </w:tc>
        <w:tc>
          <w:tcPr>
            <w:tcW w:w="40" w:type="dxa"/>
            <w:vAlign w:val="bottom"/>
            <w:tcBorders>
              <w:top w:val="single" w:sz="8" w:color="auto"/>
            </w:tcBorders>
            <w:gridSpan w:val="2"/>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90</w:t>
            </w:r>
          </w:p>
        </w:tc>
        <w:tc>
          <w:tcPr>
            <w:tcW w:w="80" w:type="dxa"/>
            <w:vAlign w:val="bottom"/>
            <w:tcBorders>
              <w:top w:val="single" w:sz="8" w:color="E6E6E6"/>
            </w:tcBorders>
          </w:tcPr>
          <w:p>
            <w:pPr>
              <w:spacing w:after="0"/>
              <w:rPr>
                <w:sz w:val="21"/>
                <w:szCs w:val="21"/>
                <w:color w:val="auto"/>
              </w:rPr>
            </w:pPr>
          </w:p>
        </w:tc>
        <w:tc>
          <w:tcPr>
            <w:tcW w:w="20" w:type="dxa"/>
            <w:vAlign w:val="bottom"/>
            <w:tcBorders>
              <w:top w:val="single" w:sz="8" w:color="E6E6E6"/>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109</w:t>
            </w: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E6E6E6"/>
            </w:tcBorders>
          </w:tcPr>
          <w:p>
            <w:pPr>
              <w:spacing w:after="0"/>
              <w:rPr>
                <w:sz w:val="21"/>
                <w:szCs w:val="21"/>
                <w:color w:val="auto"/>
              </w:rPr>
            </w:pPr>
          </w:p>
        </w:tc>
        <w:tc>
          <w:tcPr>
            <w:tcW w:w="20" w:type="dxa"/>
            <w:vAlign w:val="bottom"/>
            <w:tcBorders>
              <w:top w:val="single" w:sz="8" w:color="E6E6E6"/>
            </w:tcBorders>
          </w:tcPr>
          <w:p>
            <w:pPr>
              <w:spacing w:after="0"/>
              <w:rPr>
                <w:sz w:val="21"/>
                <w:szCs w:val="21"/>
                <w:color w:val="auto"/>
              </w:rPr>
            </w:pPr>
          </w:p>
        </w:tc>
        <w:tc>
          <w:tcPr>
            <w:tcW w:w="20" w:type="dxa"/>
            <w:vAlign w:val="bottom"/>
            <w:tcBorders>
              <w:top w:val="single" w:sz="8" w:color="E6E6E6"/>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31,793</w:t>
            </w: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E6E6E6"/>
            </w:tcBorders>
          </w:tcPr>
          <w:p>
            <w:pPr>
              <w:spacing w:after="0"/>
              <w:rPr>
                <w:sz w:val="21"/>
                <w:szCs w:val="21"/>
                <w:color w:val="auto"/>
              </w:rPr>
            </w:pPr>
          </w:p>
        </w:tc>
        <w:tc>
          <w:tcPr>
            <w:tcW w:w="20" w:type="dxa"/>
            <w:vAlign w:val="bottom"/>
            <w:tcBorders>
              <w:top w:val="single" w:sz="8" w:color="E6E6E6"/>
            </w:tcBorders>
          </w:tcPr>
          <w:p>
            <w:pPr>
              <w:spacing w:after="0"/>
              <w:rPr>
                <w:sz w:val="21"/>
                <w:szCs w:val="21"/>
                <w:color w:val="auto"/>
              </w:rPr>
            </w:pPr>
          </w:p>
        </w:tc>
        <w:tc>
          <w:tcPr>
            <w:tcW w:w="20" w:type="dxa"/>
            <w:vAlign w:val="bottom"/>
            <w:tcBorders>
              <w:top w:val="single" w:sz="8" w:color="E6E6E6"/>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320</w:t>
            </w: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E6E6E6"/>
            </w:tcBorders>
          </w:tcPr>
          <w:p>
            <w:pPr>
              <w:spacing w:after="0"/>
              <w:rPr>
                <w:sz w:val="21"/>
                <w:szCs w:val="21"/>
                <w:color w:val="auto"/>
              </w:rPr>
            </w:pPr>
          </w:p>
        </w:tc>
        <w:tc>
          <w:tcPr>
            <w:tcW w:w="40" w:type="dxa"/>
            <w:vAlign w:val="bottom"/>
            <w:tcBorders>
              <w:top w:val="single" w:sz="8" w:color="E6E6E6"/>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20"/>
                <w:szCs w:val="20"/>
                <w:color w:val="auto"/>
              </w:rPr>
              <w:t>—</w:t>
            </w:r>
          </w:p>
        </w:tc>
        <w:tc>
          <w:tcPr>
            <w:tcW w:w="20" w:type="dxa"/>
            <w:vAlign w:val="bottom"/>
            <w:tcBorders>
              <w:top w:val="single" w:sz="8" w:color="E6E6E6"/>
            </w:tcBorders>
          </w:tcPr>
          <w:p>
            <w:pPr>
              <w:spacing w:after="0"/>
              <w:rPr>
                <w:sz w:val="21"/>
                <w:szCs w:val="21"/>
                <w:color w:val="auto"/>
              </w:rPr>
            </w:pPr>
          </w:p>
        </w:tc>
        <w:tc>
          <w:tcPr>
            <w:tcW w:w="40" w:type="dxa"/>
            <w:vAlign w:val="bottom"/>
            <w:tcBorders>
              <w:top w:val="single" w:sz="8" w:color="E6E6E6"/>
            </w:tcBorders>
          </w:tcPr>
          <w:p>
            <w:pPr>
              <w:spacing w:after="0"/>
              <w:rPr>
                <w:sz w:val="21"/>
                <w:szCs w:val="21"/>
                <w:color w:val="auto"/>
              </w:rPr>
            </w:pPr>
          </w:p>
        </w:tc>
        <w:tc>
          <w:tcPr>
            <w:tcW w:w="20" w:type="dxa"/>
            <w:vAlign w:val="bottom"/>
            <w:tcBorders>
              <w:top w:val="single" w:sz="8" w:color="E6E6E6"/>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20"/>
                <w:szCs w:val="20"/>
                <w:color w:val="auto"/>
              </w:rPr>
              <w:t>—</w:t>
            </w:r>
          </w:p>
        </w:tc>
        <w:tc>
          <w:tcPr>
            <w:tcW w:w="20" w:type="dxa"/>
            <w:vAlign w:val="bottom"/>
            <w:tcBorders>
              <w:top w:val="single" w:sz="8" w:color="E6E6E6"/>
            </w:tcBorders>
          </w:tcPr>
          <w:p>
            <w:pPr>
              <w:spacing w:after="0"/>
              <w:rPr>
                <w:sz w:val="21"/>
                <w:szCs w:val="21"/>
                <w:color w:val="auto"/>
              </w:rPr>
            </w:pPr>
          </w:p>
        </w:tc>
        <w:tc>
          <w:tcPr>
            <w:tcW w:w="20" w:type="dxa"/>
            <w:vAlign w:val="bottom"/>
            <w:tcBorders>
              <w:top w:val="single" w:sz="8" w:color="E6E6E6"/>
            </w:tcBorders>
          </w:tcPr>
          <w:p>
            <w:pPr>
              <w:spacing w:after="0"/>
              <w:rPr>
                <w:sz w:val="21"/>
                <w:szCs w:val="21"/>
                <w:color w:val="auto"/>
              </w:rPr>
            </w:pPr>
          </w:p>
        </w:tc>
        <w:tc>
          <w:tcPr>
            <w:tcW w:w="20" w:type="dxa"/>
            <w:vAlign w:val="bottom"/>
            <w:tcBorders>
              <w:top w:val="single" w:sz="8" w:color="E6E6E6"/>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32,222</w:t>
            </w:r>
          </w:p>
        </w:tc>
        <w:tc>
          <w:tcPr>
            <w:tcW w:w="0" w:type="dxa"/>
            <w:vAlign w:val="bottom"/>
          </w:tcPr>
          <w:p>
            <w:pPr>
              <w:spacing w:after="0"/>
              <w:rPr>
                <w:sz w:val="1"/>
                <w:szCs w:val="1"/>
                <w:color w:val="auto"/>
              </w:rPr>
            </w:pPr>
          </w:p>
        </w:tc>
      </w:tr>
      <w:tr>
        <w:trPr>
          <w:trHeight w:val="265"/>
        </w:trPr>
        <w:tc>
          <w:tcPr>
            <w:tcW w:w="4060" w:type="dxa"/>
            <w:vAlign w:val="bottom"/>
            <w:tcBorders>
              <w:bottom w:val="single" w:sz="8" w:color="E6E6E6"/>
            </w:tcBorders>
            <w:gridSpan w:val="7"/>
            <w:shd w:val="clear" w:color="auto" w:fill="E6E6E6"/>
          </w:tcPr>
          <w:p>
            <w:pPr>
              <w:ind w:left="40"/>
              <w:spacing w:after="0"/>
              <w:rPr>
                <w:sz w:val="20"/>
                <w:szCs w:val="20"/>
                <w:color w:val="auto"/>
              </w:rPr>
            </w:pPr>
            <w:r>
              <w:rPr>
                <w:rFonts w:ascii="Arial" w:cs="Arial" w:eastAsia="Arial" w:hAnsi="Arial"/>
                <w:sz w:val="20"/>
                <w:szCs w:val="20"/>
                <w:color w:val="auto"/>
              </w:rPr>
              <w:t>Net income</w:t>
            </w:r>
          </w:p>
        </w:tc>
        <w:tc>
          <w:tcPr>
            <w:tcW w:w="12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180" w:type="dxa"/>
            <w:vAlign w:val="bottom"/>
            <w:tcBorders>
              <w:bottom w:val="single" w:sz="8" w:color="E6E6E6"/>
            </w:tcBorders>
            <w:shd w:val="clear" w:color="auto" w:fill="E6E6E6"/>
          </w:tcPr>
          <w:p>
            <w:pPr>
              <w:spacing w:after="0"/>
              <w:rPr>
                <w:sz w:val="23"/>
                <w:szCs w:val="23"/>
                <w:color w:val="auto"/>
              </w:rPr>
            </w:pPr>
          </w:p>
        </w:tc>
        <w:tc>
          <w:tcPr>
            <w:tcW w:w="1180" w:type="dxa"/>
            <w:vAlign w:val="bottom"/>
            <w:tcBorders>
              <w:bottom w:val="single" w:sz="8" w:color="E6E6E6"/>
            </w:tcBorders>
            <w:gridSpan w:val="4"/>
            <w:shd w:val="clear" w:color="auto" w:fill="E6E6E6"/>
          </w:tcPr>
          <w:p>
            <w:pPr>
              <w:jc w:val="right"/>
              <w:ind w:right="140"/>
              <w:spacing w:after="0"/>
              <w:rPr>
                <w:sz w:val="20"/>
                <w:szCs w:val="20"/>
                <w:color w:val="auto"/>
              </w:rPr>
            </w:pPr>
            <w:r>
              <w:rPr>
                <w:rFonts w:ascii="Arial" w:cs="Arial" w:eastAsia="Arial" w:hAnsi="Arial"/>
                <w:sz w:val="20"/>
                <w:szCs w:val="20"/>
                <w:color w:val="auto"/>
              </w:rPr>
              <w:t>—</w:t>
            </w:r>
          </w:p>
        </w:tc>
        <w:tc>
          <w:tcPr>
            <w:tcW w:w="2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160" w:type="dxa"/>
            <w:vAlign w:val="bottom"/>
            <w:tcBorders>
              <w:bottom w:val="single" w:sz="8" w:color="E6E6E6"/>
            </w:tcBorders>
            <w:shd w:val="clear" w:color="auto" w:fill="E6E6E6"/>
          </w:tcPr>
          <w:p>
            <w:pPr>
              <w:spacing w:after="0"/>
              <w:rPr>
                <w:sz w:val="23"/>
                <w:szCs w:val="23"/>
                <w:color w:val="auto"/>
              </w:rPr>
            </w:pPr>
          </w:p>
        </w:tc>
        <w:tc>
          <w:tcPr>
            <w:tcW w:w="1220" w:type="dxa"/>
            <w:vAlign w:val="bottom"/>
            <w:tcBorders>
              <w:bottom w:val="single" w:sz="8" w:color="E6E6E6"/>
            </w:tcBorders>
            <w:gridSpan w:val="4"/>
            <w:shd w:val="clear" w:color="auto" w:fill="E6E6E6"/>
          </w:tcPr>
          <w:p>
            <w:pPr>
              <w:jc w:val="right"/>
              <w:ind w:right="140"/>
              <w:spacing w:after="0"/>
              <w:rPr>
                <w:sz w:val="20"/>
                <w:szCs w:val="20"/>
                <w:color w:val="auto"/>
              </w:rPr>
            </w:pPr>
            <w:r>
              <w:rPr>
                <w:rFonts w:ascii="Arial" w:cs="Arial" w:eastAsia="Arial" w:hAnsi="Arial"/>
                <w:sz w:val="20"/>
                <w:szCs w:val="20"/>
                <w:color w:val="auto"/>
              </w:rPr>
              <w:t>—</w:t>
            </w:r>
          </w:p>
        </w:tc>
        <w:tc>
          <w:tcPr>
            <w:tcW w:w="2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180" w:type="dxa"/>
            <w:vAlign w:val="bottom"/>
            <w:tcBorders>
              <w:bottom w:val="single" w:sz="8" w:color="E6E6E6"/>
            </w:tcBorders>
            <w:shd w:val="clear" w:color="auto" w:fill="E6E6E6"/>
          </w:tcPr>
          <w:p>
            <w:pPr>
              <w:spacing w:after="0"/>
              <w:rPr>
                <w:sz w:val="23"/>
                <w:szCs w:val="23"/>
                <w:color w:val="auto"/>
              </w:rPr>
            </w:pPr>
          </w:p>
        </w:tc>
        <w:tc>
          <w:tcPr>
            <w:tcW w:w="1160" w:type="dxa"/>
            <w:vAlign w:val="bottom"/>
            <w:tcBorders>
              <w:bottom w:val="single" w:sz="8" w:color="E6E6E6"/>
            </w:tcBorders>
            <w:gridSpan w:val="3"/>
            <w:shd w:val="clear" w:color="auto" w:fill="E6E6E6"/>
          </w:tcPr>
          <w:p>
            <w:pPr>
              <w:jc w:val="right"/>
              <w:ind w:right="120"/>
              <w:spacing w:after="0"/>
              <w:rPr>
                <w:sz w:val="20"/>
                <w:szCs w:val="20"/>
                <w:color w:val="auto"/>
              </w:rPr>
            </w:pPr>
            <w:r>
              <w:rPr>
                <w:rFonts w:ascii="Arial" w:cs="Arial" w:eastAsia="Arial" w:hAnsi="Arial"/>
                <w:sz w:val="20"/>
                <w:szCs w:val="20"/>
                <w:color w:val="auto"/>
              </w:rPr>
              <w:t>—</w:t>
            </w:r>
          </w:p>
        </w:tc>
        <w:tc>
          <w:tcPr>
            <w:tcW w:w="4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160" w:type="dxa"/>
            <w:vAlign w:val="bottom"/>
            <w:tcBorders>
              <w:bottom w:val="single" w:sz="8" w:color="E6E6E6"/>
            </w:tcBorders>
            <w:shd w:val="clear" w:color="auto" w:fill="E6E6E6"/>
          </w:tcPr>
          <w:p>
            <w:pPr>
              <w:spacing w:after="0"/>
              <w:rPr>
                <w:sz w:val="23"/>
                <w:szCs w:val="23"/>
                <w:color w:val="auto"/>
              </w:rPr>
            </w:pPr>
          </w:p>
        </w:tc>
        <w:tc>
          <w:tcPr>
            <w:tcW w:w="1380" w:type="dxa"/>
            <w:vAlign w:val="bottom"/>
            <w:tcBorders>
              <w:bottom w:val="single" w:sz="8" w:color="E6E6E6"/>
            </w:tcBorders>
            <w:gridSpan w:val="3"/>
            <w:shd w:val="clear" w:color="auto" w:fill="E6E6E6"/>
          </w:tcPr>
          <w:p>
            <w:pPr>
              <w:jc w:val="right"/>
              <w:ind w:right="120"/>
              <w:spacing w:after="0"/>
              <w:rPr>
                <w:sz w:val="20"/>
                <w:szCs w:val="20"/>
                <w:color w:val="auto"/>
              </w:rPr>
            </w:pPr>
            <w:r>
              <w:rPr>
                <w:rFonts w:ascii="Arial" w:cs="Arial" w:eastAsia="Arial" w:hAnsi="Arial"/>
                <w:sz w:val="20"/>
                <w:szCs w:val="20"/>
                <w:color w:val="auto"/>
              </w:rPr>
              <w:t>—</w:t>
            </w:r>
          </w:p>
        </w:tc>
        <w:tc>
          <w:tcPr>
            <w:tcW w:w="4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220" w:type="dxa"/>
            <w:vAlign w:val="bottom"/>
            <w:tcBorders>
              <w:bottom w:val="single" w:sz="8" w:color="E6E6E6"/>
            </w:tcBorders>
            <w:shd w:val="clear" w:color="auto" w:fill="E6E6E6"/>
          </w:tcPr>
          <w:p>
            <w:pPr>
              <w:spacing w:after="0"/>
              <w:rPr>
                <w:sz w:val="23"/>
                <w:szCs w:val="23"/>
                <w:color w:val="auto"/>
              </w:rPr>
            </w:pPr>
          </w:p>
        </w:tc>
        <w:tc>
          <w:tcPr>
            <w:tcW w:w="10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17,546</w:t>
            </w:r>
          </w:p>
        </w:tc>
        <w:tc>
          <w:tcPr>
            <w:tcW w:w="2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260" w:type="dxa"/>
            <w:vAlign w:val="bottom"/>
            <w:tcBorders>
              <w:bottom w:val="single" w:sz="8" w:color="E6E6E6"/>
            </w:tcBorders>
            <w:shd w:val="clear" w:color="auto" w:fill="E6E6E6"/>
          </w:tcPr>
          <w:p>
            <w:pPr>
              <w:spacing w:after="0"/>
              <w:rPr>
                <w:sz w:val="23"/>
                <w:szCs w:val="23"/>
                <w:color w:val="auto"/>
              </w:rPr>
            </w:pPr>
          </w:p>
        </w:tc>
        <w:tc>
          <w:tcPr>
            <w:tcW w:w="10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17,546</w:t>
            </w:r>
          </w:p>
        </w:tc>
        <w:tc>
          <w:tcPr>
            <w:tcW w:w="0" w:type="dxa"/>
            <w:vAlign w:val="bottom"/>
          </w:tcPr>
          <w:p>
            <w:pPr>
              <w:spacing w:after="0"/>
              <w:rPr>
                <w:sz w:val="1"/>
                <w:szCs w:val="1"/>
                <w:color w:val="auto"/>
              </w:rPr>
            </w:pPr>
          </w:p>
        </w:tc>
      </w:tr>
      <w:tr>
        <w:trPr>
          <w:trHeight w:val="269"/>
        </w:trPr>
        <w:tc>
          <w:tcPr>
            <w:tcW w:w="4060" w:type="dxa"/>
            <w:vAlign w:val="bottom"/>
            <w:gridSpan w:val="7"/>
          </w:tcPr>
          <w:p>
            <w:pPr>
              <w:ind w:left="40"/>
              <w:spacing w:after="0"/>
              <w:rPr>
                <w:sz w:val="20"/>
                <w:szCs w:val="20"/>
                <w:color w:val="auto"/>
              </w:rPr>
            </w:pPr>
            <w:r>
              <w:rPr>
                <w:rFonts w:ascii="Arial" w:cs="Arial" w:eastAsia="Arial" w:hAnsi="Arial"/>
                <w:sz w:val="20"/>
                <w:szCs w:val="20"/>
                <w:color w:val="auto"/>
              </w:rPr>
              <w:t>Other comprehensive income</w:t>
            </w: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4"/>
          </w:tcPr>
          <w:p>
            <w:pPr>
              <w:jc w:val="right"/>
              <w:ind w:right="14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4"/>
          </w:tcPr>
          <w:p>
            <w:pPr>
              <w:jc w:val="right"/>
              <w:ind w:right="14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20,236</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20,236</w:t>
            </w:r>
          </w:p>
        </w:tc>
        <w:tc>
          <w:tcPr>
            <w:tcW w:w="0" w:type="dxa"/>
            <w:vAlign w:val="bottom"/>
          </w:tcPr>
          <w:p>
            <w:pPr>
              <w:spacing w:after="0"/>
              <w:rPr>
                <w:sz w:val="1"/>
                <w:szCs w:val="1"/>
                <w:color w:val="auto"/>
              </w:rPr>
            </w:pPr>
          </w:p>
        </w:tc>
      </w:tr>
      <w:tr>
        <w:trPr>
          <w:trHeight w:val="279"/>
        </w:trPr>
        <w:tc>
          <w:tcPr>
            <w:tcW w:w="4000" w:type="dxa"/>
            <w:vAlign w:val="bottom"/>
            <w:tcBorders>
              <w:top w:val="single" w:sz="8" w:color="E6E6E6"/>
            </w:tcBorders>
            <w:gridSpan w:val="4"/>
            <w:shd w:val="clear" w:color="auto" w:fill="E6E6E6"/>
          </w:tcPr>
          <w:p>
            <w:pPr>
              <w:ind w:left="40"/>
              <w:spacing w:after="0"/>
              <w:rPr>
                <w:sz w:val="20"/>
                <w:szCs w:val="20"/>
                <w:color w:val="auto"/>
              </w:rPr>
            </w:pPr>
            <w:r>
              <w:rPr>
                <w:rFonts w:ascii="Arial" w:cs="Arial" w:eastAsia="Arial" w:hAnsi="Arial"/>
                <w:sz w:val="20"/>
                <w:szCs w:val="20"/>
                <w:color w:val="auto"/>
              </w:rPr>
              <w:t>December 31, 2023</w:t>
            </w:r>
          </w:p>
        </w:tc>
        <w:tc>
          <w:tcPr>
            <w:tcW w:w="60" w:type="dxa"/>
            <w:vAlign w:val="bottom"/>
            <w:tcBorders>
              <w:top w:val="single" w:sz="8" w:color="auto"/>
            </w:tcBorders>
            <w:gridSpan w:val="3"/>
            <w:shd w:val="clear" w:color="auto" w:fill="E6E6E6"/>
          </w:tcPr>
          <w:p>
            <w:pPr>
              <w:spacing w:after="0"/>
              <w:rPr>
                <w:sz w:val="24"/>
                <w:szCs w:val="24"/>
                <w:color w:val="auto"/>
              </w:rPr>
            </w:pPr>
          </w:p>
        </w:tc>
        <w:tc>
          <w:tcPr>
            <w:tcW w:w="120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53,942</w:t>
            </w:r>
          </w:p>
        </w:tc>
        <w:tc>
          <w:tcPr>
            <w:tcW w:w="80" w:type="dxa"/>
            <w:vAlign w:val="bottom"/>
            <w:tcBorders>
              <w:top w:val="single" w:sz="8" w:color="E6E6E6"/>
            </w:tcBorders>
            <w:shd w:val="clear" w:color="auto" w:fill="E6E6E6"/>
          </w:tcPr>
          <w:p>
            <w:pPr>
              <w:spacing w:after="0"/>
              <w:rPr>
                <w:sz w:val="24"/>
                <w:szCs w:val="24"/>
                <w:color w:val="auto"/>
              </w:rPr>
            </w:pPr>
          </w:p>
        </w:tc>
        <w:tc>
          <w:tcPr>
            <w:tcW w:w="20" w:type="dxa"/>
            <w:vAlign w:val="bottom"/>
            <w:tcBorders>
              <w:top w:val="single" w:sz="8" w:color="E6E6E6"/>
            </w:tcBorders>
            <w:shd w:val="clear" w:color="auto" w:fill="E6E6E6"/>
          </w:tcPr>
          <w:p>
            <w:pPr>
              <w:spacing w:after="0"/>
              <w:rPr>
                <w:sz w:val="24"/>
                <w:szCs w:val="24"/>
                <w:color w:val="auto"/>
              </w:rPr>
            </w:pPr>
          </w:p>
        </w:tc>
        <w:tc>
          <w:tcPr>
            <w:tcW w:w="20" w:type="dxa"/>
            <w:vAlign w:val="bottom"/>
            <w:tcBorders>
              <w:top w:val="single" w:sz="8" w:color="auto"/>
            </w:tcBorders>
            <w:shd w:val="clear" w:color="auto" w:fill="E6E6E6"/>
          </w:tcPr>
          <w:p>
            <w:pPr>
              <w:spacing w:after="0"/>
              <w:rPr>
                <w:sz w:val="24"/>
                <w:szCs w:val="24"/>
                <w:color w:val="auto"/>
              </w:rPr>
            </w:pPr>
          </w:p>
        </w:tc>
        <w:tc>
          <w:tcPr>
            <w:tcW w:w="180" w:type="dxa"/>
            <w:vAlign w:val="bottom"/>
            <w:tcBorders>
              <w:top w:val="single" w:sz="8" w:color="auto"/>
            </w:tcBorders>
            <w:shd w:val="clear" w:color="auto" w:fill="E6E6E6"/>
          </w:tcPr>
          <w:p>
            <w:pPr>
              <w:spacing w:after="0"/>
              <w:rPr>
                <w:sz w:val="24"/>
                <w:szCs w:val="24"/>
                <w:color w:val="auto"/>
              </w:rPr>
            </w:pPr>
          </w:p>
        </w:tc>
        <w:tc>
          <w:tcPr>
            <w:tcW w:w="112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82,533</w:t>
            </w:r>
          </w:p>
        </w:tc>
        <w:tc>
          <w:tcPr>
            <w:tcW w:w="20" w:type="dxa"/>
            <w:vAlign w:val="bottom"/>
            <w:tcBorders>
              <w:top w:val="single" w:sz="8" w:color="auto"/>
            </w:tcBorders>
            <w:shd w:val="clear" w:color="auto" w:fill="E6E6E6"/>
          </w:tcPr>
          <w:p>
            <w:pPr>
              <w:spacing w:after="0"/>
              <w:rPr>
                <w:sz w:val="24"/>
                <w:szCs w:val="24"/>
                <w:color w:val="auto"/>
              </w:rPr>
            </w:pPr>
          </w:p>
        </w:tc>
        <w:tc>
          <w:tcPr>
            <w:tcW w:w="20" w:type="dxa"/>
            <w:vAlign w:val="bottom"/>
            <w:tcBorders>
              <w:top w:val="single" w:sz="8" w:color="E6E6E6"/>
            </w:tcBorders>
            <w:shd w:val="clear" w:color="auto" w:fill="E6E6E6"/>
          </w:tcPr>
          <w:p>
            <w:pPr>
              <w:spacing w:after="0"/>
              <w:rPr>
                <w:sz w:val="24"/>
                <w:szCs w:val="24"/>
                <w:color w:val="auto"/>
              </w:rPr>
            </w:pPr>
          </w:p>
        </w:tc>
        <w:tc>
          <w:tcPr>
            <w:tcW w:w="20" w:type="dxa"/>
            <w:vAlign w:val="bottom"/>
            <w:tcBorders>
              <w:top w:val="single" w:sz="8" w:color="E6E6E6"/>
            </w:tcBorders>
            <w:shd w:val="clear" w:color="auto" w:fill="E6E6E6"/>
          </w:tcPr>
          <w:p>
            <w:pPr>
              <w:spacing w:after="0"/>
              <w:rPr>
                <w:sz w:val="24"/>
                <w:szCs w:val="24"/>
                <w:color w:val="auto"/>
              </w:rPr>
            </w:pPr>
          </w:p>
        </w:tc>
        <w:tc>
          <w:tcPr>
            <w:tcW w:w="20" w:type="dxa"/>
            <w:vAlign w:val="bottom"/>
            <w:tcBorders>
              <w:top w:val="single" w:sz="8" w:color="E6E6E6"/>
            </w:tcBorders>
            <w:shd w:val="clear" w:color="auto" w:fill="E6E6E6"/>
          </w:tcPr>
          <w:p>
            <w:pPr>
              <w:spacing w:after="0"/>
              <w:rPr>
                <w:sz w:val="24"/>
                <w:szCs w:val="24"/>
                <w:color w:val="auto"/>
              </w:rPr>
            </w:pPr>
          </w:p>
        </w:tc>
        <w:tc>
          <w:tcPr>
            <w:tcW w:w="20" w:type="dxa"/>
            <w:vAlign w:val="bottom"/>
            <w:tcBorders>
              <w:top w:val="single" w:sz="8" w:color="auto"/>
            </w:tcBorders>
            <w:shd w:val="clear" w:color="auto" w:fill="E6E6E6"/>
          </w:tcPr>
          <w:p>
            <w:pPr>
              <w:spacing w:after="0"/>
              <w:rPr>
                <w:sz w:val="24"/>
                <w:szCs w:val="24"/>
                <w:color w:val="auto"/>
              </w:rPr>
            </w:pPr>
          </w:p>
        </w:tc>
        <w:tc>
          <w:tcPr>
            <w:tcW w:w="160" w:type="dxa"/>
            <w:vAlign w:val="bottom"/>
            <w:tcBorders>
              <w:top w:val="single" w:sz="8" w:color="auto"/>
            </w:tcBorders>
            <w:shd w:val="clear" w:color="auto" w:fill="E6E6E6"/>
          </w:tcPr>
          <w:p>
            <w:pPr>
              <w:spacing w:after="0"/>
              <w:rPr>
                <w:sz w:val="24"/>
                <w:szCs w:val="24"/>
                <w:color w:val="auto"/>
              </w:rPr>
            </w:pPr>
          </w:p>
        </w:tc>
        <w:tc>
          <w:tcPr>
            <w:tcW w:w="116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2,189,517</w:t>
            </w:r>
          </w:p>
        </w:tc>
        <w:tc>
          <w:tcPr>
            <w:tcW w:w="20" w:type="dxa"/>
            <w:vAlign w:val="bottom"/>
            <w:tcBorders>
              <w:top w:val="single" w:sz="8" w:color="auto"/>
            </w:tcBorders>
            <w:shd w:val="clear" w:color="auto" w:fill="E6E6E6"/>
          </w:tcPr>
          <w:p>
            <w:pPr>
              <w:spacing w:after="0"/>
              <w:rPr>
                <w:sz w:val="24"/>
                <w:szCs w:val="24"/>
                <w:color w:val="auto"/>
              </w:rPr>
            </w:pPr>
          </w:p>
        </w:tc>
        <w:tc>
          <w:tcPr>
            <w:tcW w:w="20" w:type="dxa"/>
            <w:vAlign w:val="bottom"/>
            <w:tcBorders>
              <w:top w:val="single" w:sz="8" w:color="E6E6E6"/>
            </w:tcBorders>
            <w:shd w:val="clear" w:color="auto" w:fill="E6E6E6"/>
          </w:tcPr>
          <w:p>
            <w:pPr>
              <w:spacing w:after="0"/>
              <w:rPr>
                <w:sz w:val="24"/>
                <w:szCs w:val="24"/>
                <w:color w:val="auto"/>
              </w:rPr>
            </w:pPr>
          </w:p>
        </w:tc>
        <w:tc>
          <w:tcPr>
            <w:tcW w:w="20" w:type="dxa"/>
            <w:vAlign w:val="bottom"/>
            <w:tcBorders>
              <w:top w:val="single" w:sz="8" w:color="E6E6E6"/>
            </w:tcBorders>
            <w:shd w:val="clear" w:color="auto" w:fill="E6E6E6"/>
          </w:tcPr>
          <w:p>
            <w:pPr>
              <w:spacing w:after="0"/>
              <w:rPr>
                <w:sz w:val="24"/>
                <w:szCs w:val="24"/>
                <w:color w:val="auto"/>
              </w:rPr>
            </w:pPr>
          </w:p>
        </w:tc>
        <w:tc>
          <w:tcPr>
            <w:tcW w:w="20" w:type="dxa"/>
            <w:vAlign w:val="bottom"/>
            <w:tcBorders>
              <w:top w:val="single" w:sz="8" w:color="E6E6E6"/>
            </w:tcBorders>
            <w:shd w:val="clear" w:color="auto" w:fill="E6E6E6"/>
          </w:tcPr>
          <w:p>
            <w:pPr>
              <w:spacing w:after="0"/>
              <w:rPr>
                <w:sz w:val="24"/>
                <w:szCs w:val="24"/>
                <w:color w:val="auto"/>
              </w:rPr>
            </w:pPr>
          </w:p>
        </w:tc>
        <w:tc>
          <w:tcPr>
            <w:tcW w:w="20" w:type="dxa"/>
            <w:vAlign w:val="bottom"/>
            <w:tcBorders>
              <w:top w:val="single" w:sz="8" w:color="auto"/>
            </w:tcBorders>
            <w:shd w:val="clear" w:color="auto" w:fill="E6E6E6"/>
          </w:tcPr>
          <w:p>
            <w:pPr>
              <w:spacing w:after="0"/>
              <w:rPr>
                <w:sz w:val="24"/>
                <w:szCs w:val="24"/>
                <w:color w:val="auto"/>
              </w:rPr>
            </w:pPr>
          </w:p>
        </w:tc>
        <w:tc>
          <w:tcPr>
            <w:tcW w:w="180" w:type="dxa"/>
            <w:vAlign w:val="bottom"/>
            <w:tcBorders>
              <w:top w:val="single" w:sz="8" w:color="auto"/>
            </w:tcBorders>
            <w:shd w:val="clear" w:color="auto" w:fill="E6E6E6"/>
          </w:tcPr>
          <w:p>
            <w:pPr>
              <w:spacing w:after="0"/>
              <w:rPr>
                <w:sz w:val="24"/>
                <w:szCs w:val="24"/>
                <w:color w:val="auto"/>
              </w:rPr>
            </w:pPr>
          </w:p>
        </w:tc>
        <w:tc>
          <w:tcPr>
            <w:tcW w:w="112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(55)</w:t>
            </w:r>
          </w:p>
        </w:tc>
        <w:tc>
          <w:tcPr>
            <w:tcW w:w="20" w:type="dxa"/>
            <w:vAlign w:val="bottom"/>
            <w:tcBorders>
              <w:top w:val="single" w:sz="8" w:color="auto"/>
            </w:tcBorders>
            <w:shd w:val="clear" w:color="auto" w:fill="E6E6E6"/>
          </w:tcPr>
          <w:p>
            <w:pPr>
              <w:spacing w:after="0"/>
              <w:rPr>
                <w:sz w:val="24"/>
                <w:szCs w:val="24"/>
                <w:color w:val="auto"/>
              </w:rPr>
            </w:pPr>
          </w:p>
        </w:tc>
        <w:tc>
          <w:tcPr>
            <w:tcW w:w="20" w:type="dxa"/>
            <w:vAlign w:val="bottom"/>
            <w:tcBorders>
              <w:top w:val="single" w:sz="8" w:color="E6E6E6"/>
            </w:tcBorders>
            <w:shd w:val="clear" w:color="auto" w:fill="E6E6E6"/>
          </w:tcPr>
          <w:p>
            <w:pPr>
              <w:spacing w:after="0"/>
              <w:rPr>
                <w:sz w:val="24"/>
                <w:szCs w:val="24"/>
                <w:color w:val="auto"/>
              </w:rPr>
            </w:pPr>
          </w:p>
        </w:tc>
        <w:tc>
          <w:tcPr>
            <w:tcW w:w="40" w:type="dxa"/>
            <w:vAlign w:val="bottom"/>
            <w:tcBorders>
              <w:top w:val="single" w:sz="8" w:color="E6E6E6"/>
            </w:tcBorders>
            <w:shd w:val="clear" w:color="auto" w:fill="E6E6E6"/>
          </w:tcPr>
          <w:p>
            <w:pPr>
              <w:spacing w:after="0"/>
              <w:rPr>
                <w:sz w:val="24"/>
                <w:szCs w:val="24"/>
                <w:color w:val="auto"/>
              </w:rPr>
            </w:pPr>
          </w:p>
        </w:tc>
        <w:tc>
          <w:tcPr>
            <w:tcW w:w="20" w:type="dxa"/>
            <w:vAlign w:val="bottom"/>
            <w:tcBorders>
              <w:top w:val="single" w:sz="8" w:color="auto"/>
            </w:tcBorders>
            <w:shd w:val="clear" w:color="auto" w:fill="E6E6E6"/>
          </w:tcPr>
          <w:p>
            <w:pPr>
              <w:spacing w:after="0"/>
              <w:rPr>
                <w:sz w:val="24"/>
                <w:szCs w:val="24"/>
                <w:color w:val="auto"/>
              </w:rPr>
            </w:pPr>
          </w:p>
        </w:tc>
        <w:tc>
          <w:tcPr>
            <w:tcW w:w="160" w:type="dxa"/>
            <w:vAlign w:val="bottom"/>
            <w:tcBorders>
              <w:top w:val="single" w:sz="8" w:color="auto"/>
            </w:tcBorders>
            <w:shd w:val="clear" w:color="auto" w:fill="E6E6E6"/>
          </w:tcPr>
          <w:p>
            <w:pPr>
              <w:spacing w:after="0"/>
              <w:rPr>
                <w:sz w:val="24"/>
                <w:szCs w:val="24"/>
                <w:color w:val="auto"/>
              </w:rPr>
            </w:pPr>
          </w:p>
        </w:tc>
        <w:tc>
          <w:tcPr>
            <w:tcW w:w="134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(27,883)</w:t>
            </w:r>
          </w:p>
        </w:tc>
        <w:tc>
          <w:tcPr>
            <w:tcW w:w="20" w:type="dxa"/>
            <w:vAlign w:val="bottom"/>
            <w:tcBorders>
              <w:top w:val="single" w:sz="8" w:color="auto"/>
            </w:tcBorders>
            <w:shd w:val="clear" w:color="auto" w:fill="E6E6E6"/>
          </w:tcPr>
          <w:p>
            <w:pPr>
              <w:spacing w:after="0"/>
              <w:rPr>
                <w:sz w:val="24"/>
                <w:szCs w:val="24"/>
                <w:color w:val="auto"/>
              </w:rPr>
            </w:pPr>
          </w:p>
        </w:tc>
        <w:tc>
          <w:tcPr>
            <w:tcW w:w="20" w:type="dxa"/>
            <w:vAlign w:val="bottom"/>
            <w:tcBorders>
              <w:top w:val="single" w:sz="8" w:color="E6E6E6"/>
            </w:tcBorders>
            <w:shd w:val="clear" w:color="auto" w:fill="E6E6E6"/>
          </w:tcPr>
          <w:p>
            <w:pPr>
              <w:spacing w:after="0"/>
              <w:rPr>
                <w:sz w:val="24"/>
                <w:szCs w:val="24"/>
                <w:color w:val="auto"/>
              </w:rPr>
            </w:pPr>
          </w:p>
        </w:tc>
        <w:tc>
          <w:tcPr>
            <w:tcW w:w="40" w:type="dxa"/>
            <w:vAlign w:val="bottom"/>
            <w:tcBorders>
              <w:top w:val="single" w:sz="8" w:color="E6E6E6"/>
            </w:tcBorders>
            <w:shd w:val="clear" w:color="auto" w:fill="E6E6E6"/>
          </w:tcPr>
          <w:p>
            <w:pPr>
              <w:spacing w:after="0"/>
              <w:rPr>
                <w:sz w:val="24"/>
                <w:szCs w:val="24"/>
                <w:color w:val="auto"/>
              </w:rPr>
            </w:pPr>
          </w:p>
        </w:tc>
        <w:tc>
          <w:tcPr>
            <w:tcW w:w="20" w:type="dxa"/>
            <w:vAlign w:val="bottom"/>
            <w:tcBorders>
              <w:top w:val="single" w:sz="8" w:color="E6E6E6"/>
            </w:tcBorders>
            <w:shd w:val="clear" w:color="auto" w:fill="E6E6E6"/>
          </w:tcPr>
          <w:p>
            <w:pPr>
              <w:spacing w:after="0"/>
              <w:rPr>
                <w:sz w:val="24"/>
                <w:szCs w:val="24"/>
                <w:color w:val="auto"/>
              </w:rPr>
            </w:pPr>
          </w:p>
        </w:tc>
        <w:tc>
          <w:tcPr>
            <w:tcW w:w="20" w:type="dxa"/>
            <w:vAlign w:val="bottom"/>
            <w:tcBorders>
              <w:top w:val="single" w:sz="8" w:color="auto"/>
            </w:tcBorders>
            <w:shd w:val="clear" w:color="auto" w:fill="E6E6E6"/>
          </w:tcPr>
          <w:p>
            <w:pPr>
              <w:spacing w:after="0"/>
              <w:rPr>
                <w:sz w:val="24"/>
                <w:szCs w:val="24"/>
                <w:color w:val="auto"/>
              </w:rPr>
            </w:pPr>
          </w:p>
        </w:tc>
        <w:tc>
          <w:tcPr>
            <w:tcW w:w="220" w:type="dxa"/>
            <w:vAlign w:val="bottom"/>
            <w:tcBorders>
              <w:top w:val="single" w:sz="8" w:color="auto"/>
            </w:tcBorders>
            <w:shd w:val="clear" w:color="auto" w:fill="E6E6E6"/>
          </w:tcPr>
          <w:p>
            <w:pPr>
              <w:spacing w:after="0"/>
              <w:rPr>
                <w:sz w:val="24"/>
                <w:szCs w:val="24"/>
                <w:color w:val="auto"/>
              </w:rPr>
            </w:pPr>
          </w:p>
        </w:tc>
        <w:tc>
          <w:tcPr>
            <w:tcW w:w="108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(966,484)</w:t>
            </w:r>
          </w:p>
        </w:tc>
        <w:tc>
          <w:tcPr>
            <w:tcW w:w="20" w:type="dxa"/>
            <w:vAlign w:val="bottom"/>
            <w:tcBorders>
              <w:top w:val="single" w:sz="8" w:color="auto"/>
            </w:tcBorders>
            <w:shd w:val="clear" w:color="auto" w:fill="E6E6E6"/>
          </w:tcPr>
          <w:p>
            <w:pPr>
              <w:spacing w:after="0"/>
              <w:rPr>
                <w:sz w:val="24"/>
                <w:szCs w:val="24"/>
                <w:color w:val="auto"/>
              </w:rPr>
            </w:pPr>
          </w:p>
        </w:tc>
        <w:tc>
          <w:tcPr>
            <w:tcW w:w="20" w:type="dxa"/>
            <w:vAlign w:val="bottom"/>
            <w:tcBorders>
              <w:top w:val="single" w:sz="8" w:color="E6E6E6"/>
            </w:tcBorders>
            <w:shd w:val="clear" w:color="auto" w:fill="E6E6E6"/>
          </w:tcPr>
          <w:p>
            <w:pPr>
              <w:spacing w:after="0"/>
              <w:rPr>
                <w:sz w:val="24"/>
                <w:szCs w:val="24"/>
                <w:color w:val="auto"/>
              </w:rPr>
            </w:pPr>
          </w:p>
        </w:tc>
        <w:tc>
          <w:tcPr>
            <w:tcW w:w="20" w:type="dxa"/>
            <w:vAlign w:val="bottom"/>
            <w:tcBorders>
              <w:top w:val="single" w:sz="8" w:color="E6E6E6"/>
            </w:tcBorders>
            <w:shd w:val="clear" w:color="auto" w:fill="E6E6E6"/>
          </w:tcPr>
          <w:p>
            <w:pPr>
              <w:spacing w:after="0"/>
              <w:rPr>
                <w:sz w:val="24"/>
                <w:szCs w:val="24"/>
                <w:color w:val="auto"/>
              </w:rPr>
            </w:pPr>
          </w:p>
        </w:tc>
        <w:tc>
          <w:tcPr>
            <w:tcW w:w="20" w:type="dxa"/>
            <w:vAlign w:val="bottom"/>
            <w:tcBorders>
              <w:top w:val="single" w:sz="8" w:color="auto"/>
            </w:tcBorders>
            <w:shd w:val="clear" w:color="auto" w:fill="E6E6E6"/>
          </w:tcPr>
          <w:p>
            <w:pPr>
              <w:spacing w:after="0"/>
              <w:rPr>
                <w:sz w:val="24"/>
                <w:szCs w:val="24"/>
                <w:color w:val="auto"/>
              </w:rPr>
            </w:pPr>
          </w:p>
        </w:tc>
        <w:tc>
          <w:tcPr>
            <w:tcW w:w="260" w:type="dxa"/>
            <w:vAlign w:val="bottom"/>
            <w:tcBorders>
              <w:top w:val="single" w:sz="8" w:color="auto"/>
            </w:tcBorders>
            <w:shd w:val="clear" w:color="auto" w:fill="E6E6E6"/>
          </w:tcPr>
          <w:p>
            <w:pPr>
              <w:spacing w:after="0"/>
              <w:rPr>
                <w:sz w:val="24"/>
                <w:szCs w:val="24"/>
                <w:color w:val="auto"/>
              </w:rPr>
            </w:pPr>
          </w:p>
        </w:tc>
        <w:tc>
          <w:tcPr>
            <w:tcW w:w="106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1,277,628</w:t>
            </w:r>
          </w:p>
        </w:tc>
        <w:tc>
          <w:tcPr>
            <w:tcW w:w="0" w:type="dxa"/>
            <w:vAlign w:val="bottom"/>
          </w:tcPr>
          <w:p>
            <w:pPr>
              <w:spacing w:after="0"/>
              <w:rPr>
                <w:sz w:val="1"/>
                <w:szCs w:val="1"/>
                <w:color w:val="auto"/>
              </w:rPr>
            </w:pPr>
          </w:p>
        </w:tc>
      </w:tr>
      <w:tr>
        <w:trPr>
          <w:trHeight w:val="244"/>
        </w:trPr>
        <w:tc>
          <w:tcPr>
            <w:tcW w:w="3980" w:type="dxa"/>
            <w:vAlign w:val="bottom"/>
            <w:tcBorders>
              <w:top w:val="single" w:sz="8" w:color="E6E6E6"/>
            </w:tcBorders>
            <w:gridSpan w:val="3"/>
          </w:tcPr>
          <w:p>
            <w:pPr>
              <w:ind w:left="40"/>
              <w:spacing w:after="0"/>
              <w:rPr>
                <w:sz w:val="20"/>
                <w:szCs w:val="20"/>
                <w:color w:val="auto"/>
              </w:rPr>
            </w:pPr>
            <w:r>
              <w:rPr>
                <w:rFonts w:ascii="Arial" w:cs="Arial" w:eastAsia="Arial" w:hAnsi="Arial"/>
                <w:sz w:val="20"/>
                <w:szCs w:val="20"/>
                <w:color w:val="auto"/>
              </w:rPr>
              <w:t>Stock-based compensation plans</w:t>
            </w:r>
          </w:p>
        </w:tc>
        <w:tc>
          <w:tcPr>
            <w:tcW w:w="80" w:type="dxa"/>
            <w:vAlign w:val="bottom"/>
            <w:tcBorders>
              <w:top w:val="single" w:sz="8" w:color="auto"/>
            </w:tcBorders>
            <w:gridSpan w:val="4"/>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496</w:t>
            </w:r>
          </w:p>
        </w:tc>
        <w:tc>
          <w:tcPr>
            <w:tcW w:w="80" w:type="dxa"/>
            <w:vAlign w:val="bottom"/>
            <w:tcBorders>
              <w:top w:val="single" w:sz="8" w:color="E6E6E6"/>
            </w:tcBorders>
          </w:tcPr>
          <w:p>
            <w:pPr>
              <w:spacing w:after="0"/>
              <w:rPr>
                <w:sz w:val="21"/>
                <w:szCs w:val="21"/>
                <w:color w:val="auto"/>
              </w:rPr>
            </w:pPr>
          </w:p>
        </w:tc>
        <w:tc>
          <w:tcPr>
            <w:tcW w:w="20" w:type="dxa"/>
            <w:vAlign w:val="bottom"/>
            <w:tcBorders>
              <w:top w:val="single" w:sz="8" w:color="E6E6E6"/>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623</w:t>
            </w:r>
          </w:p>
        </w:tc>
        <w:tc>
          <w:tcPr>
            <w:tcW w:w="20" w:type="dxa"/>
            <w:vAlign w:val="bottom"/>
            <w:tcBorders>
              <w:top w:val="single" w:sz="8" w:color="E6E6E6"/>
            </w:tcBorders>
          </w:tcPr>
          <w:p>
            <w:pPr>
              <w:spacing w:after="0"/>
              <w:rPr>
                <w:sz w:val="21"/>
                <w:szCs w:val="21"/>
                <w:color w:val="auto"/>
              </w:rPr>
            </w:pPr>
          </w:p>
        </w:tc>
        <w:tc>
          <w:tcPr>
            <w:tcW w:w="20" w:type="dxa"/>
            <w:vAlign w:val="bottom"/>
            <w:tcBorders>
              <w:top w:val="single" w:sz="8" w:color="E6E6E6"/>
            </w:tcBorders>
          </w:tcPr>
          <w:p>
            <w:pPr>
              <w:spacing w:after="0"/>
              <w:rPr>
                <w:sz w:val="21"/>
                <w:szCs w:val="21"/>
                <w:color w:val="auto"/>
              </w:rPr>
            </w:pPr>
          </w:p>
        </w:tc>
        <w:tc>
          <w:tcPr>
            <w:tcW w:w="20" w:type="dxa"/>
            <w:vAlign w:val="bottom"/>
            <w:tcBorders>
              <w:top w:val="single" w:sz="8" w:color="E6E6E6"/>
            </w:tcBorders>
          </w:tcPr>
          <w:p>
            <w:pPr>
              <w:spacing w:after="0"/>
              <w:rPr>
                <w:sz w:val="21"/>
                <w:szCs w:val="21"/>
                <w:color w:val="auto"/>
              </w:rPr>
            </w:pPr>
          </w:p>
        </w:tc>
        <w:tc>
          <w:tcPr>
            <w:tcW w:w="20" w:type="dxa"/>
            <w:vAlign w:val="bottom"/>
            <w:tcBorders>
              <w:top w:val="single" w:sz="8" w:color="E6E6E6"/>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31,141</w:t>
            </w:r>
          </w:p>
        </w:tc>
        <w:tc>
          <w:tcPr>
            <w:tcW w:w="20" w:type="dxa"/>
            <w:vAlign w:val="bottom"/>
            <w:tcBorders>
              <w:top w:val="single" w:sz="8" w:color="E6E6E6"/>
            </w:tcBorders>
          </w:tcPr>
          <w:p>
            <w:pPr>
              <w:spacing w:after="0"/>
              <w:rPr>
                <w:sz w:val="21"/>
                <w:szCs w:val="21"/>
                <w:color w:val="auto"/>
              </w:rPr>
            </w:pPr>
          </w:p>
        </w:tc>
        <w:tc>
          <w:tcPr>
            <w:tcW w:w="20" w:type="dxa"/>
            <w:vAlign w:val="bottom"/>
            <w:tcBorders>
              <w:top w:val="single" w:sz="8" w:color="E6E6E6"/>
            </w:tcBorders>
          </w:tcPr>
          <w:p>
            <w:pPr>
              <w:spacing w:after="0"/>
              <w:rPr>
                <w:sz w:val="21"/>
                <w:szCs w:val="21"/>
                <w:color w:val="auto"/>
              </w:rPr>
            </w:pPr>
          </w:p>
        </w:tc>
        <w:tc>
          <w:tcPr>
            <w:tcW w:w="20" w:type="dxa"/>
            <w:vAlign w:val="bottom"/>
            <w:tcBorders>
              <w:top w:val="single" w:sz="8" w:color="E6E6E6"/>
            </w:tcBorders>
          </w:tcPr>
          <w:p>
            <w:pPr>
              <w:spacing w:after="0"/>
              <w:rPr>
                <w:sz w:val="21"/>
                <w:szCs w:val="21"/>
                <w:color w:val="auto"/>
              </w:rPr>
            </w:pPr>
          </w:p>
        </w:tc>
        <w:tc>
          <w:tcPr>
            <w:tcW w:w="20" w:type="dxa"/>
            <w:vAlign w:val="bottom"/>
            <w:tcBorders>
              <w:top w:val="single" w:sz="8" w:color="E6E6E6"/>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(81)</w:t>
            </w: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E6E6E6"/>
            </w:tcBorders>
          </w:tcPr>
          <w:p>
            <w:pPr>
              <w:spacing w:after="0"/>
              <w:rPr>
                <w:sz w:val="21"/>
                <w:szCs w:val="21"/>
                <w:color w:val="auto"/>
              </w:rPr>
            </w:pPr>
          </w:p>
        </w:tc>
        <w:tc>
          <w:tcPr>
            <w:tcW w:w="40" w:type="dxa"/>
            <w:vAlign w:val="bottom"/>
            <w:tcBorders>
              <w:top w:val="single" w:sz="8" w:color="E6E6E6"/>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40" w:type="dxa"/>
            <w:vAlign w:val="bottom"/>
            <w:tcBorders>
              <w:top w:val="single" w:sz="8" w:color="E6E6E6"/>
            </w:tcBorders>
            <w:gridSpan w:val="2"/>
          </w:tcPr>
          <w:p>
            <w:pPr>
              <w:spacing w:after="0"/>
              <w:rPr>
                <w:sz w:val="21"/>
                <w:szCs w:val="21"/>
                <w:color w:val="auto"/>
              </w:rPr>
            </w:pPr>
          </w:p>
        </w:tc>
        <w:tc>
          <w:tcPr>
            <w:tcW w:w="40" w:type="dxa"/>
            <w:vAlign w:val="bottom"/>
            <w:tcBorders>
              <w:top w:val="single" w:sz="8" w:color="E6E6E6"/>
            </w:tcBorders>
          </w:tcPr>
          <w:p>
            <w:pPr>
              <w:spacing w:after="0"/>
              <w:rPr>
                <w:sz w:val="21"/>
                <w:szCs w:val="21"/>
                <w:color w:val="auto"/>
              </w:rPr>
            </w:pPr>
          </w:p>
        </w:tc>
        <w:tc>
          <w:tcPr>
            <w:tcW w:w="20" w:type="dxa"/>
            <w:vAlign w:val="bottom"/>
            <w:tcBorders>
              <w:top w:val="single" w:sz="8" w:color="E6E6E6"/>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20"/>
                <w:szCs w:val="20"/>
                <w:color w:val="auto"/>
              </w:rPr>
              <w:t>—</w:t>
            </w:r>
          </w:p>
        </w:tc>
        <w:tc>
          <w:tcPr>
            <w:tcW w:w="20" w:type="dxa"/>
            <w:vAlign w:val="bottom"/>
            <w:tcBorders>
              <w:top w:val="single" w:sz="8" w:color="E6E6E6"/>
            </w:tcBorders>
          </w:tcPr>
          <w:p>
            <w:pPr>
              <w:spacing w:after="0"/>
              <w:rPr>
                <w:sz w:val="21"/>
                <w:szCs w:val="21"/>
                <w:color w:val="auto"/>
              </w:rPr>
            </w:pPr>
          </w:p>
        </w:tc>
        <w:tc>
          <w:tcPr>
            <w:tcW w:w="20" w:type="dxa"/>
            <w:vAlign w:val="bottom"/>
            <w:tcBorders>
              <w:top w:val="single" w:sz="8" w:color="E6E6E6"/>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31,683</w:t>
            </w:r>
          </w:p>
        </w:tc>
        <w:tc>
          <w:tcPr>
            <w:tcW w:w="0" w:type="dxa"/>
            <w:vAlign w:val="bottom"/>
          </w:tcPr>
          <w:p>
            <w:pPr>
              <w:spacing w:after="0"/>
              <w:rPr>
                <w:sz w:val="1"/>
                <w:szCs w:val="1"/>
                <w:color w:val="auto"/>
              </w:rPr>
            </w:pPr>
          </w:p>
        </w:tc>
      </w:tr>
      <w:tr>
        <w:trPr>
          <w:trHeight w:val="265"/>
        </w:trPr>
        <w:tc>
          <w:tcPr>
            <w:tcW w:w="4060" w:type="dxa"/>
            <w:vAlign w:val="bottom"/>
            <w:tcBorders>
              <w:bottom w:val="single" w:sz="8" w:color="E6E6E6"/>
            </w:tcBorders>
            <w:gridSpan w:val="7"/>
            <w:shd w:val="clear" w:color="auto" w:fill="E6E6E6"/>
          </w:tcPr>
          <w:p>
            <w:pPr>
              <w:ind w:left="40"/>
              <w:spacing w:after="0"/>
              <w:rPr>
                <w:sz w:val="20"/>
                <w:szCs w:val="20"/>
                <w:color w:val="auto"/>
              </w:rPr>
            </w:pPr>
            <w:r>
              <w:rPr>
                <w:rFonts w:ascii="Arial" w:cs="Arial" w:eastAsia="Arial" w:hAnsi="Arial"/>
                <w:sz w:val="20"/>
                <w:szCs w:val="20"/>
                <w:color w:val="auto"/>
              </w:rPr>
              <w:t>Net income</w:t>
            </w:r>
          </w:p>
        </w:tc>
        <w:tc>
          <w:tcPr>
            <w:tcW w:w="12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180" w:type="dxa"/>
            <w:vAlign w:val="bottom"/>
            <w:tcBorders>
              <w:bottom w:val="single" w:sz="8" w:color="E6E6E6"/>
            </w:tcBorders>
            <w:shd w:val="clear" w:color="auto" w:fill="E6E6E6"/>
          </w:tcPr>
          <w:p>
            <w:pPr>
              <w:spacing w:after="0"/>
              <w:rPr>
                <w:sz w:val="23"/>
                <w:szCs w:val="23"/>
                <w:color w:val="auto"/>
              </w:rPr>
            </w:pPr>
          </w:p>
        </w:tc>
        <w:tc>
          <w:tcPr>
            <w:tcW w:w="1180" w:type="dxa"/>
            <w:vAlign w:val="bottom"/>
            <w:tcBorders>
              <w:bottom w:val="single" w:sz="8" w:color="E6E6E6"/>
            </w:tcBorders>
            <w:gridSpan w:val="4"/>
            <w:shd w:val="clear" w:color="auto" w:fill="E6E6E6"/>
          </w:tcPr>
          <w:p>
            <w:pPr>
              <w:jc w:val="right"/>
              <w:ind w:right="140"/>
              <w:spacing w:after="0"/>
              <w:rPr>
                <w:sz w:val="20"/>
                <w:szCs w:val="20"/>
                <w:color w:val="auto"/>
              </w:rPr>
            </w:pPr>
            <w:r>
              <w:rPr>
                <w:rFonts w:ascii="Arial" w:cs="Arial" w:eastAsia="Arial" w:hAnsi="Arial"/>
                <w:sz w:val="20"/>
                <w:szCs w:val="20"/>
                <w:color w:val="auto"/>
              </w:rPr>
              <w:t>—</w:t>
            </w:r>
          </w:p>
        </w:tc>
        <w:tc>
          <w:tcPr>
            <w:tcW w:w="2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160" w:type="dxa"/>
            <w:vAlign w:val="bottom"/>
            <w:tcBorders>
              <w:bottom w:val="single" w:sz="8" w:color="E6E6E6"/>
            </w:tcBorders>
            <w:shd w:val="clear" w:color="auto" w:fill="E6E6E6"/>
          </w:tcPr>
          <w:p>
            <w:pPr>
              <w:spacing w:after="0"/>
              <w:rPr>
                <w:sz w:val="23"/>
                <w:szCs w:val="23"/>
                <w:color w:val="auto"/>
              </w:rPr>
            </w:pPr>
          </w:p>
        </w:tc>
        <w:tc>
          <w:tcPr>
            <w:tcW w:w="1220" w:type="dxa"/>
            <w:vAlign w:val="bottom"/>
            <w:tcBorders>
              <w:bottom w:val="single" w:sz="8" w:color="E6E6E6"/>
            </w:tcBorders>
            <w:gridSpan w:val="4"/>
            <w:shd w:val="clear" w:color="auto" w:fill="E6E6E6"/>
          </w:tcPr>
          <w:p>
            <w:pPr>
              <w:jc w:val="right"/>
              <w:ind w:right="140"/>
              <w:spacing w:after="0"/>
              <w:rPr>
                <w:sz w:val="20"/>
                <w:szCs w:val="20"/>
                <w:color w:val="auto"/>
              </w:rPr>
            </w:pPr>
            <w:r>
              <w:rPr>
                <w:rFonts w:ascii="Arial" w:cs="Arial" w:eastAsia="Arial" w:hAnsi="Arial"/>
                <w:sz w:val="20"/>
                <w:szCs w:val="20"/>
                <w:color w:val="auto"/>
              </w:rPr>
              <w:t>—</w:t>
            </w:r>
          </w:p>
        </w:tc>
        <w:tc>
          <w:tcPr>
            <w:tcW w:w="2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180" w:type="dxa"/>
            <w:vAlign w:val="bottom"/>
            <w:tcBorders>
              <w:bottom w:val="single" w:sz="8" w:color="E6E6E6"/>
            </w:tcBorders>
            <w:shd w:val="clear" w:color="auto" w:fill="E6E6E6"/>
          </w:tcPr>
          <w:p>
            <w:pPr>
              <w:spacing w:after="0"/>
              <w:rPr>
                <w:sz w:val="23"/>
                <w:szCs w:val="23"/>
                <w:color w:val="auto"/>
              </w:rPr>
            </w:pPr>
          </w:p>
        </w:tc>
        <w:tc>
          <w:tcPr>
            <w:tcW w:w="1160" w:type="dxa"/>
            <w:vAlign w:val="bottom"/>
            <w:tcBorders>
              <w:bottom w:val="single" w:sz="8" w:color="E6E6E6"/>
            </w:tcBorders>
            <w:gridSpan w:val="3"/>
            <w:shd w:val="clear" w:color="auto" w:fill="E6E6E6"/>
          </w:tcPr>
          <w:p>
            <w:pPr>
              <w:jc w:val="right"/>
              <w:ind w:right="120"/>
              <w:spacing w:after="0"/>
              <w:rPr>
                <w:sz w:val="20"/>
                <w:szCs w:val="20"/>
                <w:color w:val="auto"/>
              </w:rPr>
            </w:pPr>
            <w:r>
              <w:rPr>
                <w:rFonts w:ascii="Arial" w:cs="Arial" w:eastAsia="Arial" w:hAnsi="Arial"/>
                <w:sz w:val="20"/>
                <w:szCs w:val="20"/>
                <w:color w:val="auto"/>
              </w:rPr>
              <w:t>—</w:t>
            </w:r>
          </w:p>
        </w:tc>
        <w:tc>
          <w:tcPr>
            <w:tcW w:w="4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160" w:type="dxa"/>
            <w:vAlign w:val="bottom"/>
            <w:tcBorders>
              <w:bottom w:val="single" w:sz="8" w:color="E6E6E6"/>
            </w:tcBorders>
            <w:shd w:val="clear" w:color="auto" w:fill="E6E6E6"/>
          </w:tcPr>
          <w:p>
            <w:pPr>
              <w:spacing w:after="0"/>
              <w:rPr>
                <w:sz w:val="23"/>
                <w:szCs w:val="23"/>
                <w:color w:val="auto"/>
              </w:rPr>
            </w:pPr>
          </w:p>
        </w:tc>
        <w:tc>
          <w:tcPr>
            <w:tcW w:w="1380" w:type="dxa"/>
            <w:vAlign w:val="bottom"/>
            <w:tcBorders>
              <w:bottom w:val="single" w:sz="8" w:color="E6E6E6"/>
            </w:tcBorders>
            <w:gridSpan w:val="3"/>
            <w:shd w:val="clear" w:color="auto" w:fill="E6E6E6"/>
          </w:tcPr>
          <w:p>
            <w:pPr>
              <w:jc w:val="right"/>
              <w:ind w:right="120"/>
              <w:spacing w:after="0"/>
              <w:rPr>
                <w:sz w:val="20"/>
                <w:szCs w:val="20"/>
                <w:color w:val="auto"/>
              </w:rPr>
            </w:pPr>
            <w:r>
              <w:rPr>
                <w:rFonts w:ascii="Arial" w:cs="Arial" w:eastAsia="Arial" w:hAnsi="Arial"/>
                <w:sz w:val="20"/>
                <w:szCs w:val="20"/>
                <w:color w:val="auto"/>
              </w:rPr>
              <w:t>—</w:t>
            </w:r>
          </w:p>
        </w:tc>
        <w:tc>
          <w:tcPr>
            <w:tcW w:w="4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220" w:type="dxa"/>
            <w:vAlign w:val="bottom"/>
            <w:tcBorders>
              <w:bottom w:val="single" w:sz="8" w:color="E6E6E6"/>
            </w:tcBorders>
            <w:shd w:val="clear" w:color="auto" w:fill="E6E6E6"/>
          </w:tcPr>
          <w:p>
            <w:pPr>
              <w:spacing w:after="0"/>
              <w:rPr>
                <w:sz w:val="23"/>
                <w:szCs w:val="23"/>
                <w:color w:val="auto"/>
              </w:rPr>
            </w:pPr>
          </w:p>
        </w:tc>
        <w:tc>
          <w:tcPr>
            <w:tcW w:w="10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63,234</w:t>
            </w:r>
          </w:p>
        </w:tc>
        <w:tc>
          <w:tcPr>
            <w:tcW w:w="2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260" w:type="dxa"/>
            <w:vAlign w:val="bottom"/>
            <w:tcBorders>
              <w:bottom w:val="single" w:sz="8" w:color="E6E6E6"/>
            </w:tcBorders>
            <w:shd w:val="clear" w:color="auto" w:fill="E6E6E6"/>
          </w:tcPr>
          <w:p>
            <w:pPr>
              <w:spacing w:after="0"/>
              <w:rPr>
                <w:sz w:val="23"/>
                <w:szCs w:val="23"/>
                <w:color w:val="auto"/>
              </w:rPr>
            </w:pPr>
          </w:p>
        </w:tc>
        <w:tc>
          <w:tcPr>
            <w:tcW w:w="10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63,234</w:t>
            </w:r>
          </w:p>
        </w:tc>
        <w:tc>
          <w:tcPr>
            <w:tcW w:w="0" w:type="dxa"/>
            <w:vAlign w:val="bottom"/>
          </w:tcPr>
          <w:p>
            <w:pPr>
              <w:spacing w:after="0"/>
              <w:rPr>
                <w:sz w:val="1"/>
                <w:szCs w:val="1"/>
                <w:color w:val="auto"/>
              </w:rPr>
            </w:pPr>
          </w:p>
        </w:tc>
      </w:tr>
      <w:tr>
        <w:trPr>
          <w:trHeight w:val="269"/>
        </w:trPr>
        <w:tc>
          <w:tcPr>
            <w:tcW w:w="4060" w:type="dxa"/>
            <w:vAlign w:val="bottom"/>
            <w:gridSpan w:val="7"/>
          </w:tcPr>
          <w:p>
            <w:pPr>
              <w:ind w:left="40"/>
              <w:spacing w:after="0"/>
              <w:rPr>
                <w:sz w:val="20"/>
                <w:szCs w:val="20"/>
                <w:color w:val="auto"/>
              </w:rPr>
            </w:pPr>
            <w:r>
              <w:rPr>
                <w:rFonts w:ascii="Arial" w:cs="Arial" w:eastAsia="Arial" w:hAnsi="Arial"/>
                <w:sz w:val="20"/>
                <w:szCs w:val="20"/>
                <w:color w:val="auto"/>
              </w:rPr>
              <w:t>Other comprehensive loss</w:t>
            </w: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4"/>
          </w:tcPr>
          <w:p>
            <w:pPr>
              <w:jc w:val="right"/>
              <w:ind w:right="14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4"/>
          </w:tcPr>
          <w:p>
            <w:pPr>
              <w:jc w:val="right"/>
              <w:ind w:right="14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(52,287)</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(52,287)</w:t>
            </w:r>
          </w:p>
        </w:tc>
        <w:tc>
          <w:tcPr>
            <w:tcW w:w="0" w:type="dxa"/>
            <w:vAlign w:val="bottom"/>
          </w:tcPr>
          <w:p>
            <w:pPr>
              <w:spacing w:after="0"/>
              <w:rPr>
                <w:sz w:val="1"/>
                <w:szCs w:val="1"/>
                <w:color w:val="auto"/>
              </w:rPr>
            </w:pPr>
          </w:p>
        </w:tc>
      </w:tr>
      <w:tr>
        <w:trPr>
          <w:trHeight w:val="279"/>
        </w:trPr>
        <w:tc>
          <w:tcPr>
            <w:tcW w:w="3940" w:type="dxa"/>
            <w:vAlign w:val="bottom"/>
            <w:tcBorders>
              <w:top w:val="single" w:sz="8" w:color="E6E6E6"/>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December 31, 2024</w:t>
            </w:r>
          </w:p>
        </w:tc>
        <w:tc>
          <w:tcPr>
            <w:tcW w:w="20" w:type="dxa"/>
            <w:vAlign w:val="bottom"/>
            <w:tcBorders>
              <w:top w:val="single" w:sz="8" w:color="E6E6E6"/>
              <w:bottom w:val="single" w:sz="8" w:color="auto"/>
            </w:tcBorders>
            <w:shd w:val="clear" w:color="auto" w:fill="E6E6E6"/>
          </w:tcPr>
          <w:p>
            <w:pPr>
              <w:spacing w:after="0"/>
              <w:rPr>
                <w:sz w:val="24"/>
                <w:szCs w:val="24"/>
                <w:color w:val="auto"/>
              </w:rPr>
            </w:pPr>
          </w:p>
        </w:tc>
        <w:tc>
          <w:tcPr>
            <w:tcW w:w="100" w:type="dxa"/>
            <w:vAlign w:val="bottom"/>
            <w:tcBorders>
              <w:top w:val="single" w:sz="8" w:color="auto"/>
              <w:bottom w:val="single" w:sz="8" w:color="auto"/>
            </w:tcBorders>
            <w:gridSpan w:val="5"/>
            <w:shd w:val="clear" w:color="auto" w:fill="E6E6E6"/>
          </w:tcPr>
          <w:p>
            <w:pPr>
              <w:spacing w:after="0"/>
              <w:rPr>
                <w:sz w:val="24"/>
                <w:szCs w:val="24"/>
                <w:color w:val="auto"/>
              </w:rPr>
            </w:pPr>
          </w:p>
        </w:tc>
        <w:tc>
          <w:tcPr>
            <w:tcW w:w="120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54,438</w:t>
            </w:r>
          </w:p>
        </w:tc>
        <w:tc>
          <w:tcPr>
            <w:tcW w:w="80" w:type="dxa"/>
            <w:vAlign w:val="bottom"/>
            <w:tcBorders>
              <w:top w:val="single" w:sz="8" w:color="E6E6E6"/>
              <w:bottom w:val="single" w:sz="8" w:color="E6E6E6"/>
            </w:tcBorders>
            <w:shd w:val="clear" w:color="auto" w:fill="E6E6E6"/>
          </w:tcPr>
          <w:p>
            <w:pPr>
              <w:spacing w:after="0"/>
              <w:rPr>
                <w:sz w:val="24"/>
                <w:szCs w:val="24"/>
                <w:color w:val="auto"/>
              </w:rPr>
            </w:pPr>
          </w:p>
        </w:tc>
        <w:tc>
          <w:tcPr>
            <w:tcW w:w="20" w:type="dxa"/>
            <w:vAlign w:val="bottom"/>
            <w:tcBorders>
              <w:top w:val="single" w:sz="8" w:color="E6E6E6"/>
              <w:bottom w:val="single" w:sz="8" w:color="auto"/>
            </w:tcBorders>
            <w:shd w:val="clear" w:color="auto" w:fill="E6E6E6"/>
          </w:tcPr>
          <w:p>
            <w:pPr>
              <w:spacing w:after="0"/>
              <w:rPr>
                <w:sz w:val="24"/>
                <w:szCs w:val="24"/>
                <w:color w:val="auto"/>
              </w:rPr>
            </w:pPr>
          </w:p>
        </w:tc>
        <w:tc>
          <w:tcPr>
            <w:tcW w:w="200" w:type="dxa"/>
            <w:vAlign w:val="bottom"/>
            <w:tcBorders>
              <w:top w:val="single" w:sz="8" w:color="auto"/>
              <w:bottom w:val="single" w:sz="8" w:color="auto"/>
            </w:tcBorders>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12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83,156</w:t>
            </w:r>
          </w:p>
        </w:tc>
        <w:tc>
          <w:tcPr>
            <w:tcW w:w="20" w:type="dxa"/>
            <w:vAlign w:val="bottom"/>
            <w:tcBorders>
              <w:top w:val="single" w:sz="8" w:color="E6E6E6"/>
              <w:bottom w:val="single" w:sz="8" w:color="E6E6E6"/>
            </w:tcBorders>
            <w:shd w:val="clear" w:color="auto" w:fill="E6E6E6"/>
          </w:tcPr>
          <w:p>
            <w:pPr>
              <w:spacing w:after="0"/>
              <w:rPr>
                <w:sz w:val="24"/>
                <w:szCs w:val="24"/>
                <w:color w:val="auto"/>
              </w:rPr>
            </w:pPr>
          </w:p>
        </w:tc>
        <w:tc>
          <w:tcPr>
            <w:tcW w:w="20" w:type="dxa"/>
            <w:vAlign w:val="bottom"/>
            <w:tcBorders>
              <w:top w:val="single" w:sz="8" w:color="E6E6E6"/>
              <w:bottom w:val="single" w:sz="8" w:color="E6E6E6"/>
            </w:tcBorders>
            <w:shd w:val="clear" w:color="auto" w:fill="E6E6E6"/>
          </w:tcPr>
          <w:p>
            <w:pPr>
              <w:spacing w:after="0"/>
              <w:rPr>
                <w:sz w:val="24"/>
                <w:szCs w:val="24"/>
                <w:color w:val="auto"/>
              </w:rPr>
            </w:pPr>
          </w:p>
        </w:tc>
        <w:tc>
          <w:tcPr>
            <w:tcW w:w="20" w:type="dxa"/>
            <w:vAlign w:val="bottom"/>
            <w:tcBorders>
              <w:top w:val="single" w:sz="8" w:color="E6E6E6"/>
              <w:bottom w:val="single" w:sz="8" w:color="E6E6E6"/>
            </w:tcBorders>
            <w:shd w:val="clear" w:color="auto" w:fill="E6E6E6"/>
          </w:tcPr>
          <w:p>
            <w:pPr>
              <w:spacing w:after="0"/>
              <w:rPr>
                <w:sz w:val="24"/>
                <w:szCs w:val="24"/>
                <w:color w:val="auto"/>
              </w:rPr>
            </w:pPr>
          </w:p>
        </w:tc>
        <w:tc>
          <w:tcPr>
            <w:tcW w:w="20" w:type="dxa"/>
            <w:vAlign w:val="bottom"/>
            <w:tcBorders>
              <w:top w:val="single" w:sz="8" w:color="E6E6E6"/>
              <w:bottom w:val="single" w:sz="8" w:color="auto"/>
            </w:tcBorders>
            <w:shd w:val="clear" w:color="auto" w:fill="E6E6E6"/>
          </w:tcPr>
          <w:p>
            <w:pPr>
              <w:spacing w:after="0"/>
              <w:rPr>
                <w:sz w:val="24"/>
                <w:szCs w:val="24"/>
                <w:color w:val="auto"/>
              </w:rPr>
            </w:pPr>
          </w:p>
        </w:tc>
        <w:tc>
          <w:tcPr>
            <w:tcW w:w="180" w:type="dxa"/>
            <w:vAlign w:val="bottom"/>
            <w:tcBorders>
              <w:top w:val="single" w:sz="8" w:color="auto"/>
              <w:bottom w:val="single" w:sz="8" w:color="auto"/>
            </w:tcBorders>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2,220,658</w:t>
            </w:r>
          </w:p>
        </w:tc>
        <w:tc>
          <w:tcPr>
            <w:tcW w:w="20" w:type="dxa"/>
            <w:vAlign w:val="bottom"/>
            <w:tcBorders>
              <w:top w:val="single" w:sz="8" w:color="E6E6E6"/>
              <w:bottom w:val="single" w:sz="8" w:color="E6E6E6"/>
            </w:tcBorders>
            <w:shd w:val="clear" w:color="auto" w:fill="E6E6E6"/>
          </w:tcPr>
          <w:p>
            <w:pPr>
              <w:spacing w:after="0"/>
              <w:rPr>
                <w:sz w:val="24"/>
                <w:szCs w:val="24"/>
                <w:color w:val="auto"/>
              </w:rPr>
            </w:pPr>
          </w:p>
        </w:tc>
        <w:tc>
          <w:tcPr>
            <w:tcW w:w="20" w:type="dxa"/>
            <w:vAlign w:val="bottom"/>
            <w:tcBorders>
              <w:top w:val="single" w:sz="8" w:color="E6E6E6"/>
              <w:bottom w:val="single" w:sz="8" w:color="E6E6E6"/>
            </w:tcBorders>
            <w:shd w:val="clear" w:color="auto" w:fill="E6E6E6"/>
          </w:tcPr>
          <w:p>
            <w:pPr>
              <w:spacing w:after="0"/>
              <w:rPr>
                <w:sz w:val="24"/>
                <w:szCs w:val="24"/>
                <w:color w:val="auto"/>
              </w:rPr>
            </w:pPr>
          </w:p>
        </w:tc>
        <w:tc>
          <w:tcPr>
            <w:tcW w:w="20" w:type="dxa"/>
            <w:vAlign w:val="bottom"/>
            <w:tcBorders>
              <w:top w:val="single" w:sz="8" w:color="E6E6E6"/>
              <w:bottom w:val="single" w:sz="8" w:color="E6E6E6"/>
            </w:tcBorders>
            <w:shd w:val="clear" w:color="auto" w:fill="E6E6E6"/>
          </w:tcPr>
          <w:p>
            <w:pPr>
              <w:spacing w:after="0"/>
              <w:rPr>
                <w:sz w:val="24"/>
                <w:szCs w:val="24"/>
                <w:color w:val="auto"/>
              </w:rPr>
            </w:pPr>
          </w:p>
        </w:tc>
        <w:tc>
          <w:tcPr>
            <w:tcW w:w="20" w:type="dxa"/>
            <w:vAlign w:val="bottom"/>
            <w:tcBorders>
              <w:top w:val="single" w:sz="8" w:color="E6E6E6"/>
              <w:bottom w:val="single" w:sz="8" w:color="auto"/>
            </w:tcBorders>
            <w:shd w:val="clear" w:color="auto" w:fill="E6E6E6"/>
          </w:tcPr>
          <w:p>
            <w:pPr>
              <w:spacing w:after="0"/>
              <w:rPr>
                <w:sz w:val="24"/>
                <w:szCs w:val="24"/>
                <w:color w:val="auto"/>
              </w:rPr>
            </w:pPr>
          </w:p>
        </w:tc>
        <w:tc>
          <w:tcPr>
            <w:tcW w:w="200" w:type="dxa"/>
            <w:vAlign w:val="bottom"/>
            <w:tcBorders>
              <w:top w:val="single" w:sz="8" w:color="auto"/>
              <w:bottom w:val="single" w:sz="8" w:color="auto"/>
            </w:tcBorders>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12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(136)</w:t>
            </w:r>
          </w:p>
        </w:tc>
        <w:tc>
          <w:tcPr>
            <w:tcW w:w="20" w:type="dxa"/>
            <w:vAlign w:val="bottom"/>
            <w:tcBorders>
              <w:top w:val="single" w:sz="8" w:color="E6E6E6"/>
              <w:bottom w:val="single" w:sz="8" w:color="E6E6E6"/>
            </w:tcBorders>
            <w:shd w:val="clear" w:color="auto" w:fill="E6E6E6"/>
          </w:tcPr>
          <w:p>
            <w:pPr>
              <w:spacing w:after="0"/>
              <w:rPr>
                <w:sz w:val="24"/>
                <w:szCs w:val="24"/>
                <w:color w:val="auto"/>
              </w:rPr>
            </w:pPr>
          </w:p>
        </w:tc>
        <w:tc>
          <w:tcPr>
            <w:tcW w:w="20" w:type="dxa"/>
            <w:vAlign w:val="bottom"/>
            <w:tcBorders>
              <w:top w:val="single" w:sz="8" w:color="E6E6E6"/>
              <w:bottom w:val="single" w:sz="8" w:color="E6E6E6"/>
            </w:tcBorders>
            <w:shd w:val="clear" w:color="auto" w:fill="E6E6E6"/>
          </w:tcPr>
          <w:p>
            <w:pPr>
              <w:spacing w:after="0"/>
              <w:rPr>
                <w:sz w:val="24"/>
                <w:szCs w:val="24"/>
                <w:color w:val="auto"/>
              </w:rPr>
            </w:pPr>
          </w:p>
        </w:tc>
        <w:tc>
          <w:tcPr>
            <w:tcW w:w="40" w:type="dxa"/>
            <w:vAlign w:val="bottom"/>
            <w:tcBorders>
              <w:top w:val="single" w:sz="8" w:color="E6E6E6"/>
              <w:bottom w:val="single" w:sz="8" w:color="E6E6E6"/>
            </w:tcBorders>
            <w:shd w:val="clear" w:color="auto" w:fill="E6E6E6"/>
          </w:tcPr>
          <w:p>
            <w:pPr>
              <w:spacing w:after="0"/>
              <w:rPr>
                <w:sz w:val="24"/>
                <w:szCs w:val="24"/>
                <w:color w:val="auto"/>
              </w:rPr>
            </w:pPr>
          </w:p>
        </w:tc>
        <w:tc>
          <w:tcPr>
            <w:tcW w:w="180" w:type="dxa"/>
            <w:vAlign w:val="bottom"/>
            <w:tcBorders>
              <w:top w:val="single" w:sz="8" w:color="auto"/>
              <w:bottom w:val="single" w:sz="8" w:color="auto"/>
            </w:tcBorders>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34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(80,170)</w:t>
            </w:r>
          </w:p>
        </w:tc>
        <w:tc>
          <w:tcPr>
            <w:tcW w:w="20" w:type="dxa"/>
            <w:vAlign w:val="bottom"/>
            <w:tcBorders>
              <w:top w:val="single" w:sz="8" w:color="E6E6E6"/>
              <w:bottom w:val="single" w:sz="8" w:color="E6E6E6"/>
            </w:tcBorders>
            <w:shd w:val="clear" w:color="auto" w:fill="E6E6E6"/>
          </w:tcPr>
          <w:p>
            <w:pPr>
              <w:spacing w:after="0"/>
              <w:rPr>
                <w:sz w:val="24"/>
                <w:szCs w:val="24"/>
                <w:color w:val="auto"/>
              </w:rPr>
            </w:pPr>
          </w:p>
        </w:tc>
        <w:tc>
          <w:tcPr>
            <w:tcW w:w="20" w:type="dxa"/>
            <w:vAlign w:val="bottom"/>
            <w:tcBorders>
              <w:top w:val="single" w:sz="8" w:color="E6E6E6"/>
              <w:bottom w:val="single" w:sz="8" w:color="E6E6E6"/>
            </w:tcBorders>
            <w:shd w:val="clear" w:color="auto" w:fill="E6E6E6"/>
          </w:tcPr>
          <w:p>
            <w:pPr>
              <w:spacing w:after="0"/>
              <w:rPr>
                <w:sz w:val="24"/>
                <w:szCs w:val="24"/>
                <w:color w:val="auto"/>
              </w:rPr>
            </w:pPr>
          </w:p>
        </w:tc>
        <w:tc>
          <w:tcPr>
            <w:tcW w:w="40" w:type="dxa"/>
            <w:vAlign w:val="bottom"/>
            <w:tcBorders>
              <w:top w:val="single" w:sz="8" w:color="E6E6E6"/>
              <w:bottom w:val="single" w:sz="8" w:color="E6E6E6"/>
            </w:tcBorders>
            <w:shd w:val="clear" w:color="auto" w:fill="E6E6E6"/>
          </w:tcPr>
          <w:p>
            <w:pPr>
              <w:spacing w:after="0"/>
              <w:rPr>
                <w:sz w:val="24"/>
                <w:szCs w:val="24"/>
                <w:color w:val="auto"/>
              </w:rPr>
            </w:pPr>
          </w:p>
        </w:tc>
        <w:tc>
          <w:tcPr>
            <w:tcW w:w="20" w:type="dxa"/>
            <w:vAlign w:val="bottom"/>
            <w:tcBorders>
              <w:top w:val="single" w:sz="8" w:color="E6E6E6"/>
              <w:bottom w:val="single" w:sz="8" w:color="auto"/>
            </w:tcBorders>
            <w:shd w:val="clear" w:color="auto" w:fill="E6E6E6"/>
          </w:tcPr>
          <w:p>
            <w:pPr>
              <w:spacing w:after="0"/>
              <w:rPr>
                <w:sz w:val="24"/>
                <w:szCs w:val="24"/>
                <w:color w:val="auto"/>
              </w:rPr>
            </w:pPr>
          </w:p>
        </w:tc>
        <w:tc>
          <w:tcPr>
            <w:tcW w:w="240" w:type="dxa"/>
            <w:vAlign w:val="bottom"/>
            <w:tcBorders>
              <w:top w:val="single" w:sz="8" w:color="auto"/>
              <w:bottom w:val="single" w:sz="8" w:color="auto"/>
            </w:tcBorders>
            <w:gridSpan w:val="2"/>
            <w:shd w:val="clear" w:color="auto" w:fill="E6E6E6"/>
          </w:tcPr>
          <w:p>
            <w:pPr>
              <w:jc w:val="right"/>
              <w:ind w:right="22"/>
              <w:spacing w:after="0"/>
              <w:rPr>
                <w:sz w:val="20"/>
                <w:szCs w:val="20"/>
                <w:color w:val="auto"/>
              </w:rPr>
            </w:pPr>
            <w:r>
              <w:rPr>
                <w:rFonts w:ascii="Arial" w:cs="Arial" w:eastAsia="Arial" w:hAnsi="Arial"/>
                <w:sz w:val="20"/>
                <w:szCs w:val="20"/>
                <w:color w:val="auto"/>
                <w:w w:val="89"/>
              </w:rPr>
              <w:t>$</w:t>
            </w:r>
          </w:p>
        </w:tc>
        <w:tc>
          <w:tcPr>
            <w:tcW w:w="108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(903,250)</w:t>
            </w:r>
          </w:p>
        </w:tc>
        <w:tc>
          <w:tcPr>
            <w:tcW w:w="20" w:type="dxa"/>
            <w:vAlign w:val="bottom"/>
            <w:tcBorders>
              <w:top w:val="single" w:sz="8" w:color="E6E6E6"/>
              <w:bottom w:val="single" w:sz="8" w:color="E6E6E6"/>
            </w:tcBorders>
            <w:shd w:val="clear" w:color="auto" w:fill="E6E6E6"/>
          </w:tcPr>
          <w:p>
            <w:pPr>
              <w:spacing w:after="0"/>
              <w:rPr>
                <w:sz w:val="24"/>
                <w:szCs w:val="24"/>
                <w:color w:val="auto"/>
              </w:rPr>
            </w:pPr>
          </w:p>
        </w:tc>
        <w:tc>
          <w:tcPr>
            <w:tcW w:w="20" w:type="dxa"/>
            <w:vAlign w:val="bottom"/>
            <w:tcBorders>
              <w:top w:val="single" w:sz="8" w:color="E6E6E6"/>
              <w:bottom w:val="single" w:sz="8" w:color="E6E6E6"/>
            </w:tcBorders>
            <w:shd w:val="clear" w:color="auto" w:fill="E6E6E6"/>
          </w:tcPr>
          <w:p>
            <w:pPr>
              <w:spacing w:after="0"/>
              <w:rPr>
                <w:sz w:val="24"/>
                <w:szCs w:val="24"/>
                <w:color w:val="auto"/>
              </w:rPr>
            </w:pPr>
          </w:p>
        </w:tc>
        <w:tc>
          <w:tcPr>
            <w:tcW w:w="20" w:type="dxa"/>
            <w:vAlign w:val="bottom"/>
            <w:tcBorders>
              <w:top w:val="single" w:sz="8" w:color="E6E6E6"/>
              <w:bottom w:val="single" w:sz="8" w:color="auto"/>
            </w:tcBorders>
            <w:shd w:val="clear" w:color="auto" w:fill="E6E6E6"/>
          </w:tcPr>
          <w:p>
            <w:pPr>
              <w:spacing w:after="0"/>
              <w:rPr>
                <w:sz w:val="24"/>
                <w:szCs w:val="24"/>
                <w:color w:val="auto"/>
              </w:rPr>
            </w:pPr>
          </w:p>
        </w:tc>
        <w:tc>
          <w:tcPr>
            <w:tcW w:w="280" w:type="dxa"/>
            <w:vAlign w:val="bottom"/>
            <w:tcBorders>
              <w:top w:val="single" w:sz="8" w:color="auto"/>
              <w:bottom w:val="single" w:sz="8" w:color="auto"/>
            </w:tcBorders>
            <w:gridSpan w:val="2"/>
            <w:shd w:val="clear" w:color="auto" w:fill="E6E6E6"/>
          </w:tcPr>
          <w:p>
            <w:pPr>
              <w:jc w:val="right"/>
              <w:ind w:right="22"/>
              <w:spacing w:after="0"/>
              <w:rPr>
                <w:sz w:val="20"/>
                <w:szCs w:val="20"/>
                <w:color w:val="auto"/>
              </w:rPr>
            </w:pPr>
            <w:r>
              <w:rPr>
                <w:rFonts w:ascii="Arial" w:cs="Arial" w:eastAsia="Arial" w:hAnsi="Arial"/>
                <w:sz w:val="20"/>
                <w:szCs w:val="20"/>
                <w:color w:val="auto"/>
              </w:rPr>
              <w:t>$</w:t>
            </w:r>
          </w:p>
        </w:tc>
        <w:tc>
          <w:tcPr>
            <w:tcW w:w="106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1,320,258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-2336165</wp:posOffset>
            </wp:positionV>
            <wp:extent cx="637286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75">
                      <a:extLst>
                        <a:ext uri="{28A0092B-C50C-407E-A947-70E740481C1C}"/>
                      </a:extLst>
                    </a:blip>
                    <a:srcRect/>
                    <a:stretch>
                      <a:fillRect/>
                    </a:stretch>
                  </pic:blipFill>
                  <pic:spPr bwMode="auto">
                    <a:xfrm>
                      <a:off x="0" y="0"/>
                      <a:ext cx="6372860" cy="2540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-1626870</wp:posOffset>
            </wp:positionV>
            <wp:extent cx="637286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76">
                      <a:extLst>
                        <a:ext uri="{28A0092B-C50C-407E-A947-70E740481C1C}"/>
                      </a:extLst>
                    </a:blip>
                    <a:srcRect/>
                    <a:stretch>
                      <a:fillRect/>
                    </a:stretch>
                  </pic:blipFill>
                  <pic:spPr bwMode="auto">
                    <a:xfrm>
                      <a:off x="0" y="0"/>
                      <a:ext cx="6372860" cy="2540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-1449705</wp:posOffset>
            </wp:positionV>
            <wp:extent cx="637286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77">
                      <a:extLst>
                        <a:ext uri="{28A0092B-C50C-407E-A947-70E740481C1C}"/>
                      </a:extLst>
                    </a:blip>
                    <a:srcRect/>
                    <a:stretch>
                      <a:fillRect/>
                    </a:stretch>
                  </pic:blipFill>
                  <pic:spPr bwMode="auto">
                    <a:xfrm>
                      <a:off x="0" y="0"/>
                      <a:ext cx="6372860" cy="2540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-917575</wp:posOffset>
            </wp:positionV>
            <wp:extent cx="637286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78">
                      <a:extLst>
                        <a:ext uri="{28A0092B-C50C-407E-A947-70E740481C1C}"/>
                      </a:extLst>
                    </a:blip>
                    <a:srcRect/>
                    <a:stretch>
                      <a:fillRect/>
                    </a:stretch>
                  </pic:blipFill>
                  <pic:spPr bwMode="auto">
                    <a:xfrm>
                      <a:off x="0" y="0"/>
                      <a:ext cx="6372860" cy="2540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-740410</wp:posOffset>
            </wp:positionV>
            <wp:extent cx="637286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79">
                      <a:extLst>
                        <a:ext uri="{28A0092B-C50C-407E-A947-70E740481C1C}"/>
                      </a:extLst>
                    </a:blip>
                    <a:srcRect/>
                    <a:stretch>
                      <a:fillRect/>
                    </a:stretch>
                  </pic:blipFill>
                  <pic:spPr bwMode="auto">
                    <a:xfrm>
                      <a:off x="0" y="0"/>
                      <a:ext cx="6372860" cy="2540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-208280</wp:posOffset>
            </wp:positionV>
            <wp:extent cx="637286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80">
                      <a:extLst>
                        <a:ext uri="{28A0092B-C50C-407E-A947-70E740481C1C}"/>
                      </a:extLst>
                    </a:blip>
                    <a:srcRect/>
                    <a:stretch>
                      <a:fillRect/>
                    </a:stretch>
                  </pic:blipFill>
                  <pic:spPr bwMode="auto">
                    <a:xfrm>
                      <a:off x="0" y="0"/>
                      <a:ext cx="6372860" cy="2540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-43180</wp:posOffset>
            </wp:positionV>
            <wp:extent cx="6372860" cy="501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81">
                      <a:extLst>
                        <a:ext uri="{28A0092B-C50C-407E-A947-70E740481C1C}"/>
                      </a:extLst>
                    </a:blip>
                    <a:srcRect/>
                    <a:stretch>
                      <a:fillRect/>
                    </a:stretch>
                  </pic:blipFill>
                  <pic:spPr bwMode="auto">
                    <a:xfrm>
                      <a:off x="0" y="0"/>
                      <a:ext cx="6372860" cy="50165"/>
                    </a:xfrm>
                    <a:prstGeom prst="rect">
                      <a:avLst/>
                    </a:prstGeom>
                    <a:noFill/>
                  </pic:spPr>
                </pic:pic>
              </a:graphicData>
            </a:graphic>
          </wp:anchor>
        </w:drawing>
      </w:r>
    </w:p>
    <w:p>
      <w:pPr>
        <w:sectPr>
          <w:pgSz w:w="15480" w:h="11880" w:orient="landscape"/>
          <w:cols w:equalWidth="0" w:num="2">
            <w:col w:w="485" w:space="232"/>
            <w:col w:w="13920"/>
          </w:cols>
          <w:pgMar w:left="303" w:top="405" w:right="540" w:bottom="1440" w:gutter="0" w:footer="0" w:header="0"/>
        </w:sectPr>
      </w:pPr>
    </w:p>
    <w:bookmarkStart w:id="64" w:name="page65"/>
    <w:bookmarkEnd w:id="64"/>
    <w:p>
      <w:pPr>
        <w:jc w:val="center"/>
        <w:spacing w:after="0"/>
        <w:rPr>
          <w:sz w:val="20"/>
          <w:szCs w:val="20"/>
          <w:color w:val="auto"/>
        </w:rPr>
      </w:pPr>
      <w:r>
        <w:rPr>
          <w:rFonts w:ascii="Arial" w:cs="Arial" w:eastAsia="Arial" w:hAnsi="Arial"/>
          <w:sz w:val="24"/>
          <w:szCs w:val="24"/>
          <w:b w:val="1"/>
          <w:bCs w:val="1"/>
          <w:color w:val="auto"/>
        </w:rPr>
        <w:t>LIVANOVA PLC AND SUBSIDIARIES</w:t>
      </w:r>
    </w:p>
    <w:p>
      <w:pPr>
        <w:jc w:val="center"/>
        <w:spacing w:after="0" w:line="224" w:lineRule="auto"/>
        <w:rPr>
          <w:sz w:val="20"/>
          <w:szCs w:val="20"/>
          <w:color w:val="auto"/>
        </w:rPr>
      </w:pPr>
      <w:r>
        <w:rPr>
          <w:rFonts w:ascii="Arial" w:cs="Arial" w:eastAsia="Arial" w:hAnsi="Arial"/>
          <w:sz w:val="24"/>
          <w:szCs w:val="24"/>
          <w:b w:val="1"/>
          <w:bCs w:val="1"/>
          <w:color w:val="auto"/>
        </w:rPr>
        <w:t>CONSOLIDATED STATEMENTS OF CASH FLOWS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5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w w:val="84"/>
              </w:rPr>
              <w:t>2022</w:t>
            </w:r>
          </w:p>
        </w:tc>
        <w:tc>
          <w:tcPr>
            <w:tcW w:w="0" w:type="dxa"/>
            <w:vAlign w:val="bottom"/>
          </w:tcPr>
          <w:p>
            <w:pPr>
              <w:spacing w:after="0"/>
              <w:rPr>
                <w:sz w:val="1"/>
                <w:szCs w:val="1"/>
                <w:color w:val="auto"/>
              </w:rPr>
            </w:pPr>
          </w:p>
        </w:tc>
      </w:tr>
      <w:tr>
        <w:trPr>
          <w:trHeight w:val="233"/>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540" w:type="dxa"/>
            <w:vAlign w:val="bottom"/>
            <w:shd w:val="clear" w:color="auto" w:fill="E6E6E6"/>
          </w:tcPr>
          <w:p>
            <w:pPr>
              <w:ind w:left="180"/>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E6E6E6"/>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63,234</w:t>
            </w:r>
          </w:p>
        </w:tc>
        <w:tc>
          <w:tcPr>
            <w:tcW w:w="340" w:type="dxa"/>
            <w:vAlign w:val="bottom"/>
            <w:gridSpan w:val="2"/>
            <w:shd w:val="clear" w:color="auto" w:fill="E6E6E6"/>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17,546</w:t>
            </w:r>
          </w:p>
        </w:tc>
        <w:tc>
          <w:tcPr>
            <w:tcW w:w="440" w:type="dxa"/>
            <w:vAlign w:val="bottom"/>
            <w:gridSpan w:val="2"/>
            <w:shd w:val="clear" w:color="auto" w:fill="E6E6E6"/>
          </w:tcPr>
          <w:p>
            <w:pPr>
              <w:jc w:val="right"/>
              <w:ind w:right="132"/>
              <w:spacing w:after="0"/>
              <w:rPr>
                <w:sz w:val="20"/>
                <w:szCs w:val="20"/>
                <w:color w:val="auto"/>
              </w:rPr>
            </w:pPr>
            <w:r>
              <w:rPr>
                <w:rFonts w:ascii="Arial" w:cs="Arial" w:eastAsia="Arial" w:hAnsi="Arial"/>
                <w:sz w:val="18"/>
                <w:szCs w:val="18"/>
                <w:color w:val="auto"/>
              </w:rPr>
              <w:t>$</w:t>
            </w:r>
          </w:p>
        </w:tc>
        <w:tc>
          <w:tcPr>
            <w:tcW w:w="7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(86,246)</w:t>
            </w:r>
          </w:p>
        </w:tc>
        <w:tc>
          <w:tcPr>
            <w:tcW w:w="0" w:type="dxa"/>
            <w:vAlign w:val="bottom"/>
          </w:tcPr>
          <w:p>
            <w:pPr>
              <w:spacing w:after="0"/>
              <w:rPr>
                <w:sz w:val="1"/>
                <w:szCs w:val="1"/>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w w:val="92"/>
              </w:rPr>
              <w:t>Adjustments to reconcile net income (loss) to net cash provided by operating activities:</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540" w:type="dxa"/>
            <w:vAlign w:val="bottom"/>
            <w:shd w:val="clear" w:color="auto" w:fill="E6E6E6"/>
          </w:tcPr>
          <w:p>
            <w:pPr>
              <w:ind w:left="26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33,933</w:t>
            </w:r>
          </w:p>
        </w:tc>
        <w:tc>
          <w:tcPr>
            <w:tcW w:w="8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36,352</w:t>
            </w:r>
          </w:p>
        </w:tc>
        <w:tc>
          <w:tcPr>
            <w:tcW w:w="80" w:type="dxa"/>
            <w:vAlign w:val="bottom"/>
            <w:shd w:val="clear" w:color="auto" w:fill="E6E6E6"/>
          </w:tcPr>
          <w:p>
            <w:pPr>
              <w:spacing w:after="0"/>
              <w:rPr>
                <w:sz w:val="22"/>
                <w:szCs w:val="22"/>
                <w:color w:val="auto"/>
              </w:rPr>
            </w:pPr>
          </w:p>
        </w:tc>
        <w:tc>
          <w:tcPr>
            <w:tcW w:w="360" w:type="dxa"/>
            <w:vAlign w:val="bottom"/>
            <w:shd w:val="clear" w:color="auto" w:fill="E6E6E6"/>
          </w:tcPr>
          <w:p>
            <w:pPr>
              <w:spacing w:after="0"/>
              <w:rPr>
                <w:sz w:val="22"/>
                <w:szCs w:val="22"/>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44,809</w:t>
            </w:r>
          </w:p>
        </w:tc>
        <w:tc>
          <w:tcPr>
            <w:tcW w:w="0" w:type="dxa"/>
            <w:vAlign w:val="bottom"/>
          </w:tcPr>
          <w:p>
            <w:pPr>
              <w:spacing w:after="0"/>
              <w:rPr>
                <w:sz w:val="1"/>
                <w:szCs w:val="1"/>
                <w:color w:val="auto"/>
              </w:rPr>
            </w:pPr>
          </w:p>
        </w:tc>
      </w:tr>
      <w:tr>
        <w:trPr>
          <w:trHeight w:val="243"/>
        </w:trPr>
        <w:tc>
          <w:tcPr>
            <w:tcW w:w="6540" w:type="dxa"/>
            <w:vAlign w:val="bottom"/>
          </w:tcPr>
          <w:p>
            <w:pPr>
              <w:ind w:left="260"/>
              <w:spacing w:after="0"/>
              <w:rPr>
                <w:sz w:val="20"/>
                <w:szCs w:val="20"/>
                <w:color w:val="auto"/>
              </w:rPr>
            </w:pPr>
            <w:r>
              <w:rPr>
                <w:rFonts w:ascii="Arial" w:cs="Arial" w:eastAsia="Arial" w:hAnsi="Arial"/>
                <w:sz w:val="18"/>
                <w:szCs w:val="18"/>
                <w:color w:val="auto"/>
              </w:rPr>
              <w:t>Loss on debt extinguishment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25,482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6540" w:type="dxa"/>
            <w:vAlign w:val="bottom"/>
            <w:shd w:val="clear" w:color="auto" w:fill="E6E6E6"/>
          </w:tcPr>
          <w:p>
            <w:pPr>
              <w:ind w:left="260"/>
              <w:spacing w:after="0"/>
              <w:rPr>
                <w:sz w:val="20"/>
                <w:szCs w:val="20"/>
                <w:color w:val="auto"/>
              </w:rPr>
            </w:pPr>
            <w:r>
              <w:rPr>
                <w:rFonts w:ascii="Arial" w:cs="Arial" w:eastAsia="Arial" w:hAnsi="Arial"/>
                <w:sz w:val="18"/>
                <w:szCs w:val="18"/>
                <w:color w:val="auto"/>
              </w:rPr>
              <w:t>Remeasurement of derivative instruments, net</w:t>
            </w:r>
          </w:p>
        </w:tc>
        <w:tc>
          <w:tcPr>
            <w:tcW w:w="26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(25,345)</w:t>
            </w:r>
          </w:p>
        </w:tc>
        <w:tc>
          <w:tcPr>
            <w:tcW w:w="8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(22,911)</w:t>
            </w:r>
          </w:p>
        </w:tc>
        <w:tc>
          <w:tcPr>
            <w:tcW w:w="80" w:type="dxa"/>
            <w:vAlign w:val="bottom"/>
            <w:shd w:val="clear" w:color="auto" w:fill="E6E6E6"/>
          </w:tcPr>
          <w:p>
            <w:pPr>
              <w:spacing w:after="0"/>
              <w:rPr>
                <w:sz w:val="22"/>
                <w:szCs w:val="22"/>
                <w:color w:val="auto"/>
              </w:rPr>
            </w:pPr>
          </w:p>
        </w:tc>
        <w:tc>
          <w:tcPr>
            <w:tcW w:w="360" w:type="dxa"/>
            <w:vAlign w:val="bottom"/>
            <w:shd w:val="clear" w:color="auto" w:fill="E6E6E6"/>
          </w:tcPr>
          <w:p>
            <w:pPr>
              <w:spacing w:after="0"/>
              <w:rPr>
                <w:sz w:val="22"/>
                <w:szCs w:val="22"/>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(38,656)</w:t>
            </w:r>
          </w:p>
        </w:tc>
        <w:tc>
          <w:tcPr>
            <w:tcW w:w="0" w:type="dxa"/>
            <w:vAlign w:val="bottom"/>
          </w:tcPr>
          <w:p>
            <w:pPr>
              <w:spacing w:after="0"/>
              <w:rPr>
                <w:sz w:val="1"/>
                <w:szCs w:val="1"/>
                <w:color w:val="auto"/>
              </w:rPr>
            </w:pPr>
          </w:p>
        </w:tc>
      </w:tr>
      <w:tr>
        <w:trPr>
          <w:trHeight w:val="243"/>
        </w:trPr>
        <w:tc>
          <w:tcPr>
            <w:tcW w:w="6540" w:type="dxa"/>
            <w:vAlign w:val="bottom"/>
          </w:tcPr>
          <w:p>
            <w:pPr>
              <w:ind w:left="260"/>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25,104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24,737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22,373</w:t>
            </w:r>
          </w:p>
        </w:tc>
        <w:tc>
          <w:tcPr>
            <w:tcW w:w="0" w:type="dxa"/>
            <w:vAlign w:val="bottom"/>
          </w:tcPr>
          <w:p>
            <w:pPr>
              <w:spacing w:after="0"/>
              <w:rPr>
                <w:sz w:val="1"/>
                <w:szCs w:val="1"/>
                <w:color w:val="auto"/>
              </w:rPr>
            </w:pPr>
          </w:p>
        </w:tc>
      </w:tr>
      <w:tr>
        <w:trPr>
          <w:trHeight w:val="256"/>
        </w:trPr>
        <w:tc>
          <w:tcPr>
            <w:tcW w:w="6540" w:type="dxa"/>
            <w:vAlign w:val="bottom"/>
            <w:shd w:val="clear" w:color="auto" w:fill="E6E6E6"/>
          </w:tcPr>
          <w:p>
            <w:pPr>
              <w:ind w:left="260"/>
              <w:spacing w:after="0"/>
              <w:rPr>
                <w:sz w:val="20"/>
                <w:szCs w:val="20"/>
                <w:color w:val="auto"/>
              </w:rPr>
            </w:pPr>
            <w:r>
              <w:rPr>
                <w:rFonts w:ascii="Arial" w:cs="Arial" w:eastAsia="Arial" w:hAnsi="Arial"/>
                <w:sz w:val="18"/>
                <w:szCs w:val="18"/>
                <w:color w:val="auto"/>
              </w:rPr>
              <w:t>Amortization of debt issuance costs</w:t>
            </w:r>
          </w:p>
        </w:tc>
        <w:tc>
          <w:tcPr>
            <w:tcW w:w="26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21,599</w:t>
            </w:r>
          </w:p>
        </w:tc>
        <w:tc>
          <w:tcPr>
            <w:tcW w:w="8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19,053</w:t>
            </w:r>
          </w:p>
        </w:tc>
        <w:tc>
          <w:tcPr>
            <w:tcW w:w="80" w:type="dxa"/>
            <w:vAlign w:val="bottom"/>
            <w:shd w:val="clear" w:color="auto" w:fill="E6E6E6"/>
          </w:tcPr>
          <w:p>
            <w:pPr>
              <w:spacing w:after="0"/>
              <w:rPr>
                <w:sz w:val="22"/>
                <w:szCs w:val="22"/>
                <w:color w:val="auto"/>
              </w:rPr>
            </w:pPr>
          </w:p>
        </w:tc>
        <w:tc>
          <w:tcPr>
            <w:tcW w:w="360" w:type="dxa"/>
            <w:vAlign w:val="bottom"/>
            <w:shd w:val="clear" w:color="auto" w:fill="E6E6E6"/>
          </w:tcPr>
          <w:p>
            <w:pPr>
              <w:spacing w:after="0"/>
              <w:rPr>
                <w:sz w:val="22"/>
                <w:szCs w:val="22"/>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21,334</w:t>
            </w:r>
          </w:p>
        </w:tc>
        <w:tc>
          <w:tcPr>
            <w:tcW w:w="0" w:type="dxa"/>
            <w:vAlign w:val="bottom"/>
          </w:tcPr>
          <w:p>
            <w:pPr>
              <w:spacing w:after="0"/>
              <w:rPr>
                <w:sz w:val="1"/>
                <w:szCs w:val="1"/>
                <w:color w:val="auto"/>
              </w:rPr>
            </w:pPr>
          </w:p>
        </w:tc>
      </w:tr>
      <w:tr>
        <w:trPr>
          <w:trHeight w:val="243"/>
        </w:trPr>
        <w:tc>
          <w:tcPr>
            <w:tcW w:w="6540" w:type="dxa"/>
            <w:vAlign w:val="bottom"/>
          </w:tcPr>
          <w:p>
            <w:pPr>
              <w:ind w:left="260"/>
              <w:spacing w:after="0"/>
              <w:rPr>
                <w:sz w:val="20"/>
                <w:szCs w:val="20"/>
                <w:color w:val="auto"/>
              </w:rPr>
            </w:pPr>
            <w:r>
              <w:rPr>
                <w:rFonts w:ascii="Arial" w:cs="Arial" w:eastAsia="Arial" w:hAnsi="Arial"/>
                <w:sz w:val="18"/>
                <w:szCs w:val="18"/>
                <w:color w:val="auto"/>
              </w:rPr>
              <w:t>Amortization</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17,212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25,472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25,198</w:t>
            </w:r>
          </w:p>
        </w:tc>
        <w:tc>
          <w:tcPr>
            <w:tcW w:w="0" w:type="dxa"/>
            <w:vAlign w:val="bottom"/>
          </w:tcPr>
          <w:p>
            <w:pPr>
              <w:spacing w:after="0"/>
              <w:rPr>
                <w:sz w:val="1"/>
                <w:szCs w:val="1"/>
                <w:color w:val="auto"/>
              </w:rPr>
            </w:pPr>
          </w:p>
        </w:tc>
      </w:tr>
      <w:tr>
        <w:trPr>
          <w:trHeight w:val="256"/>
        </w:trPr>
        <w:tc>
          <w:tcPr>
            <w:tcW w:w="6540" w:type="dxa"/>
            <w:vAlign w:val="bottom"/>
            <w:shd w:val="clear" w:color="auto" w:fill="E6E6E6"/>
          </w:tcPr>
          <w:p>
            <w:pPr>
              <w:ind w:left="260"/>
              <w:spacing w:after="0"/>
              <w:rPr>
                <w:sz w:val="20"/>
                <w:szCs w:val="20"/>
                <w:color w:val="auto"/>
              </w:rPr>
            </w:pPr>
            <w:r>
              <w:rPr>
                <w:rFonts w:ascii="Arial" w:cs="Arial" w:eastAsia="Arial" w:hAnsi="Arial"/>
                <w:sz w:val="18"/>
                <w:szCs w:val="18"/>
                <w:color w:val="auto"/>
              </w:rPr>
              <w:t>Amortization of operating lease assets</w:t>
            </w:r>
          </w:p>
        </w:tc>
        <w:tc>
          <w:tcPr>
            <w:tcW w:w="26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8,828</w:t>
            </w:r>
          </w:p>
        </w:tc>
        <w:tc>
          <w:tcPr>
            <w:tcW w:w="8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10,647</w:t>
            </w:r>
          </w:p>
        </w:tc>
        <w:tc>
          <w:tcPr>
            <w:tcW w:w="80" w:type="dxa"/>
            <w:vAlign w:val="bottom"/>
            <w:shd w:val="clear" w:color="auto" w:fill="E6E6E6"/>
          </w:tcPr>
          <w:p>
            <w:pPr>
              <w:spacing w:after="0"/>
              <w:rPr>
                <w:sz w:val="22"/>
                <w:szCs w:val="22"/>
                <w:color w:val="auto"/>
              </w:rPr>
            </w:pPr>
          </w:p>
        </w:tc>
        <w:tc>
          <w:tcPr>
            <w:tcW w:w="360" w:type="dxa"/>
            <w:vAlign w:val="bottom"/>
            <w:shd w:val="clear" w:color="auto" w:fill="E6E6E6"/>
          </w:tcPr>
          <w:p>
            <w:pPr>
              <w:spacing w:after="0"/>
              <w:rPr>
                <w:sz w:val="22"/>
                <w:szCs w:val="22"/>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10,225</w:t>
            </w:r>
          </w:p>
        </w:tc>
        <w:tc>
          <w:tcPr>
            <w:tcW w:w="0" w:type="dxa"/>
            <w:vAlign w:val="bottom"/>
          </w:tcPr>
          <w:p>
            <w:pPr>
              <w:spacing w:after="0"/>
              <w:rPr>
                <w:sz w:val="1"/>
                <w:szCs w:val="1"/>
                <w:color w:val="auto"/>
              </w:rPr>
            </w:pPr>
          </w:p>
        </w:tc>
      </w:tr>
      <w:tr>
        <w:trPr>
          <w:trHeight w:val="244"/>
        </w:trPr>
        <w:tc>
          <w:tcPr>
            <w:tcW w:w="6540" w:type="dxa"/>
            <w:vAlign w:val="bottom"/>
          </w:tcPr>
          <w:p>
            <w:pPr>
              <w:ind w:left="260"/>
              <w:spacing w:after="0"/>
              <w:rPr>
                <w:sz w:val="20"/>
                <w:szCs w:val="20"/>
                <w:color w:val="auto"/>
              </w:rPr>
            </w:pPr>
            <w:r>
              <w:rPr>
                <w:rFonts w:ascii="Arial" w:cs="Arial" w:eastAsia="Arial" w:hAnsi="Arial"/>
                <w:sz w:val="18"/>
                <w:szCs w:val="18"/>
                <w:color w:val="auto"/>
              </w:rPr>
              <w:t>Gain on investment revaluation - Ceribell, Inc.</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(7,144)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6540" w:type="dxa"/>
            <w:vAlign w:val="bottom"/>
            <w:shd w:val="clear" w:color="auto" w:fill="E6E6E6"/>
          </w:tcPr>
          <w:p>
            <w:pPr>
              <w:ind w:left="260"/>
              <w:spacing w:after="0"/>
              <w:rPr>
                <w:sz w:val="20"/>
                <w:szCs w:val="20"/>
                <w:color w:val="auto"/>
              </w:rPr>
            </w:pPr>
            <w:r>
              <w:rPr>
                <w:rFonts w:ascii="Arial" w:cs="Arial" w:eastAsia="Arial" w:hAnsi="Arial"/>
                <w:sz w:val="18"/>
                <w:szCs w:val="18"/>
                <w:color w:val="auto"/>
              </w:rPr>
              <w:t>Deferred income tax expense (benefit)</w:t>
            </w:r>
          </w:p>
        </w:tc>
        <w:tc>
          <w:tcPr>
            <w:tcW w:w="26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6,795</w:t>
            </w:r>
          </w:p>
        </w:tc>
        <w:tc>
          <w:tcPr>
            <w:tcW w:w="8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(114,428)</w:t>
            </w:r>
          </w:p>
        </w:tc>
        <w:tc>
          <w:tcPr>
            <w:tcW w:w="80" w:type="dxa"/>
            <w:vAlign w:val="bottom"/>
            <w:shd w:val="clear" w:color="auto" w:fill="E6E6E6"/>
          </w:tcPr>
          <w:p>
            <w:pPr>
              <w:spacing w:after="0"/>
              <w:rPr>
                <w:sz w:val="22"/>
                <w:szCs w:val="22"/>
                <w:color w:val="auto"/>
              </w:rPr>
            </w:pPr>
          </w:p>
        </w:tc>
        <w:tc>
          <w:tcPr>
            <w:tcW w:w="360" w:type="dxa"/>
            <w:vAlign w:val="bottom"/>
            <w:shd w:val="clear" w:color="auto" w:fill="E6E6E6"/>
          </w:tcPr>
          <w:p>
            <w:pPr>
              <w:spacing w:after="0"/>
              <w:rPr>
                <w:sz w:val="22"/>
                <w:szCs w:val="22"/>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44"/>
        </w:trPr>
        <w:tc>
          <w:tcPr>
            <w:tcW w:w="6540" w:type="dxa"/>
            <w:vAlign w:val="bottom"/>
          </w:tcPr>
          <w:p>
            <w:pPr>
              <w:ind w:left="260"/>
              <w:spacing w:after="0"/>
              <w:rPr>
                <w:sz w:val="20"/>
                <w:szCs w:val="20"/>
                <w:color w:val="auto"/>
              </w:rPr>
            </w:pPr>
            <w:r>
              <w:rPr>
                <w:rFonts w:ascii="Arial" w:cs="Arial" w:eastAsia="Arial" w:hAnsi="Arial"/>
                <w:sz w:val="18"/>
                <w:szCs w:val="18"/>
                <w:color w:val="auto"/>
              </w:rPr>
              <w:t>Impairment of investments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5,768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6540" w:type="dxa"/>
            <w:vAlign w:val="bottom"/>
            <w:shd w:val="clear" w:color="auto" w:fill="E6E6E6"/>
          </w:tcPr>
          <w:p>
            <w:pPr>
              <w:ind w:left="260"/>
              <w:spacing w:after="0"/>
              <w:rPr>
                <w:sz w:val="20"/>
                <w:szCs w:val="20"/>
                <w:color w:val="auto"/>
              </w:rPr>
            </w:pPr>
            <w:r>
              <w:rPr>
                <w:rFonts w:ascii="Arial" w:cs="Arial" w:eastAsia="Arial" w:hAnsi="Arial"/>
                <w:sz w:val="18"/>
                <w:szCs w:val="18"/>
                <w:color w:val="auto"/>
              </w:rPr>
              <w:t>Remeasurement of contingent consideration to fair value</w:t>
            </w:r>
          </w:p>
        </w:tc>
        <w:tc>
          <w:tcPr>
            <w:tcW w:w="26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3,316</w:t>
            </w:r>
          </w:p>
        </w:tc>
        <w:tc>
          <w:tcPr>
            <w:tcW w:w="8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9,360</w:t>
            </w:r>
          </w:p>
        </w:tc>
        <w:tc>
          <w:tcPr>
            <w:tcW w:w="80" w:type="dxa"/>
            <w:vAlign w:val="bottom"/>
            <w:shd w:val="clear" w:color="auto" w:fill="E6E6E6"/>
          </w:tcPr>
          <w:p>
            <w:pPr>
              <w:spacing w:after="0"/>
              <w:rPr>
                <w:sz w:val="22"/>
                <w:szCs w:val="22"/>
                <w:color w:val="auto"/>
              </w:rPr>
            </w:pPr>
          </w:p>
        </w:tc>
        <w:tc>
          <w:tcPr>
            <w:tcW w:w="360" w:type="dxa"/>
            <w:vAlign w:val="bottom"/>
            <w:shd w:val="clear" w:color="auto" w:fill="E6E6E6"/>
          </w:tcPr>
          <w:p>
            <w:pPr>
              <w:spacing w:after="0"/>
              <w:rPr>
                <w:sz w:val="22"/>
                <w:szCs w:val="22"/>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(29,881)</w:t>
            </w:r>
          </w:p>
        </w:tc>
        <w:tc>
          <w:tcPr>
            <w:tcW w:w="0" w:type="dxa"/>
            <w:vAlign w:val="bottom"/>
          </w:tcPr>
          <w:p>
            <w:pPr>
              <w:spacing w:after="0"/>
              <w:rPr>
                <w:sz w:val="1"/>
                <w:szCs w:val="1"/>
                <w:color w:val="auto"/>
              </w:rPr>
            </w:pPr>
          </w:p>
        </w:tc>
      </w:tr>
      <w:tr>
        <w:trPr>
          <w:trHeight w:val="244"/>
        </w:trPr>
        <w:tc>
          <w:tcPr>
            <w:tcW w:w="6540" w:type="dxa"/>
            <w:vAlign w:val="bottom"/>
          </w:tcPr>
          <w:p>
            <w:pPr>
              <w:ind w:left="260"/>
              <w:spacing w:after="0"/>
              <w:rPr>
                <w:sz w:val="20"/>
                <w:szCs w:val="20"/>
                <w:color w:val="auto"/>
              </w:rPr>
            </w:pPr>
            <w:r>
              <w:rPr>
                <w:rFonts w:ascii="Arial" w:cs="Arial" w:eastAsia="Arial" w:hAnsi="Arial"/>
                <w:sz w:val="18"/>
                <w:szCs w:val="18"/>
                <w:color w:val="auto"/>
              </w:rPr>
              <w:t>Impairment of long-lived assets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89,974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6540" w:type="dxa"/>
            <w:vAlign w:val="bottom"/>
            <w:shd w:val="clear" w:color="auto" w:fill="E6E6E6"/>
          </w:tcPr>
          <w:p>
            <w:pPr>
              <w:ind w:left="260"/>
              <w:spacing w:after="0"/>
              <w:rPr>
                <w:sz w:val="20"/>
                <w:szCs w:val="20"/>
                <w:color w:val="auto"/>
              </w:rPr>
            </w:pPr>
            <w:r>
              <w:rPr>
                <w:rFonts w:ascii="Arial" w:cs="Arial" w:eastAsia="Arial" w:hAnsi="Arial"/>
                <w:sz w:val="18"/>
                <w:szCs w:val="18"/>
                <w:color w:val="auto"/>
              </w:rPr>
              <w:t>ACS inventory obsolescence adjustment</w:t>
            </w:r>
          </w:p>
        </w:tc>
        <w:tc>
          <w:tcPr>
            <w:tcW w:w="26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12,621</w:t>
            </w:r>
          </w:p>
        </w:tc>
        <w:tc>
          <w:tcPr>
            <w:tcW w:w="80" w:type="dxa"/>
            <w:vAlign w:val="bottom"/>
            <w:shd w:val="clear" w:color="auto" w:fill="E6E6E6"/>
          </w:tcPr>
          <w:p>
            <w:pPr>
              <w:spacing w:after="0"/>
              <w:rPr>
                <w:sz w:val="22"/>
                <w:szCs w:val="22"/>
                <w:color w:val="auto"/>
              </w:rPr>
            </w:pPr>
          </w:p>
        </w:tc>
        <w:tc>
          <w:tcPr>
            <w:tcW w:w="360" w:type="dxa"/>
            <w:vAlign w:val="bottom"/>
            <w:shd w:val="clear" w:color="auto" w:fill="E6E6E6"/>
          </w:tcPr>
          <w:p>
            <w:pPr>
              <w:spacing w:after="0"/>
              <w:rPr>
                <w:sz w:val="22"/>
                <w:szCs w:val="22"/>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6540" w:type="dxa"/>
            <w:vAlign w:val="bottom"/>
          </w:tcPr>
          <w:p>
            <w:pPr>
              <w:ind w:left="260"/>
              <w:spacing w:after="0"/>
              <w:rPr>
                <w:sz w:val="20"/>
                <w:szCs w:val="20"/>
                <w:color w:val="auto"/>
              </w:rPr>
            </w:pPr>
            <w:r>
              <w:rPr>
                <w:rFonts w:ascii="Arial" w:cs="Arial" w:eastAsia="Arial" w:hAnsi="Arial"/>
                <w:sz w:val="18"/>
                <w:szCs w:val="18"/>
                <w:color w:val="auto"/>
              </w:rPr>
              <w:t>Impairment of goodwill</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129,396</w:t>
            </w:r>
          </w:p>
        </w:tc>
        <w:tc>
          <w:tcPr>
            <w:tcW w:w="0" w:type="dxa"/>
            <w:vAlign w:val="bottom"/>
          </w:tcPr>
          <w:p>
            <w:pPr>
              <w:spacing w:after="0"/>
              <w:rPr>
                <w:sz w:val="1"/>
                <w:szCs w:val="1"/>
                <w:color w:val="auto"/>
              </w:rPr>
            </w:pPr>
          </w:p>
        </w:tc>
      </w:tr>
      <w:tr>
        <w:trPr>
          <w:trHeight w:val="256"/>
        </w:trPr>
        <w:tc>
          <w:tcPr>
            <w:tcW w:w="6540" w:type="dxa"/>
            <w:vAlign w:val="bottom"/>
            <w:shd w:val="clear" w:color="auto" w:fill="E6E6E6"/>
          </w:tcPr>
          <w:p>
            <w:pPr>
              <w:ind w:left="26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2,950</w:t>
            </w:r>
          </w:p>
        </w:tc>
        <w:tc>
          <w:tcPr>
            <w:tcW w:w="8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1,111</w:t>
            </w:r>
          </w:p>
        </w:tc>
        <w:tc>
          <w:tcPr>
            <w:tcW w:w="80" w:type="dxa"/>
            <w:vAlign w:val="bottom"/>
            <w:shd w:val="clear" w:color="auto" w:fill="E6E6E6"/>
          </w:tcPr>
          <w:p>
            <w:pPr>
              <w:spacing w:after="0"/>
              <w:rPr>
                <w:sz w:val="22"/>
                <w:szCs w:val="22"/>
                <w:color w:val="auto"/>
              </w:rPr>
            </w:pPr>
          </w:p>
        </w:tc>
        <w:tc>
          <w:tcPr>
            <w:tcW w:w="360" w:type="dxa"/>
            <w:vAlign w:val="bottom"/>
            <w:shd w:val="clear" w:color="auto" w:fill="E6E6E6"/>
          </w:tcPr>
          <w:p>
            <w:pPr>
              <w:spacing w:after="0"/>
              <w:rPr>
                <w:sz w:val="22"/>
                <w:szCs w:val="22"/>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44"/>
        </w:trPr>
        <w:tc>
          <w:tcPr>
            <w:tcW w:w="654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540" w:type="dxa"/>
            <w:vAlign w:val="bottom"/>
            <w:shd w:val="clear" w:color="auto" w:fill="E6E6E6"/>
          </w:tcPr>
          <w:p>
            <w:pPr>
              <w:ind w:left="260"/>
              <w:spacing w:after="0"/>
              <w:rPr>
                <w:sz w:val="20"/>
                <w:szCs w:val="20"/>
                <w:color w:val="auto"/>
              </w:rPr>
            </w:pPr>
            <w:r>
              <w:rPr>
                <w:rFonts w:ascii="Arial" w:cs="Arial" w:eastAsia="Arial" w:hAnsi="Arial"/>
                <w:sz w:val="18"/>
                <w:szCs w:val="18"/>
                <w:color w:val="auto"/>
              </w:rPr>
              <w:t>Accounts receivable, net</w:t>
            </w:r>
          </w:p>
        </w:tc>
        <w:tc>
          <w:tcPr>
            <w:tcW w:w="26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11,060</w:t>
            </w:r>
          </w:p>
        </w:tc>
        <w:tc>
          <w:tcPr>
            <w:tcW w:w="8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(28,864)</w:t>
            </w:r>
          </w:p>
        </w:tc>
        <w:tc>
          <w:tcPr>
            <w:tcW w:w="80" w:type="dxa"/>
            <w:vAlign w:val="bottom"/>
            <w:shd w:val="clear" w:color="auto" w:fill="E6E6E6"/>
          </w:tcPr>
          <w:p>
            <w:pPr>
              <w:spacing w:after="0"/>
              <w:rPr>
                <w:sz w:val="22"/>
                <w:szCs w:val="22"/>
                <w:color w:val="auto"/>
              </w:rPr>
            </w:pPr>
          </w:p>
        </w:tc>
        <w:tc>
          <w:tcPr>
            <w:tcW w:w="360" w:type="dxa"/>
            <w:vAlign w:val="bottom"/>
            <w:shd w:val="clear" w:color="auto" w:fill="E6E6E6"/>
          </w:tcPr>
          <w:p>
            <w:pPr>
              <w:spacing w:after="0"/>
              <w:rPr>
                <w:sz w:val="22"/>
                <w:szCs w:val="22"/>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(4,810)</w:t>
            </w:r>
          </w:p>
        </w:tc>
        <w:tc>
          <w:tcPr>
            <w:tcW w:w="0" w:type="dxa"/>
            <w:vAlign w:val="bottom"/>
          </w:tcPr>
          <w:p>
            <w:pPr>
              <w:spacing w:after="0"/>
              <w:rPr>
                <w:sz w:val="1"/>
                <w:szCs w:val="1"/>
                <w:color w:val="auto"/>
              </w:rPr>
            </w:pPr>
          </w:p>
        </w:tc>
      </w:tr>
      <w:tr>
        <w:trPr>
          <w:trHeight w:val="244"/>
        </w:trPr>
        <w:tc>
          <w:tcPr>
            <w:tcW w:w="654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(6,757)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(28,478)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(25,679)</w:t>
            </w:r>
          </w:p>
        </w:tc>
        <w:tc>
          <w:tcPr>
            <w:tcW w:w="0" w:type="dxa"/>
            <w:vAlign w:val="bottom"/>
          </w:tcPr>
          <w:p>
            <w:pPr>
              <w:spacing w:after="0"/>
              <w:rPr>
                <w:sz w:val="1"/>
                <w:szCs w:val="1"/>
                <w:color w:val="auto"/>
              </w:rPr>
            </w:pPr>
          </w:p>
        </w:tc>
      </w:tr>
      <w:tr>
        <w:trPr>
          <w:trHeight w:val="256"/>
        </w:trPr>
        <w:tc>
          <w:tcPr>
            <w:tcW w:w="6540" w:type="dxa"/>
            <w:vAlign w:val="bottom"/>
            <w:shd w:val="clear" w:color="auto" w:fill="E6E6E6"/>
          </w:tcPr>
          <w:p>
            <w:pPr>
              <w:ind w:left="260"/>
              <w:spacing w:after="0"/>
              <w:rPr>
                <w:sz w:val="20"/>
                <w:szCs w:val="20"/>
                <w:color w:val="auto"/>
              </w:rPr>
            </w:pPr>
            <w:r>
              <w:rPr>
                <w:rFonts w:ascii="Arial" w:cs="Arial" w:eastAsia="Arial" w:hAnsi="Arial"/>
                <w:sz w:val="18"/>
                <w:szCs w:val="18"/>
                <w:color w:val="auto"/>
              </w:rPr>
              <w:t>Other current and non-current assets</w:t>
            </w:r>
          </w:p>
        </w:tc>
        <w:tc>
          <w:tcPr>
            <w:tcW w:w="26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(1,645)</w:t>
            </w:r>
          </w:p>
        </w:tc>
        <w:tc>
          <w:tcPr>
            <w:tcW w:w="8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15,302</w:t>
            </w:r>
          </w:p>
        </w:tc>
        <w:tc>
          <w:tcPr>
            <w:tcW w:w="80" w:type="dxa"/>
            <w:vAlign w:val="bottom"/>
            <w:shd w:val="clear" w:color="auto" w:fill="E6E6E6"/>
          </w:tcPr>
          <w:p>
            <w:pPr>
              <w:spacing w:after="0"/>
              <w:rPr>
                <w:sz w:val="22"/>
                <w:szCs w:val="22"/>
                <w:color w:val="auto"/>
              </w:rPr>
            </w:pPr>
          </w:p>
        </w:tc>
        <w:tc>
          <w:tcPr>
            <w:tcW w:w="360" w:type="dxa"/>
            <w:vAlign w:val="bottom"/>
            <w:shd w:val="clear" w:color="auto" w:fill="E6E6E6"/>
          </w:tcPr>
          <w:p>
            <w:pPr>
              <w:spacing w:after="0"/>
              <w:rPr>
                <w:sz w:val="22"/>
                <w:szCs w:val="22"/>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7,486</w:t>
            </w:r>
          </w:p>
        </w:tc>
        <w:tc>
          <w:tcPr>
            <w:tcW w:w="0" w:type="dxa"/>
            <w:vAlign w:val="bottom"/>
          </w:tcPr>
          <w:p>
            <w:pPr>
              <w:spacing w:after="0"/>
              <w:rPr>
                <w:sz w:val="1"/>
                <w:szCs w:val="1"/>
                <w:color w:val="auto"/>
              </w:rPr>
            </w:pPr>
          </w:p>
        </w:tc>
      </w:tr>
      <w:tr>
        <w:trPr>
          <w:trHeight w:val="244"/>
        </w:trPr>
        <w:tc>
          <w:tcPr>
            <w:tcW w:w="6540" w:type="dxa"/>
            <w:vAlign w:val="bottom"/>
          </w:tcPr>
          <w:p>
            <w:pPr>
              <w:ind w:left="260"/>
              <w:spacing w:after="0"/>
              <w:rPr>
                <w:sz w:val="20"/>
                <w:szCs w:val="20"/>
                <w:color w:val="auto"/>
              </w:rPr>
            </w:pPr>
            <w:r>
              <w:rPr>
                <w:rFonts w:ascii="Arial" w:cs="Arial" w:eastAsia="Arial" w:hAnsi="Arial"/>
                <w:sz w:val="18"/>
                <w:szCs w:val="18"/>
                <w:color w:val="auto"/>
              </w:rPr>
              <w:t>Accounts payable and accrued current and non-current liabilities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(14,478)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19,190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(3,510)</w:t>
            </w:r>
          </w:p>
        </w:tc>
        <w:tc>
          <w:tcPr>
            <w:tcW w:w="0" w:type="dxa"/>
            <w:vAlign w:val="bottom"/>
          </w:tcPr>
          <w:p>
            <w:pPr>
              <w:spacing w:after="0"/>
              <w:rPr>
                <w:sz w:val="1"/>
                <w:szCs w:val="1"/>
                <w:color w:val="auto"/>
              </w:rPr>
            </w:pPr>
          </w:p>
        </w:tc>
      </w:tr>
      <w:tr>
        <w:trPr>
          <w:trHeight w:val="256"/>
        </w:trPr>
        <w:tc>
          <w:tcPr>
            <w:tcW w:w="6540" w:type="dxa"/>
            <w:vAlign w:val="bottom"/>
            <w:shd w:val="clear" w:color="auto" w:fill="E6E6E6"/>
          </w:tcPr>
          <w:p>
            <w:pPr>
              <w:ind w:left="260"/>
              <w:spacing w:after="0"/>
              <w:rPr>
                <w:sz w:val="20"/>
                <w:szCs w:val="20"/>
                <w:color w:val="auto"/>
              </w:rPr>
            </w:pPr>
            <w:r>
              <w:rPr>
                <w:rFonts w:ascii="Arial" w:cs="Arial" w:eastAsia="Arial" w:hAnsi="Arial"/>
                <w:sz w:val="18"/>
                <w:szCs w:val="18"/>
                <w:color w:val="auto"/>
              </w:rPr>
              <w:t>Taxes payable</w:t>
            </w:r>
          </w:p>
        </w:tc>
        <w:tc>
          <w:tcPr>
            <w:tcW w:w="26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10,851</w:t>
            </w:r>
          </w:p>
        </w:tc>
        <w:tc>
          <w:tcPr>
            <w:tcW w:w="8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7,361</w:t>
            </w:r>
          </w:p>
        </w:tc>
        <w:tc>
          <w:tcPr>
            <w:tcW w:w="80" w:type="dxa"/>
            <w:vAlign w:val="bottom"/>
            <w:shd w:val="clear" w:color="auto" w:fill="E6E6E6"/>
          </w:tcPr>
          <w:p>
            <w:pPr>
              <w:spacing w:after="0"/>
              <w:rPr>
                <w:sz w:val="22"/>
                <w:szCs w:val="22"/>
                <w:color w:val="auto"/>
              </w:rPr>
            </w:pPr>
          </w:p>
        </w:tc>
        <w:tc>
          <w:tcPr>
            <w:tcW w:w="360" w:type="dxa"/>
            <w:vAlign w:val="bottom"/>
            <w:shd w:val="clear" w:color="auto" w:fill="E6E6E6"/>
          </w:tcPr>
          <w:p>
            <w:pPr>
              <w:spacing w:after="0"/>
              <w:rPr>
                <w:sz w:val="22"/>
                <w:szCs w:val="22"/>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40"/>
        </w:trPr>
        <w:tc>
          <w:tcPr>
            <w:tcW w:w="6540" w:type="dxa"/>
            <w:vAlign w:val="bottom"/>
            <w:tcBorders>
              <w:bottom w:val="single" w:sz="8" w:color="E6E6E6"/>
            </w:tcBorders>
          </w:tcPr>
          <w:p>
            <w:pPr>
              <w:ind w:left="260"/>
              <w:spacing w:after="0"/>
              <w:rPr>
                <w:sz w:val="20"/>
                <w:szCs w:val="20"/>
                <w:color w:val="auto"/>
              </w:rPr>
            </w:pPr>
            <w:r>
              <w:rPr>
                <w:rFonts w:ascii="Arial" w:cs="Arial" w:eastAsia="Arial" w:hAnsi="Arial"/>
                <w:sz w:val="18"/>
                <w:szCs w:val="18"/>
                <w:color w:val="auto"/>
              </w:rPr>
              <w:t>Litigation provision liability</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w:t>
            </w:r>
          </w:p>
        </w:tc>
        <w:tc>
          <w:tcPr>
            <w:tcW w:w="80" w:type="dxa"/>
            <w:vAlign w:val="bottom"/>
            <w:tcBorders>
              <w:bottom w:val="single" w:sz="8" w:color="E6E6E6"/>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(19,131)</w:t>
            </w:r>
          </w:p>
        </w:tc>
        <w:tc>
          <w:tcPr>
            <w:tcW w:w="80" w:type="dxa"/>
            <w:vAlign w:val="bottom"/>
            <w:tcBorders>
              <w:bottom w:val="single" w:sz="8" w:color="E6E6E6"/>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(6,558)</w:t>
            </w:r>
          </w:p>
        </w:tc>
        <w:tc>
          <w:tcPr>
            <w:tcW w:w="0" w:type="dxa"/>
            <w:vAlign w:val="bottom"/>
          </w:tcPr>
          <w:p>
            <w:pPr>
              <w:spacing w:after="0"/>
              <w:rPr>
                <w:sz w:val="1"/>
                <w:szCs w:val="1"/>
                <w:color w:val="auto"/>
              </w:rPr>
            </w:pPr>
          </w:p>
        </w:tc>
      </w:tr>
      <w:tr>
        <w:trPr>
          <w:trHeight w:val="250"/>
        </w:trPr>
        <w:tc>
          <w:tcPr>
            <w:tcW w:w="6540" w:type="dxa"/>
            <w:vAlign w:val="bottom"/>
            <w:tcBorders>
              <w:bottom w:val="single" w:sz="8" w:color="E6E6E6"/>
            </w:tcBorders>
            <w:shd w:val="clear" w:color="auto" w:fill="E6E6E6"/>
          </w:tcPr>
          <w:p>
            <w:pPr>
              <w:ind w:left="400"/>
              <w:spacing w:after="0"/>
              <w:rPr>
                <w:sz w:val="20"/>
                <w:szCs w:val="20"/>
                <w:color w:val="auto"/>
              </w:rPr>
            </w:pPr>
            <w:r>
              <w:rPr>
                <w:rFonts w:ascii="Arial" w:cs="Arial" w:eastAsia="Arial" w:hAnsi="Arial"/>
                <w:sz w:val="18"/>
                <w:szCs w:val="18"/>
                <w:b w:val="1"/>
                <w:bCs w:val="1"/>
                <w:color w:val="auto"/>
              </w:rPr>
              <w:t>Net cash provided by operating activities</w:t>
            </w:r>
          </w:p>
        </w:tc>
        <w:tc>
          <w:tcPr>
            <w:tcW w:w="260" w:type="dxa"/>
            <w:vAlign w:val="bottom"/>
            <w:tcBorders>
              <w:bottom w:val="single" w:sz="8" w:color="auto"/>
            </w:tcBorders>
            <w:shd w:val="clear" w:color="auto" w:fill="E6E6E6"/>
          </w:tcPr>
          <w:p>
            <w:pPr>
              <w:spacing w:after="0"/>
              <w:rPr>
                <w:sz w:val="21"/>
                <w:szCs w:val="21"/>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183,038</w:t>
            </w:r>
          </w:p>
        </w:tc>
        <w:tc>
          <w:tcPr>
            <w:tcW w:w="80" w:type="dxa"/>
            <w:vAlign w:val="bottom"/>
            <w:tcBorders>
              <w:bottom w:val="single" w:sz="8" w:color="E6E6E6"/>
            </w:tcBorders>
            <w:shd w:val="clear" w:color="auto" w:fill="E6E6E6"/>
          </w:tcPr>
          <w:p>
            <w:pPr>
              <w:spacing w:after="0"/>
              <w:rPr>
                <w:sz w:val="21"/>
                <w:szCs w:val="21"/>
                <w:color w:val="auto"/>
              </w:rPr>
            </w:pPr>
          </w:p>
        </w:tc>
        <w:tc>
          <w:tcPr>
            <w:tcW w:w="260" w:type="dxa"/>
            <w:vAlign w:val="bottom"/>
            <w:tcBorders>
              <w:bottom w:val="single" w:sz="8" w:color="auto"/>
            </w:tcBorders>
            <w:shd w:val="clear" w:color="auto" w:fill="E6E6E6"/>
          </w:tcPr>
          <w:p>
            <w:pPr>
              <w:spacing w:after="0"/>
              <w:rPr>
                <w:sz w:val="21"/>
                <w:szCs w:val="21"/>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74,914</w:t>
            </w:r>
          </w:p>
        </w:tc>
        <w:tc>
          <w:tcPr>
            <w:tcW w:w="80" w:type="dxa"/>
            <w:vAlign w:val="bottom"/>
            <w:tcBorders>
              <w:bottom w:val="single" w:sz="8" w:color="E6E6E6"/>
            </w:tcBorders>
            <w:shd w:val="clear" w:color="auto" w:fill="E6E6E6"/>
          </w:tcPr>
          <w:p>
            <w:pPr>
              <w:spacing w:after="0"/>
              <w:rPr>
                <w:sz w:val="21"/>
                <w:szCs w:val="21"/>
                <w:color w:val="auto"/>
              </w:rPr>
            </w:pPr>
          </w:p>
        </w:tc>
        <w:tc>
          <w:tcPr>
            <w:tcW w:w="360" w:type="dxa"/>
            <w:vAlign w:val="bottom"/>
            <w:tcBorders>
              <w:bottom w:val="single" w:sz="8" w:color="auto"/>
            </w:tcBorders>
            <w:shd w:val="clear" w:color="auto" w:fill="E6E6E6"/>
          </w:tcPr>
          <w:p>
            <w:pPr>
              <w:spacing w:after="0"/>
              <w:rPr>
                <w:sz w:val="21"/>
                <w:szCs w:val="21"/>
                <w:color w:val="auto"/>
              </w:rPr>
            </w:pPr>
          </w:p>
        </w:tc>
        <w:tc>
          <w:tcPr>
            <w:tcW w:w="7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69,921</w:t>
            </w:r>
          </w:p>
        </w:tc>
        <w:tc>
          <w:tcPr>
            <w:tcW w:w="0" w:type="dxa"/>
            <w:vAlign w:val="bottom"/>
          </w:tcPr>
          <w:p>
            <w:pPr>
              <w:spacing w:after="0"/>
              <w:rPr>
                <w:sz w:val="1"/>
                <w:szCs w:val="1"/>
                <w:color w:val="auto"/>
              </w:rPr>
            </w:pPr>
          </w:p>
        </w:tc>
      </w:tr>
      <w:tr>
        <w:trPr>
          <w:trHeight w:val="214"/>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540" w:type="dxa"/>
            <w:vAlign w:val="bottom"/>
            <w:shd w:val="clear" w:color="auto" w:fill="E6E6E6"/>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26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(47,107)</w:t>
            </w:r>
          </w:p>
        </w:tc>
        <w:tc>
          <w:tcPr>
            <w:tcW w:w="8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(34,981)</w:t>
            </w:r>
          </w:p>
        </w:tc>
        <w:tc>
          <w:tcPr>
            <w:tcW w:w="80" w:type="dxa"/>
            <w:vAlign w:val="bottom"/>
            <w:shd w:val="clear" w:color="auto" w:fill="E6E6E6"/>
          </w:tcPr>
          <w:p>
            <w:pPr>
              <w:spacing w:after="0"/>
              <w:rPr>
                <w:sz w:val="22"/>
                <w:szCs w:val="22"/>
                <w:color w:val="auto"/>
              </w:rPr>
            </w:pPr>
          </w:p>
        </w:tc>
        <w:tc>
          <w:tcPr>
            <w:tcW w:w="360" w:type="dxa"/>
            <w:vAlign w:val="bottom"/>
            <w:shd w:val="clear" w:color="auto" w:fill="E6E6E6"/>
          </w:tcPr>
          <w:p>
            <w:pPr>
              <w:spacing w:after="0"/>
              <w:rPr>
                <w:sz w:val="22"/>
                <w:szCs w:val="22"/>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(26,517)</w:t>
            </w:r>
          </w:p>
        </w:tc>
        <w:tc>
          <w:tcPr>
            <w:tcW w:w="0" w:type="dxa"/>
            <w:vAlign w:val="bottom"/>
          </w:tcPr>
          <w:p>
            <w:pPr>
              <w:spacing w:after="0"/>
              <w:rPr>
                <w:sz w:val="1"/>
                <w:szCs w:val="1"/>
                <w:color w:val="auto"/>
              </w:rPr>
            </w:pPr>
          </w:p>
        </w:tc>
      </w:tr>
      <w:tr>
        <w:trPr>
          <w:trHeight w:val="244"/>
        </w:trPr>
        <w:tc>
          <w:tcPr>
            <w:tcW w:w="6540" w:type="dxa"/>
            <w:vAlign w:val="bottom"/>
          </w:tcPr>
          <w:p>
            <w:pPr>
              <w:ind w:left="180"/>
              <w:spacing w:after="0"/>
              <w:rPr>
                <w:sz w:val="20"/>
                <w:szCs w:val="20"/>
                <w:color w:val="auto"/>
              </w:rPr>
            </w:pPr>
            <w:r>
              <w:rPr>
                <w:rFonts w:ascii="Arial" w:cs="Arial" w:eastAsia="Arial" w:hAnsi="Arial"/>
                <w:sz w:val="18"/>
                <w:szCs w:val="18"/>
                <w:color w:val="auto"/>
              </w:rPr>
              <w:t>Purchase of investments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(6,504)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(2,952)</w:t>
            </w:r>
          </w:p>
        </w:tc>
        <w:tc>
          <w:tcPr>
            <w:tcW w:w="0" w:type="dxa"/>
            <w:vAlign w:val="bottom"/>
          </w:tcPr>
          <w:p>
            <w:pPr>
              <w:spacing w:after="0"/>
              <w:rPr>
                <w:sz w:val="1"/>
                <w:szCs w:val="1"/>
                <w:color w:val="auto"/>
              </w:rPr>
            </w:pPr>
          </w:p>
        </w:tc>
      </w:tr>
      <w:tr>
        <w:trPr>
          <w:trHeight w:val="256"/>
        </w:trPr>
        <w:tc>
          <w:tcPr>
            <w:tcW w:w="6540" w:type="dxa"/>
            <w:vAlign w:val="bottom"/>
            <w:shd w:val="clear" w:color="auto" w:fill="E6E6E6"/>
          </w:tcPr>
          <w:p>
            <w:pPr>
              <w:ind w:left="180"/>
              <w:spacing w:after="0"/>
              <w:rPr>
                <w:sz w:val="20"/>
                <w:szCs w:val="20"/>
                <w:color w:val="auto"/>
              </w:rPr>
            </w:pPr>
            <w:r>
              <w:rPr>
                <w:rFonts w:ascii="Arial" w:cs="Arial" w:eastAsia="Arial" w:hAnsi="Arial"/>
                <w:sz w:val="18"/>
                <w:szCs w:val="18"/>
                <w:color w:val="auto"/>
              </w:rPr>
              <w:t>Acquisitions, net of cash acquired</w:t>
            </w:r>
          </w:p>
        </w:tc>
        <w:tc>
          <w:tcPr>
            <w:tcW w:w="26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2"/>
                <w:szCs w:val="22"/>
                <w:color w:val="auto"/>
              </w:rPr>
            </w:pPr>
          </w:p>
        </w:tc>
        <w:tc>
          <w:tcPr>
            <w:tcW w:w="360" w:type="dxa"/>
            <w:vAlign w:val="bottom"/>
            <w:shd w:val="clear" w:color="auto" w:fill="E6E6E6"/>
          </w:tcPr>
          <w:p>
            <w:pPr>
              <w:spacing w:after="0"/>
              <w:rPr>
                <w:sz w:val="22"/>
                <w:szCs w:val="22"/>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(8,857)</w:t>
            </w:r>
          </w:p>
        </w:tc>
        <w:tc>
          <w:tcPr>
            <w:tcW w:w="0" w:type="dxa"/>
            <w:vAlign w:val="bottom"/>
          </w:tcPr>
          <w:p>
            <w:pPr>
              <w:spacing w:after="0"/>
              <w:rPr>
                <w:sz w:val="1"/>
                <w:szCs w:val="1"/>
                <w:color w:val="auto"/>
              </w:rPr>
            </w:pPr>
          </w:p>
        </w:tc>
      </w:tr>
      <w:tr>
        <w:trPr>
          <w:trHeight w:val="240"/>
        </w:trPr>
        <w:tc>
          <w:tcPr>
            <w:tcW w:w="6540" w:type="dxa"/>
            <w:vAlign w:val="bottom"/>
            <w:tcBorders>
              <w:bottom w:val="single" w:sz="8" w:color="E6E6E6"/>
            </w:tcBorders>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80" w:type="dxa"/>
            <w:vAlign w:val="bottom"/>
            <w:tcBorders>
              <w:bottom w:val="single" w:sz="8" w:color="E6E6E6"/>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w:t>
            </w:r>
          </w:p>
        </w:tc>
        <w:tc>
          <w:tcPr>
            <w:tcW w:w="80" w:type="dxa"/>
            <w:vAlign w:val="bottom"/>
            <w:tcBorders>
              <w:bottom w:val="single" w:sz="8" w:color="E6E6E6"/>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50"/>
        </w:trPr>
        <w:tc>
          <w:tcPr>
            <w:tcW w:w="6540" w:type="dxa"/>
            <w:vAlign w:val="bottom"/>
            <w:tcBorders>
              <w:bottom w:val="single" w:sz="8" w:color="E6E6E6"/>
            </w:tcBorders>
            <w:shd w:val="clear" w:color="auto" w:fill="E6E6E6"/>
          </w:tcPr>
          <w:p>
            <w:pPr>
              <w:ind w:left="400"/>
              <w:spacing w:after="0"/>
              <w:rPr>
                <w:sz w:val="20"/>
                <w:szCs w:val="20"/>
                <w:color w:val="auto"/>
              </w:rPr>
            </w:pPr>
            <w:r>
              <w:rPr>
                <w:rFonts w:ascii="Arial" w:cs="Arial" w:eastAsia="Arial" w:hAnsi="Arial"/>
                <w:sz w:val="18"/>
                <w:szCs w:val="18"/>
                <w:b w:val="1"/>
                <w:bCs w:val="1"/>
                <w:color w:val="auto"/>
              </w:rPr>
              <w:t>Net cash used in investing activities</w:t>
            </w:r>
          </w:p>
        </w:tc>
        <w:tc>
          <w:tcPr>
            <w:tcW w:w="260" w:type="dxa"/>
            <w:vAlign w:val="bottom"/>
            <w:tcBorders>
              <w:bottom w:val="single" w:sz="8" w:color="auto"/>
            </w:tcBorders>
            <w:shd w:val="clear" w:color="auto" w:fill="E6E6E6"/>
          </w:tcPr>
          <w:p>
            <w:pPr>
              <w:spacing w:after="0"/>
              <w:rPr>
                <w:sz w:val="21"/>
                <w:szCs w:val="21"/>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(48,160)</w:t>
            </w:r>
          </w:p>
        </w:tc>
        <w:tc>
          <w:tcPr>
            <w:tcW w:w="80" w:type="dxa"/>
            <w:vAlign w:val="bottom"/>
            <w:tcBorders>
              <w:bottom w:val="single" w:sz="8" w:color="E6E6E6"/>
            </w:tcBorders>
            <w:shd w:val="clear" w:color="auto" w:fill="E6E6E6"/>
          </w:tcPr>
          <w:p>
            <w:pPr>
              <w:spacing w:after="0"/>
              <w:rPr>
                <w:sz w:val="21"/>
                <w:szCs w:val="21"/>
                <w:color w:val="auto"/>
              </w:rPr>
            </w:pPr>
          </w:p>
        </w:tc>
        <w:tc>
          <w:tcPr>
            <w:tcW w:w="260" w:type="dxa"/>
            <w:vAlign w:val="bottom"/>
            <w:tcBorders>
              <w:bottom w:val="single" w:sz="8" w:color="auto"/>
            </w:tcBorders>
            <w:shd w:val="clear" w:color="auto" w:fill="E6E6E6"/>
          </w:tcPr>
          <w:p>
            <w:pPr>
              <w:spacing w:after="0"/>
              <w:rPr>
                <w:sz w:val="21"/>
                <w:szCs w:val="21"/>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(40,331)</w:t>
            </w:r>
          </w:p>
        </w:tc>
        <w:tc>
          <w:tcPr>
            <w:tcW w:w="80" w:type="dxa"/>
            <w:vAlign w:val="bottom"/>
            <w:tcBorders>
              <w:bottom w:val="single" w:sz="8" w:color="E6E6E6"/>
            </w:tcBorders>
            <w:shd w:val="clear" w:color="auto" w:fill="E6E6E6"/>
          </w:tcPr>
          <w:p>
            <w:pPr>
              <w:spacing w:after="0"/>
              <w:rPr>
                <w:sz w:val="21"/>
                <w:szCs w:val="21"/>
                <w:color w:val="auto"/>
              </w:rPr>
            </w:pPr>
          </w:p>
        </w:tc>
        <w:tc>
          <w:tcPr>
            <w:tcW w:w="360" w:type="dxa"/>
            <w:vAlign w:val="bottom"/>
            <w:tcBorders>
              <w:bottom w:val="single" w:sz="8" w:color="auto"/>
            </w:tcBorders>
            <w:shd w:val="clear" w:color="auto" w:fill="E6E6E6"/>
          </w:tcPr>
          <w:p>
            <w:pPr>
              <w:spacing w:after="0"/>
              <w:rPr>
                <w:sz w:val="21"/>
                <w:szCs w:val="21"/>
                <w:color w:val="auto"/>
              </w:rPr>
            </w:pPr>
          </w:p>
        </w:tc>
        <w:tc>
          <w:tcPr>
            <w:tcW w:w="7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(38,414)</w:t>
            </w:r>
          </w:p>
        </w:tc>
        <w:tc>
          <w:tcPr>
            <w:tcW w:w="0" w:type="dxa"/>
            <w:vAlign w:val="bottom"/>
          </w:tcPr>
          <w:p>
            <w:pPr>
              <w:spacing w:after="0"/>
              <w:rPr>
                <w:sz w:val="1"/>
                <w:szCs w:val="1"/>
                <w:color w:val="auto"/>
              </w:rPr>
            </w:pPr>
          </w:p>
        </w:tc>
      </w:tr>
      <w:tr>
        <w:trPr>
          <w:trHeight w:val="214"/>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540" w:type="dxa"/>
            <w:vAlign w:val="bottom"/>
            <w:shd w:val="clear" w:color="auto" w:fill="E6E6E6"/>
          </w:tcPr>
          <w:p>
            <w:pPr>
              <w:ind w:left="180"/>
              <w:spacing w:after="0"/>
              <w:rPr>
                <w:sz w:val="20"/>
                <w:szCs w:val="20"/>
                <w:color w:val="auto"/>
              </w:rPr>
            </w:pPr>
            <w:r>
              <w:rPr>
                <w:rFonts w:ascii="Arial" w:cs="Arial" w:eastAsia="Arial" w:hAnsi="Arial"/>
                <w:sz w:val="18"/>
                <w:szCs w:val="18"/>
                <w:color w:val="auto"/>
              </w:rPr>
              <w:t>Proceeds from long-term debt obligations</w:t>
            </w:r>
          </w:p>
        </w:tc>
        <w:tc>
          <w:tcPr>
            <w:tcW w:w="26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335,513</w:t>
            </w:r>
          </w:p>
        </w:tc>
        <w:tc>
          <w:tcPr>
            <w:tcW w:w="8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50,000</w:t>
            </w:r>
          </w:p>
        </w:tc>
        <w:tc>
          <w:tcPr>
            <w:tcW w:w="80" w:type="dxa"/>
            <w:vAlign w:val="bottom"/>
            <w:shd w:val="clear" w:color="auto" w:fill="E6E6E6"/>
          </w:tcPr>
          <w:p>
            <w:pPr>
              <w:spacing w:after="0"/>
              <w:rPr>
                <w:sz w:val="22"/>
                <w:szCs w:val="22"/>
                <w:color w:val="auto"/>
              </w:rPr>
            </w:pPr>
          </w:p>
        </w:tc>
        <w:tc>
          <w:tcPr>
            <w:tcW w:w="360" w:type="dxa"/>
            <w:vAlign w:val="bottom"/>
            <w:shd w:val="clear" w:color="auto" w:fill="E6E6E6"/>
          </w:tcPr>
          <w:p>
            <w:pPr>
              <w:spacing w:after="0"/>
              <w:rPr>
                <w:sz w:val="22"/>
                <w:szCs w:val="22"/>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507,547</w:t>
            </w:r>
          </w:p>
        </w:tc>
        <w:tc>
          <w:tcPr>
            <w:tcW w:w="0" w:type="dxa"/>
            <w:vAlign w:val="bottom"/>
          </w:tcPr>
          <w:p>
            <w:pPr>
              <w:spacing w:after="0"/>
              <w:rPr>
                <w:sz w:val="1"/>
                <w:szCs w:val="1"/>
                <w:color w:val="auto"/>
              </w:rPr>
            </w:pPr>
          </w:p>
        </w:tc>
      </w:tr>
      <w:tr>
        <w:trPr>
          <w:trHeight w:val="244"/>
        </w:trPr>
        <w:tc>
          <w:tcPr>
            <w:tcW w:w="6540" w:type="dxa"/>
            <w:vAlign w:val="bottom"/>
          </w:tcPr>
          <w:p>
            <w:pPr>
              <w:ind w:left="180"/>
              <w:spacing w:after="0"/>
              <w:rPr>
                <w:sz w:val="20"/>
                <w:szCs w:val="20"/>
                <w:color w:val="auto"/>
              </w:rPr>
            </w:pPr>
            <w:r>
              <w:rPr>
                <w:rFonts w:ascii="Arial" w:cs="Arial" w:eastAsia="Arial" w:hAnsi="Arial"/>
                <w:sz w:val="18"/>
                <w:szCs w:val="18"/>
                <w:color w:val="auto"/>
              </w:rPr>
              <w:t>Repayment of long-term debt obligations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(247,546)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(21,624)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(223,541)</w:t>
            </w:r>
          </w:p>
        </w:tc>
        <w:tc>
          <w:tcPr>
            <w:tcW w:w="0" w:type="dxa"/>
            <w:vAlign w:val="bottom"/>
          </w:tcPr>
          <w:p>
            <w:pPr>
              <w:spacing w:after="0"/>
              <w:rPr>
                <w:sz w:val="1"/>
                <w:szCs w:val="1"/>
                <w:color w:val="auto"/>
              </w:rPr>
            </w:pPr>
          </w:p>
        </w:tc>
      </w:tr>
      <w:tr>
        <w:trPr>
          <w:trHeight w:val="256"/>
        </w:trPr>
        <w:tc>
          <w:tcPr>
            <w:tcW w:w="6540" w:type="dxa"/>
            <w:vAlign w:val="bottom"/>
            <w:shd w:val="clear" w:color="auto" w:fill="E6E6E6"/>
          </w:tcPr>
          <w:p>
            <w:pPr>
              <w:ind w:left="180"/>
              <w:spacing w:after="0"/>
              <w:rPr>
                <w:sz w:val="20"/>
                <w:szCs w:val="20"/>
                <w:color w:val="auto"/>
              </w:rPr>
            </w:pPr>
            <w:r>
              <w:rPr>
                <w:rFonts w:ascii="Arial" w:cs="Arial" w:eastAsia="Arial" w:hAnsi="Arial"/>
                <w:sz w:val="18"/>
                <w:szCs w:val="18"/>
                <w:color w:val="auto"/>
              </w:rPr>
              <w:t>Payment of debt extinguishment costs</w:t>
            </w:r>
          </w:p>
        </w:tc>
        <w:tc>
          <w:tcPr>
            <w:tcW w:w="26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(38,953)</w:t>
            </w:r>
          </w:p>
        </w:tc>
        <w:tc>
          <w:tcPr>
            <w:tcW w:w="8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2"/>
                <w:szCs w:val="22"/>
                <w:color w:val="auto"/>
              </w:rPr>
            </w:pPr>
          </w:p>
        </w:tc>
        <w:tc>
          <w:tcPr>
            <w:tcW w:w="360" w:type="dxa"/>
            <w:vAlign w:val="bottom"/>
            <w:shd w:val="clear" w:color="auto" w:fill="E6E6E6"/>
          </w:tcPr>
          <w:p>
            <w:pPr>
              <w:spacing w:after="0"/>
              <w:rPr>
                <w:sz w:val="22"/>
                <w:szCs w:val="22"/>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6540" w:type="dxa"/>
            <w:vAlign w:val="bottom"/>
          </w:tcPr>
          <w:p>
            <w:pPr>
              <w:ind w:left="180"/>
              <w:spacing w:after="0"/>
              <w:rPr>
                <w:sz w:val="20"/>
                <w:szCs w:val="20"/>
                <w:color w:val="auto"/>
              </w:rPr>
            </w:pPr>
            <w:r>
              <w:rPr>
                <w:rFonts w:ascii="Arial" w:cs="Arial" w:eastAsia="Arial" w:hAnsi="Arial"/>
                <w:sz w:val="18"/>
                <w:szCs w:val="18"/>
                <w:color w:val="auto"/>
              </w:rPr>
              <w:t>Purchase of capped calls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(31,637)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6540" w:type="dxa"/>
            <w:vAlign w:val="bottom"/>
            <w:shd w:val="clear" w:color="auto" w:fill="E6E6E6"/>
          </w:tcPr>
          <w:p>
            <w:pPr>
              <w:ind w:left="180"/>
              <w:spacing w:after="0"/>
              <w:rPr>
                <w:sz w:val="20"/>
                <w:szCs w:val="20"/>
                <w:color w:val="auto"/>
              </w:rPr>
            </w:pPr>
            <w:r>
              <w:rPr>
                <w:rFonts w:ascii="Arial" w:cs="Arial" w:eastAsia="Arial" w:hAnsi="Arial"/>
                <w:sz w:val="18"/>
                <w:szCs w:val="18"/>
                <w:color w:val="auto"/>
              </w:rPr>
              <w:t>Proceeds from unwind of capped calls</w:t>
            </w:r>
          </w:p>
        </w:tc>
        <w:tc>
          <w:tcPr>
            <w:tcW w:w="26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22,523</w:t>
            </w:r>
          </w:p>
        </w:tc>
        <w:tc>
          <w:tcPr>
            <w:tcW w:w="8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2"/>
                <w:szCs w:val="22"/>
                <w:color w:val="auto"/>
              </w:rPr>
            </w:pPr>
          </w:p>
        </w:tc>
        <w:tc>
          <w:tcPr>
            <w:tcW w:w="360" w:type="dxa"/>
            <w:vAlign w:val="bottom"/>
            <w:shd w:val="clear" w:color="auto" w:fill="E6E6E6"/>
          </w:tcPr>
          <w:p>
            <w:pPr>
              <w:spacing w:after="0"/>
              <w:rPr>
                <w:sz w:val="22"/>
                <w:szCs w:val="22"/>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6540" w:type="dxa"/>
            <w:vAlign w:val="bottom"/>
          </w:tcPr>
          <w:p>
            <w:pPr>
              <w:ind w:left="180"/>
              <w:spacing w:after="0"/>
              <w:rPr>
                <w:sz w:val="20"/>
                <w:szCs w:val="20"/>
                <w:color w:val="auto"/>
              </w:rPr>
            </w:pPr>
            <w:r>
              <w:rPr>
                <w:rFonts w:ascii="Arial" w:cs="Arial" w:eastAsia="Arial" w:hAnsi="Arial"/>
                <w:sz w:val="18"/>
                <w:szCs w:val="18"/>
                <w:color w:val="auto"/>
              </w:rPr>
              <w:t>Payment of contingent consideration</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(13,750)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6540" w:type="dxa"/>
            <w:vAlign w:val="bottom"/>
            <w:shd w:val="clear" w:color="auto" w:fill="E6E6E6"/>
          </w:tcPr>
          <w:p>
            <w:pPr>
              <w:ind w:left="180"/>
              <w:spacing w:after="0"/>
              <w:rPr>
                <w:sz w:val="20"/>
                <w:szCs w:val="20"/>
                <w:color w:val="auto"/>
              </w:rPr>
            </w:pPr>
            <w:r>
              <w:rPr>
                <w:rFonts w:ascii="Arial" w:cs="Arial" w:eastAsia="Arial" w:hAnsi="Arial"/>
                <w:sz w:val="18"/>
                <w:szCs w:val="18"/>
                <w:color w:val="auto"/>
              </w:rPr>
              <w:t>Shares repurchased from employees for minimum tax withholding</w:t>
            </w:r>
          </w:p>
        </w:tc>
        <w:tc>
          <w:tcPr>
            <w:tcW w:w="26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(8,439)</w:t>
            </w:r>
          </w:p>
        </w:tc>
        <w:tc>
          <w:tcPr>
            <w:tcW w:w="8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(7,503)</w:t>
            </w:r>
          </w:p>
        </w:tc>
        <w:tc>
          <w:tcPr>
            <w:tcW w:w="80" w:type="dxa"/>
            <w:vAlign w:val="bottom"/>
            <w:shd w:val="clear" w:color="auto" w:fill="E6E6E6"/>
          </w:tcPr>
          <w:p>
            <w:pPr>
              <w:spacing w:after="0"/>
              <w:rPr>
                <w:sz w:val="22"/>
                <w:szCs w:val="22"/>
                <w:color w:val="auto"/>
              </w:rPr>
            </w:pPr>
          </w:p>
        </w:tc>
        <w:tc>
          <w:tcPr>
            <w:tcW w:w="360" w:type="dxa"/>
            <w:vAlign w:val="bottom"/>
            <w:shd w:val="clear" w:color="auto" w:fill="E6E6E6"/>
          </w:tcPr>
          <w:p>
            <w:pPr>
              <w:spacing w:after="0"/>
              <w:rPr>
                <w:sz w:val="22"/>
                <w:szCs w:val="22"/>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(8,671)</w:t>
            </w:r>
          </w:p>
        </w:tc>
        <w:tc>
          <w:tcPr>
            <w:tcW w:w="0" w:type="dxa"/>
            <w:vAlign w:val="bottom"/>
          </w:tcPr>
          <w:p>
            <w:pPr>
              <w:spacing w:after="0"/>
              <w:rPr>
                <w:sz w:val="1"/>
                <w:szCs w:val="1"/>
                <w:color w:val="auto"/>
              </w:rPr>
            </w:pPr>
          </w:p>
        </w:tc>
      </w:tr>
      <w:tr>
        <w:trPr>
          <w:trHeight w:val="244"/>
        </w:trPr>
        <w:tc>
          <w:tcPr>
            <w:tcW w:w="654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6,341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55"/>
        </w:trPr>
        <w:tc>
          <w:tcPr>
            <w:tcW w:w="6540" w:type="dxa"/>
            <w:vAlign w:val="bottom"/>
            <w:shd w:val="clear" w:color="auto" w:fill="E6E6E6"/>
          </w:tcPr>
          <w:p>
            <w:pPr>
              <w:ind w:left="180"/>
              <w:spacing w:after="0"/>
              <w:rPr>
                <w:sz w:val="20"/>
                <w:szCs w:val="20"/>
                <w:color w:val="auto"/>
              </w:rPr>
            </w:pPr>
            <w:r>
              <w:rPr>
                <w:rFonts w:ascii="Arial" w:cs="Arial" w:eastAsia="Arial" w:hAnsi="Arial"/>
                <w:sz w:val="18"/>
                <w:szCs w:val="18"/>
                <w:color w:val="auto"/>
              </w:rPr>
              <w:t>Payment of debt issuance costs</w:t>
            </w:r>
          </w:p>
        </w:tc>
        <w:tc>
          <w:tcPr>
            <w:tcW w:w="26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(5,939)</w:t>
            </w:r>
          </w:p>
        </w:tc>
        <w:tc>
          <w:tcPr>
            <w:tcW w:w="8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2"/>
                <w:szCs w:val="22"/>
                <w:color w:val="auto"/>
              </w:rPr>
            </w:pPr>
          </w:p>
        </w:tc>
        <w:tc>
          <w:tcPr>
            <w:tcW w:w="360" w:type="dxa"/>
            <w:vAlign w:val="bottom"/>
            <w:shd w:val="clear" w:color="auto" w:fill="E6E6E6"/>
          </w:tcPr>
          <w:p>
            <w:pPr>
              <w:spacing w:after="0"/>
              <w:rPr>
                <w:sz w:val="22"/>
                <w:szCs w:val="22"/>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(3,292)</w:t>
            </w:r>
          </w:p>
        </w:tc>
        <w:tc>
          <w:tcPr>
            <w:tcW w:w="0" w:type="dxa"/>
            <w:vAlign w:val="bottom"/>
          </w:tcPr>
          <w:p>
            <w:pPr>
              <w:spacing w:after="0"/>
              <w:rPr>
                <w:sz w:val="1"/>
                <w:szCs w:val="1"/>
                <w:color w:val="auto"/>
              </w:rPr>
            </w:pPr>
          </w:p>
        </w:tc>
      </w:tr>
      <w:tr>
        <w:trPr>
          <w:trHeight w:val="185"/>
        </w:trPr>
        <w:tc>
          <w:tcPr>
            <w:tcW w:w="6540" w:type="dxa"/>
            <w:vAlign w:val="bottom"/>
          </w:tcPr>
          <w:p>
            <w:pPr>
              <w:ind w:left="180"/>
              <w:spacing w:after="0" w:line="185" w:lineRule="exact"/>
              <w:rPr>
                <w:sz w:val="20"/>
                <w:szCs w:val="20"/>
                <w:color w:val="auto"/>
              </w:rPr>
            </w:pPr>
            <w:r>
              <w:rPr>
                <w:rFonts w:ascii="Arial" w:cs="Arial" w:eastAsia="Arial" w:hAnsi="Arial"/>
                <w:sz w:val="18"/>
                <w:szCs w:val="18"/>
                <w:color w:val="auto"/>
                <w:w w:val="92"/>
              </w:rPr>
              <w:t>Proceeds from deferred consideration from sale of Heart Valves, net of working capital</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4,596</w:t>
            </w:r>
          </w:p>
        </w:tc>
        <w:tc>
          <w:tcPr>
            <w:tcW w:w="0" w:type="dxa"/>
            <w:vAlign w:val="bottom"/>
          </w:tcPr>
          <w:p>
            <w:pPr>
              <w:spacing w:after="0"/>
              <w:rPr>
                <w:sz w:val="1"/>
                <w:szCs w:val="1"/>
                <w:color w:val="auto"/>
              </w:rPr>
            </w:pPr>
          </w:p>
        </w:tc>
      </w:tr>
      <w:tr>
        <w:trPr>
          <w:trHeight w:val="236"/>
        </w:trPr>
        <w:tc>
          <w:tcPr>
            <w:tcW w:w="6540" w:type="dxa"/>
            <w:vAlign w:val="bottom"/>
          </w:tcPr>
          <w:p>
            <w:pPr>
              <w:ind w:left="180"/>
              <w:spacing w:after="0"/>
              <w:rPr>
                <w:sz w:val="20"/>
                <w:szCs w:val="20"/>
                <w:color w:val="auto"/>
              </w:rPr>
            </w:pPr>
            <w:r>
              <w:rPr>
                <w:rFonts w:ascii="Arial" w:cs="Arial" w:eastAsia="Arial" w:hAnsi="Arial"/>
                <w:sz w:val="18"/>
                <w:szCs w:val="18"/>
                <w:color w:val="auto"/>
              </w:rPr>
              <w:t>adjustments</w:t>
            </w:r>
          </w:p>
        </w:tc>
        <w:tc>
          <w:tcPr>
            <w:tcW w:w="26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654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E6E6E6"/>
          </w:tcPr>
          <w:p>
            <w:pPr>
              <w:spacing w:after="0"/>
              <w:rPr>
                <w:sz w:val="22"/>
                <w:szCs w:val="22"/>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438</w:t>
            </w:r>
          </w:p>
        </w:tc>
        <w:tc>
          <w:tcPr>
            <w:tcW w:w="80" w:type="dxa"/>
            <w:vAlign w:val="bottom"/>
            <w:tcBorders>
              <w:bottom w:val="single" w:sz="8" w:color="E6E6E6"/>
            </w:tcBorders>
            <w:shd w:val="clear" w:color="auto" w:fill="E6E6E6"/>
          </w:tcPr>
          <w:p>
            <w:pPr>
              <w:spacing w:after="0"/>
              <w:rPr>
                <w:sz w:val="22"/>
                <w:szCs w:val="22"/>
                <w:color w:val="auto"/>
              </w:rPr>
            </w:pPr>
          </w:p>
        </w:tc>
        <w:tc>
          <w:tcPr>
            <w:tcW w:w="260" w:type="dxa"/>
            <w:vAlign w:val="bottom"/>
            <w:tcBorders>
              <w:bottom w:val="single" w:sz="8" w:color="auto"/>
            </w:tcBorders>
            <w:shd w:val="clear" w:color="auto" w:fill="E6E6E6"/>
          </w:tcPr>
          <w:p>
            <w:pPr>
              <w:spacing w:after="0"/>
              <w:rPr>
                <w:sz w:val="22"/>
                <w:szCs w:val="22"/>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592</w:t>
            </w:r>
          </w:p>
        </w:tc>
        <w:tc>
          <w:tcPr>
            <w:tcW w:w="80" w:type="dxa"/>
            <w:vAlign w:val="bottom"/>
            <w:tcBorders>
              <w:bottom w:val="single" w:sz="8" w:color="E6E6E6"/>
            </w:tcBorders>
            <w:shd w:val="clear" w:color="auto" w:fill="E6E6E6"/>
          </w:tcPr>
          <w:p>
            <w:pPr>
              <w:spacing w:after="0"/>
              <w:rPr>
                <w:sz w:val="22"/>
                <w:szCs w:val="22"/>
                <w:color w:val="auto"/>
              </w:rPr>
            </w:pPr>
          </w:p>
        </w:tc>
        <w:tc>
          <w:tcPr>
            <w:tcW w:w="360" w:type="dxa"/>
            <w:vAlign w:val="bottom"/>
            <w:tcBorders>
              <w:bottom w:val="single" w:sz="8" w:color="auto"/>
            </w:tcBorders>
            <w:shd w:val="clear" w:color="auto" w:fill="E6E6E6"/>
          </w:tcPr>
          <w:p>
            <w:pPr>
              <w:spacing w:after="0"/>
              <w:rPr>
                <w:sz w:val="22"/>
                <w:szCs w:val="22"/>
                <w:color w:val="auto"/>
              </w:rPr>
            </w:pPr>
          </w:p>
        </w:tc>
        <w:tc>
          <w:tcPr>
            <w:tcW w:w="7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2,846</w:t>
            </w:r>
          </w:p>
        </w:tc>
        <w:tc>
          <w:tcPr>
            <w:tcW w:w="0" w:type="dxa"/>
            <w:vAlign w:val="bottom"/>
          </w:tcPr>
          <w:p>
            <w:pPr>
              <w:spacing w:after="0"/>
              <w:rPr>
                <w:sz w:val="1"/>
                <w:szCs w:val="1"/>
                <w:color w:val="auto"/>
              </w:rPr>
            </w:pPr>
          </w:p>
        </w:tc>
      </w:tr>
      <w:tr>
        <w:trPr>
          <w:trHeight w:val="210"/>
        </w:trPr>
        <w:tc>
          <w:tcPr>
            <w:tcW w:w="6540" w:type="dxa"/>
            <w:vAlign w:val="bottom"/>
            <w:tcBorders>
              <w:bottom w:val="single" w:sz="8" w:color="E6E6E6"/>
            </w:tcBorders>
          </w:tcPr>
          <w:p>
            <w:pPr>
              <w:ind w:left="400"/>
              <w:spacing w:after="0"/>
              <w:rPr>
                <w:sz w:val="20"/>
                <w:szCs w:val="20"/>
                <w:color w:val="auto"/>
              </w:rPr>
            </w:pPr>
            <w:r>
              <w:rPr>
                <w:rFonts w:ascii="Arial" w:cs="Arial" w:eastAsia="Arial" w:hAnsi="Arial"/>
                <w:sz w:val="18"/>
                <w:szCs w:val="18"/>
                <w:b w:val="1"/>
                <w:bCs w:val="1"/>
                <w:color w:val="auto"/>
              </w:rPr>
              <w:t>Net cash provided by financing activities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18,551</w:t>
            </w:r>
          </w:p>
        </w:tc>
        <w:tc>
          <w:tcPr>
            <w:tcW w:w="80" w:type="dxa"/>
            <w:vAlign w:val="bottom"/>
            <w:tcBorders>
              <w:bottom w:val="single" w:sz="8" w:color="E6E6E6"/>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21,484</w:t>
            </w:r>
          </w:p>
        </w:tc>
        <w:tc>
          <w:tcPr>
            <w:tcW w:w="80" w:type="dxa"/>
            <w:vAlign w:val="bottom"/>
            <w:tcBorders>
              <w:bottom w:val="single" w:sz="8" w:color="E6E6E6"/>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280,130</w:t>
            </w:r>
          </w:p>
        </w:tc>
        <w:tc>
          <w:tcPr>
            <w:tcW w:w="0" w:type="dxa"/>
            <w:vAlign w:val="bottom"/>
          </w:tcPr>
          <w:p>
            <w:pPr>
              <w:spacing w:after="0"/>
              <w:rPr>
                <w:sz w:val="1"/>
                <w:szCs w:val="1"/>
                <w:color w:val="auto"/>
              </w:rPr>
            </w:pPr>
          </w:p>
        </w:tc>
      </w:tr>
      <w:tr>
        <w:trPr>
          <w:trHeight w:val="250"/>
        </w:trPr>
        <w:tc>
          <w:tcPr>
            <w:tcW w:w="65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260" w:type="dxa"/>
            <w:vAlign w:val="bottom"/>
            <w:tcBorders>
              <w:bottom w:val="single" w:sz="8" w:color="auto"/>
            </w:tcBorders>
            <w:shd w:val="clear" w:color="auto" w:fill="E6E6E6"/>
          </w:tcPr>
          <w:p>
            <w:pPr>
              <w:spacing w:after="0"/>
              <w:rPr>
                <w:sz w:val="21"/>
                <w:szCs w:val="21"/>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(7,745)</w:t>
            </w:r>
          </w:p>
        </w:tc>
        <w:tc>
          <w:tcPr>
            <w:tcW w:w="80" w:type="dxa"/>
            <w:vAlign w:val="bottom"/>
            <w:tcBorders>
              <w:bottom w:val="single" w:sz="8" w:color="E6E6E6"/>
            </w:tcBorders>
            <w:shd w:val="clear" w:color="auto" w:fill="E6E6E6"/>
          </w:tcPr>
          <w:p>
            <w:pPr>
              <w:spacing w:after="0"/>
              <w:rPr>
                <w:sz w:val="21"/>
                <w:szCs w:val="21"/>
                <w:color w:val="auto"/>
              </w:rPr>
            </w:pPr>
          </w:p>
        </w:tc>
        <w:tc>
          <w:tcPr>
            <w:tcW w:w="260" w:type="dxa"/>
            <w:vAlign w:val="bottom"/>
            <w:tcBorders>
              <w:bottom w:val="single" w:sz="8" w:color="auto"/>
            </w:tcBorders>
            <w:shd w:val="clear" w:color="auto" w:fill="E6E6E6"/>
          </w:tcPr>
          <w:p>
            <w:pPr>
              <w:spacing w:after="0"/>
              <w:rPr>
                <w:sz w:val="21"/>
                <w:szCs w:val="21"/>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6,187</w:t>
            </w:r>
          </w:p>
        </w:tc>
        <w:tc>
          <w:tcPr>
            <w:tcW w:w="80" w:type="dxa"/>
            <w:vAlign w:val="bottom"/>
            <w:tcBorders>
              <w:bottom w:val="single" w:sz="8" w:color="E6E6E6"/>
            </w:tcBorders>
            <w:shd w:val="clear" w:color="auto" w:fill="E6E6E6"/>
          </w:tcPr>
          <w:p>
            <w:pPr>
              <w:spacing w:after="0"/>
              <w:rPr>
                <w:sz w:val="21"/>
                <w:szCs w:val="21"/>
                <w:color w:val="auto"/>
              </w:rPr>
            </w:pPr>
          </w:p>
        </w:tc>
        <w:tc>
          <w:tcPr>
            <w:tcW w:w="360" w:type="dxa"/>
            <w:vAlign w:val="bottom"/>
            <w:tcBorders>
              <w:bottom w:val="single" w:sz="8" w:color="auto"/>
            </w:tcBorders>
            <w:shd w:val="clear" w:color="auto" w:fill="E6E6E6"/>
          </w:tcPr>
          <w:p>
            <w:pPr>
              <w:spacing w:after="0"/>
              <w:rPr>
                <w:sz w:val="21"/>
                <w:szCs w:val="21"/>
                <w:color w:val="auto"/>
              </w:rPr>
            </w:pPr>
          </w:p>
        </w:tc>
        <w:tc>
          <w:tcPr>
            <w:tcW w:w="7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(4,011)</w:t>
            </w:r>
          </w:p>
        </w:tc>
        <w:tc>
          <w:tcPr>
            <w:tcW w:w="0" w:type="dxa"/>
            <w:vAlign w:val="bottom"/>
          </w:tcPr>
          <w:p>
            <w:pPr>
              <w:spacing w:after="0"/>
              <w:rPr>
                <w:sz w:val="1"/>
                <w:szCs w:val="1"/>
                <w:color w:val="auto"/>
              </w:rPr>
            </w:pPr>
          </w:p>
        </w:tc>
      </w:tr>
      <w:tr>
        <w:trPr>
          <w:trHeight w:val="217"/>
        </w:trPr>
        <w:tc>
          <w:tcPr>
            <w:tcW w:w="6540" w:type="dxa"/>
            <w:vAlign w:val="bottom"/>
          </w:tcPr>
          <w:p>
            <w:pPr>
              <w:ind w:left="400"/>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145,684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62,254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307,626</w:t>
            </w:r>
          </w:p>
        </w:tc>
        <w:tc>
          <w:tcPr>
            <w:tcW w:w="0" w:type="dxa"/>
            <w:vAlign w:val="bottom"/>
          </w:tcPr>
          <w:p>
            <w:pPr>
              <w:spacing w:after="0"/>
              <w:rPr>
                <w:sz w:val="1"/>
                <w:szCs w:val="1"/>
                <w:color w:val="auto"/>
              </w:rPr>
            </w:pPr>
          </w:p>
        </w:tc>
      </w:tr>
      <w:tr>
        <w:trPr>
          <w:trHeight w:val="262"/>
        </w:trPr>
        <w:tc>
          <w:tcPr>
            <w:tcW w:w="65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60" w:type="dxa"/>
            <w:vAlign w:val="bottom"/>
            <w:tcBorders>
              <w:bottom w:val="single" w:sz="8" w:color="auto"/>
            </w:tcBorders>
            <w:shd w:val="clear" w:color="auto" w:fill="E6E6E6"/>
          </w:tcPr>
          <w:p>
            <w:pPr>
              <w:spacing w:after="0"/>
              <w:rPr>
                <w:sz w:val="22"/>
                <w:szCs w:val="22"/>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577,872</w:t>
            </w:r>
          </w:p>
        </w:tc>
        <w:tc>
          <w:tcPr>
            <w:tcW w:w="80" w:type="dxa"/>
            <w:vAlign w:val="bottom"/>
            <w:tcBorders>
              <w:bottom w:val="single" w:sz="8" w:color="E6E6E6"/>
            </w:tcBorders>
            <w:shd w:val="clear" w:color="auto" w:fill="E6E6E6"/>
          </w:tcPr>
          <w:p>
            <w:pPr>
              <w:spacing w:after="0"/>
              <w:rPr>
                <w:sz w:val="22"/>
                <w:szCs w:val="22"/>
                <w:color w:val="auto"/>
              </w:rPr>
            </w:pPr>
          </w:p>
        </w:tc>
        <w:tc>
          <w:tcPr>
            <w:tcW w:w="260" w:type="dxa"/>
            <w:vAlign w:val="bottom"/>
            <w:tcBorders>
              <w:bottom w:val="single" w:sz="8" w:color="auto"/>
            </w:tcBorders>
            <w:shd w:val="clear" w:color="auto" w:fill="E6E6E6"/>
          </w:tcPr>
          <w:p>
            <w:pPr>
              <w:spacing w:after="0"/>
              <w:rPr>
                <w:sz w:val="22"/>
                <w:szCs w:val="22"/>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515,618</w:t>
            </w:r>
          </w:p>
        </w:tc>
        <w:tc>
          <w:tcPr>
            <w:tcW w:w="80" w:type="dxa"/>
            <w:vAlign w:val="bottom"/>
            <w:tcBorders>
              <w:bottom w:val="single" w:sz="8" w:color="E6E6E6"/>
            </w:tcBorders>
            <w:shd w:val="clear" w:color="auto" w:fill="E6E6E6"/>
          </w:tcPr>
          <w:p>
            <w:pPr>
              <w:spacing w:after="0"/>
              <w:rPr>
                <w:sz w:val="22"/>
                <w:szCs w:val="22"/>
                <w:color w:val="auto"/>
              </w:rPr>
            </w:pPr>
          </w:p>
        </w:tc>
        <w:tc>
          <w:tcPr>
            <w:tcW w:w="360" w:type="dxa"/>
            <w:vAlign w:val="bottom"/>
            <w:tcBorders>
              <w:bottom w:val="single" w:sz="8" w:color="auto"/>
            </w:tcBorders>
            <w:shd w:val="clear" w:color="auto" w:fill="E6E6E6"/>
          </w:tcPr>
          <w:p>
            <w:pPr>
              <w:spacing w:after="0"/>
              <w:rPr>
                <w:sz w:val="22"/>
                <w:szCs w:val="22"/>
                <w:color w:val="auto"/>
              </w:rPr>
            </w:pPr>
          </w:p>
        </w:tc>
        <w:tc>
          <w:tcPr>
            <w:tcW w:w="7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207,992</w:t>
            </w:r>
          </w:p>
        </w:tc>
        <w:tc>
          <w:tcPr>
            <w:tcW w:w="0" w:type="dxa"/>
            <w:vAlign w:val="bottom"/>
          </w:tcPr>
          <w:p>
            <w:pPr>
              <w:spacing w:after="0"/>
              <w:rPr>
                <w:sz w:val="1"/>
                <w:szCs w:val="1"/>
                <w:color w:val="auto"/>
              </w:rPr>
            </w:pPr>
          </w:p>
        </w:tc>
      </w:tr>
      <w:tr>
        <w:trPr>
          <w:trHeight w:val="191"/>
        </w:trPr>
        <w:tc>
          <w:tcPr>
            <w:tcW w:w="6540" w:type="dxa"/>
            <w:vAlign w:val="bottom"/>
          </w:tcPr>
          <w:p>
            <w:pPr>
              <w:ind w:left="40"/>
              <w:spacing w:after="0" w:line="191" w:lineRule="exact"/>
              <w:rPr>
                <w:sz w:val="20"/>
                <w:szCs w:val="20"/>
                <w:color w:val="auto"/>
              </w:rPr>
            </w:pPr>
            <w:r>
              <w:rPr>
                <w:rFonts w:ascii="Arial" w:cs="Arial" w:eastAsia="Arial" w:hAnsi="Arial"/>
                <w:sz w:val="18"/>
                <w:szCs w:val="18"/>
                <w:b w:val="1"/>
                <w:bCs w:val="1"/>
                <w:color w:val="auto"/>
              </w:rPr>
              <w:t>Cash, cash equivalents, and restricted cash at end of period</w:t>
            </w:r>
          </w:p>
        </w:tc>
        <w:tc>
          <w:tcPr>
            <w:tcW w:w="260" w:type="dxa"/>
            <w:vAlign w:val="bottom"/>
            <w:tcBorders>
              <w:bottom w:val="single" w:sz="8" w:color="auto"/>
            </w:tcBorders>
          </w:tcPr>
          <w:p>
            <w:pPr>
              <w:jc w:val="right"/>
              <w:ind w:right="32"/>
              <w:spacing w:after="0" w:line="191" w:lineRule="exact"/>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723,556</w:t>
            </w:r>
          </w:p>
        </w:tc>
        <w:tc>
          <w:tcPr>
            <w:tcW w:w="80" w:type="dxa"/>
            <w:vAlign w:val="bottom"/>
          </w:tcPr>
          <w:p>
            <w:pPr>
              <w:spacing w:after="0"/>
              <w:rPr>
                <w:sz w:val="16"/>
                <w:szCs w:val="16"/>
                <w:color w:val="auto"/>
              </w:rPr>
            </w:pPr>
          </w:p>
        </w:tc>
        <w:tc>
          <w:tcPr>
            <w:tcW w:w="260" w:type="dxa"/>
            <w:vAlign w:val="bottom"/>
            <w:tcBorders>
              <w:bottom w:val="single" w:sz="8" w:color="auto"/>
            </w:tcBorders>
          </w:tcPr>
          <w:p>
            <w:pPr>
              <w:jc w:val="right"/>
              <w:ind w:right="32"/>
              <w:spacing w:after="0" w:line="191" w:lineRule="exact"/>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577,872</w:t>
            </w:r>
          </w:p>
        </w:tc>
        <w:tc>
          <w:tcPr>
            <w:tcW w:w="80" w:type="dxa"/>
            <w:vAlign w:val="bottom"/>
          </w:tcPr>
          <w:p>
            <w:pPr>
              <w:spacing w:after="0"/>
              <w:rPr>
                <w:sz w:val="16"/>
                <w:szCs w:val="16"/>
                <w:color w:val="auto"/>
              </w:rPr>
            </w:pPr>
          </w:p>
        </w:tc>
        <w:tc>
          <w:tcPr>
            <w:tcW w:w="360" w:type="dxa"/>
            <w:vAlign w:val="bottom"/>
            <w:tcBorders>
              <w:bottom w:val="single" w:sz="8" w:color="auto"/>
            </w:tcBorders>
          </w:tcPr>
          <w:p>
            <w:pPr>
              <w:jc w:val="right"/>
              <w:ind w:right="132"/>
              <w:spacing w:after="0" w:line="191" w:lineRule="exact"/>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515,618</w:t>
            </w:r>
          </w:p>
        </w:tc>
        <w:tc>
          <w:tcPr>
            <w:tcW w:w="0" w:type="dxa"/>
            <w:vAlign w:val="bottom"/>
          </w:tcPr>
          <w:p>
            <w:pPr>
              <w:spacing w:after="0"/>
              <w:rPr>
                <w:sz w:val="1"/>
                <w:szCs w:val="1"/>
                <w:color w:val="auto"/>
              </w:rPr>
            </w:pPr>
          </w:p>
        </w:tc>
      </w:tr>
      <w:tr>
        <w:trPr>
          <w:trHeight w:val="20"/>
        </w:trPr>
        <w:tc>
          <w:tcPr>
            <w:tcW w:w="65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Supplementary Disclosures of Cash Flow Information:</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540" w:type="dxa"/>
            <w:vAlign w:val="bottom"/>
            <w:shd w:val="clear" w:color="auto" w:fill="E6E6E6"/>
          </w:tcPr>
          <w:p>
            <w:pPr>
              <w:ind w:left="180"/>
              <w:spacing w:after="0"/>
              <w:rPr>
                <w:sz w:val="20"/>
                <w:szCs w:val="20"/>
                <w:color w:val="auto"/>
              </w:rPr>
            </w:pPr>
            <w:r>
              <w:rPr>
                <w:rFonts w:ascii="Arial" w:cs="Arial" w:eastAsia="Arial" w:hAnsi="Arial"/>
                <w:sz w:val="18"/>
                <w:szCs w:val="18"/>
                <w:color w:val="auto"/>
              </w:rPr>
              <w:t>Cash paid for interest</w:t>
            </w:r>
          </w:p>
        </w:tc>
        <w:tc>
          <w:tcPr>
            <w:tcW w:w="260" w:type="dxa"/>
            <w:vAlign w:val="bottom"/>
            <w:shd w:val="clear" w:color="auto" w:fill="E6E6E6"/>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38,888</w:t>
            </w:r>
          </w:p>
        </w:tc>
        <w:tc>
          <w:tcPr>
            <w:tcW w:w="340" w:type="dxa"/>
            <w:vAlign w:val="bottom"/>
            <w:gridSpan w:val="2"/>
            <w:shd w:val="clear" w:color="auto" w:fill="E6E6E6"/>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36,910</w:t>
            </w:r>
          </w:p>
        </w:tc>
        <w:tc>
          <w:tcPr>
            <w:tcW w:w="440" w:type="dxa"/>
            <w:vAlign w:val="bottom"/>
            <w:gridSpan w:val="2"/>
            <w:shd w:val="clear" w:color="auto" w:fill="E6E6E6"/>
          </w:tcPr>
          <w:p>
            <w:pPr>
              <w:jc w:val="right"/>
              <w:ind w:right="132"/>
              <w:spacing w:after="0"/>
              <w:rPr>
                <w:sz w:val="20"/>
                <w:szCs w:val="20"/>
                <w:color w:val="auto"/>
              </w:rPr>
            </w:pPr>
            <w:r>
              <w:rPr>
                <w:rFonts w:ascii="Arial" w:cs="Arial" w:eastAsia="Arial" w:hAnsi="Arial"/>
                <w:sz w:val="18"/>
                <w:szCs w:val="18"/>
                <w:color w:val="auto"/>
              </w:rPr>
              <w:t>$</w:t>
            </w:r>
          </w:p>
        </w:tc>
        <w:tc>
          <w:tcPr>
            <w:tcW w:w="7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19,044</w:t>
            </w:r>
          </w:p>
        </w:tc>
        <w:tc>
          <w:tcPr>
            <w:tcW w:w="0" w:type="dxa"/>
            <w:vAlign w:val="bottom"/>
          </w:tcPr>
          <w:p>
            <w:pPr>
              <w:spacing w:after="0"/>
              <w:rPr>
                <w:sz w:val="1"/>
                <w:szCs w:val="1"/>
                <w:color w:val="auto"/>
              </w:rPr>
            </w:pPr>
          </w:p>
        </w:tc>
      </w:tr>
      <w:tr>
        <w:trPr>
          <w:trHeight w:val="201"/>
        </w:trPr>
        <w:tc>
          <w:tcPr>
            <w:tcW w:w="6540" w:type="dxa"/>
            <w:vAlign w:val="bottom"/>
          </w:tcPr>
          <w:p>
            <w:pPr>
              <w:ind w:left="180"/>
              <w:spacing w:after="0" w:line="201" w:lineRule="exact"/>
              <w:rPr>
                <w:sz w:val="20"/>
                <w:szCs w:val="20"/>
                <w:color w:val="auto"/>
              </w:rPr>
            </w:pPr>
            <w:r>
              <w:rPr>
                <w:rFonts w:ascii="Arial" w:cs="Arial" w:eastAsia="Arial" w:hAnsi="Arial"/>
                <w:sz w:val="18"/>
                <w:szCs w:val="18"/>
                <w:color w:val="auto"/>
              </w:rPr>
              <w:t>Cash paid (received) for income taxes, net</w:t>
            </w:r>
          </w:p>
        </w:tc>
        <w:tc>
          <w:tcPr>
            <w:tcW w:w="260" w:type="dxa"/>
            <w:vAlign w:val="bottom"/>
          </w:tcPr>
          <w:p>
            <w:pPr>
              <w:spacing w:after="0"/>
              <w:rPr>
                <w:sz w:val="17"/>
                <w:szCs w:val="17"/>
                <w:color w:val="auto"/>
              </w:rPr>
            </w:pPr>
          </w:p>
        </w:tc>
        <w:tc>
          <w:tcPr>
            <w:tcW w:w="860" w:type="dxa"/>
            <w:vAlign w:val="bottom"/>
          </w:tcPr>
          <w:p>
            <w:pPr>
              <w:jc w:val="right"/>
              <w:spacing w:after="0" w:line="201" w:lineRule="exact"/>
              <w:rPr>
                <w:sz w:val="20"/>
                <w:szCs w:val="20"/>
                <w:color w:val="auto"/>
              </w:rPr>
            </w:pPr>
            <w:r>
              <w:rPr>
                <w:rFonts w:ascii="Arial" w:cs="Arial" w:eastAsia="Arial" w:hAnsi="Arial"/>
                <w:sz w:val="18"/>
                <w:szCs w:val="18"/>
                <w:color w:val="auto"/>
              </w:rPr>
              <w:t>15,912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1" w:lineRule="exact"/>
              <w:rPr>
                <w:sz w:val="20"/>
                <w:szCs w:val="20"/>
                <w:color w:val="auto"/>
              </w:rPr>
            </w:pPr>
            <w:r>
              <w:rPr>
                <w:rFonts w:ascii="Arial" w:cs="Arial" w:eastAsia="Arial" w:hAnsi="Arial"/>
                <w:sz w:val="18"/>
                <w:szCs w:val="18"/>
                <w:color w:val="auto"/>
              </w:rPr>
              <w:t>(1,620)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line="201" w:lineRule="exact"/>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-4439285</wp:posOffset>
            </wp:positionV>
            <wp:extent cx="22472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82">
                      <a:extLst>
                        <a:ext uri="{28A0092B-C50C-407E-A947-70E740481C1C}"/>
                      </a:extLst>
                    </a:blip>
                    <a:srcRect/>
                    <a:stretch>
                      <a:fillRect/>
                    </a:stretch>
                  </pic:blipFill>
                  <pic:spPr bwMode="auto">
                    <a:xfrm>
                      <a:off x="0" y="0"/>
                      <a:ext cx="2247265" cy="25400"/>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-4280535</wp:posOffset>
            </wp:positionV>
            <wp:extent cx="22472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83">
                      <a:extLst>
                        <a:ext uri="{28A0092B-C50C-407E-A947-70E740481C1C}"/>
                      </a:extLst>
                    </a:blip>
                    <a:srcRect/>
                    <a:stretch>
                      <a:fillRect/>
                    </a:stretch>
                  </pic:blipFill>
                  <pic:spPr bwMode="auto">
                    <a:xfrm>
                      <a:off x="0" y="0"/>
                      <a:ext cx="2247265" cy="25400"/>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-3487420</wp:posOffset>
            </wp:positionV>
            <wp:extent cx="22472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84">
                      <a:extLst>
                        <a:ext uri="{28A0092B-C50C-407E-A947-70E740481C1C}"/>
                      </a:extLst>
                    </a:blip>
                    <a:srcRect/>
                    <a:stretch>
                      <a:fillRect/>
                    </a:stretch>
                  </pic:blipFill>
                  <pic:spPr bwMode="auto">
                    <a:xfrm>
                      <a:off x="0" y="0"/>
                      <a:ext cx="2247265" cy="25400"/>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-3328670</wp:posOffset>
            </wp:positionV>
            <wp:extent cx="22472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85">
                      <a:extLst>
                        <a:ext uri="{28A0092B-C50C-407E-A947-70E740481C1C}"/>
                      </a:extLst>
                    </a:blip>
                    <a:srcRect/>
                    <a:stretch>
                      <a:fillRect/>
                    </a:stretch>
                  </pic:blipFill>
                  <pic:spPr bwMode="auto">
                    <a:xfrm>
                      <a:off x="0" y="0"/>
                      <a:ext cx="2247265" cy="25400"/>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-1312545</wp:posOffset>
            </wp:positionV>
            <wp:extent cx="22472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86">
                      <a:extLst>
                        <a:ext uri="{28A0092B-C50C-407E-A947-70E740481C1C}"/>
                      </a:extLst>
                    </a:blip>
                    <a:srcRect/>
                    <a:stretch>
                      <a:fillRect/>
                    </a:stretch>
                  </pic:blipFill>
                  <pic:spPr bwMode="auto">
                    <a:xfrm>
                      <a:off x="0" y="0"/>
                      <a:ext cx="2247265" cy="25400"/>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-1153795</wp:posOffset>
            </wp:positionV>
            <wp:extent cx="22472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87">
                      <a:extLst>
                        <a:ext uri="{28A0092B-C50C-407E-A947-70E740481C1C}"/>
                      </a:extLst>
                    </a:blip>
                    <a:srcRect/>
                    <a:stretch>
                      <a:fillRect/>
                    </a:stretch>
                  </pic:blipFill>
                  <pic:spPr bwMode="auto">
                    <a:xfrm>
                      <a:off x="0" y="0"/>
                      <a:ext cx="2247265" cy="25400"/>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-995045</wp:posOffset>
            </wp:positionV>
            <wp:extent cx="22472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88">
                      <a:extLst>
                        <a:ext uri="{28A0092B-C50C-407E-A947-70E740481C1C}"/>
                      </a:extLst>
                    </a:blip>
                    <a:srcRect/>
                    <a:stretch>
                      <a:fillRect/>
                    </a:stretch>
                  </pic:blipFill>
                  <pic:spPr bwMode="auto">
                    <a:xfrm>
                      <a:off x="0" y="0"/>
                      <a:ext cx="2247265" cy="25400"/>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-677545</wp:posOffset>
            </wp:positionV>
            <wp:extent cx="22472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89">
                      <a:extLst>
                        <a:ext uri="{28A0092B-C50C-407E-A947-70E740481C1C}"/>
                      </a:extLst>
                    </a:blip>
                    <a:srcRect/>
                    <a:stretch>
                      <a:fillRect/>
                    </a:stretch>
                  </pic:blipFill>
                  <pic:spPr bwMode="auto">
                    <a:xfrm>
                      <a:off x="0" y="0"/>
                      <a:ext cx="2247265" cy="25400"/>
                    </a:xfrm>
                    <a:prstGeom prst="rect">
                      <a:avLst/>
                    </a:prstGeom>
                    <a:noFill/>
                  </pic:spPr>
                </pic:pic>
              </a:graphicData>
            </a:graphic>
          </wp:anchor>
        </w:drawing>
      </w:r>
    </w:p>
    <w:p>
      <w:pPr>
        <w:sectPr>
          <w:pgSz w:w="11880" w:h="15480" w:orient="portrait"/>
          <w:cols w:equalWidth="0" w:num="1">
            <w:col w:w="10040"/>
          </w:cols>
          <w:pgMar w:left="920" w:top="253" w:right="920" w:bottom="0" w:gutter="0" w:footer="0" w:header="0"/>
        </w:sectPr>
      </w:pPr>
    </w:p>
    <w:p>
      <w:pPr>
        <w:jc w:val="center"/>
        <w:spacing w:after="0"/>
        <w:rPr>
          <w:sz w:val="20"/>
          <w:szCs w:val="20"/>
          <w:color w:val="auto"/>
        </w:rPr>
      </w:pPr>
      <w:r>
        <w:rPr>
          <w:rFonts w:ascii="Arial" w:cs="Arial" w:eastAsia="Arial" w:hAnsi="Arial"/>
          <w:sz w:val="17"/>
          <w:szCs w:val="17"/>
          <w:color w:val="auto"/>
        </w:rPr>
        <w:t>See accompanying notes to the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F-7</w:t>
      </w:r>
    </w:p>
    <w:p>
      <w:pPr>
        <w:sectPr>
          <w:pgSz w:w="11880" w:h="15480" w:orient="portrait"/>
          <w:cols w:equalWidth="0" w:num="1">
            <w:col w:w="10040"/>
          </w:cols>
          <w:pgMar w:left="920" w:top="253" w:right="920" w:bottom="0" w:gutter="0" w:footer="0" w:header="0"/>
          <w:type w:val="continuous"/>
        </w:sectPr>
      </w:pPr>
    </w:p>
    <w:bookmarkStart w:id="65" w:name="page66"/>
    <w:bookmarkEnd w:id="65"/>
    <w:p>
      <w:pPr>
        <w:jc w:val="center"/>
        <w:spacing w:after="0"/>
        <w:rPr>
          <w:sz w:val="20"/>
          <w:szCs w:val="20"/>
          <w:color w:val="auto"/>
        </w:rPr>
      </w:pPr>
      <w:r>
        <w:rPr>
          <w:rFonts w:ascii="Arial" w:cs="Arial" w:eastAsia="Arial" w:hAnsi="Arial"/>
          <w:sz w:val="24"/>
          <w:szCs w:val="24"/>
          <w:b w:val="1"/>
          <w:bCs w:val="1"/>
          <w:color w:val="auto"/>
        </w:rPr>
        <w:t>LIVANOVA PLC AND SUBSIDIARIES’</w:t>
      </w:r>
    </w:p>
    <w:p>
      <w:pPr>
        <w:jc w:val="center"/>
        <w:spacing w:after="0" w:line="218" w:lineRule="auto"/>
        <w:rPr>
          <w:sz w:val="20"/>
          <w:szCs w:val="20"/>
          <w:color w:val="auto"/>
        </w:rPr>
      </w:pPr>
      <w:r>
        <w:rPr>
          <w:rFonts w:ascii="Arial" w:cs="Arial" w:eastAsia="Arial" w:hAnsi="Arial"/>
          <w:sz w:val="24"/>
          <w:szCs w:val="24"/>
          <w:b w:val="1"/>
          <w:bCs w:val="1"/>
          <w:color w:val="auto"/>
        </w:rPr>
        <w:t>NOTES TO THE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Nature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Description of the Business</w:t>
      </w:r>
    </w:p>
    <w:p>
      <w:pPr>
        <w:spacing w:after="0" w:line="140"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LivaNova PLC is a market-leading global medical technology company. The Company designs, develops, manufactures, markets, and sells products and therapies that are consistent with LivaNova’s mission to provide hope for patients and their families through medical technologies, delivering life-changing solutions in select neurological and cardiac conditions. LivaNova is a public limited company organized under the laws of England and Wales and is headquartered in London, England. LivaNova’s ordinary shares are listed for trading on the Nasdaq under the symbol “LIVN.”</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color w:val="auto"/>
        </w:rPr>
        <w:t>Business Segments</w:t>
      </w:r>
    </w:p>
    <w:p>
      <w:pPr>
        <w:spacing w:after="0" w:line="140"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For the periods presented herein, LivaNova was comprised of two reportable segments: Cardiopulmonary and Neuromodulation.</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color w:val="auto"/>
        </w:rPr>
        <w:t>Cybersecurity Incident</w:t>
      </w:r>
    </w:p>
    <w:p>
      <w:pPr>
        <w:spacing w:after="0" w:line="140"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As previously disclosed, in November 2023, LivaNova detected a cybersecurity incident that resulted in a disruption of portions of the Company’s information technology systems. Promptly after detecting the issue, LivaNova began an investigation with assistance from external cybersecurity experts and coordinated with law enforcement. The Company implemented remediation measures to mitigate the impact of the incident. The Company also assessed the nature and scope of the affected data, analyzed its statutory notification obligations, and notified affected individuals and regulators as required by applicable law. For further discussion on legal and regulatory developments, refer to “Note 11. Commitments and Contingencies.” The incident has been contained, and the Company’s mitigation efforts are considered complete.</w:t>
      </w:r>
    </w:p>
    <w:p>
      <w:pPr>
        <w:spacing w:after="0" w:line="48"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Through December 31, 2024, LivaNova incurred direct costs totaling $11.6 million in connection with this cybersecurity incident, including $9.0 million and $2.6 million during the twelve months ended December 31, 2024 and 2023, respectively. The total incurred direct costs primarily included external cybersecurity expert and legal fees, system restoration costs, and a $1.2 million provision related to the class action settlement, and do not include business interruption losses. The Company expects to incur additional costs related to this incident in the future. For further discussion on legal and regulatory developments, refer to “Note 11. Commitments and Contingencies.” LivaNova maintains insurance, including cyber insurance, which is subject to certain retentions and policy limitations that will likely limit the amount that the insurers may reimburse the Company. LivaNova has filed claims for insurance reimbursement of covered costs and business interruption losses related to this incident and has submitted additional claims and supplemental requests for reimbursement as new costs have been incurred. During 2024, LivaNova received $8.4 million, including $5.1 million in reimbursement of covered costs and $3.3 million in reimbursement of business interruption losses under the Company’s cyber insurance policy. The Company’s insurance coverage may be insufficient to cover all costs and expenses related to this cybersecurity incident or may be unavailable to cover all costs and expenses related to this cybersecurity incident.</w:t>
      </w:r>
    </w:p>
    <w:p>
      <w:pPr>
        <w:spacing w:after="0" w:line="288" w:lineRule="exact"/>
        <w:rPr>
          <w:sz w:val="20"/>
          <w:szCs w:val="20"/>
          <w:color w:val="auto"/>
        </w:rPr>
      </w:pPr>
    </w:p>
    <w:p>
      <w:pPr>
        <w:ind w:right="1320"/>
        <w:spacing w:after="0" w:line="373" w:lineRule="auto"/>
        <w:rPr>
          <w:sz w:val="20"/>
          <w:szCs w:val="20"/>
          <w:color w:val="auto"/>
        </w:rPr>
      </w:pPr>
      <w:r>
        <w:rPr>
          <w:rFonts w:ascii="Arial" w:cs="Arial" w:eastAsia="Arial" w:hAnsi="Arial"/>
          <w:sz w:val="22"/>
          <w:szCs w:val="22"/>
          <w:b w:val="1"/>
          <w:bCs w:val="1"/>
          <w:color w:val="auto"/>
        </w:rPr>
        <w:t xml:space="preserve">Note 2. Basis of Presentation, Use of Accounting Estimates, and Significant Accounting Policies </w:t>
      </w:r>
      <w:r>
        <w:rPr>
          <w:rFonts w:ascii="Arial" w:cs="Arial" w:eastAsia="Arial" w:hAnsi="Arial"/>
          <w:sz w:val="22"/>
          <w:szCs w:val="22"/>
          <w:color w:val="auto"/>
        </w:rPr>
        <w:t>Basis of Presentation</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The accompanying consolidated financial statements of LivaNova have been prepared in accordance with U.S. GAAP.</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color w:val="auto"/>
        </w:rPr>
        <w:t>Consolidation</w:t>
      </w:r>
    </w:p>
    <w:p>
      <w:pPr>
        <w:spacing w:after="0" w:line="140"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accompanying consolidated financial statements for LivaNova include LivaNova’s wholly-owned subsidiaries and the Trust. All intercompany accounts and transactions have been eliminated.</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color w:val="auto"/>
        </w:rPr>
        <w:t>Use of Estimates</w:t>
      </w:r>
    </w:p>
    <w:p>
      <w:pPr>
        <w:spacing w:after="0" w:line="140" w:lineRule="exact"/>
        <w:rPr>
          <w:sz w:val="20"/>
          <w:szCs w:val="20"/>
          <w:color w:val="auto"/>
        </w:rPr>
      </w:pPr>
    </w:p>
    <w:p>
      <w:pPr>
        <w:jc w:val="both"/>
        <w:spacing w:after="0" w:line="316" w:lineRule="auto"/>
        <w:rPr>
          <w:sz w:val="20"/>
          <w:szCs w:val="20"/>
          <w:color w:val="auto"/>
        </w:rPr>
      </w:pPr>
      <w:r>
        <w:rPr>
          <w:rFonts w:ascii="Arial" w:cs="Arial" w:eastAsia="Arial" w:hAnsi="Arial"/>
          <w:sz w:val="17"/>
          <w:szCs w:val="17"/>
          <w:color w:val="auto"/>
        </w:rPr>
        <w:t>The preparation of LivaNova’s consolidated financial statements in conformity with U.S. GAAP requires management to make estimates and assumptions that affect the amounts reported in such financial statements and accompanying notes. These estimates are based on management’s best knowledge of current events and actions that LivaNova may undertake in the future. Estimates are used in accounting for, among other items, valuation and amortization of intangible assets; goodwill, other long-lived assets (asset group); measurement of deferred tax assets and liabilities; uncertain income tax positions; contingent consideration arrangements; derivative assets and liabilities; legal and other contingencies; stock-based compensation; obsolete</w:t>
      </w:r>
    </w:p>
    <w:p>
      <w:pPr>
        <w:sectPr>
          <w:pgSz w:w="11880" w:h="15480" w:orient="portrait"/>
          <w:cols w:equalWidth="0" w:num="1">
            <w:col w:w="10040"/>
          </w:cols>
          <w:pgMar w:left="920" w:top="6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ectPr>
          <w:pgSz w:w="11880" w:h="15480" w:orient="portrait"/>
          <w:cols w:equalWidth="0" w:num="1">
            <w:col w:w="10040"/>
          </w:cols>
          <w:pgMar w:left="920" w:top="607" w:right="920" w:bottom="0" w:gutter="0" w:footer="0" w:header="0"/>
          <w:type w:val="continuous"/>
        </w:sectPr>
      </w:pPr>
    </w:p>
    <w:bookmarkStart w:id="66" w:name="page67"/>
    <w:bookmarkEnd w:id="66"/>
    <w:p>
      <w:pPr>
        <w:jc w:val="both"/>
        <w:spacing w:after="0" w:line="369" w:lineRule="auto"/>
        <w:rPr>
          <w:sz w:val="20"/>
          <w:szCs w:val="20"/>
          <w:color w:val="auto"/>
        </w:rPr>
      </w:pPr>
      <w:r>
        <w:rPr>
          <w:rFonts w:ascii="Arial" w:cs="Arial" w:eastAsia="Arial" w:hAnsi="Arial"/>
          <w:sz w:val="17"/>
          <w:szCs w:val="17"/>
          <w:color w:val="auto"/>
        </w:rPr>
        <w:t>and slow-moving inventories; models, such as an impairment analysis; and, in general, allocations to provisions and the fair value of assets and liabilities recorded in a business combination. Actual results could differ materially from those estimates.</w:t>
      </w:r>
    </w:p>
    <w:p>
      <w:pPr>
        <w:spacing w:after="0"/>
        <w:rPr>
          <w:sz w:val="20"/>
          <w:szCs w:val="20"/>
          <w:color w:val="auto"/>
        </w:rPr>
      </w:pPr>
      <w:r>
        <w:rPr>
          <w:rFonts w:ascii="Arial" w:cs="Arial" w:eastAsia="Arial" w:hAnsi="Arial"/>
          <w:sz w:val="22"/>
          <w:szCs w:val="22"/>
          <w:color w:val="auto"/>
        </w:rPr>
        <w:t>Reclassifications</w:t>
      </w:r>
    </w:p>
    <w:p>
      <w:pPr>
        <w:spacing w:after="0" w:line="140"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Company has reclassified certain prior period amounts on the consolidated statements of cash flows for comparative purposes.</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color w:val="auto"/>
        </w:rPr>
        <w:t>Cash and Cash Equivalents</w:t>
      </w:r>
    </w:p>
    <w:p>
      <w:pPr>
        <w:spacing w:after="0" w:line="140"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LivaNova considers all highly liquid investments with an original maturity of three months or less, consisting of demand deposit accounts and money market mutual funds, to be cash equivalents. Cash equivalents are carried on the consolidated balance sheets at cost, which approximates their fair value.</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color w:val="auto"/>
        </w:rPr>
        <w:t>Restricted Cash</w:t>
      </w:r>
    </w:p>
    <w:p>
      <w:pPr>
        <w:spacing w:after="0" w:line="140"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Company classifies cash that is not available for use in its operations as restricted cash within current assets on the consolidated balance sheets. As of December 31, 2024, LivaNova’s restricted cash balance was $294.7 million and was comprised of cash deposits with Barclays held as collateral for the SNIA Litigation Guarantee. As security for the SNIA Litigation Guarantee, LivaNova is required to grant cash collateral to Barclays in USD in an amount equal to the USD equivalent of 105% of the amount of the SNIA Litigation Guarantee calibrated on a biweekly basis. For additional information regarding the SNIA litigation, please refer to “Note 11. Commitments and Contingencies.”</w:t>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color w:val="auto"/>
        </w:rPr>
        <w:t>Accounts Receivable</w:t>
      </w:r>
    </w:p>
    <w:p>
      <w:pPr>
        <w:spacing w:after="0" w:line="140"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Accounts receivable consists of trade receivables from direct customers and distributors. The Company maintains an allowance for doubtful accounts for potential credit losses based on its estimates of the ability of customers to make required payments, historical credit experience, existing economic conditions, and expected future trends. LivaNova writes off uncollectible accounts against the allowance when all reasonable collection efforts have been exhausted.</w:t>
      </w:r>
    </w:p>
    <w:p>
      <w:pPr>
        <w:spacing w:after="0" w:line="61" w:lineRule="exact"/>
        <w:rPr>
          <w:sz w:val="20"/>
          <w:szCs w:val="20"/>
          <w:color w:val="auto"/>
        </w:rPr>
      </w:pPr>
    </w:p>
    <w:p>
      <w:pPr>
        <w:spacing w:after="0"/>
        <w:rPr>
          <w:sz w:val="20"/>
          <w:szCs w:val="20"/>
          <w:color w:val="auto"/>
        </w:rPr>
      </w:pPr>
      <w:r>
        <w:rPr>
          <w:rFonts w:ascii="Arial" w:cs="Arial" w:eastAsia="Arial" w:hAnsi="Arial"/>
          <w:sz w:val="22"/>
          <w:szCs w:val="22"/>
          <w:color w:val="auto"/>
        </w:rPr>
        <w:t>Inventories</w:t>
      </w:r>
    </w:p>
    <w:p>
      <w:pPr>
        <w:spacing w:after="0" w:line="140" w:lineRule="exact"/>
        <w:rPr>
          <w:sz w:val="20"/>
          <w:szCs w:val="20"/>
          <w:color w:val="auto"/>
        </w:rPr>
      </w:pPr>
    </w:p>
    <w:p>
      <w:pPr>
        <w:jc w:val="both"/>
        <w:spacing w:after="0" w:line="326" w:lineRule="auto"/>
        <w:rPr>
          <w:sz w:val="20"/>
          <w:szCs w:val="20"/>
          <w:color w:val="auto"/>
        </w:rPr>
      </w:pPr>
      <w:r>
        <w:rPr>
          <w:rFonts w:ascii="Arial" w:cs="Arial" w:eastAsia="Arial" w:hAnsi="Arial"/>
          <w:sz w:val="17"/>
          <w:szCs w:val="17"/>
          <w:color w:val="auto"/>
        </w:rPr>
        <w:t>LivaNova states its inventories at the lower of cost, using the FIFO method, or net realizable value. The Company’s calculation of cost includes the acquisition cost of raw materials and components, direct labor, and overhead, including depreciation of manufacturing related assets. LivaNova reduces the carrying value of inventories for those items that are potentially excess, obsolete, or slow moving based on changes in customer demand, technology developments, or other economic factors.</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color w:val="auto"/>
        </w:rPr>
        <w:t>PP&amp;E</w:t>
      </w:r>
    </w:p>
    <w:p>
      <w:pPr>
        <w:spacing w:after="0" w:line="140" w:lineRule="exact"/>
        <w:rPr>
          <w:sz w:val="20"/>
          <w:szCs w:val="20"/>
          <w:color w:val="auto"/>
        </w:rPr>
      </w:pPr>
    </w:p>
    <w:p>
      <w:pPr>
        <w:jc w:val="both"/>
        <w:spacing w:after="0" w:line="316" w:lineRule="auto"/>
        <w:rPr>
          <w:sz w:val="20"/>
          <w:szCs w:val="20"/>
          <w:color w:val="auto"/>
        </w:rPr>
      </w:pPr>
      <w:r>
        <w:rPr>
          <w:rFonts w:ascii="Arial" w:cs="Arial" w:eastAsia="Arial" w:hAnsi="Arial"/>
          <w:sz w:val="17"/>
          <w:szCs w:val="17"/>
          <w:color w:val="auto"/>
        </w:rPr>
        <w:t>PP&amp;E is carried at cost, less accumulated depreciation. Maintenance, repairs, and minor replacements are charged to expense as incurred, while significant renewals and improvements are capitalized. LivaNova computes depreciation using the straight-line method over the asset’s estimated useful lives. Leasehold improvements are depreciated over the shorter of the following terms: the useful life of the asset or a term that includes required lease periods and renewals that are deemed to be reasonably assured on the date the leasehold improvements are purchased. Capital improvements to buildings are added as building components and are depreciated over the useful life of the improvement or the building, whichever is less.</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color w:val="auto"/>
        </w:rPr>
        <w:t>Goodwill</w:t>
      </w:r>
    </w:p>
    <w:p>
      <w:pPr>
        <w:spacing w:after="0" w:line="140"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LivaNova allocates the amounts the Company pays for an acquisition to the assets acquired and liabilities assumed based on the fair values at the date of acquisition, including property, plant, and equipment; inventories; accounts receivable; long-term debt; and identifiable intangible assets which either arise from a contractual or legal right or are separable from goodwill. The Company bases the fair value of identifiable intangible assets acquired in a business combination, including IPR&amp;D, on valuations that use information and assumptions provided by management, which consider management’s best estimates of inputs and assumptions that a market participant would use. LivaNova allocates any excess purchase price over the fair value of the net tangible and identifiable intangible assets acquired to goodwill. Transaction costs associated with these acquisitions are expensed as incurred and are reported in SG&amp;A on the consolidated statements of income (loss). LivaNova recognizes adjustments to the provisional amounts identified during the measurement period with a corresponding adjustment to goodwill in the reporting period in which the adjustment amounts are determined. The effect on earnings of changes in depreciation, amortization, or other income effects, if any, as a result of the change to the provisional amounts is recorded in the same period’s consolidated financial statements, calculated as if the accounting had been completed at the acquisition date.</w:t>
      </w:r>
    </w:p>
    <w:p>
      <w:pPr>
        <w:sectPr>
          <w:pgSz w:w="11880" w:h="15480" w:orient="portrait"/>
          <w:cols w:equalWidth="0" w:num="1">
            <w:col w:w="10040"/>
          </w:cols>
          <w:pgMar w:left="920" w:top="66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ectPr>
          <w:pgSz w:w="11880" w:h="15480" w:orient="portrait"/>
          <w:cols w:equalWidth="0" w:num="1">
            <w:col w:w="10040"/>
          </w:cols>
          <w:pgMar w:left="920" w:top="664" w:right="920" w:bottom="0" w:gutter="0" w:footer="0" w:header="0"/>
          <w:type w:val="continuous"/>
        </w:sectPr>
      </w:pPr>
    </w:p>
    <w:bookmarkStart w:id="67" w:name="page68"/>
    <w:bookmarkEnd w:id="67"/>
    <w:p>
      <w:pPr>
        <w:spacing w:after="0"/>
        <w:rPr>
          <w:sz w:val="20"/>
          <w:szCs w:val="20"/>
          <w:color w:val="auto"/>
        </w:rPr>
      </w:pPr>
      <w:r>
        <w:rPr>
          <w:rFonts w:ascii="Arial" w:cs="Arial" w:eastAsia="Arial" w:hAnsi="Arial"/>
          <w:sz w:val="22"/>
          <w:szCs w:val="22"/>
          <w:color w:val="auto"/>
        </w:rPr>
        <w:t>Intangible Assets, Other Than Goodwill</w:t>
      </w:r>
    </w:p>
    <w:p>
      <w:pPr>
        <w:spacing w:after="0" w:line="140"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Intangible assets shown on the consolidated balance sheets consist of finite-lived and indefinite-lived assets expected to generate future economic benefits and are recorded at their respective fair values as of their acquisition date. Finite-lived intangible assets consist primarily of developed technology and technical capabilities, including patents, related know-how, and licensed patent rights, as well as trade names and customer relationships. Customer relationships consist of relationships with hospitals and surgeons in the countries where LivaNova operates. Indefinite-lived intangible assets other than goodwill are composed of IPR&amp;D assets acquired in acquisitions. LivaNova amortizes its finite-lived intangible assets over the assets’ useful lives using the straight-line method. Estimating the useful lives of intangible assets requires LivaNova to apply significant judgment.</w:t>
      </w:r>
    </w:p>
    <w:p>
      <w:pPr>
        <w:spacing w:after="0" w:line="75" w:lineRule="exact"/>
        <w:rPr>
          <w:sz w:val="20"/>
          <w:szCs w:val="20"/>
          <w:color w:val="auto"/>
        </w:rPr>
      </w:pPr>
    </w:p>
    <w:p>
      <w:pPr>
        <w:jc w:val="both"/>
        <w:spacing w:after="0" w:line="326" w:lineRule="auto"/>
        <w:rPr>
          <w:sz w:val="20"/>
          <w:szCs w:val="20"/>
          <w:color w:val="auto"/>
        </w:rPr>
      </w:pPr>
      <w:r>
        <w:rPr>
          <w:rFonts w:ascii="Arial" w:cs="Arial" w:eastAsia="Arial" w:hAnsi="Arial"/>
          <w:sz w:val="17"/>
          <w:szCs w:val="17"/>
          <w:color w:val="auto"/>
        </w:rPr>
        <w:t>Amortization expense is included on LivaNova’s consolidated statements of income (loss) within cost of sales or SG&amp;A based on the nature of the underlying intangible asset. LivaNova evaluates its intangible assets each reporting period to determine whether events and circumstances indicate either a different useful life or impairment. If LivaNova changes its estimate of the useful life of an asset, the Company amortizes the carrying amount over the revised remaining useful life.</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color w:val="auto"/>
        </w:rPr>
        <w:t>Impairments of Long-lived Assets and Goodwill</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Long-lived Assets Impairment</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color w:val="auto"/>
        </w:rPr>
        <w:t>Assets Held and Used</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LivaNova evaluates the carrying value of its long-lived assets and investments for impairment when events or changes in circumstances indicate that the carrying value of such assets may not be recoverable. Such changes in circumstance may include, among other items, (i) an expectation of a sale, discontinuation, or disposal of a long-lived asset or asset group; (ii) adverse changes in market or competitive conditions; (iii) an adverse change in legal factors or business climate in the markets in which LivaNova operates; and (iv) operating or cash flow losses.</w:t>
      </w:r>
    </w:p>
    <w:p>
      <w:pPr>
        <w:spacing w:after="0" w:line="7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For PP&amp;E and intangible assets used in LivaNova’s operations, recoverability generally is determined by comparing the carrying value of an asset or group of assets to the expected undiscounted future cash flows. If the carrying value of an asset, or group of assets is not recoverable, the amount of impairment loss is measured as the difference between the carrying value of the asset or group of assets and its estimated fair value. The asset grouping as well as the determination of expected undiscounted cash flow amounts requires significant judgments, estimates, and assumptions, including with regard to cash flows generated upon disposition. LivaNova measures fair value as the price that would be received if the Company were to sell the assets in an orderly transaction. Assets to be disposed of are carried at the lower of their financial statement carrying amount or fair value less costs to sell.</w:t>
      </w:r>
    </w:p>
    <w:p>
      <w:pPr>
        <w:spacing w:after="0" w:line="75"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LivaNova conducts impairment testing of its indefinite-lived intangible assets on October 1st each year. LivaNova tests indefinite-lived intangible assets for impairment between annual tests if an event occurs or circumstances change that would indicate the carrying amount may be impaired. An impairment loss is recognized when the asset’s carrying value exceeds its fair value.</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Goodwill Impairment</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LivaNova conducts impairment testing of its goodwill on October 1st each year. Testing is performed at the reporting unit level, which is defined as an operating segment or a component of an operating segment that constitutes a business for which financial information is available and is regularly viewed by management. LivaNova’s operating segments are deemed to be its reporting units for purposes of goodwill impairment testing. LivaNova tests goodwill for impairment between annual tests if an event occurs or circumstances change that would more likely than not reduce the fair value of a reporting unit below its carrying amount.</w:t>
      </w:r>
    </w:p>
    <w:p>
      <w:pPr>
        <w:spacing w:after="0" w:line="87"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If LivaNova determines that goodwill is more likely than not impaired, the Company compares the fair value of the reporting unit to its carrying amount, including goodwill. Fair value refers to the price that would be received if LivaNova were to sell the unit as a whole in an orderly transaction. Fair value is estimated using a discounted cash flow model and requires various assumptions, including revenue growth rates and discount rates. If the carrying amount of the Company’s reporting unit is greater than zero and its fair value exceeds its carrying amount, goodwill of the reporting unit is considered not impaired. An impairment loss is recognized when the carrying amount of the reporting unit’s net assets exceeds the estimated fair value of the reporting unit, up to and including the carrying amount of the goodwill.</w:t>
      </w:r>
    </w:p>
    <w:p>
      <w:pPr>
        <w:spacing w:after="0" w:line="7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If the aggregate fair value of LivaNova’s reporting units exceeds its market capitalization, the Company evaluates the reasonableness of the implied control premium, which includes a comparison to implied control premiums from recent market transactions within its industry or other relevant benchmark data.</w:t>
      </w:r>
    </w:p>
    <w:p>
      <w:pPr>
        <w:sectPr>
          <w:pgSz w:w="11880" w:h="15480" w:orient="portrait"/>
          <w:cols w:equalWidth="0" w:num="1">
            <w:col w:w="10040"/>
          </w:cols>
          <w:pgMar w:left="920" w:top="658" w:right="920" w:bottom="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ectPr>
          <w:pgSz w:w="11880" w:h="15480" w:orient="portrait"/>
          <w:cols w:equalWidth="0" w:num="1">
            <w:col w:w="10040"/>
          </w:cols>
          <w:pgMar w:left="920" w:top="658" w:right="920" w:bottom="0" w:gutter="0" w:footer="0" w:header="0"/>
          <w:type w:val="continuous"/>
        </w:sectPr>
      </w:pPr>
    </w:p>
    <w:bookmarkStart w:id="68" w:name="page69"/>
    <w:bookmarkEnd w:id="68"/>
    <w:p>
      <w:pPr>
        <w:jc w:val="both"/>
        <w:spacing w:after="0" w:line="316" w:lineRule="auto"/>
        <w:rPr>
          <w:sz w:val="20"/>
          <w:szCs w:val="20"/>
          <w:color w:val="auto"/>
        </w:rPr>
      </w:pPr>
      <w:r>
        <w:rPr>
          <w:rFonts w:ascii="Arial" w:cs="Arial" w:eastAsia="Arial" w:hAnsi="Arial"/>
          <w:sz w:val="17"/>
          <w:szCs w:val="17"/>
          <w:color w:val="auto"/>
        </w:rPr>
        <w:t>Goodwill impairment evaluations are highly subjective. In most instances, such evaluations involve expectations of future cash flows that reflect LivaNova’s judgments and assumptions regarding future industry conditions and operations. The estimates, judgments, and assumptions used in the application of LivaNova’s goodwill impairment policies reflect both historical experience and an assessment of current operational, industry, market, economic, and political environments. The use of different estimates, judgments, assumptions, and expectations regarding future industry and market conditions and operations could result in materially different asset carrying values and operating results.</w:t>
      </w:r>
    </w:p>
    <w:p>
      <w:pPr>
        <w:spacing w:after="0" w:line="43" w:lineRule="exact"/>
        <w:rPr>
          <w:sz w:val="20"/>
          <w:szCs w:val="20"/>
          <w:color w:val="auto"/>
        </w:rPr>
      </w:pPr>
    </w:p>
    <w:p>
      <w:pPr>
        <w:jc w:val="both"/>
        <w:spacing w:after="0" w:line="326" w:lineRule="auto"/>
        <w:rPr>
          <w:sz w:val="20"/>
          <w:szCs w:val="20"/>
          <w:color w:val="auto"/>
        </w:rPr>
      </w:pPr>
      <w:r>
        <w:rPr>
          <w:rFonts w:ascii="Arial" w:cs="Arial" w:eastAsia="Arial" w:hAnsi="Arial"/>
          <w:sz w:val="17"/>
          <w:szCs w:val="17"/>
          <w:color w:val="auto"/>
        </w:rPr>
        <w:t>Quantitative factors used to determine the fair value of the reporting units reflect LivaNova’s best estimates, which the Company believes are reasonable. Future declines in the reporting units’ operating performance or LivaNova’s anticipated business outlook may reduce the estimated fair value of the Company’s reporting units and result in an impairment in the future. Factors that could have a negative impact on the fair value of the reporting units include, but are not limited to:</w:t>
      </w:r>
    </w:p>
    <w:p>
      <w:pPr>
        <w:spacing w:after="0" w:line="36" w:lineRule="exact"/>
        <w:rPr>
          <w:sz w:val="20"/>
          <w:szCs w:val="20"/>
          <w:color w:val="auto"/>
        </w:rPr>
      </w:pPr>
    </w:p>
    <w:p>
      <w:pPr>
        <w:ind w:left="520" w:hanging="351"/>
        <w:spacing w:after="0" w:line="284" w:lineRule="auto"/>
        <w:tabs>
          <w:tab w:leader="none" w:pos="520" w:val="left"/>
        </w:tabs>
        <w:numPr>
          <w:ilvl w:val="0"/>
          <w:numId w:val="6"/>
        </w:numPr>
        <w:rPr>
          <w:rFonts w:ascii="Arial" w:cs="Arial" w:eastAsia="Arial" w:hAnsi="Arial"/>
          <w:sz w:val="20"/>
          <w:szCs w:val="20"/>
          <w:color w:val="auto"/>
        </w:rPr>
      </w:pPr>
      <w:r>
        <w:rPr>
          <w:rFonts w:ascii="Arial" w:cs="Arial" w:eastAsia="Arial" w:hAnsi="Arial"/>
          <w:sz w:val="20"/>
          <w:szCs w:val="20"/>
          <w:color w:val="auto"/>
        </w:rPr>
        <w:t>Decreases in revenue as a result of the inability of LivaNova’s sales force to effectively market and promote the Company’s products;</w:t>
      </w:r>
    </w:p>
    <w:p>
      <w:pPr>
        <w:spacing w:after="0" w:line="63" w:lineRule="exact"/>
        <w:rPr>
          <w:rFonts w:ascii="Arial" w:cs="Arial" w:eastAsia="Arial" w:hAnsi="Arial"/>
          <w:sz w:val="20"/>
          <w:szCs w:val="20"/>
          <w:color w:val="auto"/>
        </w:rPr>
      </w:pPr>
    </w:p>
    <w:p>
      <w:pPr>
        <w:ind w:left="520" w:hanging="351"/>
        <w:spacing w:after="0"/>
        <w:tabs>
          <w:tab w:leader="none" w:pos="520" w:val="left"/>
        </w:tabs>
        <w:numPr>
          <w:ilvl w:val="0"/>
          <w:numId w:val="6"/>
        </w:numPr>
        <w:rPr>
          <w:rFonts w:ascii="Arial" w:cs="Arial" w:eastAsia="Arial" w:hAnsi="Arial"/>
          <w:sz w:val="19"/>
          <w:szCs w:val="19"/>
          <w:color w:val="auto"/>
        </w:rPr>
      </w:pPr>
      <w:r>
        <w:rPr>
          <w:rFonts w:ascii="Arial" w:cs="Arial" w:eastAsia="Arial" w:hAnsi="Arial"/>
          <w:sz w:val="19"/>
          <w:szCs w:val="19"/>
          <w:color w:val="auto"/>
        </w:rPr>
        <w:t>Increased competition, patent expirations, or new technologies or treatments commercialized by competitors;</w:t>
      </w:r>
    </w:p>
    <w:p>
      <w:pPr>
        <w:spacing w:after="0" w:line="144" w:lineRule="exact"/>
        <w:rPr>
          <w:rFonts w:ascii="Arial" w:cs="Arial" w:eastAsia="Arial" w:hAnsi="Arial"/>
          <w:sz w:val="19"/>
          <w:szCs w:val="19"/>
          <w:color w:val="auto"/>
        </w:rPr>
      </w:pPr>
    </w:p>
    <w:p>
      <w:pPr>
        <w:ind w:left="520" w:hanging="351"/>
        <w:spacing w:after="0"/>
        <w:tabs>
          <w:tab w:leader="none" w:pos="520" w:val="left"/>
        </w:tabs>
        <w:numPr>
          <w:ilvl w:val="0"/>
          <w:numId w:val="6"/>
        </w:numPr>
        <w:rPr>
          <w:rFonts w:ascii="Arial" w:cs="Arial" w:eastAsia="Arial" w:hAnsi="Arial"/>
          <w:sz w:val="20"/>
          <w:szCs w:val="20"/>
          <w:color w:val="auto"/>
        </w:rPr>
      </w:pPr>
      <w:r>
        <w:rPr>
          <w:rFonts w:ascii="Arial" w:cs="Arial" w:eastAsia="Arial" w:hAnsi="Arial"/>
          <w:sz w:val="20"/>
          <w:szCs w:val="20"/>
          <w:color w:val="auto"/>
        </w:rPr>
        <w:t>Higher operating costs required to sustain the business;</w:t>
      </w:r>
    </w:p>
    <w:p>
      <w:pPr>
        <w:spacing w:after="0" w:line="132" w:lineRule="exact"/>
        <w:rPr>
          <w:rFonts w:ascii="Arial" w:cs="Arial" w:eastAsia="Arial" w:hAnsi="Arial"/>
          <w:sz w:val="20"/>
          <w:szCs w:val="20"/>
          <w:color w:val="auto"/>
        </w:rPr>
      </w:pPr>
    </w:p>
    <w:p>
      <w:pPr>
        <w:ind w:left="520" w:hanging="351"/>
        <w:spacing w:after="0"/>
        <w:tabs>
          <w:tab w:leader="none" w:pos="5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outcome of litigation, legal proceedings, investigations, or other claims resulting in significant cash outflows; and</w:t>
      </w:r>
    </w:p>
    <w:p>
      <w:pPr>
        <w:spacing w:after="0" w:line="167" w:lineRule="exact"/>
        <w:rPr>
          <w:rFonts w:ascii="Arial" w:cs="Arial" w:eastAsia="Arial" w:hAnsi="Arial"/>
          <w:sz w:val="17"/>
          <w:szCs w:val="17"/>
          <w:color w:val="auto"/>
        </w:rPr>
      </w:pPr>
    </w:p>
    <w:p>
      <w:pPr>
        <w:ind w:left="520" w:hanging="351"/>
        <w:spacing w:after="0"/>
        <w:tabs>
          <w:tab w:leader="none" w:pos="520" w:val="left"/>
        </w:tabs>
        <w:numPr>
          <w:ilvl w:val="0"/>
          <w:numId w:val="6"/>
        </w:numPr>
        <w:rPr>
          <w:rFonts w:ascii="Arial" w:cs="Arial" w:eastAsia="Arial" w:hAnsi="Arial"/>
          <w:sz w:val="20"/>
          <w:szCs w:val="20"/>
          <w:color w:val="auto"/>
        </w:rPr>
      </w:pPr>
      <w:r>
        <w:rPr>
          <w:rFonts w:ascii="Arial" w:cs="Arial" w:eastAsia="Arial" w:hAnsi="Arial"/>
          <w:sz w:val="20"/>
          <w:szCs w:val="20"/>
          <w:color w:val="auto"/>
        </w:rPr>
        <w:t>Increases in the market-participant risk-adjusted WACC.</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color w:val="auto"/>
        </w:rPr>
        <w:t>Derivatives and Risk Management</w:t>
      </w:r>
    </w:p>
    <w:p>
      <w:pPr>
        <w:spacing w:after="0" w:line="140"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U.S. GAAP requires companies to recognize all derivatives as assets and liabilities on the balance sheet and to measure the instruments at fair value through earnings unless the derivative qualifies for hedge accounting. If the derivative qualifies for hedge accounting, depending on the nature of the hedge and hedge effectiveness, changes in the fair value of the derivative will either be recognized immediately in earnings or recorded in OCI until the hedged item is recognized in earnings. The changes in the fair value of the derivative are intended to offset the change in fair value of the hedged asset, liability, or probable commitment. LivaNova evaluates hedge effectiveness at inception. Cash flows from hedging and economic hedges are reported as operating activities on the consolidated statements of cash flows.</w:t>
      </w:r>
    </w:p>
    <w:p>
      <w:pPr>
        <w:spacing w:after="0" w:line="48" w:lineRule="exact"/>
        <w:rPr>
          <w:sz w:val="20"/>
          <w:szCs w:val="20"/>
          <w:color w:val="auto"/>
        </w:rPr>
      </w:pPr>
    </w:p>
    <w:p>
      <w:pPr>
        <w:jc w:val="both"/>
        <w:spacing w:after="0" w:line="316" w:lineRule="auto"/>
        <w:rPr>
          <w:sz w:val="20"/>
          <w:szCs w:val="20"/>
          <w:color w:val="auto"/>
        </w:rPr>
      </w:pPr>
      <w:r>
        <w:rPr>
          <w:rFonts w:ascii="Arial" w:cs="Arial" w:eastAsia="Arial" w:hAnsi="Arial"/>
          <w:sz w:val="17"/>
          <w:szCs w:val="17"/>
          <w:color w:val="auto"/>
        </w:rPr>
        <w:t>LivaNova uses currency exchange rate derivative contracts to manage the impact of currency exchange on earnings and cash flows. Forward currency exchange rate contracts are designed to hedge anticipated foreign currency transactions and changes in the value of specific assets and liabilities. At inception of the forward contract, the derivative is designated as either a freestanding derivative or a cash flow hedge. LivaNova does not enter into derivative contracts for speculative purposes. All derivative instruments are recorded at fair value on the consolidated balance sheets as assets or liabilities (current or non-current) depending upon the gain or loss position of the contract and contract maturity date.</w:t>
      </w:r>
    </w:p>
    <w:p>
      <w:pPr>
        <w:spacing w:after="0" w:line="4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Forward contracts designated as cash flow hedges are designed to hedge the variability of cash flows associated with forecasted transactions denominated in a foreign currency that will take place in the future. For derivative instruments that are designated and qualify as a cash flow hedge, the gain or loss on the derivative instrument is reported as a component of AOCI and reclassified into earnings to offset exchange differences originated by the hedged item or the current earnings effect of the hedged item.</w:t>
      </w:r>
    </w:p>
    <w:p>
      <w:pPr>
        <w:spacing w:after="0" w:line="87" w:lineRule="exact"/>
        <w:rPr>
          <w:sz w:val="20"/>
          <w:szCs w:val="20"/>
          <w:color w:val="auto"/>
        </w:rPr>
      </w:pPr>
    </w:p>
    <w:p>
      <w:pPr>
        <w:jc w:val="both"/>
        <w:spacing w:after="0" w:line="316" w:lineRule="auto"/>
        <w:rPr>
          <w:sz w:val="20"/>
          <w:szCs w:val="20"/>
          <w:color w:val="auto"/>
        </w:rPr>
      </w:pPr>
      <w:r>
        <w:rPr>
          <w:rFonts w:ascii="Arial" w:cs="Arial" w:eastAsia="Arial" w:hAnsi="Arial"/>
          <w:sz w:val="17"/>
          <w:szCs w:val="17"/>
          <w:color w:val="auto"/>
        </w:rPr>
        <w:t>Upon the settlement of LivaNova’s foreign currency cash flow hedges in the fourth quarter of 2022 and following an in-depth analysis of the utility of the Company’s cash flow hedging program, LivaNova discontinued its foreign currency cash flow hedging program. LivaNova continues to use freestanding derivative forward contracts to offset exposure to the variability of the value associated with assets and liabilities denominated in a foreign currency. These derivatives are not designated as hedges, and therefore, changes in the value of these forward contracts are recognized in earnings, thereby offsetting the current earnings effect of the related change in value of foreign currency denominated assets and liabilities.</w:t>
      </w:r>
    </w:p>
    <w:p>
      <w:pPr>
        <w:spacing w:after="0" w:line="43" w:lineRule="exact"/>
        <w:rPr>
          <w:sz w:val="20"/>
          <w:szCs w:val="20"/>
          <w:color w:val="auto"/>
        </w:rPr>
      </w:pPr>
    </w:p>
    <w:p>
      <w:pPr>
        <w:jc w:val="both"/>
        <w:spacing w:after="0" w:line="310" w:lineRule="auto"/>
        <w:rPr>
          <w:sz w:val="20"/>
          <w:szCs w:val="20"/>
          <w:color w:val="auto"/>
        </w:rPr>
      </w:pPr>
      <w:r>
        <w:rPr>
          <w:rFonts w:ascii="Arial" w:cs="Arial" w:eastAsia="Arial" w:hAnsi="Arial"/>
          <w:sz w:val="17"/>
          <w:szCs w:val="17"/>
          <w:color w:val="auto"/>
        </w:rPr>
        <w:t>Historically, LivaNova has entered into interest rate derivative instruments designated as cash flow hedges to manage the exposure to interest rate movements and to reduce the risk of increased borrowing costs by converting floating-rate debt into fixed-rate debt. Under these agreements, LivaNova agrees to exchange, at specified intervals, the difference between fixed and floating interest amounts calculated by reference to agreed-upon notional principal amounts. These interest rate swaps are structured to mirror the payment terms of the underlying loan. The fair value of the interest rate swaps is reported on the consolidated balance sheets as assets or liabilities (current or non-current) depending upon the gain or loss position of the contract and the maturity of the future cash flows of each contract. The gain or loss on these derivatives is reported as a component of AOCI and reclassified to interest expense during the period of the respective interest payment. The Company’s interest rate swaps expired on April 6, 2023. LivaNova elected not to renew the interest rate swaps as interest expense</w:t>
      </w:r>
    </w:p>
    <w:p>
      <w:pPr>
        <w:sectPr>
          <w:pgSz w:w="11880" w:h="15480" w:orient="portrait"/>
          <w:cols w:equalWidth="0" w:num="1">
            <w:col w:w="10040"/>
          </w:cols>
          <w:pgMar w:left="920" w:top="664" w:right="920" w:bottom="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ectPr>
          <w:pgSz w:w="11880" w:h="15480" w:orient="portrait"/>
          <w:cols w:equalWidth="0" w:num="1">
            <w:col w:w="10040"/>
          </w:cols>
          <w:pgMar w:left="920" w:top="664" w:right="920" w:bottom="0" w:gutter="0" w:footer="0" w:header="0"/>
          <w:type w:val="continuous"/>
        </w:sectPr>
      </w:pPr>
    </w:p>
    <w:bookmarkStart w:id="69" w:name="page70"/>
    <w:bookmarkEnd w:id="69"/>
    <w:p>
      <w:pPr>
        <w:jc w:val="both"/>
        <w:spacing w:after="0" w:line="284" w:lineRule="auto"/>
        <w:rPr>
          <w:sz w:val="20"/>
          <w:szCs w:val="20"/>
          <w:color w:val="auto"/>
        </w:rPr>
      </w:pPr>
      <w:r>
        <w:rPr>
          <w:rFonts w:ascii="Arial" w:cs="Arial" w:eastAsia="Arial" w:hAnsi="Arial"/>
          <w:sz w:val="20"/>
          <w:szCs w:val="20"/>
          <w:color w:val="auto"/>
        </w:rPr>
        <w:t>associated with the Initial Term Facility is principally offset by holding proceeds from the Initial Term Facility in a depository account, which earns a floating rate of interest.</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color w:val="auto"/>
        </w:rPr>
        <w:t>Fair Value Measurements</w:t>
      </w:r>
    </w:p>
    <w:p>
      <w:pPr>
        <w:spacing w:after="0" w:line="140" w:lineRule="exact"/>
        <w:rPr>
          <w:sz w:val="20"/>
          <w:szCs w:val="20"/>
          <w:color w:val="auto"/>
        </w:rPr>
      </w:pPr>
    </w:p>
    <w:p>
      <w:pPr>
        <w:jc w:val="both"/>
        <w:spacing w:after="0" w:line="309" w:lineRule="auto"/>
        <w:rPr>
          <w:sz w:val="20"/>
          <w:szCs w:val="20"/>
          <w:color w:val="auto"/>
        </w:rPr>
      </w:pPr>
      <w:r>
        <w:rPr>
          <w:rFonts w:ascii="Arial" w:cs="Arial" w:eastAsia="Arial" w:hAnsi="Arial"/>
          <w:sz w:val="17"/>
          <w:szCs w:val="17"/>
          <w:color w:val="auto"/>
        </w:rPr>
        <w:t>LivaNova follows the authoritative guidance on fair value measurements and disclosures with respect to assets and liabilities that are measured at fair value on both a recurring and nonrecurring basis. Under this guidance, fair value is defined as the exit price, or the amount that would be received to sell an asset or paid to transfer a liability in an orderly transaction between market participants as of the measurement date. The authoritative guidance also establishes a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based on market data obtained from sources independent of LivaNova. Unobservable inputs are inputs that reflect LivaNova’s assumptions about the factors market participants would use in valuing the asset or liability developed based upon the best information available in the circumstances. The categorization of financial assets and financial liabilities within the valuation hierarchy is based upon the lowest level of input that is significant to the fair value measurement. The hierarchy is broken down into three levels defined as follows:</w:t>
      </w:r>
    </w:p>
    <w:p>
      <w:pPr>
        <w:spacing w:after="0" w:line="296" w:lineRule="exact"/>
        <w:rPr>
          <w:sz w:val="20"/>
          <w:szCs w:val="20"/>
          <w:color w:val="auto"/>
        </w:rPr>
      </w:pPr>
    </w:p>
    <w:p>
      <w:pPr>
        <w:ind w:left="520" w:hanging="351"/>
        <w:spacing w:after="0"/>
        <w:tabs>
          <w:tab w:leader="none" w:pos="520" w:val="left"/>
        </w:tabs>
        <w:numPr>
          <w:ilvl w:val="0"/>
          <w:numId w:val="7"/>
        </w:numPr>
        <w:rPr>
          <w:rFonts w:ascii="Arial" w:cs="Arial" w:eastAsia="Arial" w:hAnsi="Arial"/>
          <w:sz w:val="20"/>
          <w:szCs w:val="20"/>
          <w:color w:val="auto"/>
        </w:rPr>
      </w:pPr>
      <w:r>
        <w:rPr>
          <w:rFonts w:ascii="Arial" w:cs="Arial" w:eastAsia="Arial" w:hAnsi="Arial"/>
          <w:sz w:val="20"/>
          <w:szCs w:val="20"/>
          <w:color w:val="auto"/>
        </w:rPr>
        <w:t>Level 1 - Inputs are quoted prices in active markets for identical assets or liabilities;</w:t>
      </w:r>
    </w:p>
    <w:p>
      <w:pPr>
        <w:spacing w:after="0" w:line="132" w:lineRule="exact"/>
        <w:rPr>
          <w:rFonts w:ascii="Arial" w:cs="Arial" w:eastAsia="Arial" w:hAnsi="Arial"/>
          <w:sz w:val="20"/>
          <w:szCs w:val="20"/>
          <w:color w:val="auto"/>
        </w:rPr>
      </w:pPr>
    </w:p>
    <w:p>
      <w:pPr>
        <w:jc w:val="both"/>
        <w:ind w:left="520" w:hanging="351"/>
        <w:spacing w:after="0" w:line="269" w:lineRule="auto"/>
        <w:tabs>
          <w:tab w:leader="none" w:pos="520" w:val="left"/>
        </w:tabs>
        <w:numPr>
          <w:ilvl w:val="0"/>
          <w:numId w:val="7"/>
        </w:numPr>
        <w:rPr>
          <w:rFonts w:ascii="Arial" w:cs="Arial" w:eastAsia="Arial" w:hAnsi="Arial"/>
          <w:sz w:val="20"/>
          <w:szCs w:val="20"/>
          <w:color w:val="auto"/>
        </w:rPr>
      </w:pPr>
      <w:r>
        <w:rPr>
          <w:rFonts w:ascii="Arial" w:cs="Arial" w:eastAsia="Arial" w:hAnsi="Arial"/>
          <w:sz w:val="20"/>
          <w:szCs w:val="20"/>
          <w:color w:val="auto"/>
        </w:rPr>
        <w:t>Level 2 - Inputs include quoted prices for similar assets or liabilities in active markets, quoted prices for identical or similar assets or liabilities in markets that are not active, and inputs (other than quoted prices) that are observable for the asset or liability, either directly or indirectly; and</w:t>
      </w:r>
    </w:p>
    <w:p>
      <w:pPr>
        <w:spacing w:after="0" w:line="79" w:lineRule="exact"/>
        <w:rPr>
          <w:rFonts w:ascii="Arial" w:cs="Arial" w:eastAsia="Arial" w:hAnsi="Arial"/>
          <w:sz w:val="20"/>
          <w:szCs w:val="20"/>
          <w:color w:val="auto"/>
        </w:rPr>
      </w:pPr>
    </w:p>
    <w:p>
      <w:pPr>
        <w:ind w:left="520" w:hanging="351"/>
        <w:spacing w:after="0"/>
        <w:tabs>
          <w:tab w:leader="none" w:pos="520" w:val="left"/>
        </w:tabs>
        <w:numPr>
          <w:ilvl w:val="0"/>
          <w:numId w:val="7"/>
        </w:numPr>
        <w:rPr>
          <w:rFonts w:ascii="Arial" w:cs="Arial" w:eastAsia="Arial" w:hAnsi="Arial"/>
          <w:sz w:val="20"/>
          <w:szCs w:val="20"/>
          <w:color w:val="auto"/>
        </w:rPr>
      </w:pPr>
      <w:r>
        <w:rPr>
          <w:rFonts w:ascii="Arial" w:cs="Arial" w:eastAsia="Arial" w:hAnsi="Arial"/>
          <w:sz w:val="20"/>
          <w:szCs w:val="20"/>
          <w:color w:val="auto"/>
        </w:rPr>
        <w:t>Level 3 - Inputs are unobservable for the asset or liability.</w:t>
      </w:r>
    </w:p>
    <w:p>
      <w:pPr>
        <w:spacing w:after="0" w:line="13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LivaNova’s financial assets and liabilities classified as Level 2 include derivative instruments, primarily forward and option currency contracts and interest rate swap contracts, which are valued using standard calculations and models that use readily observable market data as their basis.</w:t>
      </w:r>
    </w:p>
    <w:p>
      <w:pPr>
        <w:spacing w:after="0" w:line="79"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LivaNova’s financial assets and liabilities classified as Level 3 include contingent consideration liability arrangements and embedded and capped call derivative instruments.</w:t>
      </w:r>
    </w:p>
    <w:p>
      <w:pPr>
        <w:spacing w:after="0" w:line="63"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Contingent consideration liabilities result from acquisition agreements that include potential future payment of consideration that is contingent upon the achievement of performance milestones and/or sales-based earnouts. Contingent consideration is recognized at fair value at the date of acquisition based on the consideration expected to be transferred and estimated as the probability of future cash flows, discounted to present value in accordance with accepted valuation methodologies. The discount rate used is determined at the time of measurement. Contingent consideration is remeasured each reporting period with the change in fair value, including accretion for the passage of time, recorded in earnings. The change in fair value of contingent consideration based on the achievement of regulatory milestones is recorded as research and development expense while the change in fair value of sales-based earnout contingent consideration is recorded as cost of sales. Contingent consideration payments made soon after the acquisition date are classified as an investing activity. Contingent consideration payments that are not made soon after the acquisition date are classified as a financing activity up to the amount of the contingent consideration liability recognized at the acquisition date, with any excess classified as an operating activity. For further information on LivaNova’s Level 3 contingent consideration liability arrangements, please refer to “Note 8. Fair Value Measurements.” For further information on LivaNova’s Level 3 derivative and embedded derivative instruments, please refer to “Note 9. Financing Arrangements” and “Note 8. Fair Value Measurements.” For further information on LivaNova’s Level 3 convertible notes receivable, please refer to “Note 6. Investments.”</w:t>
      </w:r>
    </w:p>
    <w:p>
      <w:pPr>
        <w:spacing w:after="0" w:line="297" w:lineRule="exact"/>
        <w:rPr>
          <w:sz w:val="20"/>
          <w:szCs w:val="20"/>
          <w:color w:val="auto"/>
        </w:rPr>
      </w:pPr>
    </w:p>
    <w:p>
      <w:pPr>
        <w:spacing w:after="0"/>
        <w:rPr>
          <w:sz w:val="20"/>
          <w:szCs w:val="20"/>
          <w:color w:val="auto"/>
        </w:rPr>
      </w:pPr>
      <w:r>
        <w:rPr>
          <w:rFonts w:ascii="Arial" w:cs="Arial" w:eastAsia="Arial" w:hAnsi="Arial"/>
          <w:sz w:val="22"/>
          <w:szCs w:val="22"/>
          <w:color w:val="auto"/>
        </w:rPr>
        <w:t>Investments</w:t>
      </w:r>
    </w:p>
    <w:p>
      <w:pPr>
        <w:spacing w:after="0" w:line="140"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LivaNova’s investments are comprised of equity securities that may be publicly traded, are in various stages of development, and are reported as investments on the consolidated balance sheets.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Investments in affiliates in which the Company has significant influence, but does not control, and that do not have a readily determinable fair value, are accounted for using the equity method. LivaNova’s share of net income or loss is reflected as one line item on the Company’s consolidated statements of income (loss) under loss from equity method investments and will increase or decrease, as applicable, the carrying value of the Company’s equity method investment reported under investments on the consolidated balance sheets.</w:t>
      </w:r>
    </w:p>
    <w:p>
      <w:pPr>
        <w:spacing w:after="0" w:line="87"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Investments in equity securities with readily determinable fair values and are not accounted for under the equity method are measured at fair value with unrealized gains and losses included in earnings.</w:t>
      </w:r>
    </w:p>
    <w:p>
      <w:pPr>
        <w:sectPr>
          <w:pgSz w:w="11880" w:h="15480" w:orient="portrait"/>
          <w:cols w:equalWidth="0" w:num="1">
            <w:col w:w="10040"/>
          </w:cols>
          <w:pgMar w:left="920" w:top="66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ectPr>
          <w:pgSz w:w="11880" w:h="15480" w:orient="portrait"/>
          <w:cols w:equalWidth="0" w:num="1">
            <w:col w:w="10040"/>
          </w:cols>
          <w:pgMar w:left="920" w:top="664" w:right="920" w:bottom="0" w:gutter="0" w:footer="0" w:header="0"/>
          <w:type w:val="continuous"/>
        </w:sectPr>
      </w:pPr>
    </w:p>
    <w:bookmarkStart w:id="70" w:name="page71"/>
    <w:bookmarkEnd w:id="70"/>
    <w:p>
      <w:pPr>
        <w:jc w:val="both"/>
        <w:spacing w:after="0" w:line="269" w:lineRule="auto"/>
        <w:rPr>
          <w:sz w:val="20"/>
          <w:szCs w:val="20"/>
          <w:color w:val="auto"/>
        </w:rPr>
      </w:pPr>
      <w:r>
        <w:rPr>
          <w:rFonts w:ascii="Arial" w:cs="Arial" w:eastAsia="Arial" w:hAnsi="Arial"/>
          <w:sz w:val="20"/>
          <w:szCs w:val="20"/>
          <w:color w:val="auto"/>
        </w:rPr>
        <w:t>Investments in equity securities that do not have readily determinable fair values and are not accounted for under the equity method are measured at cost minus impairment, if any, plus or minus changes resulting from observable price changes in orderly transactions for an identical or a similar investment of the same issuer.</w:t>
      </w:r>
    </w:p>
    <w:p>
      <w:pPr>
        <w:spacing w:after="0" w:line="79"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LivaNova regularly reviews its investments for changes in circumstance or the occurrence of events that suggest its investments may not be recoverable, and if an impairment is considered to be other than temporary, the loss is recognized on the consolidated statements of income (loss) in the period the determination is made.</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color w:val="auto"/>
        </w:rPr>
        <w:t>Warranty Obligation</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LivaNova offers a warranty on various products. The Company estimates the costs that may be incurred under warranties and records a liability in the amount of such costs at the time the product is sold. The amount of the reserve recorded is equal to the estimated net costs to repair or otherwise satisfy the claim. LivaNova includes the warranty obligation in accrued liabilities and other on the consolidated balance sheets. Warranty expense is recorded to cost of goods sold on LivaNova’s consolidated statements of income (loss).</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color w:val="auto"/>
        </w:rPr>
        <w:t>Retirement Benefit Plan Assumptions</w:t>
      </w:r>
    </w:p>
    <w:p>
      <w:pPr>
        <w:spacing w:after="0" w:line="140"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LivaNova sponsors various retirement benefit plans, including defined benefit pension plans (pension benefits), defined contribution savings plans, and termination indemnity plans, covering substantially all U.S. employees and employees outside the U.S. Pension benefit costs include assumptions for the discount rate, retirement age, compensation rate increases, and the expected return on plan assets.</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color w:val="auto"/>
        </w:rPr>
        <w:t>Product Liability Accruals</w:t>
      </w:r>
    </w:p>
    <w:p>
      <w:pPr>
        <w:spacing w:after="0" w:line="140"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Accruals for product liability claims are recorded when it is probable that a liability has been incurred and the amount of the liability can be reasonably estimated based on existing information. Accruals for product liability claims are adjusted periodically as additional information becomes available.</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color w:val="auto"/>
        </w:rPr>
        <w:t>Revenue Recognition</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color w:val="auto"/>
        </w:rPr>
        <w:t>Refer to “Note 3. Revenue Recognition.”</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color w:val="auto"/>
        </w:rPr>
        <w:t>Research and Development</w:t>
      </w:r>
    </w:p>
    <w:p>
      <w:pPr>
        <w:spacing w:after="0" w:line="140" w:lineRule="exact"/>
        <w:rPr>
          <w:sz w:val="20"/>
          <w:szCs w:val="20"/>
          <w:color w:val="auto"/>
        </w:rPr>
      </w:pPr>
    </w:p>
    <w:p>
      <w:pPr>
        <w:jc w:val="both"/>
        <w:spacing w:after="0" w:line="338" w:lineRule="auto"/>
        <w:rPr>
          <w:sz w:val="20"/>
          <w:szCs w:val="20"/>
          <w:color w:val="auto"/>
        </w:rPr>
      </w:pPr>
      <w:r>
        <w:rPr>
          <w:rFonts w:ascii="Arial" w:cs="Arial" w:eastAsia="Arial" w:hAnsi="Arial"/>
          <w:sz w:val="17"/>
          <w:szCs w:val="17"/>
          <w:color w:val="auto"/>
        </w:rPr>
        <w:t>All R&amp;D costs are expensed as incurred. R&amp;D includes costs of basic research activities as well as engineering and technical effort required to develop a new product or make significant improvements to an existing product or manufacturing process. R&amp;D costs also include regulatory and clinical study expenses, including post-market clinical studies.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Leases</w:t>
      </w:r>
    </w:p>
    <w:p>
      <w:pPr>
        <w:spacing w:after="0" w:line="14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LivaNova determines whether an arrangement is or contains a lease at its inception. For operating leases with a term greater than 12 months, LivaNova recognizes operating lease assets and operating lease liabilities based on the present value of the future minimum lease payments over the lease term at the latter of the Company’s lease standard adoption date of January 1, 2019, or the lease commencement date. LivaNova does not record an operating lease asset and corresponding liability for leases with terms of 12 months or less. The Company recognizes the lease payments for such short-term leases within profit and loss on a straight-line basis over the lease term. Variable lease payments, such as common area rent, maintenance charges, and rent escalations not known upon lease commencement, are not included in the determination of the minimum lease payments and are expensed in the period in which the obligation for those payments is incurred. Operating lease assets also includes any lease payments made in advance and excludes lease incentives. LivaNova’s lease terms may include options to extend or terminate a lease when it is reasonably certain that the Company will exercise that option. Lease expense for minimum lease payments is recognized on a straight-line basis over the lease term.</w:t>
      </w:r>
    </w:p>
    <w:p>
      <w:pPr>
        <w:spacing w:after="0" w:line="5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As most of LivaNova’s leases do not provide a readily determinable implicit rate, LivaNova uses its IBR based on the information available at the lease commencement date in determining the present value of future payments. LivaNova’s IBR represents an estimate of the interest rate the Company would incur at lease commencement to borrow an amount equal to the lease payments on a collateralized basis over the lease term within a particular currency environment. LivaNova used the IBR available nearest to the Company’s adoption date for leases that commenced prior to that date.</w:t>
      </w:r>
    </w:p>
    <w:p>
      <w:pPr>
        <w:spacing w:after="0" w:line="73" w:lineRule="exact"/>
        <w:rPr>
          <w:sz w:val="20"/>
          <w:szCs w:val="20"/>
          <w:color w:val="auto"/>
        </w:rPr>
      </w:pPr>
    </w:p>
    <w:p>
      <w:pPr>
        <w:jc w:val="both"/>
        <w:spacing w:after="0" w:line="376" w:lineRule="auto"/>
        <w:rPr>
          <w:sz w:val="20"/>
          <w:szCs w:val="20"/>
          <w:color w:val="auto"/>
        </w:rPr>
      </w:pPr>
      <w:r>
        <w:rPr>
          <w:rFonts w:ascii="Arial" w:cs="Arial" w:eastAsia="Arial" w:hAnsi="Arial"/>
          <w:sz w:val="17"/>
          <w:szCs w:val="17"/>
          <w:color w:val="auto"/>
        </w:rPr>
        <w:t>Additionally, LivaNova monitors for events or changes in circumstances that may require a reassessment of the Company’s leases to determine whether a remeasurement is required. For additional information, refer to “Note 10. Leases.”</w:t>
      </w:r>
    </w:p>
    <w:p>
      <w:pPr>
        <w:sectPr>
          <w:pgSz w:w="11880" w:h="15480" w:orient="portrait"/>
          <w:cols w:equalWidth="0" w:num="1">
            <w:col w:w="10040"/>
          </w:cols>
          <w:pgMar w:left="920" w:top="66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ectPr>
          <w:pgSz w:w="11880" w:h="15480" w:orient="portrait"/>
          <w:cols w:equalWidth="0" w:num="1">
            <w:col w:w="10040"/>
          </w:cols>
          <w:pgMar w:left="920" w:top="664" w:right="920" w:bottom="0" w:gutter="0" w:footer="0" w:header="0"/>
          <w:type w:val="continuous"/>
        </w:sectPr>
      </w:pPr>
    </w:p>
    <w:bookmarkStart w:id="71" w:name="page72"/>
    <w:bookmarkEnd w:id="71"/>
    <w:p>
      <w:pPr>
        <w:spacing w:after="0"/>
        <w:rPr>
          <w:sz w:val="20"/>
          <w:szCs w:val="20"/>
          <w:color w:val="auto"/>
        </w:rPr>
      </w:pPr>
      <w:r>
        <w:rPr>
          <w:rFonts w:ascii="Arial" w:cs="Arial" w:eastAsia="Arial" w:hAnsi="Arial"/>
          <w:sz w:val="22"/>
          <w:szCs w:val="22"/>
          <w:color w:val="auto"/>
        </w:rPr>
        <w:t>Stock-Based Compensation</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Stock-Based Awards</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LivaNova may grant stock-based awards to directors, officers, and key employees. The Company measures the cost of services received in exchange for an award of equity instruments based on the grant date fair market value of the award. LivaNova recognizes equity-based compensation expense ratably over the period that services are provided in exchange for the entire award (all vesting periods). LivaNova issues treasury shares for vesting of RSUs and the exercise of SARs and new shares upon stock option exercises. The Company has the right to elect to pay the cash value of vested restricted stock units in lieu of the issuance of new shares.</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SARs</w:t>
      </w:r>
    </w:p>
    <w:p>
      <w:pPr>
        <w:spacing w:after="0" w:line="144"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LivaNova may grant SARs that confer upon the grantee the contractual right to receive an amount of cash, stock, or a combination of both, that equals the appreciation in the Company’s stock from the award’s grant date to the exercise date. SARs may be exercised at the grantee’s discretion during the exercise period and do not give the grantee an ownership right in the underlying stock. SARs do not involve payment of an exercise price. LivaNova uses the Black-Scholes option pricing methodology to calculate the grant date fair market value of SARs and compensation is expensed ratably over the service period. The Company determines the expected volatility of the awards based on historical volatility. Calculation of compensation for SAR stock awards requires the Company to estimate historical volatility and forfeiture rates.</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Service-Based RSUs</w:t>
      </w:r>
    </w:p>
    <w:p>
      <w:pPr>
        <w:spacing w:after="0" w:line="144" w:lineRule="exact"/>
        <w:rPr>
          <w:sz w:val="20"/>
          <w:szCs w:val="20"/>
          <w:color w:val="auto"/>
        </w:rPr>
      </w:pPr>
    </w:p>
    <w:p>
      <w:pPr>
        <w:jc w:val="both"/>
        <w:spacing w:after="0" w:line="326" w:lineRule="auto"/>
        <w:rPr>
          <w:sz w:val="20"/>
          <w:szCs w:val="20"/>
          <w:color w:val="auto"/>
        </w:rPr>
      </w:pPr>
      <w:r>
        <w:rPr>
          <w:rFonts w:ascii="Arial" w:cs="Arial" w:eastAsia="Arial" w:hAnsi="Arial"/>
          <w:sz w:val="17"/>
          <w:szCs w:val="17"/>
          <w:color w:val="auto"/>
        </w:rPr>
        <w:t>LivaNova may grant service-based RSUs at no purchase cost to the grantee. The grantees of unvested units have no voting rights or rights to dividends, and sale or transfer of the units is restricted until they are vested. The fair market value of service-based RSUs is determined using the market closing price on the grant date, and compensation is expensed ratably over the service period. Calculation of compensation for RSU stock awards requires the Company to estimate forfeiture rates.</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Market Performance-Based RSUs</w:t>
      </w:r>
    </w:p>
    <w:p>
      <w:pPr>
        <w:spacing w:after="0" w:line="144" w:lineRule="exact"/>
        <w:rPr>
          <w:sz w:val="20"/>
          <w:szCs w:val="20"/>
          <w:color w:val="auto"/>
        </w:rPr>
      </w:pPr>
    </w:p>
    <w:p>
      <w:pPr>
        <w:jc w:val="both"/>
        <w:spacing w:after="0" w:line="316" w:lineRule="auto"/>
        <w:rPr>
          <w:sz w:val="20"/>
          <w:szCs w:val="20"/>
          <w:color w:val="auto"/>
        </w:rPr>
      </w:pPr>
      <w:r>
        <w:rPr>
          <w:rFonts w:ascii="Arial" w:cs="Arial" w:eastAsia="Arial" w:hAnsi="Arial"/>
          <w:sz w:val="17"/>
          <w:szCs w:val="17"/>
          <w:color w:val="auto"/>
        </w:rPr>
        <w:t>LivaNova may grant market performance-based RSUs at no purchase cost to the grantee. The grantees of unvested units have no voting rights or rights to dividends and sale or transfer of the units is restricted until they are vested. The number of shares that are ultimately transferred to the grantee is dependent upon the Company’s percentile rank of total shareholder return relative to a peer group. The fair market value of market performance-based RSUs is determined utilizing a Monte Carlo simulation on the grant date and compensation is then expensed ratably over the service period. Calculation of compensation for market performance-based stock awards requires the Company to estimate historical volatility and forfeiture rates.</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Operating Performance-Based Awards RSUs</w:t>
      </w:r>
    </w:p>
    <w:p>
      <w:pPr>
        <w:spacing w:after="0" w:line="144"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LivaNova may grant operating performance-based RSUs at no purchase cost to the grantee. The grantees of unvested units have no voting rights or rights to dividends and sale or transfer of the units is restricted until they are vested. The number of shares that are ultimately transferred to the grantee is dependent upon the Company’s percent achievement of certain targets for cumulative adjusted free cash flow and adjusted return on invested capital. The fair market value of operating performance-based RSUs is determined using the market closing price on the grant date. Compensation is expensed ratably over the service period and is adjusted based upon the estimated and actual percentage achievement of cumulative adjusted free cash flow and return on invested capital as compared to target.</w:t>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color w:val="auto"/>
        </w:rPr>
        <w:t>Income Taxes</w:t>
      </w:r>
    </w:p>
    <w:p>
      <w:pPr>
        <w:spacing w:after="0" w:line="140" w:lineRule="exact"/>
        <w:rPr>
          <w:sz w:val="20"/>
          <w:szCs w:val="20"/>
          <w:color w:val="auto"/>
        </w:rPr>
      </w:pPr>
    </w:p>
    <w:p>
      <w:pPr>
        <w:jc w:val="both"/>
        <w:spacing w:after="0" w:line="316" w:lineRule="auto"/>
        <w:rPr>
          <w:sz w:val="20"/>
          <w:szCs w:val="20"/>
          <w:color w:val="auto"/>
        </w:rPr>
      </w:pPr>
      <w:r>
        <w:rPr>
          <w:rFonts w:ascii="Arial" w:cs="Arial" w:eastAsia="Arial" w:hAnsi="Arial"/>
          <w:sz w:val="17"/>
          <w:szCs w:val="17"/>
          <w:color w:val="auto"/>
        </w:rPr>
        <w:t>LivaNova is a UK corporation and operates through the Company’s various subsidiaries in a number of countries throughout the world. LivaNova’s provision for income taxes is based on the tax laws and rates applicable in the jurisdictions in which the Company operates and earns income. LivaNova uses significant judgment and estimates in accounting for its income taxes. The Company recognizes deferred tax assets and liabilities for the anticipated future tax effects of temporary differences between the financial statement basis and the tax basis of LivaNova’s assets and liabilities, which are measured using enacted tax rates expected to apply to taxable income in the years in which those temporary differences are expected to be recovered or settled.</w:t>
      </w:r>
    </w:p>
    <w:p>
      <w:pPr>
        <w:spacing w:after="0" w:line="43" w:lineRule="exact"/>
        <w:rPr>
          <w:sz w:val="20"/>
          <w:szCs w:val="20"/>
          <w:color w:val="auto"/>
        </w:rPr>
      </w:pPr>
    </w:p>
    <w:p>
      <w:pPr>
        <w:jc w:val="both"/>
        <w:spacing w:after="0" w:line="316" w:lineRule="auto"/>
        <w:rPr>
          <w:sz w:val="20"/>
          <w:szCs w:val="20"/>
          <w:color w:val="auto"/>
        </w:rPr>
      </w:pPr>
      <w:r>
        <w:rPr>
          <w:rFonts w:ascii="Arial" w:cs="Arial" w:eastAsia="Arial" w:hAnsi="Arial"/>
          <w:sz w:val="17"/>
          <w:szCs w:val="17"/>
          <w:color w:val="auto"/>
        </w:rPr>
        <w:t>LivaNova periodically assesses the recoverability of its deferred tax assets by considering whether it is more likely than not that some or all of the actual benefit of those assets will be realized. To the extent that realization does not meet the “more-likely-than-not” criterion, the Company establishes a valuation allowance. LivaNova periodically reviews the adequacy and necessity of the valuation allowance by considering significant positive and negative evidence relative to its ability to recover deferred tax assets and to determine the timing and amount of valuation allowance that should be released. This evidence includes: profitability in the most recent quarters; internal profitability forecasts for the current and next two future years; the amount of</w:t>
      </w:r>
    </w:p>
    <w:p>
      <w:pPr>
        <w:sectPr>
          <w:pgSz w:w="11880" w:h="15480" w:orient="portrait"/>
          <w:cols w:equalWidth="0" w:num="1">
            <w:col w:w="10040"/>
          </w:cols>
          <w:pgMar w:left="920" w:top="658" w:right="920" w:bottom="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ectPr>
          <w:pgSz w:w="11880" w:h="15480" w:orient="portrait"/>
          <w:cols w:equalWidth="0" w:num="1">
            <w:col w:w="10040"/>
          </w:cols>
          <w:pgMar w:left="920" w:top="658" w:right="920" w:bottom="0" w:gutter="0" w:footer="0" w:header="0"/>
          <w:type w:val="continuous"/>
        </w:sectPr>
      </w:pPr>
    </w:p>
    <w:bookmarkStart w:id="72" w:name="page73"/>
    <w:bookmarkEnd w:id="72"/>
    <w:p>
      <w:pPr>
        <w:jc w:val="both"/>
        <w:spacing w:after="0" w:line="265" w:lineRule="auto"/>
        <w:rPr>
          <w:sz w:val="20"/>
          <w:szCs w:val="20"/>
          <w:color w:val="auto"/>
        </w:rPr>
      </w:pPr>
      <w:r>
        <w:rPr>
          <w:rFonts w:ascii="Arial" w:cs="Arial" w:eastAsia="Arial" w:hAnsi="Arial"/>
          <w:sz w:val="20"/>
          <w:szCs w:val="20"/>
          <w:color w:val="auto"/>
        </w:rPr>
        <w:t>deferred tax asset relative to estimated profitability; the potential effects on future profitability from increasing competition, healthcare reforms, and overall economic conditions; limitations and potential limitations on the use of LivaNova’s net operating losses due to ownership changes, pursuant to IRC Section 382; and the implementation of prudent and feasible tax planning strategies, if any.</w:t>
      </w:r>
    </w:p>
    <w:p>
      <w:pPr>
        <w:spacing w:after="0" w:line="82"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LivaNova files federal and local tax returns in many jurisdictions throughout the world and is subject to income tax examinations for its fiscal year 2019 and subsequent years, with certain exceptions. While LivaNova believes that its tax return positions are fully supported, tax authorities may disagree with certain positions the Company has taken and assess additional taxes, and as a result, LivaNova may establish reserves for uncertain tax positions, which require a significant degree of management judgment. LivaNova regularly assesses the likely outcomes of its tax positions in order to determine the appropriateness of the Company’s reserves; however, the actual outcome of an audit can be significantly different from LivaNova’s expectations, which could have a material impact on the Company’s tax provision. LivaNova’s tax positions are evaluated for recognition using a more-likely-than-not threshold. Uncertain tax positions requiring recognition are measured as the largest amount of tax benefit that has a greater than 50% likelihood of being realized upon effective settlement with a taxing authority that has full knowledge of all relevant information. Some of the reasons a reserve for an uncertain tax benefit may be reversed are: completion of a tax audit; a change in applicable tax law, including a tax case or legislative guidance; or an expiration of the statute of limitations. LivaNova recognizes interest and penalties associated with unrecognized tax benefits and records interest in interest expense, and penalties in SG&amp;A, on LivaNova’s consolidated statements of income (loss).</w:t>
      </w:r>
    </w:p>
    <w:p>
      <w:pPr>
        <w:spacing w:after="0" w:line="46" w:lineRule="exact"/>
        <w:rPr>
          <w:sz w:val="20"/>
          <w:szCs w:val="20"/>
          <w:color w:val="auto"/>
        </w:rPr>
      </w:pPr>
    </w:p>
    <w:p>
      <w:pPr>
        <w:spacing w:after="0"/>
        <w:rPr>
          <w:sz w:val="20"/>
          <w:szCs w:val="20"/>
          <w:color w:val="auto"/>
        </w:rPr>
      </w:pPr>
      <w:r>
        <w:rPr>
          <w:rFonts w:ascii="Arial" w:cs="Arial" w:eastAsia="Arial" w:hAnsi="Arial"/>
          <w:sz w:val="22"/>
          <w:szCs w:val="22"/>
          <w:color w:val="auto"/>
        </w:rPr>
        <w:t>Foreign Currency</w:t>
      </w:r>
    </w:p>
    <w:p>
      <w:pPr>
        <w:spacing w:after="0" w:line="14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LivaNova’s reporting currency is the USD; however, a portion of the revenues earned and expenses incurred by certain of LivaNova’s subsidiaries are denominated in currencies other than the USD. LivaNova determines the functional currency of its subsidiaries that exist and operate in different economic and currency environments based on the primary economic environment in which the subsidiary operates, that is, the currency of the environment in which an entity primarily generates and expends cash. LivaNova’s foreign subsidiaries are located in Europe and the United States. The functional currency of LivaNova’s significant European subsidiaries is the Euro, and the functional currency of LivaNova’s significant U.S. subsidiaries is the USD.</w:t>
      </w:r>
    </w:p>
    <w:p>
      <w:pPr>
        <w:spacing w:after="0" w:line="89"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Assets and liabilities of subsidiaries whose functional currency is not the USD are translated into USD based on a combination of both current and historical exchange rates, while their revenues earned, and expenses incurred are translated into USD at average period exchange rates. Translation adjustments are included in AOCI on LivaNova’s consolidated balance sheets. Gains and losses arising from transactions denominated in a currency different from an entity’s functional currency are included in foreign exchange and other income/(expense) on LivaNova’s consolidated statements of income (loss). Taxes are not provided on cumulative translation adjustments as substantially all translation adjustments are related to earnings which are intended to be indefinitely reinvested in the countries where earned.</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color w:val="auto"/>
        </w:rPr>
        <w:t>Contingencies</w:t>
      </w:r>
    </w:p>
    <w:p>
      <w:pPr>
        <w:spacing w:after="0" w:line="140"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LivaNova is subject to product liability claims, environmental obligations, government investigations, and other legal proceedings in the ordinary course of business. Legal fees and other expenses related to litigation are expensed as incurred and included in SG&amp;A on LivaNova’s consolidated statements of income (loss). Contingent liabilities are recorded when LivaNova determines that a loss is both probable and reasonably estimable. Due to the fact that legal proceedings and other contingencies are inherently unpredictable, LivaNova’s assessments involve significant judgment regarding future events.</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Revenue Recognition</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LivaNova generates revenue through contracts with customers consisting primarily of hospitals, healthcare institutions, and distributors. Revenue is measured based on consideration specified in customer contracts and excludes amounts collected on behalf of third parties. The Company measures the consideration based upon the estimated amount to be received. The amount of consideration LivaNova ultimately receives varies depending upon the return terms, sales rebates, discounts, and other incentives the Company may offer, which are accounted for as variable consideration when estimating the amount of revenue to recognize.</w:t>
      </w:r>
    </w:p>
    <w:p>
      <w:pPr>
        <w:spacing w:after="0" w:line="87"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LivaNova has historically experienced a low rate of product returns, and the total value of product returns has not been significant to the Company’s consolidated financial statements.</w:t>
      </w:r>
    </w:p>
    <w:p>
      <w:pPr>
        <w:spacing w:after="0" w:line="63" w:lineRule="exact"/>
        <w:rPr>
          <w:sz w:val="20"/>
          <w:szCs w:val="20"/>
          <w:color w:val="auto"/>
        </w:rPr>
      </w:pPr>
    </w:p>
    <w:p>
      <w:pPr>
        <w:jc w:val="both"/>
        <w:spacing w:after="0" w:line="338" w:lineRule="auto"/>
        <w:rPr>
          <w:sz w:val="20"/>
          <w:szCs w:val="20"/>
          <w:color w:val="auto"/>
        </w:rPr>
      </w:pPr>
      <w:r>
        <w:rPr>
          <w:rFonts w:ascii="Arial" w:cs="Arial" w:eastAsia="Arial" w:hAnsi="Arial"/>
          <w:sz w:val="17"/>
          <w:szCs w:val="17"/>
          <w:color w:val="auto"/>
        </w:rPr>
        <w:t>LivaNova recognizes revenue when a performance obligation is satisfied by transferring control of a product or providing service to a customer. Some of LivaNova’s contracts include the purchase of multiple products and/or services. In such cases, LivaNova allocates the transaction price based upon the relative estimated standalone selling price of each product and/or</w:t>
      </w:r>
    </w:p>
    <w:p>
      <w:pPr>
        <w:sectPr>
          <w:pgSz w:w="11880" w:h="15480" w:orient="portrait"/>
          <w:cols w:equalWidth="0" w:num="1">
            <w:col w:w="10040"/>
          </w:cols>
          <w:pgMar w:left="920" w:top="66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ectPr>
          <w:pgSz w:w="11880" w:h="15480" w:orient="portrait"/>
          <w:cols w:equalWidth="0" w:num="1">
            <w:col w:w="10040"/>
          </w:cols>
          <w:pgMar w:left="920" w:top="664" w:right="920" w:bottom="0" w:gutter="0" w:footer="0" w:header="0"/>
          <w:type w:val="continuous"/>
        </w:sectPr>
      </w:pPr>
    </w:p>
    <w:bookmarkStart w:id="73" w:name="page74"/>
    <w:bookmarkEnd w:id="73"/>
    <w:p>
      <w:pPr>
        <w:jc w:val="both"/>
        <w:spacing w:after="0" w:line="284" w:lineRule="auto"/>
        <w:rPr>
          <w:sz w:val="20"/>
          <w:szCs w:val="20"/>
          <w:color w:val="auto"/>
        </w:rPr>
      </w:pPr>
      <w:r>
        <w:rPr>
          <w:rFonts w:ascii="Arial" w:cs="Arial" w:eastAsia="Arial" w:hAnsi="Arial"/>
          <w:sz w:val="20"/>
          <w:szCs w:val="20"/>
          <w:color w:val="auto"/>
        </w:rPr>
        <w:t>service sold. LivaNova records state and local sales taxes net; that is, the Company excludes sales tax from revenue. Typically, LivaNova’s contracts do not have a significant financing component.</w:t>
      </w:r>
    </w:p>
    <w:p>
      <w:pPr>
        <w:spacing w:after="0" w:line="63"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LivaNova incurs incremental commission fees paid to the sales force associated with the sale of products. LivaNova applies the practical expedient within ASC 606-10-50-22 and has elected to recognize the incremental costs of obtaining a contract as an expense when incurred if the amortization period of the asset the entity would otherwise recognize is one year or less. As a result, no commissions have been capitalized as contract costs since adoption of ASC 606. The following is a description of the principal activities (separated by reportable segments) from which LivaNova generates its revenue. For more detailed information about LivaNova’s reportable segments, including disaggregated revenue results by major product line and primary geographic markets, see “Note 17. Geographic and Segment Information.”</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color w:val="auto"/>
        </w:rPr>
        <w:t>Cardiopulmonary Products and Services</w:t>
      </w:r>
    </w:p>
    <w:p>
      <w:pPr>
        <w:spacing w:after="0" w:line="140"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Cardiopulmonary products include HLMs, oxygenators, autotransfusion systems, perfusion tubing systems, cannulae, and other related accessories.</w:t>
      </w:r>
    </w:p>
    <w:p>
      <w:pPr>
        <w:spacing w:after="0" w:line="6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Cardiopulmonary products may include performance obligations associated with assembly and installation of equipment. Accordingly, LivaNova allocates a portion of the sales prices to installation obligations and recognizes that revenue when the service is provided. LivaNova recognizes revenue for equipment and accessory product sales when control of the equipment or product passes to the customer.</w:t>
      </w:r>
    </w:p>
    <w:p>
      <w:pPr>
        <w:spacing w:after="0" w:line="82"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Technical services include installation, repair, and maintenance of cardiopulmonary equipment under service contracts or upon customer request. Technical service agreements generally provide for upfront payments in advance of rendering services or periodic billing over the contract term. Amounts billed in advance are deferred and recognized as revenue when the performance obligation is satisfied. Technical services are not a significant component of Cardiopulmonary revenue and are presented with the related equipment and accessories revenue.</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color w:val="auto"/>
        </w:rPr>
        <w:t>Neuromodulation Products</w:t>
      </w:r>
    </w:p>
    <w:p>
      <w:pPr>
        <w:spacing w:after="0" w:line="140"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Neuromodulation products are comprised of neuromodulation therapy systems for the treatment of DRE and DTD. LivaNova’s Neuromodulation product line includes the VNS Therapy System, which consists of an implantable pulse generator, a lead that connects the generator to the vagus nerve, and other accessories. LivaNova recognizes revenue for Neuromodulation product sales when control passes to the customer.</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color w:val="auto"/>
        </w:rPr>
        <w:t>Contract Balances</w:t>
      </w:r>
    </w:p>
    <w:p>
      <w:pPr>
        <w:spacing w:after="0" w:line="140" w:lineRule="exact"/>
        <w:rPr>
          <w:sz w:val="20"/>
          <w:szCs w:val="20"/>
          <w:color w:val="auto"/>
        </w:rPr>
      </w:pPr>
    </w:p>
    <w:p>
      <w:pPr>
        <w:jc w:val="both"/>
        <w:spacing w:after="0" w:line="311" w:lineRule="auto"/>
        <w:rPr>
          <w:sz w:val="20"/>
          <w:szCs w:val="20"/>
          <w:color w:val="auto"/>
        </w:rPr>
      </w:pPr>
      <w:r>
        <w:rPr>
          <w:rFonts w:ascii="Arial" w:cs="Arial" w:eastAsia="Arial" w:hAnsi="Arial"/>
          <w:sz w:val="17"/>
          <w:szCs w:val="17"/>
          <w:color w:val="auto"/>
        </w:rPr>
        <w:t>Due to the nature of LivaNova’s products and services, revenue producing activities may result in contract assets and contract liabilities. These activities relate primarily to Cardiopulmonary technical services contracts for short-term and multi-year service agreements. Contract assets are primarily comprised of unbilled revenues, which occur when a performance obligation has been completed, but not billed to the customer. Contract liabilities are made up of deferred revenue, which occurs when a customer pays for a service before a performance obligation has been completed. Contract assets are included within prepaid expenses and other current assets on the consolidated balance sheets and were insignificant as of December 31, 2024 and 2023. As of December 31, 2024 and 2023, contract liabilities of $14.7 million and $15.3 million, respectively, were included within accrued liabilities and other and other long-term liabilities on LivaNova’s consolidated balance sheets.</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Restructuring</w:t>
      </w:r>
    </w:p>
    <w:p>
      <w:pPr>
        <w:spacing w:after="0" w:line="148"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From time to time, LivaNova initiates restructuring plans to leverage economies of scale, streamline distribution and logistics, and strengthen operational and administrative effectiveness to reduce overall costs.</w:t>
      </w:r>
    </w:p>
    <w:p>
      <w:pPr>
        <w:spacing w:after="0" w:line="63"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During the second quarter of 2022, management committed to implement a cost-optimization and cost reduction program to adapt to current economic conditions, which included a workforce reduction to be completed by mid-2023. LivaNova recognized restructuring expense under the 2022 Restructuring Plan of $0.9 million and $6.6 million during the years ended December 31, 2023 and 2022, respectively. The total estimated restructuring costs associated with the plan were approximately $10 million, including employee termination benefits, consulting fees, and contract termination costs.</w:t>
      </w:r>
    </w:p>
    <w:p>
      <w:pPr>
        <w:spacing w:after="0" w:line="44"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On January 5, 2024, the Board of Directors of LivaNova PLC approved the 2024 Restructuring Plan to enhance the Company’s focus on its core Cardiopulmonary and Neuromodulation segments. The main component of the 2024 Restructuring Plan was to wind down the ACS segment, which was substantially completed in 2024. LivaNova recognized restructuring expense under the 2024 Restructuring Plan of $0.1 million in other operating expenses, and $12.6 million for inventory obsolescence in cost of sales on its consolidated statements of income (loss) during the year ended December 31, 2023. Additionally, the Company determined that it was more likely than not that the carrying amounts associated with the ACS segment, including the long-lived assets (asset group), may not be recoverable. This was determined to be a triggering event occurring in the fourth quarter</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F-16</w:t>
      </w:r>
    </w:p>
    <w:p>
      <w:pPr>
        <w:sectPr>
          <w:pgSz w:w="11880" w:h="15480" w:orient="portrait"/>
          <w:cols w:equalWidth="0" w:num="1">
            <w:col w:w="10040"/>
          </w:cols>
          <w:pgMar w:left="920" w:top="664" w:right="920" w:bottom="0" w:gutter="0" w:footer="0" w:header="0"/>
        </w:sectPr>
      </w:pPr>
    </w:p>
    <w:bookmarkStart w:id="74" w:name="page75"/>
    <w:bookmarkEnd w:id="74"/>
    <w:p>
      <w:pPr>
        <w:jc w:val="both"/>
        <w:spacing w:after="0" w:line="284" w:lineRule="auto"/>
        <w:rPr>
          <w:sz w:val="20"/>
          <w:szCs w:val="20"/>
          <w:color w:val="auto"/>
        </w:rPr>
      </w:pPr>
      <w:r>
        <w:rPr>
          <w:rFonts w:ascii="Arial" w:cs="Arial" w:eastAsia="Arial" w:hAnsi="Arial"/>
          <w:sz w:val="20"/>
          <w:szCs w:val="20"/>
          <w:color w:val="auto"/>
        </w:rPr>
        <w:t>of 2023 requiring an impairment assessment, based on certain factors, including the results of an updated long-term financial outlook for the ACS segment.</w:t>
      </w:r>
    </w:p>
    <w:p>
      <w:pPr>
        <w:spacing w:after="0" w:line="63"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As such, LivaNova recorded impairments of the following long-lived assets during the year ended December 31, 2023, included within impairment of long-lived assets on its consolidated statements of income (loss)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83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20"/>
                <w:szCs w:val="20"/>
                <w:b w:val="1"/>
                <w:bCs w:val="1"/>
                <w:color w:val="auto"/>
              </w:rPr>
              <w:t>2023</w:t>
            </w:r>
          </w:p>
        </w:tc>
      </w:tr>
      <w:tr>
        <w:trPr>
          <w:trHeight w:val="238"/>
        </w:trPr>
        <w:tc>
          <w:tcPr>
            <w:tcW w:w="8380" w:type="dxa"/>
            <w:vAlign w:val="bottom"/>
          </w:tcPr>
          <w:p>
            <w:pPr>
              <w:ind w:left="40"/>
              <w:spacing w:after="0"/>
              <w:rPr>
                <w:sz w:val="20"/>
                <w:szCs w:val="20"/>
                <w:color w:val="auto"/>
              </w:rPr>
            </w:pPr>
            <w:r>
              <w:rPr>
                <w:rFonts w:ascii="Arial" w:cs="Arial" w:eastAsia="Arial" w:hAnsi="Arial"/>
                <w:sz w:val="20"/>
                <w:szCs w:val="20"/>
                <w:color w:val="auto"/>
              </w:rPr>
              <w:t>Intangible assets:</w:t>
            </w: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2"/>
        </w:trPr>
        <w:tc>
          <w:tcPr>
            <w:tcW w:w="8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9"/>
        </w:trPr>
        <w:tc>
          <w:tcPr>
            <w:tcW w:w="8380" w:type="dxa"/>
            <w:vAlign w:val="bottom"/>
            <w:shd w:val="clear" w:color="auto" w:fill="E6E6E6"/>
          </w:tcPr>
          <w:p>
            <w:pPr>
              <w:ind w:left="160"/>
              <w:spacing w:after="0"/>
              <w:rPr>
                <w:sz w:val="20"/>
                <w:szCs w:val="20"/>
                <w:color w:val="auto"/>
              </w:rPr>
            </w:pPr>
            <w:r>
              <w:rPr>
                <w:rFonts w:ascii="Arial" w:cs="Arial" w:eastAsia="Arial" w:hAnsi="Arial"/>
                <w:sz w:val="20"/>
                <w:szCs w:val="20"/>
                <w:color w:val="auto"/>
              </w:rPr>
              <w:t>Developed technology</w:t>
            </w:r>
          </w:p>
        </w:tc>
        <w:tc>
          <w:tcPr>
            <w:tcW w:w="400" w:type="dxa"/>
            <w:vAlign w:val="bottom"/>
            <w:shd w:val="clear" w:color="auto" w:fill="E6E6E6"/>
          </w:tcPr>
          <w:p>
            <w:pPr>
              <w:jc w:val="right"/>
              <w:ind w:right="142"/>
              <w:spacing w:after="0"/>
              <w:rPr>
                <w:sz w:val="20"/>
                <w:szCs w:val="20"/>
                <w:color w:val="auto"/>
              </w:rPr>
            </w:pPr>
            <w:r>
              <w:rPr>
                <w:rFonts w:ascii="Arial" w:cs="Arial" w:eastAsia="Arial" w:hAnsi="Arial"/>
                <w:sz w:val="20"/>
                <w:szCs w:val="20"/>
                <w:color w:val="auto"/>
              </w:rPr>
              <w:t>$</w:t>
            </w:r>
          </w:p>
        </w:tc>
        <w:tc>
          <w:tcPr>
            <w:tcW w:w="12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78,067</w:t>
            </w:r>
          </w:p>
        </w:tc>
      </w:tr>
      <w:tr>
        <w:trPr>
          <w:trHeight w:val="274"/>
        </w:trPr>
        <w:tc>
          <w:tcPr>
            <w:tcW w:w="8380" w:type="dxa"/>
            <w:vAlign w:val="bottom"/>
          </w:tcPr>
          <w:p>
            <w:pPr>
              <w:ind w:left="160"/>
              <w:spacing w:after="0"/>
              <w:rPr>
                <w:sz w:val="20"/>
                <w:szCs w:val="20"/>
                <w:color w:val="auto"/>
              </w:rPr>
            </w:pPr>
            <w:r>
              <w:rPr>
                <w:rFonts w:ascii="Arial" w:cs="Arial" w:eastAsia="Arial" w:hAnsi="Arial"/>
                <w:sz w:val="20"/>
                <w:szCs w:val="20"/>
                <w:color w:val="auto"/>
              </w:rPr>
              <w:t>Trade names</w:t>
            </w:r>
          </w:p>
        </w:tc>
        <w:tc>
          <w:tcPr>
            <w:tcW w:w="4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7,117</w:t>
            </w:r>
          </w:p>
        </w:tc>
      </w:tr>
      <w:tr>
        <w:trPr>
          <w:trHeight w:val="285"/>
        </w:trPr>
        <w:tc>
          <w:tcPr>
            <w:tcW w:w="8380" w:type="dxa"/>
            <w:vAlign w:val="bottom"/>
            <w:shd w:val="clear" w:color="auto" w:fill="E6E6E6"/>
          </w:tcPr>
          <w:p>
            <w:pPr>
              <w:ind w:left="40"/>
              <w:spacing w:after="0"/>
              <w:rPr>
                <w:sz w:val="20"/>
                <w:szCs w:val="20"/>
                <w:color w:val="auto"/>
              </w:rPr>
            </w:pPr>
            <w:r>
              <w:rPr>
                <w:rFonts w:ascii="Arial" w:cs="Arial" w:eastAsia="Arial" w:hAnsi="Arial"/>
                <w:sz w:val="20"/>
                <w:szCs w:val="20"/>
                <w:color w:val="auto"/>
              </w:rPr>
              <w:t>Property, plant, and equipment</w:t>
            </w:r>
          </w:p>
        </w:tc>
        <w:tc>
          <w:tcPr>
            <w:tcW w:w="400" w:type="dxa"/>
            <w:vAlign w:val="bottom"/>
            <w:shd w:val="clear" w:color="auto" w:fill="E6E6E6"/>
          </w:tcPr>
          <w:p>
            <w:pPr>
              <w:spacing w:after="0"/>
              <w:rPr>
                <w:sz w:val="24"/>
                <w:szCs w:val="24"/>
                <w:color w:val="auto"/>
              </w:rPr>
            </w:pPr>
          </w:p>
        </w:tc>
        <w:tc>
          <w:tcPr>
            <w:tcW w:w="12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3,894</w:t>
            </w:r>
          </w:p>
        </w:tc>
      </w:tr>
      <w:tr>
        <w:trPr>
          <w:trHeight w:val="269"/>
        </w:trPr>
        <w:tc>
          <w:tcPr>
            <w:tcW w:w="8380" w:type="dxa"/>
            <w:vAlign w:val="bottom"/>
            <w:tcBorders>
              <w:bottom w:val="single" w:sz="8" w:color="E6E6E6"/>
            </w:tcBorders>
          </w:tcPr>
          <w:p>
            <w:pPr>
              <w:ind w:left="40"/>
              <w:spacing w:after="0"/>
              <w:rPr>
                <w:sz w:val="20"/>
                <w:szCs w:val="20"/>
                <w:color w:val="auto"/>
              </w:rPr>
            </w:pPr>
            <w:r>
              <w:rPr>
                <w:rFonts w:ascii="Arial" w:cs="Arial" w:eastAsia="Arial" w:hAnsi="Arial"/>
                <w:sz w:val="20"/>
                <w:szCs w:val="20"/>
                <w:color w:val="auto"/>
              </w:rPr>
              <w:t>Operating lease assets</w:t>
            </w:r>
          </w:p>
        </w:tc>
        <w:tc>
          <w:tcPr>
            <w:tcW w:w="4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896</w:t>
            </w:r>
          </w:p>
        </w:tc>
      </w:tr>
      <w:tr>
        <w:trPr>
          <w:trHeight w:val="279"/>
        </w:trPr>
        <w:tc>
          <w:tcPr>
            <w:tcW w:w="838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Total impairment of long-lived assets</w:t>
            </w:r>
          </w:p>
        </w:tc>
        <w:tc>
          <w:tcPr>
            <w:tcW w:w="400" w:type="dxa"/>
            <w:vAlign w:val="bottom"/>
            <w:tcBorders>
              <w:bottom w:val="single" w:sz="8" w:color="auto"/>
            </w:tcBorders>
            <w:shd w:val="clear" w:color="auto" w:fill="E6E6E6"/>
          </w:tcPr>
          <w:p>
            <w:pPr>
              <w:jc w:val="right"/>
              <w:ind w:right="142"/>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89,974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5312410</wp:posOffset>
            </wp:positionH>
            <wp:positionV relativeFrom="paragraph">
              <wp:posOffset>-208280</wp:posOffset>
            </wp:positionV>
            <wp:extent cx="108013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90">
                      <a:extLst>
                        <a:ext uri="{28A0092B-C50C-407E-A947-70E740481C1C}"/>
                      </a:extLst>
                    </a:blip>
                    <a:srcRect/>
                    <a:stretch>
                      <a:fillRect/>
                    </a:stretch>
                  </pic:blipFill>
                  <pic:spPr bwMode="auto">
                    <a:xfrm>
                      <a:off x="0" y="0"/>
                      <a:ext cx="1080135" cy="25400"/>
                    </a:xfrm>
                    <a:prstGeom prst="rect">
                      <a:avLst/>
                    </a:prstGeom>
                    <a:noFill/>
                  </pic:spPr>
                </pic:pic>
              </a:graphicData>
            </a:graphic>
          </wp:anchor>
        </w:drawing>
        <w:drawing>
          <wp:anchor simplePos="0" relativeHeight="251657728" behindDoc="1" locked="0" layoutInCell="0" allowOverlap="1">
            <wp:simplePos x="0" y="0"/>
            <wp:positionH relativeFrom="column">
              <wp:posOffset>5312410</wp:posOffset>
            </wp:positionH>
            <wp:positionV relativeFrom="paragraph">
              <wp:posOffset>-43180</wp:posOffset>
            </wp:positionV>
            <wp:extent cx="1080135" cy="501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91">
                      <a:extLst>
                        <a:ext uri="{28A0092B-C50C-407E-A947-70E740481C1C}"/>
                      </a:extLst>
                    </a:blip>
                    <a:srcRect/>
                    <a:stretch>
                      <a:fillRect/>
                    </a:stretch>
                  </pic:blipFill>
                  <pic:spPr bwMode="auto">
                    <a:xfrm>
                      <a:off x="0" y="0"/>
                      <a:ext cx="1080135" cy="50165"/>
                    </a:xfrm>
                    <a:prstGeom prst="rect">
                      <a:avLst/>
                    </a:prstGeom>
                    <a:noFill/>
                  </pic:spPr>
                </pic:pic>
              </a:graphicData>
            </a:graphic>
          </wp:anchor>
        </w:drawing>
      </w:r>
    </w:p>
    <w:p>
      <w:pPr>
        <w:spacing w:after="0" w:line="105"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As of December 31, 2024, the 2024 Restructuring Plan was substantially complete. LivaNova incurred pre-tax restructuring charges of $13.4 million related to this plan, primarily comprised of severance expenses and retention bonuses. Minimal residual activities and expenses are expected, though estimates remain subject to change.</w:t>
      </w:r>
    </w:p>
    <w:p>
      <w:pPr>
        <w:spacing w:after="0" w:line="6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following table presents a reconciliation of the beginning and ending balance of the accruals and other reserves recorded in connection with LivaNova’s restructuring plans included in accounts payable and accrued liabilities and other on the consolidated balance sheets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center"/>
              <w:ind w:right="122"/>
              <w:spacing w:after="0"/>
              <w:rPr>
                <w:sz w:val="20"/>
                <w:szCs w:val="20"/>
                <w:color w:val="auto"/>
              </w:rPr>
            </w:pPr>
            <w:r>
              <w:rPr>
                <w:rFonts w:ascii="Arial" w:cs="Arial" w:eastAsia="Arial" w:hAnsi="Arial"/>
                <w:sz w:val="20"/>
                <w:szCs w:val="20"/>
                <w:b w:val="1"/>
                <w:bCs w:val="1"/>
                <w:color w:val="auto"/>
                <w:w w:val="86"/>
              </w:rPr>
              <w:t>Employee</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center"/>
              <w:ind w:right="122"/>
              <w:spacing w:after="0" w:line="196" w:lineRule="exact"/>
              <w:rPr>
                <w:sz w:val="20"/>
                <w:szCs w:val="20"/>
                <w:color w:val="auto"/>
              </w:rPr>
            </w:pPr>
            <w:r>
              <w:rPr>
                <w:rFonts w:ascii="Arial" w:cs="Arial" w:eastAsia="Arial" w:hAnsi="Arial"/>
                <w:sz w:val="20"/>
                <w:szCs w:val="20"/>
                <w:b w:val="1"/>
                <w:bCs w:val="1"/>
                <w:color w:val="auto"/>
                <w:w w:val="86"/>
              </w:rPr>
              <w:t>Severance and</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gridSpan w:val="2"/>
          </w:tcPr>
          <w:p>
            <w:pPr>
              <w:jc w:val="center"/>
              <w:spacing w:after="0" w:line="196" w:lineRule="exact"/>
              <w:rPr>
                <w:sz w:val="20"/>
                <w:szCs w:val="20"/>
                <w:color w:val="auto"/>
              </w:rPr>
            </w:pPr>
            <w:r>
              <w:rPr>
                <w:rFonts w:ascii="Arial" w:cs="Arial" w:eastAsia="Arial" w:hAnsi="Arial"/>
                <w:sz w:val="20"/>
                <w:szCs w:val="20"/>
                <w:b w:val="1"/>
                <w:bCs w:val="1"/>
                <w:color w:val="auto"/>
                <w:w w:val="93"/>
              </w:rPr>
              <w:t>Other Termination</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vMerge w:val="restart"/>
          </w:tcPr>
          <w:p>
            <w:pPr>
              <w:jc w:val="right"/>
              <w:ind w:right="522"/>
              <w:spacing w:after="0"/>
              <w:rPr>
                <w:sz w:val="20"/>
                <w:szCs w:val="20"/>
                <w:color w:val="auto"/>
              </w:rPr>
            </w:pPr>
            <w:r>
              <w:rPr>
                <w:rFonts w:ascii="Arial" w:cs="Arial" w:eastAsia="Arial" w:hAnsi="Arial"/>
                <w:sz w:val="20"/>
                <w:szCs w:val="20"/>
                <w:b w:val="1"/>
                <w:bCs w:val="1"/>
                <w:color w:val="auto"/>
              </w:rPr>
              <w:t>Other</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vMerge w:val="restart"/>
          </w:tcPr>
          <w:p>
            <w:pPr>
              <w:jc w:val="right"/>
              <w:ind w:right="562"/>
              <w:spacing w:after="0"/>
              <w:rPr>
                <w:sz w:val="20"/>
                <w:szCs w:val="20"/>
                <w:color w:val="auto"/>
              </w:rPr>
            </w:pPr>
            <w:r>
              <w:rPr>
                <w:rFonts w:ascii="Arial" w:cs="Arial" w:eastAsia="Arial" w:hAnsi="Arial"/>
                <w:sz w:val="20"/>
                <w:szCs w:val="20"/>
                <w:b w:val="1"/>
                <w:bCs w:val="1"/>
                <w:color w:val="auto"/>
              </w:rPr>
              <w:t>Total</w:t>
            </w:r>
          </w:p>
        </w:tc>
        <w:tc>
          <w:tcPr>
            <w:tcW w:w="0" w:type="dxa"/>
            <w:vAlign w:val="bottom"/>
          </w:tcPr>
          <w:p>
            <w:pPr>
              <w:spacing w:after="0"/>
              <w:rPr>
                <w:sz w:val="1"/>
                <w:szCs w:val="1"/>
                <w:color w:val="auto"/>
              </w:rPr>
            </w:pPr>
          </w:p>
        </w:tc>
      </w:tr>
      <w:tr>
        <w:trPr>
          <w:trHeight w:val="258"/>
        </w:trPr>
        <w:tc>
          <w:tcPr>
            <w:tcW w:w="460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center"/>
              <w:ind w:right="122"/>
              <w:spacing w:after="0"/>
              <w:rPr>
                <w:sz w:val="20"/>
                <w:szCs w:val="20"/>
                <w:color w:val="auto"/>
              </w:rPr>
            </w:pPr>
            <w:r>
              <w:rPr>
                <w:rFonts w:ascii="Arial" w:cs="Arial" w:eastAsia="Arial" w:hAnsi="Arial"/>
                <w:sz w:val="20"/>
                <w:szCs w:val="20"/>
                <w:b w:val="1"/>
                <w:bCs w:val="1"/>
                <w:color w:val="auto"/>
                <w:w w:val="82"/>
              </w:rPr>
              <w:t>Costs</w:t>
            </w:r>
          </w:p>
        </w:tc>
        <w:tc>
          <w:tcPr>
            <w:tcW w:w="60" w:type="dxa"/>
            <w:vAlign w:val="bottom"/>
            <w:tcBorders>
              <w:bottom w:val="single" w:sz="8" w:color="E6E6E6"/>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4620" w:type="dxa"/>
            <w:vAlign w:val="bottom"/>
            <w:gridSpan w:val="2"/>
            <w:shd w:val="clear" w:color="auto" w:fill="E6E6E6"/>
          </w:tcPr>
          <w:p>
            <w:pPr>
              <w:ind w:left="40"/>
              <w:spacing w:after="0"/>
              <w:rPr>
                <w:sz w:val="20"/>
                <w:szCs w:val="20"/>
                <w:color w:val="auto"/>
              </w:rPr>
            </w:pPr>
            <w:r>
              <w:rPr>
                <w:rFonts w:ascii="Arial" w:cs="Arial" w:eastAsia="Arial" w:hAnsi="Arial"/>
                <w:sz w:val="20"/>
                <w:szCs w:val="20"/>
                <w:color w:val="auto"/>
              </w:rPr>
              <w:t>As of December 31, 2021</w:t>
            </w:r>
          </w:p>
        </w:tc>
        <w:tc>
          <w:tcPr>
            <w:tcW w:w="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5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836</w:t>
            </w:r>
          </w:p>
        </w:tc>
        <w:tc>
          <w:tcPr>
            <w:tcW w:w="460" w:type="dxa"/>
            <w:vAlign w:val="bottom"/>
            <w:gridSpan w:val="2"/>
            <w:shd w:val="clear" w:color="auto" w:fill="E6E6E6"/>
          </w:tcPr>
          <w:p>
            <w:pPr>
              <w:jc w:val="right"/>
              <w:ind w:right="240"/>
              <w:spacing w:after="0"/>
              <w:rPr>
                <w:sz w:val="20"/>
                <w:szCs w:val="20"/>
                <w:color w:val="auto"/>
              </w:rPr>
            </w:pPr>
            <w:r>
              <w:rPr>
                <w:rFonts w:ascii="Arial" w:cs="Arial" w:eastAsia="Arial" w:hAnsi="Arial"/>
                <w:sz w:val="20"/>
                <w:szCs w:val="20"/>
                <w:color w:val="auto"/>
              </w:rPr>
              <w:t>$</w:t>
            </w:r>
          </w:p>
        </w:tc>
        <w:tc>
          <w:tcPr>
            <w:tcW w:w="13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480" w:type="dxa"/>
            <w:vAlign w:val="bottom"/>
            <w:gridSpan w:val="2"/>
            <w:shd w:val="clear" w:color="auto" w:fill="E6E6E6"/>
          </w:tcPr>
          <w:p>
            <w:pPr>
              <w:jc w:val="right"/>
              <w:ind w:right="240"/>
              <w:spacing w:after="0"/>
              <w:rPr>
                <w:sz w:val="20"/>
                <w:szCs w:val="20"/>
                <w:color w:val="auto"/>
              </w:rPr>
            </w:pPr>
            <w:r>
              <w:rPr>
                <w:rFonts w:ascii="Arial" w:cs="Arial" w:eastAsia="Arial" w:hAnsi="Arial"/>
                <w:sz w:val="20"/>
                <w:szCs w:val="20"/>
                <w:color w:val="auto"/>
              </w:rPr>
              <w:t>$</w:t>
            </w:r>
          </w:p>
        </w:tc>
        <w:tc>
          <w:tcPr>
            <w:tcW w:w="13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836</w:t>
            </w:r>
          </w:p>
        </w:tc>
        <w:tc>
          <w:tcPr>
            <w:tcW w:w="0" w:type="dxa"/>
            <w:vAlign w:val="bottom"/>
          </w:tcPr>
          <w:p>
            <w:pPr>
              <w:spacing w:after="0"/>
              <w:rPr>
                <w:sz w:val="1"/>
                <w:szCs w:val="1"/>
                <w:color w:val="auto"/>
              </w:rPr>
            </w:pPr>
          </w:p>
        </w:tc>
      </w:tr>
      <w:tr>
        <w:trPr>
          <w:trHeight w:val="274"/>
        </w:trPr>
        <w:tc>
          <w:tcPr>
            <w:tcW w:w="4620" w:type="dxa"/>
            <w:vAlign w:val="bottom"/>
            <w:gridSpan w:val="2"/>
          </w:tcPr>
          <w:p>
            <w:pPr>
              <w:ind w:left="160"/>
              <w:spacing w:after="0"/>
              <w:rPr>
                <w:sz w:val="20"/>
                <w:szCs w:val="20"/>
                <w:color w:val="auto"/>
              </w:rPr>
            </w:pPr>
            <w:r>
              <w:rPr>
                <w:rFonts w:ascii="Arial" w:cs="Arial" w:eastAsia="Arial" w:hAnsi="Arial"/>
                <w:sz w:val="20"/>
                <w:szCs w:val="20"/>
                <w:color w:val="auto"/>
              </w:rPr>
              <w:t>Charges</w:t>
            </w:r>
          </w:p>
        </w:tc>
        <w:tc>
          <w:tcPr>
            <w:tcW w:w="2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6,611</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6,611</w:t>
            </w:r>
          </w:p>
        </w:tc>
        <w:tc>
          <w:tcPr>
            <w:tcW w:w="0" w:type="dxa"/>
            <w:vAlign w:val="bottom"/>
          </w:tcPr>
          <w:p>
            <w:pPr>
              <w:spacing w:after="0"/>
              <w:rPr>
                <w:sz w:val="1"/>
                <w:szCs w:val="1"/>
                <w:color w:val="auto"/>
              </w:rPr>
            </w:pPr>
          </w:p>
        </w:tc>
      </w:tr>
      <w:tr>
        <w:trPr>
          <w:trHeight w:val="294"/>
        </w:trPr>
        <w:tc>
          <w:tcPr>
            <w:tcW w:w="4620" w:type="dxa"/>
            <w:vAlign w:val="bottom"/>
            <w:tcBorders>
              <w:bottom w:val="single" w:sz="8" w:color="E6E6E6"/>
            </w:tcBorders>
            <w:gridSpan w:val="2"/>
            <w:shd w:val="clear" w:color="auto" w:fill="E6E6E6"/>
          </w:tcPr>
          <w:p>
            <w:pPr>
              <w:ind w:left="160"/>
              <w:spacing w:after="0"/>
              <w:rPr>
                <w:sz w:val="20"/>
                <w:szCs w:val="20"/>
                <w:color w:val="auto"/>
              </w:rPr>
            </w:pPr>
            <w:r>
              <w:rPr>
                <w:rFonts w:ascii="Arial" w:cs="Arial" w:eastAsia="Arial" w:hAnsi="Arial"/>
                <w:sz w:val="20"/>
                <w:szCs w:val="20"/>
                <w:color w:val="auto"/>
              </w:rPr>
              <w:t>Cash payments</w:t>
            </w:r>
          </w:p>
        </w:tc>
        <w:tc>
          <w:tcPr>
            <w:tcW w:w="200" w:type="dxa"/>
            <w:vAlign w:val="bottom"/>
            <w:tcBorders>
              <w:bottom w:val="single" w:sz="8" w:color="auto"/>
            </w:tcBorders>
            <w:shd w:val="clear" w:color="auto" w:fill="E6E6E6"/>
          </w:tcPr>
          <w:p>
            <w:pPr>
              <w:spacing w:after="0"/>
              <w:rPr>
                <w:sz w:val="24"/>
                <w:szCs w:val="24"/>
                <w:color w:val="auto"/>
              </w:rPr>
            </w:pPr>
          </w:p>
        </w:tc>
        <w:tc>
          <w:tcPr>
            <w:tcW w:w="15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(5,402)</w:t>
            </w:r>
          </w:p>
        </w:tc>
        <w:tc>
          <w:tcPr>
            <w:tcW w:w="6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auto"/>
            </w:tcBorders>
            <w:shd w:val="clear" w:color="auto" w:fill="E6E6E6"/>
          </w:tcPr>
          <w:p>
            <w:pPr>
              <w:spacing w:after="0"/>
              <w:rPr>
                <w:sz w:val="24"/>
                <w:szCs w:val="24"/>
                <w:color w:val="auto"/>
              </w:rPr>
            </w:pPr>
          </w:p>
        </w:tc>
        <w:tc>
          <w:tcPr>
            <w:tcW w:w="13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auto"/>
            </w:tcBorders>
            <w:shd w:val="clear" w:color="auto" w:fill="E6E6E6"/>
          </w:tcPr>
          <w:p>
            <w:pPr>
              <w:spacing w:after="0"/>
              <w:rPr>
                <w:sz w:val="24"/>
                <w:szCs w:val="24"/>
                <w:color w:val="auto"/>
              </w:rPr>
            </w:pPr>
          </w:p>
        </w:tc>
        <w:tc>
          <w:tcPr>
            <w:tcW w:w="13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(5,402)</w:t>
            </w:r>
          </w:p>
        </w:tc>
        <w:tc>
          <w:tcPr>
            <w:tcW w:w="0" w:type="dxa"/>
            <w:vAlign w:val="bottom"/>
          </w:tcPr>
          <w:p>
            <w:pPr>
              <w:spacing w:after="0"/>
              <w:rPr>
                <w:sz w:val="1"/>
                <w:szCs w:val="1"/>
                <w:color w:val="auto"/>
              </w:rPr>
            </w:pPr>
          </w:p>
        </w:tc>
      </w:tr>
      <w:tr>
        <w:trPr>
          <w:trHeight w:val="244"/>
        </w:trPr>
        <w:tc>
          <w:tcPr>
            <w:tcW w:w="4620" w:type="dxa"/>
            <w:vAlign w:val="bottom"/>
            <w:gridSpan w:val="2"/>
          </w:tcPr>
          <w:p>
            <w:pPr>
              <w:ind w:left="40"/>
              <w:spacing w:after="0"/>
              <w:rPr>
                <w:sz w:val="20"/>
                <w:szCs w:val="20"/>
                <w:color w:val="auto"/>
              </w:rPr>
            </w:pPr>
            <w:r>
              <w:rPr>
                <w:rFonts w:ascii="Arial" w:cs="Arial" w:eastAsia="Arial" w:hAnsi="Arial"/>
                <w:sz w:val="20"/>
                <w:szCs w:val="20"/>
                <w:color w:val="auto"/>
              </w:rPr>
              <w:t>As of December 31, 2022</w:t>
            </w: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2,045</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2,045</w:t>
            </w:r>
          </w:p>
        </w:tc>
        <w:tc>
          <w:tcPr>
            <w:tcW w:w="0" w:type="dxa"/>
            <w:vAlign w:val="bottom"/>
          </w:tcPr>
          <w:p>
            <w:pPr>
              <w:spacing w:after="0"/>
              <w:rPr>
                <w:sz w:val="1"/>
                <w:szCs w:val="1"/>
                <w:color w:val="auto"/>
              </w:rPr>
            </w:pPr>
          </w:p>
        </w:tc>
      </w:tr>
      <w:tr>
        <w:trPr>
          <w:trHeight w:val="285"/>
        </w:trPr>
        <w:tc>
          <w:tcPr>
            <w:tcW w:w="4620" w:type="dxa"/>
            <w:vAlign w:val="bottom"/>
            <w:gridSpan w:val="2"/>
            <w:shd w:val="clear" w:color="auto" w:fill="E6E6E6"/>
          </w:tcPr>
          <w:p>
            <w:pPr>
              <w:ind w:left="160"/>
              <w:spacing w:after="0"/>
              <w:rPr>
                <w:sz w:val="20"/>
                <w:szCs w:val="20"/>
                <w:color w:val="auto"/>
              </w:rPr>
            </w:pPr>
            <w:r>
              <w:rPr>
                <w:rFonts w:ascii="Arial" w:cs="Arial" w:eastAsia="Arial" w:hAnsi="Arial"/>
                <w:sz w:val="20"/>
                <w:szCs w:val="20"/>
                <w:color w:val="auto"/>
              </w:rPr>
              <w:t>Charges</w:t>
            </w:r>
          </w:p>
        </w:tc>
        <w:tc>
          <w:tcPr>
            <w:tcW w:w="200" w:type="dxa"/>
            <w:vAlign w:val="bottom"/>
            <w:shd w:val="clear" w:color="auto" w:fill="E6E6E6"/>
          </w:tcPr>
          <w:p>
            <w:pPr>
              <w:spacing w:after="0"/>
              <w:rPr>
                <w:sz w:val="24"/>
                <w:szCs w:val="24"/>
                <w:color w:val="auto"/>
              </w:rPr>
            </w:pPr>
          </w:p>
        </w:tc>
        <w:tc>
          <w:tcPr>
            <w:tcW w:w="15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956</w:t>
            </w:r>
          </w:p>
        </w:tc>
        <w:tc>
          <w:tcPr>
            <w:tcW w:w="6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13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13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956</w:t>
            </w:r>
          </w:p>
        </w:tc>
        <w:tc>
          <w:tcPr>
            <w:tcW w:w="0" w:type="dxa"/>
            <w:vAlign w:val="bottom"/>
          </w:tcPr>
          <w:p>
            <w:pPr>
              <w:spacing w:after="0"/>
              <w:rPr>
                <w:sz w:val="1"/>
                <w:szCs w:val="1"/>
                <w:color w:val="auto"/>
              </w:rPr>
            </w:pPr>
          </w:p>
        </w:tc>
      </w:tr>
      <w:tr>
        <w:trPr>
          <w:trHeight w:val="269"/>
        </w:trPr>
        <w:tc>
          <w:tcPr>
            <w:tcW w:w="4620" w:type="dxa"/>
            <w:vAlign w:val="bottom"/>
            <w:tcBorders>
              <w:bottom w:val="single" w:sz="8" w:color="E6E6E6"/>
            </w:tcBorders>
            <w:gridSpan w:val="2"/>
          </w:tcPr>
          <w:p>
            <w:pPr>
              <w:ind w:left="160"/>
              <w:spacing w:after="0"/>
              <w:rPr>
                <w:sz w:val="20"/>
                <w:szCs w:val="20"/>
                <w:color w:val="auto"/>
              </w:rPr>
            </w:pPr>
            <w:r>
              <w:rPr>
                <w:rFonts w:ascii="Arial" w:cs="Arial" w:eastAsia="Arial" w:hAnsi="Arial"/>
                <w:sz w:val="20"/>
                <w:szCs w:val="20"/>
                <w:color w:val="auto"/>
              </w:rPr>
              <w:t>Cash payments</w:t>
            </w:r>
          </w:p>
        </w:tc>
        <w:tc>
          <w:tcPr>
            <w:tcW w:w="20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(2,090)</w:t>
            </w:r>
          </w:p>
        </w:tc>
        <w:tc>
          <w:tcPr>
            <w:tcW w:w="60" w:type="dxa"/>
            <w:vAlign w:val="bottom"/>
            <w:tcBorders>
              <w:bottom w:val="single" w:sz="8" w:color="E6E6E6"/>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(2,090)</w:t>
            </w:r>
          </w:p>
        </w:tc>
        <w:tc>
          <w:tcPr>
            <w:tcW w:w="0" w:type="dxa"/>
            <w:vAlign w:val="bottom"/>
          </w:tcPr>
          <w:p>
            <w:pPr>
              <w:spacing w:after="0"/>
              <w:rPr>
                <w:sz w:val="1"/>
                <w:szCs w:val="1"/>
                <w:color w:val="auto"/>
              </w:rPr>
            </w:pPr>
          </w:p>
        </w:tc>
      </w:tr>
      <w:tr>
        <w:trPr>
          <w:trHeight w:val="270"/>
        </w:trPr>
        <w:tc>
          <w:tcPr>
            <w:tcW w:w="4620" w:type="dxa"/>
            <w:vAlign w:val="bottom"/>
            <w:gridSpan w:val="2"/>
            <w:shd w:val="clear" w:color="auto" w:fill="E6E6E6"/>
          </w:tcPr>
          <w:p>
            <w:pPr>
              <w:ind w:left="40"/>
              <w:spacing w:after="0"/>
              <w:rPr>
                <w:sz w:val="20"/>
                <w:szCs w:val="20"/>
                <w:color w:val="auto"/>
              </w:rPr>
            </w:pPr>
            <w:r>
              <w:rPr>
                <w:rFonts w:ascii="Arial" w:cs="Arial" w:eastAsia="Arial" w:hAnsi="Arial"/>
                <w:sz w:val="20"/>
                <w:szCs w:val="20"/>
                <w:color w:val="auto"/>
              </w:rPr>
              <w:t>As of December 31, 2023</w:t>
            </w:r>
          </w:p>
        </w:tc>
        <w:tc>
          <w:tcPr>
            <w:tcW w:w="200" w:type="dxa"/>
            <w:vAlign w:val="bottom"/>
            <w:shd w:val="clear" w:color="auto" w:fill="E6E6E6"/>
          </w:tcPr>
          <w:p>
            <w:pPr>
              <w:spacing w:after="0"/>
              <w:rPr>
                <w:sz w:val="23"/>
                <w:szCs w:val="23"/>
                <w:color w:val="auto"/>
              </w:rPr>
            </w:pPr>
          </w:p>
        </w:tc>
        <w:tc>
          <w:tcPr>
            <w:tcW w:w="15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911</w:t>
            </w:r>
          </w:p>
        </w:tc>
        <w:tc>
          <w:tcPr>
            <w:tcW w:w="60" w:type="dxa"/>
            <w:vAlign w:val="bottom"/>
            <w:shd w:val="clear" w:color="auto" w:fill="E6E6E6"/>
          </w:tcPr>
          <w:p>
            <w:pPr>
              <w:spacing w:after="0"/>
              <w:rPr>
                <w:sz w:val="23"/>
                <w:szCs w:val="23"/>
                <w:color w:val="auto"/>
              </w:rPr>
            </w:pPr>
          </w:p>
        </w:tc>
        <w:tc>
          <w:tcPr>
            <w:tcW w:w="400" w:type="dxa"/>
            <w:vAlign w:val="bottom"/>
            <w:shd w:val="clear" w:color="auto" w:fill="E6E6E6"/>
          </w:tcPr>
          <w:p>
            <w:pPr>
              <w:spacing w:after="0"/>
              <w:rPr>
                <w:sz w:val="23"/>
                <w:szCs w:val="23"/>
                <w:color w:val="auto"/>
              </w:rPr>
            </w:pPr>
          </w:p>
        </w:tc>
        <w:tc>
          <w:tcPr>
            <w:tcW w:w="13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3"/>
                <w:szCs w:val="23"/>
                <w:color w:val="auto"/>
              </w:rPr>
            </w:pPr>
          </w:p>
        </w:tc>
        <w:tc>
          <w:tcPr>
            <w:tcW w:w="400" w:type="dxa"/>
            <w:vAlign w:val="bottom"/>
            <w:shd w:val="clear" w:color="auto" w:fill="E6E6E6"/>
          </w:tcPr>
          <w:p>
            <w:pPr>
              <w:spacing w:after="0"/>
              <w:rPr>
                <w:sz w:val="23"/>
                <w:szCs w:val="23"/>
                <w:color w:val="auto"/>
              </w:rPr>
            </w:pPr>
          </w:p>
        </w:tc>
        <w:tc>
          <w:tcPr>
            <w:tcW w:w="13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911</w:t>
            </w:r>
          </w:p>
        </w:tc>
        <w:tc>
          <w:tcPr>
            <w:tcW w:w="0" w:type="dxa"/>
            <w:vAlign w:val="bottom"/>
          </w:tcPr>
          <w:p>
            <w:pPr>
              <w:spacing w:after="0"/>
              <w:rPr>
                <w:sz w:val="1"/>
                <w:szCs w:val="1"/>
                <w:color w:val="auto"/>
              </w:rPr>
            </w:pPr>
          </w:p>
        </w:tc>
      </w:tr>
      <w:tr>
        <w:trPr>
          <w:trHeight w:val="274"/>
        </w:trPr>
        <w:tc>
          <w:tcPr>
            <w:tcW w:w="4620" w:type="dxa"/>
            <w:vAlign w:val="bottom"/>
            <w:gridSpan w:val="2"/>
          </w:tcPr>
          <w:p>
            <w:pPr>
              <w:ind w:left="160"/>
              <w:spacing w:after="0"/>
              <w:rPr>
                <w:sz w:val="20"/>
                <w:szCs w:val="20"/>
                <w:color w:val="auto"/>
              </w:rPr>
            </w:pPr>
            <w:r>
              <w:rPr>
                <w:rFonts w:ascii="Arial" w:cs="Arial" w:eastAsia="Arial" w:hAnsi="Arial"/>
                <w:sz w:val="20"/>
                <w:szCs w:val="20"/>
                <w:color w:val="auto"/>
              </w:rPr>
              <w:t>Charges</w:t>
            </w:r>
          </w:p>
        </w:tc>
        <w:tc>
          <w:tcPr>
            <w:tcW w:w="2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10,569</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2,787</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13,356</w:t>
            </w:r>
          </w:p>
        </w:tc>
        <w:tc>
          <w:tcPr>
            <w:tcW w:w="0" w:type="dxa"/>
            <w:vAlign w:val="bottom"/>
          </w:tcPr>
          <w:p>
            <w:pPr>
              <w:spacing w:after="0"/>
              <w:rPr>
                <w:sz w:val="1"/>
                <w:szCs w:val="1"/>
                <w:color w:val="auto"/>
              </w:rPr>
            </w:pPr>
          </w:p>
        </w:tc>
      </w:tr>
      <w:tr>
        <w:trPr>
          <w:trHeight w:val="275"/>
        </w:trPr>
        <w:tc>
          <w:tcPr>
            <w:tcW w:w="460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20"/>
                <w:szCs w:val="20"/>
                <w:color w:val="auto"/>
              </w:rPr>
              <w:t>Cash payments</w:t>
            </w:r>
          </w:p>
        </w:tc>
        <w:tc>
          <w:tcPr>
            <w:tcW w:w="20" w:type="dxa"/>
            <w:vAlign w:val="bottom"/>
            <w:tcBorders>
              <w:bottom w:val="single" w:sz="8" w:color="auto"/>
            </w:tcBorders>
            <w:shd w:val="clear" w:color="auto" w:fill="E6E6E6"/>
          </w:tcPr>
          <w:p>
            <w:pPr>
              <w:spacing w:after="0"/>
              <w:rPr>
                <w:sz w:val="23"/>
                <w:szCs w:val="23"/>
                <w:color w:val="auto"/>
              </w:rPr>
            </w:pPr>
          </w:p>
        </w:tc>
        <w:tc>
          <w:tcPr>
            <w:tcW w:w="200" w:type="dxa"/>
            <w:vAlign w:val="bottom"/>
            <w:tcBorders>
              <w:bottom w:val="single" w:sz="8" w:color="auto"/>
            </w:tcBorders>
            <w:shd w:val="clear" w:color="auto" w:fill="E6E6E6"/>
          </w:tcPr>
          <w:p>
            <w:pPr>
              <w:spacing w:after="0"/>
              <w:rPr>
                <w:sz w:val="23"/>
                <w:szCs w:val="23"/>
                <w:color w:val="auto"/>
              </w:rPr>
            </w:pPr>
          </w:p>
        </w:tc>
        <w:tc>
          <w:tcPr>
            <w:tcW w:w="15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(9,441)</w:t>
            </w:r>
          </w:p>
        </w:tc>
        <w:tc>
          <w:tcPr>
            <w:tcW w:w="60" w:type="dxa"/>
            <w:vAlign w:val="bottom"/>
            <w:tcBorders>
              <w:bottom w:val="single" w:sz="8" w:color="E6E6E6"/>
            </w:tcBorders>
            <w:shd w:val="clear" w:color="auto" w:fill="E6E6E6"/>
          </w:tcPr>
          <w:p>
            <w:pPr>
              <w:spacing w:after="0"/>
              <w:rPr>
                <w:sz w:val="23"/>
                <w:szCs w:val="23"/>
                <w:color w:val="auto"/>
              </w:rPr>
            </w:pPr>
          </w:p>
        </w:tc>
        <w:tc>
          <w:tcPr>
            <w:tcW w:w="400" w:type="dxa"/>
            <w:vAlign w:val="bottom"/>
            <w:tcBorders>
              <w:bottom w:val="single" w:sz="8" w:color="auto"/>
            </w:tcBorders>
            <w:shd w:val="clear" w:color="auto" w:fill="E6E6E6"/>
          </w:tcPr>
          <w:p>
            <w:pPr>
              <w:spacing w:after="0"/>
              <w:rPr>
                <w:sz w:val="23"/>
                <w:szCs w:val="23"/>
                <w:color w:val="auto"/>
              </w:rPr>
            </w:pPr>
          </w:p>
        </w:tc>
        <w:tc>
          <w:tcPr>
            <w:tcW w:w="13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(2,222)</w:t>
            </w:r>
          </w:p>
        </w:tc>
        <w:tc>
          <w:tcPr>
            <w:tcW w:w="80" w:type="dxa"/>
            <w:vAlign w:val="bottom"/>
            <w:tcBorders>
              <w:bottom w:val="single" w:sz="8" w:color="E6E6E6"/>
            </w:tcBorders>
            <w:shd w:val="clear" w:color="auto" w:fill="E6E6E6"/>
          </w:tcPr>
          <w:p>
            <w:pPr>
              <w:spacing w:after="0"/>
              <w:rPr>
                <w:sz w:val="23"/>
                <w:szCs w:val="23"/>
                <w:color w:val="auto"/>
              </w:rPr>
            </w:pPr>
          </w:p>
        </w:tc>
        <w:tc>
          <w:tcPr>
            <w:tcW w:w="400" w:type="dxa"/>
            <w:vAlign w:val="bottom"/>
            <w:tcBorders>
              <w:bottom w:val="single" w:sz="8" w:color="auto"/>
            </w:tcBorders>
            <w:shd w:val="clear" w:color="auto" w:fill="E6E6E6"/>
          </w:tcPr>
          <w:p>
            <w:pPr>
              <w:spacing w:after="0"/>
              <w:rPr>
                <w:sz w:val="23"/>
                <w:szCs w:val="23"/>
                <w:color w:val="auto"/>
              </w:rPr>
            </w:pPr>
          </w:p>
        </w:tc>
        <w:tc>
          <w:tcPr>
            <w:tcW w:w="13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(11,663)</w:t>
            </w:r>
          </w:p>
        </w:tc>
        <w:tc>
          <w:tcPr>
            <w:tcW w:w="0" w:type="dxa"/>
            <w:vAlign w:val="bottom"/>
          </w:tcPr>
          <w:p>
            <w:pPr>
              <w:spacing w:after="0"/>
              <w:rPr>
                <w:sz w:val="1"/>
                <w:szCs w:val="1"/>
                <w:color w:val="auto"/>
              </w:rPr>
            </w:pPr>
          </w:p>
        </w:tc>
      </w:tr>
      <w:tr>
        <w:trPr>
          <w:trHeight w:val="240"/>
        </w:trPr>
        <w:tc>
          <w:tcPr>
            <w:tcW w:w="4620" w:type="dxa"/>
            <w:vAlign w:val="bottom"/>
            <w:gridSpan w:val="2"/>
          </w:tcPr>
          <w:p>
            <w:pPr>
              <w:ind w:left="40"/>
              <w:spacing w:after="0"/>
              <w:rPr>
                <w:sz w:val="20"/>
                <w:szCs w:val="20"/>
                <w:color w:val="auto"/>
              </w:rPr>
            </w:pPr>
            <w:r>
              <w:rPr>
                <w:rFonts w:ascii="Arial" w:cs="Arial" w:eastAsia="Arial" w:hAnsi="Arial"/>
                <w:sz w:val="20"/>
                <w:szCs w:val="20"/>
                <w:color w:val="auto"/>
              </w:rPr>
              <w:t>As of December 31, 2024</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560" w:type="dxa"/>
            <w:vAlign w:val="bottom"/>
          </w:tcPr>
          <w:p>
            <w:pPr>
              <w:jc w:val="right"/>
              <w:spacing w:after="0"/>
              <w:rPr>
                <w:sz w:val="20"/>
                <w:szCs w:val="20"/>
                <w:color w:val="auto"/>
              </w:rPr>
            </w:pPr>
            <w:r>
              <w:rPr>
                <w:rFonts w:ascii="Arial" w:cs="Arial" w:eastAsia="Arial" w:hAnsi="Arial"/>
                <w:sz w:val="20"/>
                <w:szCs w:val="20"/>
                <w:color w:val="auto"/>
              </w:rPr>
              <w:t>2,039</w:t>
            </w:r>
          </w:p>
        </w:tc>
        <w:tc>
          <w:tcPr>
            <w:tcW w:w="4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360" w:type="dxa"/>
            <w:vAlign w:val="bottom"/>
          </w:tcPr>
          <w:p>
            <w:pPr>
              <w:jc w:val="right"/>
              <w:spacing w:after="0"/>
              <w:rPr>
                <w:sz w:val="20"/>
                <w:szCs w:val="20"/>
                <w:color w:val="auto"/>
              </w:rPr>
            </w:pPr>
            <w:r>
              <w:rPr>
                <w:rFonts w:ascii="Arial" w:cs="Arial" w:eastAsia="Arial" w:hAnsi="Arial"/>
                <w:sz w:val="20"/>
                <w:szCs w:val="20"/>
                <w:color w:val="auto"/>
              </w:rPr>
              <w:t>565</w:t>
            </w:r>
          </w:p>
        </w:tc>
        <w:tc>
          <w:tcPr>
            <w:tcW w:w="48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360" w:type="dxa"/>
            <w:vAlign w:val="bottom"/>
          </w:tcPr>
          <w:p>
            <w:pPr>
              <w:jc w:val="right"/>
              <w:spacing w:after="0"/>
              <w:rPr>
                <w:sz w:val="20"/>
                <w:szCs w:val="20"/>
                <w:color w:val="auto"/>
              </w:rPr>
            </w:pPr>
            <w:r>
              <w:rPr>
                <w:rFonts w:ascii="Arial" w:cs="Arial" w:eastAsia="Arial" w:hAnsi="Arial"/>
                <w:sz w:val="20"/>
                <w:szCs w:val="20"/>
                <w:color w:val="auto"/>
              </w:rPr>
              <w:t>2,604</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2913380</wp:posOffset>
            </wp:positionH>
            <wp:positionV relativeFrom="paragraph">
              <wp:posOffset>-1804035</wp:posOffset>
            </wp:positionV>
            <wp:extent cx="34791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92">
                      <a:extLst>
                        <a:ext uri="{28A0092B-C50C-407E-A947-70E740481C1C}"/>
                      </a:extLst>
                    </a:blip>
                    <a:srcRect/>
                    <a:stretch>
                      <a:fillRect/>
                    </a:stretch>
                  </pic:blipFill>
                  <pic:spPr bwMode="auto">
                    <a:xfrm>
                      <a:off x="0" y="0"/>
                      <a:ext cx="3479165" cy="25400"/>
                    </a:xfrm>
                    <a:prstGeom prst="rect">
                      <a:avLst/>
                    </a:prstGeom>
                    <a:noFill/>
                  </pic:spPr>
                </pic:pic>
              </a:graphicData>
            </a:graphic>
          </wp:anchor>
        </w:drawing>
        <w:drawing>
          <wp:anchor simplePos="0" relativeHeight="251657728" behindDoc="1" locked="0" layoutInCell="0" allowOverlap="1">
            <wp:simplePos x="0" y="0"/>
            <wp:positionH relativeFrom="column">
              <wp:posOffset>2913380</wp:posOffset>
            </wp:positionH>
            <wp:positionV relativeFrom="paragraph">
              <wp:posOffset>-1272540</wp:posOffset>
            </wp:positionV>
            <wp:extent cx="34791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93">
                      <a:extLst>
                        <a:ext uri="{28A0092B-C50C-407E-A947-70E740481C1C}"/>
                      </a:extLst>
                    </a:blip>
                    <a:srcRect/>
                    <a:stretch>
                      <a:fillRect/>
                    </a:stretch>
                  </pic:blipFill>
                  <pic:spPr bwMode="auto">
                    <a:xfrm>
                      <a:off x="0" y="0"/>
                      <a:ext cx="3479165" cy="25400"/>
                    </a:xfrm>
                    <a:prstGeom prst="rect">
                      <a:avLst/>
                    </a:prstGeom>
                    <a:noFill/>
                  </pic:spPr>
                </pic:pic>
              </a:graphicData>
            </a:graphic>
          </wp:anchor>
        </w:drawing>
        <w:drawing>
          <wp:anchor simplePos="0" relativeHeight="251657728" behindDoc="1" locked="0" layoutInCell="0" allowOverlap="1">
            <wp:simplePos x="0" y="0"/>
            <wp:positionH relativeFrom="column">
              <wp:posOffset>2913380</wp:posOffset>
            </wp:positionH>
            <wp:positionV relativeFrom="paragraph">
              <wp:posOffset>-740410</wp:posOffset>
            </wp:positionV>
            <wp:extent cx="34791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94">
                      <a:extLst>
                        <a:ext uri="{28A0092B-C50C-407E-A947-70E740481C1C}"/>
                      </a:extLst>
                    </a:blip>
                    <a:srcRect/>
                    <a:stretch>
                      <a:fillRect/>
                    </a:stretch>
                  </pic:blipFill>
                  <pic:spPr bwMode="auto">
                    <a:xfrm>
                      <a:off x="0" y="0"/>
                      <a:ext cx="3479165" cy="25400"/>
                    </a:xfrm>
                    <a:prstGeom prst="rect">
                      <a:avLst/>
                    </a:prstGeom>
                    <a:noFill/>
                  </pic:spPr>
                </pic:pic>
              </a:graphicData>
            </a:graphic>
          </wp:anchor>
        </w:drawing>
        <w:drawing>
          <wp:anchor simplePos="0" relativeHeight="251657728" behindDoc="1" locked="0" layoutInCell="0" allowOverlap="1">
            <wp:simplePos x="0" y="0"/>
            <wp:positionH relativeFrom="column">
              <wp:posOffset>2913380</wp:posOffset>
            </wp:positionH>
            <wp:positionV relativeFrom="paragraph">
              <wp:posOffset>-208280</wp:posOffset>
            </wp:positionV>
            <wp:extent cx="34791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95">
                      <a:extLst>
                        <a:ext uri="{28A0092B-C50C-407E-A947-70E740481C1C}"/>
                      </a:extLst>
                    </a:blip>
                    <a:srcRect/>
                    <a:stretch>
                      <a:fillRect/>
                    </a:stretch>
                  </pic:blipFill>
                  <pic:spPr bwMode="auto">
                    <a:xfrm>
                      <a:off x="0" y="0"/>
                      <a:ext cx="3479165" cy="2540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restructuring expense by reportable segment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60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2024</w:t>
            </w:r>
          </w:p>
        </w:tc>
        <w:tc>
          <w:tcPr>
            <w:tcW w:w="660" w:type="dxa"/>
            <w:vAlign w:val="bottom"/>
            <w:tcBorders>
              <w:bottom w:val="single" w:sz="8" w:color="auto"/>
            </w:tcBorders>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1240" w:type="dxa"/>
            <w:vAlign w:val="bottom"/>
            <w:tcBorders>
              <w:bottom w:val="single" w:sz="8" w:color="auto"/>
            </w:tcBorders>
          </w:tcPr>
          <w:p>
            <w:pPr>
              <w:jc w:val="right"/>
              <w:ind w:right="62"/>
              <w:spacing w:after="0"/>
              <w:rPr>
                <w:sz w:val="20"/>
                <w:szCs w:val="20"/>
                <w:color w:val="auto"/>
              </w:rPr>
            </w:pPr>
            <w:r>
              <w:rPr>
                <w:rFonts w:ascii="Arial" w:cs="Arial" w:eastAsia="Arial" w:hAnsi="Arial"/>
                <w:sz w:val="20"/>
                <w:szCs w:val="20"/>
                <w:b w:val="1"/>
                <w:bCs w:val="1"/>
                <w:color w:val="auto"/>
              </w:rPr>
              <w:t>2023</w:t>
            </w:r>
          </w:p>
        </w:tc>
        <w:tc>
          <w:tcPr>
            <w:tcW w:w="520" w:type="dxa"/>
            <w:vAlign w:val="bottom"/>
            <w:tcBorders>
              <w:bottom w:val="single" w:sz="8" w:color="auto"/>
            </w:tcBorders>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82"/>
              <w:spacing w:after="0"/>
              <w:rPr>
                <w:sz w:val="20"/>
                <w:szCs w:val="20"/>
                <w:color w:val="auto"/>
              </w:rPr>
            </w:pPr>
            <w:r>
              <w:rPr>
                <w:rFonts w:ascii="Arial" w:cs="Arial" w:eastAsia="Arial" w:hAnsi="Arial"/>
                <w:sz w:val="20"/>
                <w:szCs w:val="20"/>
                <w:b w:val="1"/>
                <w:bCs w:val="1"/>
                <w:color w:val="auto"/>
              </w:rPr>
              <w:t>2022</w:t>
            </w:r>
          </w:p>
        </w:tc>
      </w:tr>
      <w:tr>
        <w:trPr>
          <w:trHeight w:val="270"/>
        </w:trPr>
        <w:tc>
          <w:tcPr>
            <w:tcW w:w="4620" w:type="dxa"/>
            <w:vAlign w:val="bottom"/>
            <w:gridSpan w:val="2"/>
            <w:shd w:val="clear" w:color="auto" w:fill="E6E6E6"/>
          </w:tcPr>
          <w:p>
            <w:pPr>
              <w:ind w:left="40"/>
              <w:spacing w:after="0"/>
              <w:rPr>
                <w:sz w:val="20"/>
                <w:szCs w:val="20"/>
                <w:color w:val="auto"/>
              </w:rPr>
            </w:pPr>
            <w:r>
              <w:rPr>
                <w:rFonts w:ascii="Arial" w:cs="Arial" w:eastAsia="Arial" w:hAnsi="Arial"/>
                <w:sz w:val="20"/>
                <w:szCs w:val="20"/>
                <w:color w:val="auto"/>
              </w:rPr>
              <w:t>Cardiopulmonary</w:t>
            </w:r>
          </w:p>
        </w:tc>
        <w:tc>
          <w:tcPr>
            <w:tcW w:w="1100" w:type="dxa"/>
            <w:vAlign w:val="bottom"/>
            <w:shd w:val="clear" w:color="auto" w:fill="E6E6E6"/>
          </w:tcPr>
          <w:p>
            <w:pPr>
              <w:jc w:val="right"/>
              <w:ind w:right="862"/>
              <w:spacing w:after="0"/>
              <w:rPr>
                <w:sz w:val="20"/>
                <w:szCs w:val="20"/>
                <w:color w:val="auto"/>
              </w:rPr>
            </w:pPr>
            <w:r>
              <w:rPr>
                <w:rFonts w:ascii="Arial" w:cs="Arial" w:eastAsia="Arial" w:hAnsi="Arial"/>
                <w:sz w:val="20"/>
                <w:szCs w:val="20"/>
                <w:color w:val="auto"/>
              </w:rPr>
              <w:t>$</w:t>
            </w:r>
          </w:p>
        </w:tc>
        <w:tc>
          <w:tcPr>
            <w:tcW w:w="6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300" w:type="dxa"/>
            <w:vAlign w:val="bottom"/>
            <w:gridSpan w:val="2"/>
            <w:shd w:val="clear" w:color="auto" w:fill="E6E6E6"/>
          </w:tcPr>
          <w:p>
            <w:pPr>
              <w:jc w:val="right"/>
              <w:ind w:right="982"/>
              <w:spacing w:after="0"/>
              <w:rPr>
                <w:sz w:val="20"/>
                <w:szCs w:val="20"/>
                <w:color w:val="auto"/>
              </w:rPr>
            </w:pPr>
            <w:r>
              <w:rPr>
                <w:rFonts w:ascii="Arial" w:cs="Arial" w:eastAsia="Arial" w:hAnsi="Arial"/>
                <w:sz w:val="20"/>
                <w:szCs w:val="20"/>
                <w:color w:val="auto"/>
              </w:rPr>
              <w:t>$</w:t>
            </w:r>
          </w:p>
        </w:tc>
        <w:tc>
          <w:tcPr>
            <w:tcW w:w="5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(55)</w:t>
            </w:r>
          </w:p>
        </w:tc>
        <w:tc>
          <w:tcPr>
            <w:tcW w:w="500" w:type="dxa"/>
            <w:vAlign w:val="bottom"/>
            <w:gridSpan w:val="2"/>
            <w:shd w:val="clear" w:color="auto" w:fill="E6E6E6"/>
          </w:tcPr>
          <w:p>
            <w:pPr>
              <w:jc w:val="right"/>
              <w:ind w:right="260"/>
              <w:spacing w:after="0"/>
              <w:rPr>
                <w:sz w:val="20"/>
                <w:szCs w:val="20"/>
                <w:color w:val="auto"/>
              </w:rPr>
            </w:pPr>
            <w:r>
              <w:rPr>
                <w:rFonts w:ascii="Arial" w:cs="Arial" w:eastAsia="Arial" w:hAnsi="Arial"/>
                <w:sz w:val="20"/>
                <w:szCs w:val="20"/>
                <w:color w:val="auto"/>
              </w:rPr>
              <w:t>$</w:t>
            </w: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697</w:t>
            </w:r>
          </w:p>
        </w:tc>
      </w:tr>
      <w:tr>
        <w:trPr>
          <w:trHeight w:val="274"/>
        </w:trPr>
        <w:tc>
          <w:tcPr>
            <w:tcW w:w="4620" w:type="dxa"/>
            <w:vAlign w:val="bottom"/>
            <w:gridSpan w:val="2"/>
          </w:tcPr>
          <w:p>
            <w:pPr>
              <w:ind w:left="40"/>
              <w:spacing w:after="0"/>
              <w:rPr>
                <w:sz w:val="20"/>
                <w:szCs w:val="20"/>
                <w:color w:val="auto"/>
              </w:rPr>
            </w:pPr>
            <w:r>
              <w:rPr>
                <w:rFonts w:ascii="Arial" w:cs="Arial" w:eastAsia="Arial" w:hAnsi="Arial"/>
                <w:sz w:val="20"/>
                <w:szCs w:val="20"/>
                <w:color w:val="auto"/>
              </w:rPr>
              <w:t>Neuromodulation</w:t>
            </w:r>
          </w:p>
        </w:tc>
        <w:tc>
          <w:tcPr>
            <w:tcW w:w="1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20"/>
                <w:szCs w:val="20"/>
                <w:color w:val="auto"/>
              </w:rPr>
              <w:t>504</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2,651</w:t>
            </w:r>
          </w:p>
        </w:tc>
      </w:tr>
      <w:tr>
        <w:trPr>
          <w:trHeight w:val="275"/>
        </w:trPr>
        <w:tc>
          <w:tcPr>
            <w:tcW w:w="4620" w:type="dxa"/>
            <w:vAlign w:val="bottom"/>
            <w:tcBorders>
              <w:bottom w:val="single" w:sz="8" w:color="E6E6E6"/>
            </w:tcBorders>
            <w:gridSpan w:val="2"/>
            <w:shd w:val="clear" w:color="auto" w:fill="E6E6E6"/>
          </w:tcPr>
          <w:p>
            <w:pPr>
              <w:ind w:left="40"/>
              <w:spacing w:after="0" w:line="275" w:lineRule="exact"/>
              <w:rPr>
                <w:sz w:val="20"/>
                <w:szCs w:val="20"/>
                <w:color w:val="auto"/>
              </w:rPr>
            </w:pPr>
            <w:r>
              <w:rPr>
                <w:rFonts w:ascii="Arial" w:cs="Arial" w:eastAsia="Arial" w:hAnsi="Arial"/>
                <w:sz w:val="20"/>
                <w:szCs w:val="20"/>
                <w:color w:val="auto"/>
              </w:rPr>
              <w:t xml:space="preserve">Other </w:t>
            </w:r>
            <w:r>
              <w:rPr>
                <w:rFonts w:ascii="Arial" w:cs="Arial" w:eastAsia="Arial" w:hAnsi="Arial"/>
                <w:sz w:val="25"/>
                <w:szCs w:val="25"/>
                <w:color w:val="auto"/>
                <w:vertAlign w:val="superscript"/>
              </w:rPr>
              <w:t>(1)</w:t>
            </w:r>
          </w:p>
        </w:tc>
        <w:tc>
          <w:tcPr>
            <w:tcW w:w="1100" w:type="dxa"/>
            <w:vAlign w:val="bottom"/>
            <w:tcBorders>
              <w:bottom w:val="single" w:sz="8" w:color="auto"/>
            </w:tcBorders>
            <w:shd w:val="clear" w:color="auto" w:fill="E6E6E6"/>
          </w:tcPr>
          <w:p>
            <w:pPr>
              <w:spacing w:after="0"/>
              <w:rPr>
                <w:sz w:val="23"/>
                <w:szCs w:val="23"/>
                <w:color w:val="auto"/>
              </w:rPr>
            </w:pPr>
          </w:p>
        </w:tc>
        <w:tc>
          <w:tcPr>
            <w:tcW w:w="6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w w:val="91"/>
              </w:rPr>
              <w:t>13,356</w:t>
            </w:r>
          </w:p>
        </w:tc>
        <w:tc>
          <w:tcPr>
            <w:tcW w:w="60" w:type="dxa"/>
            <w:vAlign w:val="bottom"/>
            <w:tcBorders>
              <w:bottom w:val="single" w:sz="8" w:color="E6E6E6"/>
            </w:tcBorders>
            <w:shd w:val="clear" w:color="auto" w:fill="E6E6E6"/>
          </w:tcPr>
          <w:p>
            <w:pPr>
              <w:spacing w:after="0"/>
              <w:rPr>
                <w:sz w:val="23"/>
                <w:szCs w:val="23"/>
                <w:color w:val="auto"/>
              </w:rPr>
            </w:pPr>
          </w:p>
        </w:tc>
        <w:tc>
          <w:tcPr>
            <w:tcW w:w="1240" w:type="dxa"/>
            <w:vAlign w:val="bottom"/>
            <w:tcBorders>
              <w:bottom w:val="single" w:sz="8" w:color="auto"/>
            </w:tcBorders>
            <w:shd w:val="clear" w:color="auto" w:fill="E6E6E6"/>
          </w:tcPr>
          <w:p>
            <w:pPr>
              <w:spacing w:after="0"/>
              <w:rPr>
                <w:sz w:val="23"/>
                <w:szCs w:val="23"/>
                <w:color w:val="auto"/>
              </w:rPr>
            </w:pPr>
          </w:p>
        </w:tc>
        <w:tc>
          <w:tcPr>
            <w:tcW w:w="5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507</w:t>
            </w:r>
          </w:p>
        </w:tc>
        <w:tc>
          <w:tcPr>
            <w:tcW w:w="80" w:type="dxa"/>
            <w:vAlign w:val="bottom"/>
            <w:tcBorders>
              <w:bottom w:val="single" w:sz="8" w:color="E6E6E6"/>
            </w:tcBorders>
            <w:shd w:val="clear" w:color="auto" w:fill="E6E6E6"/>
          </w:tcPr>
          <w:p>
            <w:pPr>
              <w:spacing w:after="0"/>
              <w:rPr>
                <w:sz w:val="23"/>
                <w:szCs w:val="23"/>
                <w:color w:val="auto"/>
              </w:rPr>
            </w:pPr>
          </w:p>
        </w:tc>
        <w:tc>
          <w:tcPr>
            <w:tcW w:w="420" w:type="dxa"/>
            <w:vAlign w:val="bottom"/>
            <w:tcBorders>
              <w:bottom w:val="single" w:sz="8" w:color="auto"/>
            </w:tcBorders>
            <w:shd w:val="clear" w:color="auto" w:fill="E6E6E6"/>
          </w:tcPr>
          <w:p>
            <w:pPr>
              <w:spacing w:after="0"/>
              <w:rPr>
                <w:sz w:val="23"/>
                <w:szCs w:val="23"/>
                <w:color w:val="auto"/>
              </w:rPr>
            </w:pPr>
          </w:p>
        </w:tc>
        <w:tc>
          <w:tcPr>
            <w:tcW w:w="13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3,263</w:t>
            </w:r>
          </w:p>
        </w:tc>
      </w:tr>
      <w:tr>
        <w:trPr>
          <w:trHeight w:val="240"/>
        </w:trPr>
        <w:tc>
          <w:tcPr>
            <w:tcW w:w="4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jc w:val="right"/>
              <w:ind w:right="862"/>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w w:val="91"/>
              </w:rPr>
              <w:t>13,356</w:t>
            </w:r>
          </w:p>
        </w:tc>
        <w:tc>
          <w:tcPr>
            <w:tcW w:w="1300" w:type="dxa"/>
            <w:vAlign w:val="bottom"/>
            <w:gridSpan w:val="2"/>
          </w:tcPr>
          <w:p>
            <w:pPr>
              <w:jc w:val="right"/>
              <w:ind w:right="982"/>
              <w:spacing w:after="0"/>
              <w:rPr>
                <w:sz w:val="20"/>
                <w:szCs w:val="20"/>
                <w:color w:val="auto"/>
              </w:rPr>
            </w:pPr>
            <w:r>
              <w:rPr>
                <w:rFonts w:ascii="Arial" w:cs="Arial" w:eastAsia="Arial" w:hAnsi="Arial"/>
                <w:sz w:val="20"/>
                <w:szCs w:val="20"/>
                <w:color w:val="auto"/>
              </w:rPr>
              <w:t>$</w:t>
            </w:r>
          </w:p>
        </w:tc>
        <w:tc>
          <w:tcPr>
            <w:tcW w:w="520" w:type="dxa"/>
            <w:vAlign w:val="bottom"/>
          </w:tcPr>
          <w:p>
            <w:pPr>
              <w:jc w:val="right"/>
              <w:spacing w:after="0"/>
              <w:rPr>
                <w:sz w:val="20"/>
                <w:szCs w:val="20"/>
                <w:color w:val="auto"/>
              </w:rPr>
            </w:pPr>
            <w:r>
              <w:rPr>
                <w:rFonts w:ascii="Arial" w:cs="Arial" w:eastAsia="Arial" w:hAnsi="Arial"/>
                <w:sz w:val="20"/>
                <w:szCs w:val="20"/>
                <w:color w:val="auto"/>
              </w:rPr>
              <w:t>956</w:t>
            </w:r>
          </w:p>
        </w:tc>
        <w:tc>
          <w:tcPr>
            <w:tcW w:w="50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6,611</w:t>
            </w:r>
          </w:p>
        </w:tc>
      </w:tr>
      <w:tr>
        <w:trPr>
          <w:trHeight w:val="20"/>
        </w:trPr>
        <w:tc>
          <w:tcPr>
            <w:tcW w:w="4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2913380</wp:posOffset>
            </wp:positionH>
            <wp:positionV relativeFrom="paragraph">
              <wp:posOffset>-740410</wp:posOffset>
            </wp:positionV>
            <wp:extent cx="34791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96">
                      <a:extLst>
                        <a:ext uri="{28A0092B-C50C-407E-A947-70E740481C1C}"/>
                      </a:extLst>
                    </a:blip>
                    <a:srcRect/>
                    <a:stretch>
                      <a:fillRect/>
                    </a:stretch>
                  </pic:blipFill>
                  <pic:spPr bwMode="auto">
                    <a:xfrm>
                      <a:off x="0" y="0"/>
                      <a:ext cx="3479165" cy="25400"/>
                    </a:xfrm>
                    <a:prstGeom prst="rect">
                      <a:avLst/>
                    </a:prstGeom>
                    <a:noFill/>
                  </pic:spPr>
                </pic:pic>
              </a:graphicData>
            </a:graphic>
          </wp:anchor>
        </w:drawing>
        <w:drawing>
          <wp:anchor simplePos="0" relativeHeight="251657728" behindDoc="1" locked="0" layoutInCell="0" allowOverlap="1">
            <wp:simplePos x="0" y="0"/>
            <wp:positionH relativeFrom="column">
              <wp:posOffset>2913380</wp:posOffset>
            </wp:positionH>
            <wp:positionV relativeFrom="paragraph">
              <wp:posOffset>-208280</wp:posOffset>
            </wp:positionV>
            <wp:extent cx="34791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97">
                      <a:extLst>
                        <a:ext uri="{28A0092B-C50C-407E-A947-70E740481C1C}"/>
                      </a:extLst>
                    </a:blip>
                    <a:srcRect/>
                    <a:stretch>
                      <a:fillRect/>
                    </a:stretch>
                  </pic:blipFill>
                  <pic:spPr bwMode="auto">
                    <a:xfrm>
                      <a:off x="0" y="0"/>
                      <a:ext cx="3479165" cy="25400"/>
                    </a:xfrm>
                    <a:prstGeom prst="rect">
                      <a:avLst/>
                    </a:prstGeom>
                    <a:noFill/>
                  </pic:spPr>
                </pic:pic>
              </a:graphicData>
            </a:graphic>
          </wp:anchor>
        </w:drawing>
      </w:r>
    </w:p>
    <w:p>
      <w:pPr>
        <w:spacing w:after="0" w:line="78" w:lineRule="exact"/>
        <w:rPr>
          <w:sz w:val="20"/>
          <w:szCs w:val="20"/>
          <w:color w:val="auto"/>
        </w:rPr>
      </w:pPr>
    </w:p>
    <w:p>
      <w:pPr>
        <w:ind w:left="700" w:hanging="355"/>
        <w:spacing w:after="0"/>
        <w:tabs>
          <w:tab w:leader="none" w:pos="70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“Other” primarily includes restructuring expense not allocated to segments.</w:t>
      </w:r>
    </w:p>
    <w:p>
      <w:pPr>
        <w:sectPr>
          <w:pgSz w:w="11880" w:h="15480" w:orient="portrait"/>
          <w:cols w:equalWidth="0" w:num="1">
            <w:col w:w="10040"/>
          </w:cols>
          <w:pgMar w:left="920" w:top="66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ectPr>
          <w:pgSz w:w="11880" w:h="15480" w:orient="portrait"/>
          <w:cols w:equalWidth="0" w:num="1">
            <w:col w:w="10040"/>
          </w:cols>
          <w:pgMar w:left="920" w:top="664" w:right="920" w:bottom="0" w:gutter="0" w:footer="0" w:header="0"/>
          <w:type w:val="continuous"/>
        </w:sectPr>
      </w:pPr>
    </w:p>
    <w:bookmarkStart w:id="75" w:name="page76"/>
    <w:bookmarkEnd w:id="75"/>
    <w:p>
      <w:pPr>
        <w:spacing w:after="0"/>
        <w:rPr>
          <w:sz w:val="20"/>
          <w:szCs w:val="20"/>
          <w:color w:val="auto"/>
        </w:rPr>
      </w:pPr>
      <w:r>
        <w:rPr>
          <w:rFonts w:ascii="Arial" w:cs="Arial" w:eastAsia="Arial" w:hAnsi="Arial"/>
          <w:sz w:val="22"/>
          <w:szCs w:val="22"/>
          <w:b w:val="1"/>
          <w:bCs w:val="1"/>
          <w:color w:val="auto"/>
        </w:rPr>
        <w:t>Note 5. Goodwill and Intangible Assets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LivaNova’s finite-lived and indefinite-lived intangible assets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0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rPr>
              <w:t>December 31,</w:t>
            </w:r>
          </w:p>
        </w:tc>
        <w:tc>
          <w:tcPr>
            <w:tcW w:w="940" w:type="dxa"/>
            <w:vAlign w:val="bottom"/>
            <w:tcBorders>
              <w:bottom w:val="single" w:sz="8" w:color="auto"/>
            </w:tcBorders>
          </w:tcPr>
          <w:p>
            <w:pPr>
              <w:spacing w:after="0"/>
              <w:rPr>
                <w:sz w:val="22"/>
                <w:szCs w:val="22"/>
                <w:color w:val="auto"/>
              </w:rPr>
            </w:pPr>
          </w:p>
        </w:tc>
      </w:tr>
      <w:tr>
        <w:trPr>
          <w:trHeight w:val="260"/>
        </w:trPr>
        <w:tc>
          <w:tcPr>
            <w:tcW w:w="70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w w:val="85"/>
              </w:rPr>
              <w:t>2023</w:t>
            </w:r>
          </w:p>
        </w:tc>
      </w:tr>
      <w:tr>
        <w:trPr>
          <w:trHeight w:val="263"/>
        </w:trPr>
        <w:tc>
          <w:tcPr>
            <w:tcW w:w="7000" w:type="dxa"/>
            <w:vAlign w:val="bottom"/>
          </w:tcPr>
          <w:p>
            <w:pPr>
              <w:ind w:left="40"/>
              <w:spacing w:after="0"/>
              <w:rPr>
                <w:sz w:val="20"/>
                <w:szCs w:val="20"/>
                <w:color w:val="auto"/>
              </w:rPr>
            </w:pPr>
            <w:r>
              <w:rPr>
                <w:rFonts w:ascii="Arial" w:cs="Arial" w:eastAsia="Arial" w:hAnsi="Arial"/>
                <w:sz w:val="20"/>
                <w:szCs w:val="20"/>
                <w:color w:val="auto"/>
              </w:rPr>
              <w:t>Finite-lived intangible assets:</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5"/>
        </w:trPr>
        <w:tc>
          <w:tcPr>
            <w:tcW w:w="7000" w:type="dxa"/>
            <w:vAlign w:val="bottom"/>
            <w:shd w:val="clear" w:color="auto" w:fill="E6E6E6"/>
          </w:tcPr>
          <w:p>
            <w:pPr>
              <w:ind w:left="280"/>
              <w:spacing w:after="0"/>
              <w:rPr>
                <w:sz w:val="20"/>
                <w:szCs w:val="20"/>
                <w:color w:val="auto"/>
              </w:rPr>
            </w:pPr>
            <w:r>
              <w:rPr>
                <w:rFonts w:ascii="Arial" w:cs="Arial" w:eastAsia="Arial" w:hAnsi="Arial"/>
                <w:sz w:val="20"/>
                <w:szCs w:val="20"/>
                <w:color w:val="auto"/>
              </w:rPr>
              <w:t>Customer relationships</w:t>
            </w:r>
          </w:p>
        </w:tc>
        <w:tc>
          <w:tcPr>
            <w:tcW w:w="360" w:type="dxa"/>
            <w:vAlign w:val="bottom"/>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178,616</w:t>
            </w:r>
          </w:p>
        </w:tc>
        <w:tc>
          <w:tcPr>
            <w:tcW w:w="620" w:type="dxa"/>
            <w:vAlign w:val="bottom"/>
            <w:gridSpan w:val="2"/>
            <w:shd w:val="clear" w:color="auto" w:fill="E6E6E6"/>
          </w:tcPr>
          <w:p>
            <w:pPr>
              <w:jc w:val="right"/>
              <w:ind w:right="282"/>
              <w:spacing w:after="0"/>
              <w:rPr>
                <w:sz w:val="20"/>
                <w:szCs w:val="20"/>
                <w:color w:val="auto"/>
              </w:rPr>
            </w:pPr>
            <w:r>
              <w:rPr>
                <w:rFonts w:ascii="Arial" w:cs="Arial" w:eastAsia="Arial" w:hAnsi="Arial"/>
                <w:sz w:val="20"/>
                <w:szCs w:val="20"/>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187,196</w:t>
            </w:r>
          </w:p>
        </w:tc>
      </w:tr>
      <w:tr>
        <w:trPr>
          <w:trHeight w:val="274"/>
        </w:trPr>
        <w:tc>
          <w:tcPr>
            <w:tcW w:w="7000" w:type="dxa"/>
            <w:vAlign w:val="bottom"/>
          </w:tcPr>
          <w:p>
            <w:pPr>
              <w:ind w:left="280"/>
              <w:spacing w:after="0"/>
              <w:rPr>
                <w:sz w:val="20"/>
                <w:szCs w:val="20"/>
                <w:color w:val="auto"/>
              </w:rPr>
            </w:pPr>
            <w:r>
              <w:rPr>
                <w:rFonts w:ascii="Arial" w:cs="Arial" w:eastAsia="Arial" w:hAnsi="Arial"/>
                <w:sz w:val="20"/>
                <w:szCs w:val="20"/>
                <w:color w:val="auto"/>
              </w:rPr>
              <w:t>Developed technology</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97,858</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103,490</w:t>
            </w:r>
          </w:p>
        </w:tc>
      </w:tr>
      <w:tr>
        <w:trPr>
          <w:trHeight w:val="285"/>
        </w:trPr>
        <w:tc>
          <w:tcPr>
            <w:tcW w:w="7000" w:type="dxa"/>
            <w:vAlign w:val="bottom"/>
            <w:shd w:val="clear" w:color="auto" w:fill="E6E6E6"/>
          </w:tcPr>
          <w:p>
            <w:pPr>
              <w:ind w:left="280"/>
              <w:spacing w:after="0"/>
              <w:rPr>
                <w:sz w:val="20"/>
                <w:szCs w:val="20"/>
                <w:color w:val="auto"/>
              </w:rPr>
            </w:pPr>
            <w:r>
              <w:rPr>
                <w:rFonts w:ascii="Arial" w:cs="Arial" w:eastAsia="Arial" w:hAnsi="Arial"/>
                <w:sz w:val="20"/>
                <w:szCs w:val="20"/>
                <w:color w:val="auto"/>
              </w:rPr>
              <w:t>Trade names</w:t>
            </w:r>
          </w:p>
        </w:tc>
        <w:tc>
          <w:tcPr>
            <w:tcW w:w="3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12,453</w:t>
            </w:r>
          </w:p>
        </w:tc>
        <w:tc>
          <w:tcPr>
            <w:tcW w:w="80" w:type="dxa"/>
            <w:vAlign w:val="bottom"/>
            <w:shd w:val="clear" w:color="auto" w:fill="E6E6E6"/>
          </w:tcPr>
          <w:p>
            <w:pPr>
              <w:spacing w:after="0"/>
              <w:rPr>
                <w:sz w:val="24"/>
                <w:szCs w:val="24"/>
                <w:color w:val="auto"/>
              </w:rPr>
            </w:pPr>
          </w:p>
        </w:tc>
        <w:tc>
          <w:tcPr>
            <w:tcW w:w="54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13,280</w:t>
            </w:r>
          </w:p>
        </w:tc>
      </w:tr>
      <w:tr>
        <w:trPr>
          <w:trHeight w:val="269"/>
        </w:trPr>
        <w:tc>
          <w:tcPr>
            <w:tcW w:w="7000" w:type="dxa"/>
            <w:vAlign w:val="bottom"/>
            <w:tcBorders>
              <w:bottom w:val="single" w:sz="8" w:color="E6E6E6"/>
            </w:tcBorders>
          </w:tcPr>
          <w:p>
            <w:pPr>
              <w:ind w:left="280"/>
              <w:spacing w:after="0"/>
              <w:rPr>
                <w:sz w:val="20"/>
                <w:szCs w:val="20"/>
                <w:color w:val="auto"/>
              </w:rPr>
            </w:pPr>
            <w:r>
              <w:rPr>
                <w:rFonts w:ascii="Arial" w:cs="Arial" w:eastAsia="Arial" w:hAnsi="Arial"/>
                <w:sz w:val="20"/>
                <w:szCs w:val="20"/>
                <w:color w:val="auto"/>
              </w:rPr>
              <w:t>Other intangible assets</w:t>
            </w: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721</w:t>
            </w:r>
          </w:p>
        </w:tc>
        <w:tc>
          <w:tcPr>
            <w:tcW w:w="80" w:type="dxa"/>
            <w:vAlign w:val="bottom"/>
            <w:tcBorders>
              <w:bottom w:val="single" w:sz="8" w:color="E6E6E6"/>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773</w:t>
            </w:r>
          </w:p>
        </w:tc>
      </w:tr>
      <w:tr>
        <w:trPr>
          <w:trHeight w:val="270"/>
        </w:trPr>
        <w:tc>
          <w:tcPr>
            <w:tcW w:w="7000" w:type="dxa"/>
            <w:vAlign w:val="bottom"/>
            <w:shd w:val="clear" w:color="auto" w:fill="E6E6E6"/>
          </w:tcPr>
          <w:p>
            <w:pPr>
              <w:ind w:left="160"/>
              <w:spacing w:after="0"/>
              <w:rPr>
                <w:sz w:val="20"/>
                <w:szCs w:val="20"/>
                <w:color w:val="auto"/>
              </w:rPr>
            </w:pPr>
            <w:r>
              <w:rPr>
                <w:rFonts w:ascii="Arial" w:cs="Arial" w:eastAsia="Arial" w:hAnsi="Arial"/>
                <w:sz w:val="20"/>
                <w:szCs w:val="20"/>
                <w:color w:val="auto"/>
              </w:rPr>
              <w:t>Total gross finite-lived intangible assets</w:t>
            </w:r>
          </w:p>
        </w:tc>
        <w:tc>
          <w:tcPr>
            <w:tcW w:w="360" w:type="dxa"/>
            <w:vAlign w:val="bottom"/>
            <w:shd w:val="clear" w:color="auto" w:fill="E6E6E6"/>
          </w:tcPr>
          <w:p>
            <w:pPr>
              <w:spacing w:after="0"/>
              <w:rPr>
                <w:sz w:val="23"/>
                <w:szCs w:val="23"/>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289,648</w:t>
            </w:r>
          </w:p>
        </w:tc>
        <w:tc>
          <w:tcPr>
            <w:tcW w:w="80" w:type="dxa"/>
            <w:vAlign w:val="bottom"/>
            <w:shd w:val="clear" w:color="auto" w:fill="E6E6E6"/>
          </w:tcPr>
          <w:p>
            <w:pPr>
              <w:spacing w:after="0"/>
              <w:rPr>
                <w:sz w:val="23"/>
                <w:szCs w:val="23"/>
                <w:color w:val="auto"/>
              </w:rPr>
            </w:pPr>
          </w:p>
        </w:tc>
        <w:tc>
          <w:tcPr>
            <w:tcW w:w="540" w:type="dxa"/>
            <w:vAlign w:val="bottom"/>
            <w:shd w:val="clear" w:color="auto" w:fill="E6E6E6"/>
          </w:tcPr>
          <w:p>
            <w:pPr>
              <w:spacing w:after="0"/>
              <w:rPr>
                <w:sz w:val="23"/>
                <w:szCs w:val="23"/>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304,739</w:t>
            </w:r>
          </w:p>
        </w:tc>
      </w:tr>
      <w:tr>
        <w:trPr>
          <w:trHeight w:val="274"/>
        </w:trPr>
        <w:tc>
          <w:tcPr>
            <w:tcW w:w="7000" w:type="dxa"/>
            <w:vAlign w:val="bottom"/>
          </w:tcPr>
          <w:p>
            <w:pPr>
              <w:ind w:left="280"/>
              <w:spacing w:after="0"/>
              <w:rPr>
                <w:sz w:val="20"/>
                <w:szCs w:val="20"/>
                <w:color w:val="auto"/>
              </w:rPr>
            </w:pPr>
            <w:r>
              <w:rPr>
                <w:rFonts w:ascii="Arial" w:cs="Arial" w:eastAsia="Arial" w:hAnsi="Arial"/>
                <w:sz w:val="20"/>
                <w:szCs w:val="20"/>
                <w:color w:val="auto"/>
              </w:rPr>
              <w:t>Accumulated amortization - Customer relationships</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90,895</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84,647</w:t>
            </w:r>
          </w:p>
        </w:tc>
      </w:tr>
      <w:tr>
        <w:trPr>
          <w:trHeight w:val="285"/>
        </w:trPr>
        <w:tc>
          <w:tcPr>
            <w:tcW w:w="7000" w:type="dxa"/>
            <w:vAlign w:val="bottom"/>
            <w:shd w:val="clear" w:color="auto" w:fill="E6E6E6"/>
          </w:tcPr>
          <w:p>
            <w:pPr>
              <w:ind w:left="280"/>
              <w:spacing w:after="0"/>
              <w:rPr>
                <w:sz w:val="20"/>
                <w:szCs w:val="20"/>
                <w:color w:val="auto"/>
              </w:rPr>
            </w:pPr>
            <w:r>
              <w:rPr>
                <w:rFonts w:ascii="Arial" w:cs="Arial" w:eastAsia="Arial" w:hAnsi="Arial"/>
                <w:sz w:val="20"/>
                <w:szCs w:val="20"/>
                <w:color w:val="auto"/>
              </w:rPr>
              <w:t>Accumulated amortization - Developed technology</w:t>
            </w:r>
          </w:p>
        </w:tc>
        <w:tc>
          <w:tcPr>
            <w:tcW w:w="3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60,315</w:t>
            </w:r>
          </w:p>
        </w:tc>
        <w:tc>
          <w:tcPr>
            <w:tcW w:w="80" w:type="dxa"/>
            <w:vAlign w:val="bottom"/>
            <w:shd w:val="clear" w:color="auto" w:fill="E6E6E6"/>
          </w:tcPr>
          <w:p>
            <w:pPr>
              <w:spacing w:after="0"/>
              <w:rPr>
                <w:sz w:val="24"/>
                <w:szCs w:val="24"/>
                <w:color w:val="auto"/>
              </w:rPr>
            </w:pPr>
          </w:p>
        </w:tc>
        <w:tc>
          <w:tcPr>
            <w:tcW w:w="54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56,921</w:t>
            </w:r>
          </w:p>
        </w:tc>
      </w:tr>
      <w:tr>
        <w:trPr>
          <w:trHeight w:val="274"/>
        </w:trPr>
        <w:tc>
          <w:tcPr>
            <w:tcW w:w="7000" w:type="dxa"/>
            <w:vAlign w:val="bottom"/>
          </w:tcPr>
          <w:p>
            <w:pPr>
              <w:ind w:left="280"/>
              <w:spacing w:after="0"/>
              <w:rPr>
                <w:sz w:val="20"/>
                <w:szCs w:val="20"/>
                <w:color w:val="auto"/>
              </w:rPr>
            </w:pPr>
            <w:r>
              <w:rPr>
                <w:rFonts w:ascii="Arial" w:cs="Arial" w:eastAsia="Arial" w:hAnsi="Arial"/>
                <w:sz w:val="20"/>
                <w:szCs w:val="20"/>
                <w:color w:val="auto"/>
              </w:rPr>
              <w:t>Accumulated amortization - Trade names</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12,453</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13,280</w:t>
            </w:r>
          </w:p>
        </w:tc>
      </w:tr>
      <w:tr>
        <w:trPr>
          <w:trHeight w:val="294"/>
        </w:trPr>
        <w:tc>
          <w:tcPr>
            <w:tcW w:w="7000" w:type="dxa"/>
            <w:vAlign w:val="bottom"/>
            <w:tcBorders>
              <w:bottom w:val="single" w:sz="8" w:color="E6E6E6"/>
            </w:tcBorders>
            <w:shd w:val="clear" w:color="auto" w:fill="E6E6E6"/>
          </w:tcPr>
          <w:p>
            <w:pPr>
              <w:ind w:left="280"/>
              <w:spacing w:after="0"/>
              <w:rPr>
                <w:sz w:val="20"/>
                <w:szCs w:val="20"/>
                <w:color w:val="auto"/>
              </w:rPr>
            </w:pPr>
            <w:r>
              <w:rPr>
                <w:rFonts w:ascii="Arial" w:cs="Arial" w:eastAsia="Arial" w:hAnsi="Arial"/>
                <w:sz w:val="20"/>
                <w:szCs w:val="20"/>
                <w:color w:val="auto"/>
              </w:rPr>
              <w:t>Accumulated amortization - Other intangible assets</w:t>
            </w:r>
          </w:p>
        </w:tc>
        <w:tc>
          <w:tcPr>
            <w:tcW w:w="36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691</w:t>
            </w:r>
          </w:p>
        </w:tc>
        <w:tc>
          <w:tcPr>
            <w:tcW w:w="80" w:type="dxa"/>
            <w:vAlign w:val="bottom"/>
            <w:tcBorders>
              <w:bottom w:val="single" w:sz="8" w:color="E6E6E6"/>
            </w:tcBorders>
            <w:shd w:val="clear" w:color="auto" w:fill="E6E6E6"/>
          </w:tcPr>
          <w:p>
            <w:pPr>
              <w:spacing w:after="0"/>
              <w:rPr>
                <w:sz w:val="24"/>
                <w:szCs w:val="24"/>
                <w:color w:val="auto"/>
              </w:rPr>
            </w:pPr>
          </w:p>
        </w:tc>
        <w:tc>
          <w:tcPr>
            <w:tcW w:w="54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719</w:t>
            </w:r>
          </w:p>
        </w:tc>
      </w:tr>
      <w:tr>
        <w:trPr>
          <w:trHeight w:val="240"/>
        </w:trPr>
        <w:tc>
          <w:tcPr>
            <w:tcW w:w="7000" w:type="dxa"/>
            <w:vAlign w:val="bottom"/>
            <w:tcBorders>
              <w:bottom w:val="single" w:sz="8" w:color="E6E6E6"/>
            </w:tcBorders>
          </w:tcPr>
          <w:p>
            <w:pPr>
              <w:ind w:left="160"/>
              <w:spacing w:after="0"/>
              <w:rPr>
                <w:sz w:val="20"/>
                <w:szCs w:val="20"/>
                <w:color w:val="auto"/>
              </w:rPr>
            </w:pPr>
            <w:r>
              <w:rPr>
                <w:rFonts w:ascii="Arial" w:cs="Arial" w:eastAsia="Arial" w:hAnsi="Arial"/>
                <w:sz w:val="20"/>
                <w:szCs w:val="20"/>
                <w:color w:val="auto"/>
              </w:rPr>
              <w:t>Total accumulated amortization</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164,354</w:t>
            </w:r>
          </w:p>
        </w:tc>
        <w:tc>
          <w:tcPr>
            <w:tcW w:w="80" w:type="dxa"/>
            <w:vAlign w:val="bottom"/>
            <w:tcBorders>
              <w:bottom w:val="single" w:sz="8" w:color="E6E6E6"/>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155,567</w:t>
            </w:r>
          </w:p>
        </w:tc>
      </w:tr>
      <w:tr>
        <w:trPr>
          <w:trHeight w:val="279"/>
        </w:trPr>
        <w:tc>
          <w:tcPr>
            <w:tcW w:w="7000" w:type="dxa"/>
            <w:vAlign w:val="bottom"/>
            <w:shd w:val="clear" w:color="auto" w:fill="E6E6E6"/>
          </w:tcPr>
          <w:p>
            <w:pPr>
              <w:ind w:left="40"/>
              <w:spacing w:after="0"/>
              <w:rPr>
                <w:sz w:val="20"/>
                <w:szCs w:val="20"/>
                <w:color w:val="auto"/>
              </w:rPr>
            </w:pPr>
            <w:r>
              <w:rPr>
                <w:rFonts w:ascii="Arial" w:cs="Arial" w:eastAsia="Arial" w:hAnsi="Arial"/>
                <w:sz w:val="20"/>
                <w:szCs w:val="20"/>
                <w:color w:val="auto"/>
              </w:rPr>
              <w:t>Net finite-lived intangible assets</w:t>
            </w:r>
          </w:p>
        </w:tc>
        <w:tc>
          <w:tcPr>
            <w:tcW w:w="360" w:type="dxa"/>
            <w:vAlign w:val="bottom"/>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125,294</w:t>
            </w:r>
          </w:p>
        </w:tc>
        <w:tc>
          <w:tcPr>
            <w:tcW w:w="620" w:type="dxa"/>
            <w:vAlign w:val="bottom"/>
            <w:gridSpan w:val="2"/>
            <w:shd w:val="clear" w:color="auto" w:fill="E6E6E6"/>
          </w:tcPr>
          <w:p>
            <w:pPr>
              <w:jc w:val="right"/>
              <w:ind w:right="282"/>
              <w:spacing w:after="0"/>
              <w:rPr>
                <w:sz w:val="20"/>
                <w:szCs w:val="20"/>
                <w:color w:val="auto"/>
              </w:rPr>
            </w:pPr>
            <w:r>
              <w:rPr>
                <w:rFonts w:ascii="Arial" w:cs="Arial" w:eastAsia="Arial" w:hAnsi="Arial"/>
                <w:sz w:val="20"/>
                <w:szCs w:val="20"/>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149,172</w:t>
            </w:r>
          </w:p>
        </w:tc>
      </w:tr>
      <w:tr>
        <w:trPr>
          <w:trHeight w:val="244"/>
        </w:trPr>
        <w:tc>
          <w:tcPr>
            <w:tcW w:w="7000" w:type="dxa"/>
            <w:vAlign w:val="bottom"/>
            <w:tcBorders>
              <w:top w:val="single" w:sz="8" w:color="E6E6E6"/>
            </w:tcBorders>
          </w:tcPr>
          <w:p>
            <w:pPr>
              <w:ind w:left="40"/>
              <w:spacing w:after="0"/>
              <w:rPr>
                <w:sz w:val="20"/>
                <w:szCs w:val="20"/>
                <w:color w:val="auto"/>
              </w:rPr>
            </w:pPr>
            <w:r>
              <w:rPr>
                <w:rFonts w:ascii="Arial" w:cs="Arial" w:eastAsia="Arial" w:hAnsi="Arial"/>
                <w:sz w:val="20"/>
                <w:szCs w:val="20"/>
                <w:color w:val="auto"/>
              </w:rPr>
              <w:t>Indefinite-lived intangible assets:</w:t>
            </w: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80" w:type="dxa"/>
            <w:vAlign w:val="bottom"/>
            <w:tcBorders>
              <w:top w:val="single" w:sz="8" w:color="E6E6E6"/>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r>
      <w:tr>
        <w:trPr>
          <w:trHeight w:val="285"/>
        </w:trPr>
        <w:tc>
          <w:tcPr>
            <w:tcW w:w="7000" w:type="dxa"/>
            <w:vAlign w:val="bottom"/>
            <w:shd w:val="clear" w:color="auto" w:fill="E6E6E6"/>
          </w:tcPr>
          <w:p>
            <w:pPr>
              <w:ind w:left="160"/>
              <w:spacing w:after="0"/>
              <w:rPr>
                <w:sz w:val="20"/>
                <w:szCs w:val="20"/>
                <w:color w:val="auto"/>
              </w:rPr>
            </w:pPr>
            <w:r>
              <w:rPr>
                <w:rFonts w:ascii="Arial" w:cs="Arial" w:eastAsia="Arial" w:hAnsi="Arial"/>
                <w:sz w:val="20"/>
                <w:szCs w:val="20"/>
                <w:color w:val="auto"/>
              </w:rPr>
              <w:t>IPR&amp;D</w:t>
            </w:r>
          </w:p>
        </w:tc>
        <w:tc>
          <w:tcPr>
            <w:tcW w:w="360" w:type="dxa"/>
            <w:vAlign w:val="bottom"/>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112,000</w:t>
            </w:r>
          </w:p>
        </w:tc>
        <w:tc>
          <w:tcPr>
            <w:tcW w:w="620" w:type="dxa"/>
            <w:vAlign w:val="bottom"/>
            <w:gridSpan w:val="2"/>
            <w:shd w:val="clear" w:color="auto" w:fill="E6E6E6"/>
          </w:tcPr>
          <w:p>
            <w:pPr>
              <w:jc w:val="right"/>
              <w:ind w:right="282"/>
              <w:spacing w:after="0"/>
              <w:rPr>
                <w:sz w:val="20"/>
                <w:szCs w:val="20"/>
                <w:color w:val="auto"/>
              </w:rPr>
            </w:pPr>
            <w:r>
              <w:rPr>
                <w:rFonts w:ascii="Arial" w:cs="Arial" w:eastAsia="Arial" w:hAnsi="Arial"/>
                <w:sz w:val="20"/>
                <w:szCs w:val="20"/>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112,006</w:t>
            </w:r>
          </w:p>
        </w:tc>
      </w:tr>
      <w:tr>
        <w:trPr>
          <w:trHeight w:val="269"/>
        </w:trPr>
        <w:tc>
          <w:tcPr>
            <w:tcW w:w="7000" w:type="dxa"/>
            <w:vAlign w:val="bottom"/>
            <w:tcBorders>
              <w:bottom w:val="single" w:sz="8" w:color="E6E6E6"/>
            </w:tcBorders>
          </w:tcPr>
          <w:p>
            <w:pPr>
              <w:ind w:left="160"/>
              <w:spacing w:after="0"/>
              <w:rPr>
                <w:sz w:val="20"/>
                <w:szCs w:val="20"/>
                <w:color w:val="auto"/>
              </w:rPr>
            </w:pPr>
            <w:r>
              <w:rPr>
                <w:rFonts w:ascii="Arial" w:cs="Arial" w:eastAsia="Arial" w:hAnsi="Arial"/>
                <w:sz w:val="20"/>
                <w:szCs w:val="20"/>
                <w:color w:val="auto"/>
              </w:rPr>
              <w:t>Goodwill</w:t>
            </w: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750,006</w:t>
            </w:r>
          </w:p>
        </w:tc>
        <w:tc>
          <w:tcPr>
            <w:tcW w:w="80" w:type="dxa"/>
            <w:vAlign w:val="bottom"/>
            <w:tcBorders>
              <w:bottom w:val="single" w:sz="8" w:color="E6E6E6"/>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782,941</w:t>
            </w:r>
          </w:p>
        </w:tc>
      </w:tr>
      <w:tr>
        <w:trPr>
          <w:trHeight w:val="279"/>
        </w:trPr>
        <w:tc>
          <w:tcPr>
            <w:tcW w:w="70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Total indefinite-lived intangible assets</w:t>
            </w:r>
          </w:p>
        </w:tc>
        <w:tc>
          <w:tcPr>
            <w:tcW w:w="360" w:type="dxa"/>
            <w:vAlign w:val="bottom"/>
            <w:tcBorders>
              <w:bottom w:val="single" w:sz="8" w:color="auto"/>
            </w:tcBorders>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862,006</w:t>
            </w:r>
          </w:p>
        </w:tc>
        <w:tc>
          <w:tcPr>
            <w:tcW w:w="80" w:type="dxa"/>
            <w:vAlign w:val="bottom"/>
            <w:tcBorders>
              <w:bottom w:val="single" w:sz="8" w:color="E6E6E6"/>
            </w:tcBorders>
            <w:shd w:val="clear" w:color="auto" w:fill="E6E6E6"/>
          </w:tcPr>
          <w:p>
            <w:pPr>
              <w:spacing w:after="0"/>
              <w:rPr>
                <w:sz w:val="24"/>
                <w:szCs w:val="24"/>
                <w:color w:val="auto"/>
              </w:rPr>
            </w:pPr>
          </w:p>
        </w:tc>
        <w:tc>
          <w:tcPr>
            <w:tcW w:w="540" w:type="dxa"/>
            <w:vAlign w:val="bottom"/>
            <w:tcBorders>
              <w:bottom w:val="single" w:sz="8" w:color="auto"/>
            </w:tcBorders>
            <w:shd w:val="clear" w:color="auto" w:fill="E6E6E6"/>
          </w:tcPr>
          <w:p>
            <w:pPr>
              <w:jc w:val="right"/>
              <w:ind w:right="282"/>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894,947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4435475</wp:posOffset>
            </wp:positionH>
            <wp:positionV relativeFrom="paragraph">
              <wp:posOffset>-1981835</wp:posOffset>
            </wp:positionV>
            <wp:extent cx="195770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98">
                      <a:extLst>
                        <a:ext uri="{28A0092B-C50C-407E-A947-70E740481C1C}"/>
                      </a:extLst>
                    </a:blip>
                    <a:srcRect/>
                    <a:stretch>
                      <a:fillRect/>
                    </a:stretch>
                  </pic:blipFill>
                  <pic:spPr bwMode="auto">
                    <a:xfrm>
                      <a:off x="0" y="0"/>
                      <a:ext cx="1957705" cy="25400"/>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-1094740</wp:posOffset>
            </wp:positionV>
            <wp:extent cx="195770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99">
                      <a:extLst>
                        <a:ext uri="{28A0092B-C50C-407E-A947-70E740481C1C}"/>
                      </a:extLst>
                    </a:blip>
                    <a:srcRect/>
                    <a:stretch>
                      <a:fillRect/>
                    </a:stretch>
                  </pic:blipFill>
                  <pic:spPr bwMode="auto">
                    <a:xfrm>
                      <a:off x="0" y="0"/>
                      <a:ext cx="1957705" cy="25400"/>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-917575</wp:posOffset>
            </wp:positionV>
            <wp:extent cx="195770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00">
                      <a:extLst>
                        <a:ext uri="{28A0092B-C50C-407E-A947-70E740481C1C}"/>
                      </a:extLst>
                    </a:blip>
                    <a:srcRect/>
                    <a:stretch>
                      <a:fillRect/>
                    </a:stretch>
                  </pic:blipFill>
                  <pic:spPr bwMode="auto">
                    <a:xfrm>
                      <a:off x="0" y="0"/>
                      <a:ext cx="1957705" cy="25400"/>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-752475</wp:posOffset>
            </wp:positionV>
            <wp:extent cx="1957705" cy="501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01">
                      <a:extLst>
                        <a:ext uri="{28A0092B-C50C-407E-A947-70E740481C1C}"/>
                      </a:extLst>
                    </a:blip>
                    <a:srcRect/>
                    <a:stretch>
                      <a:fillRect/>
                    </a:stretch>
                  </pic:blipFill>
                  <pic:spPr bwMode="auto">
                    <a:xfrm>
                      <a:off x="0" y="0"/>
                      <a:ext cx="1957705" cy="50165"/>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-208280</wp:posOffset>
            </wp:positionV>
            <wp:extent cx="195770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02">
                      <a:extLst>
                        <a:ext uri="{28A0092B-C50C-407E-A947-70E740481C1C}"/>
                      </a:extLst>
                    </a:blip>
                    <a:srcRect/>
                    <a:stretch>
                      <a:fillRect/>
                    </a:stretch>
                  </pic:blipFill>
                  <pic:spPr bwMode="auto">
                    <a:xfrm>
                      <a:off x="0" y="0"/>
                      <a:ext cx="1957705" cy="25400"/>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-43180</wp:posOffset>
            </wp:positionV>
            <wp:extent cx="1957705" cy="501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03">
                      <a:extLst>
                        <a:ext uri="{28A0092B-C50C-407E-A947-70E740481C1C}"/>
                      </a:extLst>
                    </a:blip>
                    <a:srcRect/>
                    <a:stretch>
                      <a:fillRect/>
                    </a:stretch>
                  </pic:blipFill>
                  <pic:spPr bwMode="auto">
                    <a:xfrm>
                      <a:off x="0" y="0"/>
                      <a:ext cx="1957705" cy="5016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amortization periods for LivaNova’s finite-lived intangible assets as of December 31, 2024:</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20"/>
                <w:szCs w:val="20"/>
                <w:b w:val="1"/>
                <w:bCs w:val="1"/>
                <w:color w:val="auto"/>
                <w:w w:val="94"/>
              </w:rPr>
              <w:t>Minimum Life</w:t>
            </w:r>
          </w:p>
        </w:tc>
        <w:tc>
          <w:tcPr>
            <w:tcW w:w="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20"/>
                <w:szCs w:val="20"/>
                <w:b w:val="1"/>
                <w:bCs w:val="1"/>
                <w:color w:val="auto"/>
                <w:w w:val="94"/>
              </w:rPr>
              <w:t>Maximum Life</w:t>
            </w:r>
          </w:p>
        </w:tc>
      </w:tr>
      <w:tr>
        <w:trPr>
          <w:trHeight w:val="258"/>
        </w:trPr>
        <w:tc>
          <w:tcPr>
            <w:tcW w:w="7000" w:type="dxa"/>
            <w:vAlign w:val="bottom"/>
            <w:tcBorders>
              <w:bottom w:val="single" w:sz="8" w:color="E6E6E6"/>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7"/>
              </w:rPr>
              <w:t>in years</w:t>
            </w:r>
          </w:p>
        </w:tc>
        <w:tc>
          <w:tcPr>
            <w:tcW w:w="80" w:type="dxa"/>
            <w:vAlign w:val="bottom"/>
            <w:tcBorders>
              <w:bottom w:val="single" w:sz="8" w:color="E6E6E6"/>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7"/>
              </w:rPr>
              <w:t>in years</w:t>
            </w:r>
          </w:p>
        </w:tc>
      </w:tr>
      <w:tr>
        <w:trPr>
          <w:trHeight w:val="269"/>
        </w:trPr>
        <w:tc>
          <w:tcPr>
            <w:tcW w:w="7000" w:type="dxa"/>
            <w:vAlign w:val="bottom"/>
            <w:shd w:val="clear" w:color="auto" w:fill="E6E6E6"/>
          </w:tcPr>
          <w:p>
            <w:pPr>
              <w:ind w:left="40"/>
              <w:spacing w:after="0"/>
              <w:rPr>
                <w:sz w:val="20"/>
                <w:szCs w:val="20"/>
                <w:color w:val="auto"/>
              </w:rPr>
            </w:pPr>
            <w:r>
              <w:rPr>
                <w:rFonts w:ascii="Arial" w:cs="Arial" w:eastAsia="Arial" w:hAnsi="Arial"/>
                <w:sz w:val="20"/>
                <w:szCs w:val="20"/>
                <w:color w:val="auto"/>
              </w:rPr>
              <w:t>Customer relationships</w:t>
            </w:r>
          </w:p>
        </w:tc>
        <w:tc>
          <w:tcPr>
            <w:tcW w:w="1480" w:type="dxa"/>
            <w:vAlign w:val="bottom"/>
            <w:shd w:val="clear" w:color="auto" w:fill="E6E6E6"/>
          </w:tcPr>
          <w:p>
            <w:pPr>
              <w:jc w:val="right"/>
              <w:ind w:right="582"/>
              <w:spacing w:after="0"/>
              <w:rPr>
                <w:sz w:val="20"/>
                <w:szCs w:val="20"/>
                <w:color w:val="auto"/>
              </w:rPr>
            </w:pPr>
            <w:r>
              <w:rPr>
                <w:rFonts w:ascii="Arial" w:cs="Arial" w:eastAsia="Arial" w:hAnsi="Arial"/>
                <w:sz w:val="20"/>
                <w:szCs w:val="20"/>
                <w:color w:val="auto"/>
              </w:rPr>
              <w:t>8</w:t>
            </w:r>
          </w:p>
        </w:tc>
        <w:tc>
          <w:tcPr>
            <w:tcW w:w="1560" w:type="dxa"/>
            <w:vAlign w:val="bottom"/>
            <w:gridSpan w:val="2"/>
            <w:shd w:val="clear" w:color="auto" w:fill="E6E6E6"/>
          </w:tcPr>
          <w:p>
            <w:pPr>
              <w:jc w:val="center"/>
              <w:spacing w:after="0"/>
              <w:rPr>
                <w:sz w:val="20"/>
                <w:szCs w:val="20"/>
                <w:color w:val="auto"/>
              </w:rPr>
            </w:pPr>
            <w:r>
              <w:rPr>
                <w:rFonts w:ascii="Arial" w:cs="Arial" w:eastAsia="Arial" w:hAnsi="Arial"/>
                <w:sz w:val="20"/>
                <w:szCs w:val="20"/>
                <w:color w:val="auto"/>
                <w:w w:val="89"/>
              </w:rPr>
              <w:t>18</w:t>
            </w:r>
          </w:p>
        </w:tc>
      </w:tr>
      <w:tr>
        <w:trPr>
          <w:trHeight w:val="268"/>
        </w:trPr>
        <w:tc>
          <w:tcPr>
            <w:tcW w:w="7000" w:type="dxa"/>
            <w:vAlign w:val="bottom"/>
          </w:tcPr>
          <w:p>
            <w:pPr>
              <w:ind w:left="40"/>
              <w:spacing w:after="0"/>
              <w:rPr>
                <w:sz w:val="20"/>
                <w:szCs w:val="20"/>
                <w:color w:val="auto"/>
              </w:rPr>
            </w:pPr>
            <w:r>
              <w:rPr>
                <w:rFonts w:ascii="Arial" w:cs="Arial" w:eastAsia="Arial" w:hAnsi="Arial"/>
                <w:sz w:val="20"/>
                <w:szCs w:val="20"/>
                <w:color w:val="auto"/>
              </w:rPr>
              <w:t>Developed technology</w:t>
            </w:r>
          </w:p>
        </w:tc>
        <w:tc>
          <w:tcPr>
            <w:tcW w:w="1480" w:type="dxa"/>
            <w:vAlign w:val="bottom"/>
          </w:tcPr>
          <w:p>
            <w:pPr>
              <w:jc w:val="right"/>
              <w:ind w:right="542"/>
              <w:spacing w:after="0"/>
              <w:rPr>
                <w:sz w:val="20"/>
                <w:szCs w:val="20"/>
                <w:color w:val="auto"/>
              </w:rPr>
            </w:pPr>
            <w:r>
              <w:rPr>
                <w:rFonts w:ascii="Arial" w:cs="Arial" w:eastAsia="Arial" w:hAnsi="Arial"/>
                <w:sz w:val="20"/>
                <w:szCs w:val="20"/>
                <w:color w:val="auto"/>
              </w:rPr>
              <w:t>14</w:t>
            </w:r>
          </w:p>
        </w:tc>
        <w:tc>
          <w:tcPr>
            <w:tcW w:w="1560" w:type="dxa"/>
            <w:vAlign w:val="bottom"/>
            <w:gridSpan w:val="2"/>
          </w:tcPr>
          <w:p>
            <w:pPr>
              <w:jc w:val="center"/>
              <w:spacing w:after="0"/>
              <w:rPr>
                <w:sz w:val="20"/>
                <w:szCs w:val="20"/>
                <w:color w:val="auto"/>
              </w:rPr>
            </w:pPr>
            <w:r>
              <w:rPr>
                <w:rFonts w:ascii="Arial" w:cs="Arial" w:eastAsia="Arial" w:hAnsi="Arial"/>
                <w:sz w:val="20"/>
                <w:szCs w:val="20"/>
                <w:color w:val="auto"/>
                <w:w w:val="89"/>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4434840</wp:posOffset>
            </wp:positionH>
            <wp:positionV relativeFrom="paragraph">
              <wp:posOffset>-359410</wp:posOffset>
            </wp:positionV>
            <wp:extent cx="195770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04">
                      <a:extLst>
                        <a:ext uri="{28A0092B-C50C-407E-A947-70E740481C1C}"/>
                      </a:extLst>
                    </a:blip>
                    <a:srcRect/>
                    <a:stretch>
                      <a:fillRect/>
                    </a:stretch>
                  </pic:blipFill>
                  <pic:spPr bwMode="auto">
                    <a:xfrm>
                      <a:off x="0" y="0"/>
                      <a:ext cx="1957705" cy="2540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estimated future amortization expense based on LivaNova’s finite-lived intangible assets as of</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2024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8560" w:type="dxa"/>
            <w:vAlign w:val="bottom"/>
            <w:shd w:val="clear" w:color="auto" w:fill="E6E6E6"/>
          </w:tcPr>
          <w:p>
            <w:pPr>
              <w:ind w:left="40"/>
              <w:spacing w:after="0"/>
              <w:rPr>
                <w:sz w:val="20"/>
                <w:szCs w:val="20"/>
                <w:color w:val="auto"/>
              </w:rPr>
            </w:pPr>
            <w:r>
              <w:rPr>
                <w:rFonts w:ascii="Arial" w:cs="Arial" w:eastAsia="Arial" w:hAnsi="Arial"/>
                <w:sz w:val="20"/>
                <w:szCs w:val="20"/>
                <w:color w:val="auto"/>
              </w:rPr>
              <w:t>2025</w:t>
            </w:r>
          </w:p>
        </w:tc>
        <w:tc>
          <w:tcPr>
            <w:tcW w:w="460" w:type="dxa"/>
            <w:vAlign w:val="bottom"/>
            <w:shd w:val="clear" w:color="auto" w:fill="E6E6E6"/>
          </w:tcPr>
          <w:p>
            <w:pPr>
              <w:jc w:val="right"/>
              <w:ind w:right="202"/>
              <w:spacing w:after="0"/>
              <w:rPr>
                <w:sz w:val="20"/>
                <w:szCs w:val="20"/>
                <w:color w:val="auto"/>
              </w:rPr>
            </w:pPr>
            <w:r>
              <w:rPr>
                <w:rFonts w:ascii="Arial" w:cs="Arial" w:eastAsia="Arial" w:hAnsi="Arial"/>
                <w:sz w:val="20"/>
                <w:szCs w:val="20"/>
                <w:color w:val="auto"/>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16,654</w:t>
            </w:r>
          </w:p>
        </w:tc>
      </w:tr>
      <w:tr>
        <w:trPr>
          <w:trHeight w:val="274"/>
        </w:trPr>
        <w:tc>
          <w:tcPr>
            <w:tcW w:w="8560" w:type="dxa"/>
            <w:vAlign w:val="bottom"/>
          </w:tcPr>
          <w:p>
            <w:pPr>
              <w:ind w:left="40"/>
              <w:spacing w:after="0"/>
              <w:rPr>
                <w:sz w:val="20"/>
                <w:szCs w:val="20"/>
                <w:color w:val="auto"/>
              </w:rPr>
            </w:pPr>
            <w:r>
              <w:rPr>
                <w:rFonts w:ascii="Arial" w:cs="Arial" w:eastAsia="Arial" w:hAnsi="Arial"/>
                <w:sz w:val="20"/>
                <w:szCs w:val="20"/>
                <w:color w:val="auto"/>
              </w:rPr>
              <w:t>2026</w:t>
            </w: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16,298</w:t>
            </w:r>
          </w:p>
        </w:tc>
      </w:tr>
      <w:tr>
        <w:trPr>
          <w:trHeight w:val="285"/>
        </w:trPr>
        <w:tc>
          <w:tcPr>
            <w:tcW w:w="8560" w:type="dxa"/>
            <w:vAlign w:val="bottom"/>
            <w:shd w:val="clear" w:color="auto" w:fill="E6E6E6"/>
          </w:tcPr>
          <w:p>
            <w:pPr>
              <w:ind w:left="40"/>
              <w:spacing w:after="0"/>
              <w:rPr>
                <w:sz w:val="20"/>
                <w:szCs w:val="20"/>
                <w:color w:val="auto"/>
              </w:rPr>
            </w:pPr>
            <w:r>
              <w:rPr>
                <w:rFonts w:ascii="Arial" w:cs="Arial" w:eastAsia="Arial" w:hAnsi="Arial"/>
                <w:sz w:val="20"/>
                <w:szCs w:val="20"/>
                <w:color w:val="auto"/>
              </w:rPr>
              <w:t>2027</w:t>
            </w:r>
          </w:p>
        </w:tc>
        <w:tc>
          <w:tcPr>
            <w:tcW w:w="46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16,298</w:t>
            </w:r>
          </w:p>
        </w:tc>
      </w:tr>
      <w:tr>
        <w:trPr>
          <w:trHeight w:val="274"/>
        </w:trPr>
        <w:tc>
          <w:tcPr>
            <w:tcW w:w="8560" w:type="dxa"/>
            <w:vAlign w:val="bottom"/>
          </w:tcPr>
          <w:p>
            <w:pPr>
              <w:ind w:left="40"/>
              <w:spacing w:after="0"/>
              <w:rPr>
                <w:sz w:val="20"/>
                <w:szCs w:val="20"/>
                <w:color w:val="auto"/>
              </w:rPr>
            </w:pPr>
            <w:r>
              <w:rPr>
                <w:rFonts w:ascii="Arial" w:cs="Arial" w:eastAsia="Arial" w:hAnsi="Arial"/>
                <w:sz w:val="20"/>
                <w:szCs w:val="20"/>
                <w:color w:val="auto"/>
              </w:rPr>
              <w:t>2028</w:t>
            </w: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16,654</w:t>
            </w:r>
          </w:p>
        </w:tc>
      </w:tr>
      <w:tr>
        <w:trPr>
          <w:trHeight w:val="285"/>
        </w:trPr>
        <w:tc>
          <w:tcPr>
            <w:tcW w:w="8560" w:type="dxa"/>
            <w:vAlign w:val="bottom"/>
            <w:shd w:val="clear" w:color="auto" w:fill="E6E6E6"/>
          </w:tcPr>
          <w:p>
            <w:pPr>
              <w:ind w:left="40"/>
              <w:spacing w:after="0"/>
              <w:rPr>
                <w:sz w:val="20"/>
                <w:szCs w:val="20"/>
                <w:color w:val="auto"/>
              </w:rPr>
            </w:pPr>
            <w:r>
              <w:rPr>
                <w:rFonts w:ascii="Arial" w:cs="Arial" w:eastAsia="Arial" w:hAnsi="Arial"/>
                <w:sz w:val="20"/>
                <w:szCs w:val="20"/>
                <w:color w:val="auto"/>
              </w:rPr>
              <w:t>2029</w:t>
            </w:r>
          </w:p>
        </w:tc>
        <w:tc>
          <w:tcPr>
            <w:tcW w:w="46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12,490</w:t>
            </w:r>
          </w:p>
        </w:tc>
      </w:tr>
      <w:tr>
        <w:trPr>
          <w:trHeight w:val="269"/>
        </w:trPr>
        <w:tc>
          <w:tcPr>
            <w:tcW w:w="8560" w:type="dxa"/>
            <w:vAlign w:val="bottom"/>
            <w:tcBorders>
              <w:bottom w:val="single" w:sz="8" w:color="E6E6E6"/>
            </w:tcBorders>
          </w:tcPr>
          <w:p>
            <w:pPr>
              <w:ind w:left="40"/>
              <w:spacing w:after="0"/>
              <w:rPr>
                <w:sz w:val="20"/>
                <w:szCs w:val="20"/>
                <w:color w:val="auto"/>
              </w:rPr>
            </w:pPr>
            <w:r>
              <w:rPr>
                <w:rFonts w:ascii="Arial" w:cs="Arial" w:eastAsia="Arial" w:hAnsi="Arial"/>
                <w:sz w:val="20"/>
                <w:szCs w:val="20"/>
                <w:color w:val="auto"/>
              </w:rPr>
              <w:t>Thereafter</w:t>
            </w:r>
          </w:p>
        </w:tc>
        <w:tc>
          <w:tcPr>
            <w:tcW w:w="4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46,900</w:t>
            </w:r>
          </w:p>
        </w:tc>
      </w:tr>
      <w:tr>
        <w:trPr>
          <w:trHeight w:val="279"/>
        </w:trPr>
        <w:tc>
          <w:tcPr>
            <w:tcW w:w="8560" w:type="dxa"/>
            <w:vAlign w:val="bottom"/>
            <w:tcBorders>
              <w:bottom w:val="single" w:sz="8" w:color="E6E6E6"/>
            </w:tcBorders>
            <w:shd w:val="clear" w:color="auto" w:fill="E6E6E6"/>
          </w:tcPr>
          <w:p>
            <w:pPr>
              <w:spacing w:after="0"/>
              <w:rPr>
                <w:sz w:val="24"/>
                <w:szCs w:val="24"/>
                <w:color w:val="auto"/>
              </w:rPr>
            </w:pPr>
          </w:p>
        </w:tc>
        <w:tc>
          <w:tcPr>
            <w:tcW w:w="460" w:type="dxa"/>
            <w:vAlign w:val="bottom"/>
            <w:tcBorders>
              <w:bottom w:val="single" w:sz="8" w:color="auto"/>
            </w:tcBorders>
            <w:shd w:val="clear" w:color="auto" w:fill="E6E6E6"/>
          </w:tcPr>
          <w:p>
            <w:pPr>
              <w:jc w:val="right"/>
              <w:ind w:right="202"/>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125,294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5424805</wp:posOffset>
            </wp:positionH>
            <wp:positionV relativeFrom="paragraph">
              <wp:posOffset>-208280</wp:posOffset>
            </wp:positionV>
            <wp:extent cx="96837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05">
                      <a:extLst>
                        <a:ext uri="{28A0092B-C50C-407E-A947-70E740481C1C}"/>
                      </a:extLst>
                    </a:blip>
                    <a:srcRect/>
                    <a:stretch>
                      <a:fillRect/>
                    </a:stretch>
                  </pic:blipFill>
                  <pic:spPr bwMode="auto">
                    <a:xfrm>
                      <a:off x="0" y="0"/>
                      <a:ext cx="968375" cy="25400"/>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-43180</wp:posOffset>
            </wp:positionV>
            <wp:extent cx="968375" cy="501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06">
                      <a:extLst>
                        <a:ext uri="{28A0092B-C50C-407E-A947-70E740481C1C}"/>
                      </a:extLst>
                    </a:blip>
                    <a:srcRect/>
                    <a:stretch>
                      <a:fillRect/>
                    </a:stretch>
                  </pic:blipFill>
                  <pic:spPr bwMode="auto">
                    <a:xfrm>
                      <a:off x="0" y="0"/>
                      <a:ext cx="968375" cy="50165"/>
                    </a:xfrm>
                    <a:prstGeom prst="rect">
                      <a:avLst/>
                    </a:prstGeom>
                    <a:noFill/>
                  </pic:spPr>
                </pic:pic>
              </a:graphicData>
            </a:graphic>
          </wp:anchor>
        </w:drawing>
      </w:r>
    </w:p>
    <w:p>
      <w:pPr>
        <w:spacing w:after="0" w:line="105"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In connection with the 2024 Restructuring Plan, as previously discussed in “Note 4. Restructuring,” LivaNova recorded impairments of the ACS developed technology and trade names intangible assets of $78.1 million and $7.1 million, respectively, during the year ended December 31, 2023, which are included within impairment of long-lived assets on the consolidated statements of income (loss).</w:t>
      </w:r>
    </w:p>
    <w:p>
      <w:pPr>
        <w:sectPr>
          <w:pgSz w:w="11880" w:h="15480" w:orient="portrait"/>
          <w:cols w:equalWidth="0" w:num="1">
            <w:col w:w="10040"/>
          </w:cols>
          <w:pgMar w:left="920" w:top="65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ectPr>
          <w:pgSz w:w="11880" w:h="15480" w:orient="portrait"/>
          <w:cols w:equalWidth="0" w:num="1">
            <w:col w:w="10040"/>
          </w:cols>
          <w:pgMar w:left="920" w:top="650" w:right="920" w:bottom="0" w:gutter="0" w:footer="0" w:header="0"/>
          <w:type w:val="continuous"/>
        </w:sectPr>
      </w:pPr>
    </w:p>
    <w:bookmarkStart w:id="76" w:name="page77"/>
    <w:bookmarkEnd w:id="76"/>
    <w:p>
      <w:pPr>
        <w:spacing w:after="0"/>
        <w:rPr>
          <w:sz w:val="20"/>
          <w:szCs w:val="20"/>
          <w:color w:val="auto"/>
        </w:rPr>
      </w:pPr>
      <w:r>
        <w:rPr>
          <w:rFonts w:ascii="Arial" w:cs="Arial" w:eastAsia="Arial" w:hAnsi="Arial"/>
          <w:sz w:val="22"/>
          <w:szCs w:val="22"/>
          <w:color w:val="auto"/>
        </w:rPr>
        <w:t>Goodwill</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presents the changes in the carrying amount of goodwill by reportable segment for the years ended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2024, 2023, and 2022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240" w:type="dxa"/>
            <w:vAlign w:val="bottom"/>
            <w:tcBorders>
              <w:bottom w:val="single" w:sz="8" w:color="E6E6E6"/>
            </w:tcBorders>
          </w:tcPr>
          <w:p>
            <w:pPr>
              <w:spacing w:after="0"/>
              <w:rPr>
                <w:sz w:val="24"/>
                <w:szCs w:val="24"/>
                <w:color w:val="auto"/>
              </w:rPr>
            </w:pPr>
          </w:p>
        </w:tc>
        <w:tc>
          <w:tcPr>
            <w:tcW w:w="1640" w:type="dxa"/>
            <w:vAlign w:val="bottom"/>
            <w:tcBorders>
              <w:bottom w:val="single" w:sz="8" w:color="auto"/>
            </w:tcBorders>
            <w:gridSpan w:val="2"/>
          </w:tcPr>
          <w:p>
            <w:pPr>
              <w:ind w:left="60"/>
              <w:spacing w:after="0"/>
              <w:rPr>
                <w:sz w:val="20"/>
                <w:szCs w:val="20"/>
                <w:color w:val="auto"/>
              </w:rPr>
            </w:pPr>
            <w:r>
              <w:rPr>
                <w:rFonts w:ascii="Arial" w:cs="Arial" w:eastAsia="Arial" w:hAnsi="Arial"/>
                <w:sz w:val="20"/>
                <w:szCs w:val="20"/>
                <w:b w:val="1"/>
                <w:bCs w:val="1"/>
                <w:color w:val="auto"/>
                <w:w w:val="94"/>
              </w:rPr>
              <w:t>Cardiopulmonary</w:t>
            </w:r>
          </w:p>
        </w:tc>
        <w:tc>
          <w:tcPr>
            <w:tcW w:w="80" w:type="dxa"/>
            <w:vAlign w:val="bottom"/>
            <w:tcBorders>
              <w:bottom w:val="single" w:sz="8" w:color="E6E6E6"/>
            </w:tcBorders>
          </w:tcPr>
          <w:p>
            <w:pPr>
              <w:spacing w:after="0"/>
              <w:rPr>
                <w:sz w:val="24"/>
                <w:szCs w:val="24"/>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w w:val="92"/>
              </w:rPr>
              <w:t>Neuromodulation</w:t>
            </w:r>
          </w:p>
        </w:tc>
        <w:tc>
          <w:tcPr>
            <w:tcW w:w="80" w:type="dxa"/>
            <w:vAlign w:val="bottom"/>
            <w:tcBorders>
              <w:bottom w:val="single" w:sz="8" w:color="E6E6E6"/>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b w:val="1"/>
                <w:bCs w:val="1"/>
                <w:color w:val="auto"/>
              </w:rPr>
              <w:t xml:space="preserve">Other </w:t>
            </w:r>
            <w:r>
              <w:rPr>
                <w:rFonts w:ascii="Arial" w:cs="Arial" w:eastAsia="Arial" w:hAnsi="Arial"/>
                <w:sz w:val="25"/>
                <w:szCs w:val="25"/>
                <w:b w:val="1"/>
                <w:bCs w:val="1"/>
                <w:color w:val="auto"/>
                <w:vertAlign w:val="superscript"/>
              </w:rPr>
              <w:t>(1)</w:t>
            </w:r>
          </w:p>
        </w:tc>
        <w:tc>
          <w:tcPr>
            <w:tcW w:w="80" w:type="dxa"/>
            <w:vAlign w:val="bottom"/>
            <w:tcBorders>
              <w:bottom w:val="single" w:sz="8" w:color="E6E6E6"/>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02"/>
              <w:spacing w:after="0"/>
              <w:rPr>
                <w:sz w:val="20"/>
                <w:szCs w:val="20"/>
                <w:color w:val="auto"/>
              </w:rPr>
            </w:pPr>
            <w:r>
              <w:rPr>
                <w:rFonts w:ascii="Arial" w:cs="Arial" w:eastAsia="Arial" w:hAnsi="Arial"/>
                <w:sz w:val="20"/>
                <w:szCs w:val="20"/>
                <w:b w:val="1"/>
                <w:bCs w:val="1"/>
                <w:color w:val="auto"/>
              </w:rPr>
              <w:t>Total</w:t>
            </w:r>
          </w:p>
        </w:tc>
      </w:tr>
      <w:tr>
        <w:trPr>
          <w:trHeight w:val="269"/>
        </w:trPr>
        <w:tc>
          <w:tcPr>
            <w:tcW w:w="3240" w:type="dxa"/>
            <w:vAlign w:val="bottom"/>
            <w:shd w:val="clear" w:color="auto" w:fill="E6E6E6"/>
          </w:tcPr>
          <w:p>
            <w:pPr>
              <w:ind w:left="40"/>
              <w:spacing w:after="0"/>
              <w:rPr>
                <w:sz w:val="20"/>
                <w:szCs w:val="20"/>
                <w:color w:val="auto"/>
              </w:rPr>
            </w:pPr>
            <w:r>
              <w:rPr>
                <w:rFonts w:ascii="Arial" w:cs="Arial" w:eastAsia="Arial" w:hAnsi="Arial"/>
                <w:sz w:val="20"/>
                <w:szCs w:val="20"/>
                <w:color w:val="auto"/>
              </w:rPr>
              <w:t>As of December 31, 2021</w:t>
            </w:r>
          </w:p>
        </w:tc>
        <w:tc>
          <w:tcPr>
            <w:tcW w:w="540" w:type="dxa"/>
            <w:vAlign w:val="bottom"/>
            <w:shd w:val="clear" w:color="auto" w:fill="E6E6E6"/>
          </w:tcPr>
          <w:p>
            <w:pPr>
              <w:ind w:left="60"/>
              <w:spacing w:after="0"/>
              <w:rPr>
                <w:sz w:val="20"/>
                <w:szCs w:val="20"/>
                <w:color w:val="auto"/>
              </w:rPr>
            </w:pPr>
            <w:r>
              <w:rPr>
                <w:rFonts w:ascii="Arial" w:cs="Arial" w:eastAsia="Arial" w:hAnsi="Arial"/>
                <w:sz w:val="20"/>
                <w:szCs w:val="20"/>
                <w:color w:val="auto"/>
              </w:rPr>
              <w:t>$</w:t>
            </w:r>
          </w:p>
        </w:tc>
        <w:tc>
          <w:tcPr>
            <w:tcW w:w="11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398,245</w:t>
            </w:r>
          </w:p>
        </w:tc>
        <w:tc>
          <w:tcPr>
            <w:tcW w:w="620" w:type="dxa"/>
            <w:vAlign w:val="bottom"/>
            <w:gridSpan w:val="2"/>
            <w:shd w:val="clear" w:color="auto" w:fill="E6E6E6"/>
          </w:tcPr>
          <w:p>
            <w:pPr>
              <w:jc w:val="right"/>
              <w:ind w:right="282"/>
              <w:spacing w:after="0"/>
              <w:rPr>
                <w:sz w:val="20"/>
                <w:szCs w:val="20"/>
                <w:color w:val="auto"/>
              </w:rPr>
            </w:pPr>
            <w:r>
              <w:rPr>
                <w:rFonts w:ascii="Arial" w:cs="Arial" w:eastAsia="Arial" w:hAnsi="Arial"/>
                <w:sz w:val="20"/>
                <w:szCs w:val="20"/>
                <w:color w:val="auto"/>
              </w:rPr>
              <w:t>$</w:t>
            </w:r>
          </w:p>
        </w:tc>
        <w:tc>
          <w:tcPr>
            <w:tcW w:w="11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398,754</w:t>
            </w:r>
          </w:p>
        </w:tc>
        <w:tc>
          <w:tcPr>
            <w:tcW w:w="400" w:type="dxa"/>
            <w:vAlign w:val="bottom"/>
            <w:gridSpan w:val="2"/>
            <w:shd w:val="clear" w:color="auto" w:fill="E6E6E6"/>
          </w:tcPr>
          <w:p>
            <w:pPr>
              <w:jc w:val="right"/>
              <w:ind w:right="160"/>
              <w:spacing w:after="0"/>
              <w:rPr>
                <w:sz w:val="20"/>
                <w:szCs w:val="20"/>
                <w:color w:val="auto"/>
              </w:rPr>
            </w:pPr>
            <w:r>
              <w:rPr>
                <w:rFonts w:ascii="Arial" w:cs="Arial" w:eastAsia="Arial" w:hAnsi="Arial"/>
                <w:sz w:val="20"/>
                <w:szCs w:val="20"/>
                <w:color w:val="auto"/>
              </w:rPr>
              <w:t>$</w:t>
            </w:r>
          </w:p>
        </w:tc>
        <w:tc>
          <w:tcPr>
            <w:tcW w:w="13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102,526</w:t>
            </w:r>
          </w:p>
        </w:tc>
        <w:tc>
          <w:tcPr>
            <w:tcW w:w="460" w:type="dxa"/>
            <w:vAlign w:val="bottom"/>
            <w:gridSpan w:val="2"/>
            <w:shd w:val="clear" w:color="auto" w:fill="E6E6E6"/>
          </w:tcPr>
          <w:p>
            <w:pPr>
              <w:jc w:val="right"/>
              <w:ind w:right="220"/>
              <w:spacing w:after="0"/>
              <w:rPr>
                <w:sz w:val="20"/>
                <w:szCs w:val="20"/>
                <w:color w:val="auto"/>
              </w:rPr>
            </w:pPr>
            <w:r>
              <w:rPr>
                <w:rFonts w:ascii="Arial" w:cs="Arial" w:eastAsia="Arial" w:hAnsi="Arial"/>
                <w:sz w:val="20"/>
                <w:szCs w:val="20"/>
                <w:color w:val="auto"/>
              </w:rPr>
              <w:t>$</w:t>
            </w:r>
          </w:p>
        </w:tc>
        <w:tc>
          <w:tcPr>
            <w:tcW w:w="12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899,525</w:t>
            </w:r>
          </w:p>
        </w:tc>
      </w:tr>
      <w:tr>
        <w:trPr>
          <w:trHeight w:val="274"/>
        </w:trPr>
        <w:tc>
          <w:tcPr>
            <w:tcW w:w="3240" w:type="dxa"/>
            <w:vAlign w:val="bottom"/>
          </w:tcPr>
          <w:p>
            <w:pPr>
              <w:ind w:left="160"/>
              <w:spacing w:after="0"/>
              <w:rPr>
                <w:sz w:val="20"/>
                <w:szCs w:val="20"/>
                <w:color w:val="auto"/>
              </w:rPr>
            </w:pPr>
            <w:r>
              <w:rPr>
                <w:rFonts w:ascii="Arial" w:cs="Arial" w:eastAsia="Arial" w:hAnsi="Arial"/>
                <w:sz w:val="20"/>
                <w:szCs w:val="20"/>
                <w:color w:val="auto"/>
              </w:rPr>
              <w:t>Goodwill as a result of acquisition</w:t>
            </w:r>
          </w:p>
        </w:tc>
        <w:tc>
          <w:tcPr>
            <w:tcW w:w="5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25,893</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25,893</w:t>
            </w:r>
          </w:p>
        </w:tc>
      </w:tr>
      <w:tr>
        <w:trPr>
          <w:trHeight w:val="285"/>
        </w:trPr>
        <w:tc>
          <w:tcPr>
            <w:tcW w:w="3240" w:type="dxa"/>
            <w:vAlign w:val="bottom"/>
            <w:shd w:val="clear" w:color="auto" w:fill="E6E6E6"/>
          </w:tcPr>
          <w:p>
            <w:pPr>
              <w:ind w:left="160"/>
              <w:spacing w:after="0"/>
              <w:rPr>
                <w:sz w:val="20"/>
                <w:szCs w:val="20"/>
                <w:color w:val="auto"/>
              </w:rPr>
            </w:pPr>
            <w:r>
              <w:rPr>
                <w:rFonts w:ascii="Arial" w:cs="Arial" w:eastAsia="Arial" w:hAnsi="Arial"/>
                <w:sz w:val="20"/>
                <w:szCs w:val="20"/>
                <w:color w:val="auto"/>
              </w:rPr>
              <w:t>Measurement period adjustments</w:t>
            </w:r>
          </w:p>
        </w:tc>
        <w:tc>
          <w:tcPr>
            <w:tcW w:w="540" w:type="dxa"/>
            <w:vAlign w:val="bottom"/>
            <w:shd w:val="clear" w:color="auto" w:fill="E6E6E6"/>
          </w:tcPr>
          <w:p>
            <w:pPr>
              <w:spacing w:after="0"/>
              <w:rPr>
                <w:sz w:val="24"/>
                <w:szCs w:val="24"/>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540" w:type="dxa"/>
            <w:vAlign w:val="bottom"/>
            <w:shd w:val="clear" w:color="auto" w:fill="E6E6E6"/>
          </w:tcPr>
          <w:p>
            <w:pPr>
              <w:spacing w:after="0"/>
              <w:rPr>
                <w:sz w:val="24"/>
                <w:szCs w:val="24"/>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13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977</w:t>
            </w:r>
          </w:p>
        </w:tc>
        <w:tc>
          <w:tcPr>
            <w:tcW w:w="8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12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977</w:t>
            </w:r>
          </w:p>
        </w:tc>
      </w:tr>
      <w:tr>
        <w:trPr>
          <w:trHeight w:val="274"/>
        </w:trPr>
        <w:tc>
          <w:tcPr>
            <w:tcW w:w="3240" w:type="dxa"/>
            <w:vAlign w:val="bottom"/>
          </w:tcPr>
          <w:p>
            <w:pPr>
              <w:ind w:left="160"/>
              <w:spacing w:after="0"/>
              <w:rPr>
                <w:sz w:val="20"/>
                <w:szCs w:val="20"/>
                <w:color w:val="auto"/>
              </w:rPr>
            </w:pPr>
            <w:r>
              <w:rPr>
                <w:rFonts w:ascii="Arial" w:cs="Arial" w:eastAsia="Arial" w:hAnsi="Arial"/>
                <w:sz w:val="20"/>
                <w:szCs w:val="20"/>
                <w:color w:val="auto"/>
              </w:rPr>
              <w:t>Impairment</w:t>
            </w:r>
          </w:p>
        </w:tc>
        <w:tc>
          <w:tcPr>
            <w:tcW w:w="5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(129,396)</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(129,396)</w:t>
            </w:r>
          </w:p>
        </w:tc>
      </w:tr>
      <w:tr>
        <w:trPr>
          <w:trHeight w:val="294"/>
        </w:trPr>
        <w:tc>
          <w:tcPr>
            <w:tcW w:w="324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20"/>
                <w:szCs w:val="20"/>
                <w:color w:val="auto"/>
              </w:rPr>
              <w:t>Foreign currency adjustments</w:t>
            </w:r>
          </w:p>
        </w:tc>
        <w:tc>
          <w:tcPr>
            <w:tcW w:w="540" w:type="dxa"/>
            <w:vAlign w:val="bottom"/>
            <w:tcBorders>
              <w:bottom w:val="single" w:sz="8" w:color="auto"/>
            </w:tcBorders>
            <w:shd w:val="clear" w:color="auto" w:fill="E6E6E6"/>
          </w:tcPr>
          <w:p>
            <w:pPr>
              <w:spacing w:after="0"/>
              <w:rPr>
                <w:sz w:val="24"/>
                <w:szCs w:val="24"/>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(28,212)</w:t>
            </w:r>
          </w:p>
        </w:tc>
        <w:tc>
          <w:tcPr>
            <w:tcW w:w="80" w:type="dxa"/>
            <w:vAlign w:val="bottom"/>
            <w:tcBorders>
              <w:bottom w:val="single" w:sz="8" w:color="E6E6E6"/>
            </w:tcBorders>
            <w:shd w:val="clear" w:color="auto" w:fill="E6E6E6"/>
          </w:tcPr>
          <w:p>
            <w:pPr>
              <w:spacing w:after="0"/>
              <w:rPr>
                <w:sz w:val="24"/>
                <w:szCs w:val="24"/>
                <w:color w:val="auto"/>
              </w:rPr>
            </w:pPr>
          </w:p>
        </w:tc>
        <w:tc>
          <w:tcPr>
            <w:tcW w:w="540" w:type="dxa"/>
            <w:vAlign w:val="bottom"/>
            <w:tcBorders>
              <w:bottom w:val="single" w:sz="8" w:color="auto"/>
            </w:tcBorders>
            <w:shd w:val="clear" w:color="auto" w:fill="E6E6E6"/>
          </w:tcPr>
          <w:p>
            <w:pPr>
              <w:spacing w:after="0"/>
              <w:rPr>
                <w:sz w:val="24"/>
                <w:szCs w:val="24"/>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13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380" w:type="dxa"/>
            <w:vAlign w:val="bottom"/>
            <w:tcBorders>
              <w:bottom w:val="single" w:sz="8" w:color="auto"/>
            </w:tcBorders>
            <w:shd w:val="clear" w:color="auto" w:fill="E6E6E6"/>
          </w:tcPr>
          <w:p>
            <w:pPr>
              <w:spacing w:after="0"/>
              <w:rPr>
                <w:sz w:val="24"/>
                <w:szCs w:val="24"/>
                <w:color w:val="auto"/>
              </w:rPr>
            </w:pPr>
          </w:p>
        </w:tc>
        <w:tc>
          <w:tcPr>
            <w:tcW w:w="12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(28,212)</w:t>
            </w:r>
          </w:p>
        </w:tc>
      </w:tr>
      <w:tr>
        <w:trPr>
          <w:trHeight w:val="244"/>
        </w:trPr>
        <w:tc>
          <w:tcPr>
            <w:tcW w:w="3240" w:type="dxa"/>
            <w:vAlign w:val="bottom"/>
          </w:tcPr>
          <w:p>
            <w:pPr>
              <w:ind w:left="40"/>
              <w:spacing w:after="0"/>
              <w:rPr>
                <w:sz w:val="20"/>
                <w:szCs w:val="20"/>
                <w:color w:val="auto"/>
              </w:rPr>
            </w:pPr>
            <w:r>
              <w:rPr>
                <w:rFonts w:ascii="Arial" w:cs="Arial" w:eastAsia="Arial" w:hAnsi="Arial"/>
                <w:sz w:val="20"/>
                <w:szCs w:val="20"/>
                <w:color w:val="auto"/>
              </w:rPr>
              <w:t>As of December 31, 2022</w:t>
            </w:r>
          </w:p>
        </w:tc>
        <w:tc>
          <w:tcPr>
            <w:tcW w:w="5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370,033</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398,754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768,787</w:t>
            </w:r>
          </w:p>
        </w:tc>
      </w:tr>
      <w:tr>
        <w:trPr>
          <w:trHeight w:val="294"/>
        </w:trPr>
        <w:tc>
          <w:tcPr>
            <w:tcW w:w="324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20"/>
                <w:szCs w:val="20"/>
                <w:color w:val="auto"/>
              </w:rPr>
              <w:t>Foreign currency adjustments</w:t>
            </w:r>
          </w:p>
        </w:tc>
        <w:tc>
          <w:tcPr>
            <w:tcW w:w="540" w:type="dxa"/>
            <w:vAlign w:val="bottom"/>
            <w:tcBorders>
              <w:bottom w:val="single" w:sz="8" w:color="auto"/>
            </w:tcBorders>
            <w:shd w:val="clear" w:color="auto" w:fill="E6E6E6"/>
          </w:tcPr>
          <w:p>
            <w:pPr>
              <w:spacing w:after="0"/>
              <w:rPr>
                <w:sz w:val="24"/>
                <w:szCs w:val="24"/>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14,154</w:t>
            </w:r>
          </w:p>
        </w:tc>
        <w:tc>
          <w:tcPr>
            <w:tcW w:w="80" w:type="dxa"/>
            <w:vAlign w:val="bottom"/>
            <w:tcBorders>
              <w:bottom w:val="single" w:sz="8" w:color="E6E6E6"/>
            </w:tcBorders>
            <w:shd w:val="clear" w:color="auto" w:fill="E6E6E6"/>
          </w:tcPr>
          <w:p>
            <w:pPr>
              <w:spacing w:after="0"/>
              <w:rPr>
                <w:sz w:val="24"/>
                <w:szCs w:val="24"/>
                <w:color w:val="auto"/>
              </w:rPr>
            </w:pPr>
          </w:p>
        </w:tc>
        <w:tc>
          <w:tcPr>
            <w:tcW w:w="540" w:type="dxa"/>
            <w:vAlign w:val="bottom"/>
            <w:tcBorders>
              <w:bottom w:val="single" w:sz="8" w:color="auto"/>
            </w:tcBorders>
            <w:shd w:val="clear" w:color="auto" w:fill="E6E6E6"/>
          </w:tcPr>
          <w:p>
            <w:pPr>
              <w:spacing w:after="0"/>
              <w:rPr>
                <w:sz w:val="24"/>
                <w:szCs w:val="24"/>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13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380" w:type="dxa"/>
            <w:vAlign w:val="bottom"/>
            <w:tcBorders>
              <w:bottom w:val="single" w:sz="8" w:color="auto"/>
            </w:tcBorders>
            <w:shd w:val="clear" w:color="auto" w:fill="E6E6E6"/>
          </w:tcPr>
          <w:p>
            <w:pPr>
              <w:spacing w:after="0"/>
              <w:rPr>
                <w:sz w:val="24"/>
                <w:szCs w:val="24"/>
                <w:color w:val="auto"/>
              </w:rPr>
            </w:pPr>
          </w:p>
        </w:tc>
        <w:tc>
          <w:tcPr>
            <w:tcW w:w="12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14,154</w:t>
            </w:r>
          </w:p>
        </w:tc>
      </w:tr>
      <w:tr>
        <w:trPr>
          <w:trHeight w:val="244"/>
        </w:trPr>
        <w:tc>
          <w:tcPr>
            <w:tcW w:w="3240" w:type="dxa"/>
            <w:vAlign w:val="bottom"/>
          </w:tcPr>
          <w:p>
            <w:pPr>
              <w:ind w:left="40"/>
              <w:spacing w:after="0"/>
              <w:rPr>
                <w:sz w:val="20"/>
                <w:szCs w:val="20"/>
                <w:color w:val="auto"/>
              </w:rPr>
            </w:pPr>
            <w:r>
              <w:rPr>
                <w:rFonts w:ascii="Arial" w:cs="Arial" w:eastAsia="Arial" w:hAnsi="Arial"/>
                <w:sz w:val="20"/>
                <w:szCs w:val="20"/>
                <w:color w:val="auto"/>
              </w:rPr>
              <w:t>As of December 31, 2023</w:t>
            </w:r>
          </w:p>
        </w:tc>
        <w:tc>
          <w:tcPr>
            <w:tcW w:w="5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384,187</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398,754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782,941</w:t>
            </w:r>
          </w:p>
        </w:tc>
      </w:tr>
      <w:tr>
        <w:trPr>
          <w:trHeight w:val="294"/>
        </w:trPr>
        <w:tc>
          <w:tcPr>
            <w:tcW w:w="324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20"/>
                <w:szCs w:val="20"/>
                <w:color w:val="auto"/>
              </w:rPr>
              <w:t>Foreign currency adjustments</w:t>
            </w:r>
          </w:p>
        </w:tc>
        <w:tc>
          <w:tcPr>
            <w:tcW w:w="540" w:type="dxa"/>
            <w:vAlign w:val="bottom"/>
            <w:tcBorders>
              <w:bottom w:val="single" w:sz="8" w:color="auto"/>
            </w:tcBorders>
            <w:shd w:val="clear" w:color="auto" w:fill="E6E6E6"/>
          </w:tcPr>
          <w:p>
            <w:pPr>
              <w:spacing w:after="0"/>
              <w:rPr>
                <w:sz w:val="24"/>
                <w:szCs w:val="24"/>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(32,935)</w:t>
            </w:r>
          </w:p>
        </w:tc>
        <w:tc>
          <w:tcPr>
            <w:tcW w:w="80" w:type="dxa"/>
            <w:vAlign w:val="bottom"/>
            <w:tcBorders>
              <w:bottom w:val="single" w:sz="8" w:color="E6E6E6"/>
            </w:tcBorders>
            <w:shd w:val="clear" w:color="auto" w:fill="E6E6E6"/>
          </w:tcPr>
          <w:p>
            <w:pPr>
              <w:spacing w:after="0"/>
              <w:rPr>
                <w:sz w:val="24"/>
                <w:szCs w:val="24"/>
                <w:color w:val="auto"/>
              </w:rPr>
            </w:pPr>
          </w:p>
        </w:tc>
        <w:tc>
          <w:tcPr>
            <w:tcW w:w="540" w:type="dxa"/>
            <w:vAlign w:val="bottom"/>
            <w:tcBorders>
              <w:bottom w:val="single" w:sz="8" w:color="auto"/>
            </w:tcBorders>
            <w:shd w:val="clear" w:color="auto" w:fill="E6E6E6"/>
          </w:tcPr>
          <w:p>
            <w:pPr>
              <w:spacing w:after="0"/>
              <w:rPr>
                <w:sz w:val="24"/>
                <w:szCs w:val="24"/>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13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380" w:type="dxa"/>
            <w:vAlign w:val="bottom"/>
            <w:tcBorders>
              <w:bottom w:val="single" w:sz="8" w:color="auto"/>
            </w:tcBorders>
            <w:shd w:val="clear" w:color="auto" w:fill="E6E6E6"/>
          </w:tcPr>
          <w:p>
            <w:pPr>
              <w:spacing w:after="0"/>
              <w:rPr>
                <w:sz w:val="24"/>
                <w:szCs w:val="24"/>
                <w:color w:val="auto"/>
              </w:rPr>
            </w:pPr>
          </w:p>
        </w:tc>
        <w:tc>
          <w:tcPr>
            <w:tcW w:w="12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(32,935)</w:t>
            </w:r>
          </w:p>
        </w:tc>
      </w:tr>
      <w:tr>
        <w:trPr>
          <w:trHeight w:val="221"/>
        </w:trPr>
        <w:tc>
          <w:tcPr>
            <w:tcW w:w="3240" w:type="dxa"/>
            <w:vAlign w:val="bottom"/>
          </w:tcPr>
          <w:p>
            <w:pPr>
              <w:ind w:left="40"/>
              <w:spacing w:after="0" w:line="221" w:lineRule="exact"/>
              <w:rPr>
                <w:sz w:val="20"/>
                <w:szCs w:val="20"/>
                <w:color w:val="auto"/>
              </w:rPr>
            </w:pPr>
            <w:r>
              <w:rPr>
                <w:rFonts w:ascii="Arial" w:cs="Arial" w:eastAsia="Arial" w:hAnsi="Arial"/>
                <w:sz w:val="20"/>
                <w:szCs w:val="20"/>
                <w:color w:val="auto"/>
              </w:rPr>
              <w:t>As of December 31, 2024</w:t>
            </w:r>
          </w:p>
        </w:tc>
        <w:tc>
          <w:tcPr>
            <w:tcW w:w="540" w:type="dxa"/>
            <w:vAlign w:val="bottom"/>
          </w:tcPr>
          <w:p>
            <w:pPr>
              <w:ind w:left="60"/>
              <w:spacing w:after="0" w:line="221" w:lineRule="exact"/>
              <w:rPr>
                <w:sz w:val="20"/>
                <w:szCs w:val="20"/>
                <w:color w:val="auto"/>
              </w:rPr>
            </w:pPr>
            <w:r>
              <w:rPr>
                <w:rFonts w:ascii="Arial" w:cs="Arial" w:eastAsia="Arial" w:hAnsi="Arial"/>
                <w:sz w:val="20"/>
                <w:szCs w:val="20"/>
                <w:color w:val="auto"/>
              </w:rPr>
              <w:t>$</w:t>
            </w:r>
          </w:p>
        </w:tc>
        <w:tc>
          <w:tcPr>
            <w:tcW w:w="1100" w:type="dxa"/>
            <w:vAlign w:val="bottom"/>
          </w:tcPr>
          <w:p>
            <w:pPr>
              <w:jc w:val="right"/>
              <w:spacing w:after="0" w:line="221" w:lineRule="exact"/>
              <w:rPr>
                <w:sz w:val="20"/>
                <w:szCs w:val="20"/>
                <w:color w:val="auto"/>
              </w:rPr>
            </w:pPr>
            <w:r>
              <w:rPr>
                <w:rFonts w:ascii="Arial" w:cs="Arial" w:eastAsia="Arial" w:hAnsi="Arial"/>
                <w:sz w:val="20"/>
                <w:szCs w:val="20"/>
                <w:color w:val="auto"/>
              </w:rPr>
              <w:t>351,252</w:t>
            </w:r>
          </w:p>
        </w:tc>
        <w:tc>
          <w:tcPr>
            <w:tcW w:w="620" w:type="dxa"/>
            <w:vAlign w:val="bottom"/>
            <w:gridSpan w:val="2"/>
          </w:tcPr>
          <w:p>
            <w:pPr>
              <w:jc w:val="right"/>
              <w:ind w:right="282"/>
              <w:spacing w:after="0" w:line="221" w:lineRule="exact"/>
              <w:rPr>
                <w:sz w:val="20"/>
                <w:szCs w:val="20"/>
                <w:color w:val="auto"/>
              </w:rPr>
            </w:pPr>
            <w:r>
              <w:rPr>
                <w:rFonts w:ascii="Arial" w:cs="Arial" w:eastAsia="Arial" w:hAnsi="Arial"/>
                <w:sz w:val="20"/>
                <w:szCs w:val="20"/>
                <w:color w:val="auto"/>
              </w:rPr>
              <w:t>$</w:t>
            </w:r>
          </w:p>
        </w:tc>
        <w:tc>
          <w:tcPr>
            <w:tcW w:w="1100" w:type="dxa"/>
            <w:vAlign w:val="bottom"/>
          </w:tcPr>
          <w:p>
            <w:pPr>
              <w:jc w:val="right"/>
              <w:spacing w:after="0" w:line="221" w:lineRule="exact"/>
              <w:rPr>
                <w:sz w:val="20"/>
                <w:szCs w:val="20"/>
                <w:color w:val="auto"/>
              </w:rPr>
            </w:pPr>
            <w:r>
              <w:rPr>
                <w:rFonts w:ascii="Arial" w:cs="Arial" w:eastAsia="Arial" w:hAnsi="Arial"/>
                <w:sz w:val="20"/>
                <w:szCs w:val="20"/>
                <w:color w:val="auto"/>
              </w:rPr>
              <w:t>398,754</w:t>
            </w:r>
          </w:p>
        </w:tc>
        <w:tc>
          <w:tcPr>
            <w:tcW w:w="400" w:type="dxa"/>
            <w:vAlign w:val="bottom"/>
            <w:gridSpan w:val="2"/>
          </w:tcPr>
          <w:p>
            <w:pPr>
              <w:jc w:val="right"/>
              <w:ind w:right="160"/>
              <w:spacing w:after="0" w:line="221" w:lineRule="exact"/>
              <w:rPr>
                <w:sz w:val="20"/>
                <w:szCs w:val="20"/>
                <w:color w:val="auto"/>
              </w:rPr>
            </w:pPr>
            <w:r>
              <w:rPr>
                <w:rFonts w:ascii="Arial" w:cs="Arial" w:eastAsia="Arial" w:hAnsi="Arial"/>
                <w:sz w:val="20"/>
                <w:szCs w:val="20"/>
                <w:color w:val="auto"/>
              </w:rPr>
              <w:t>$</w:t>
            </w:r>
          </w:p>
        </w:tc>
        <w:tc>
          <w:tcPr>
            <w:tcW w:w="1320" w:type="dxa"/>
            <w:vAlign w:val="bottom"/>
          </w:tcPr>
          <w:p>
            <w:pPr>
              <w:jc w:val="right"/>
              <w:spacing w:after="0" w:line="221" w:lineRule="exact"/>
              <w:rPr>
                <w:sz w:val="20"/>
                <w:szCs w:val="20"/>
                <w:color w:val="auto"/>
              </w:rPr>
            </w:pPr>
            <w:r>
              <w:rPr>
                <w:rFonts w:ascii="Arial" w:cs="Arial" w:eastAsia="Arial" w:hAnsi="Arial"/>
                <w:sz w:val="20"/>
                <w:szCs w:val="20"/>
                <w:color w:val="auto"/>
              </w:rPr>
              <w:t>—</w:t>
            </w:r>
          </w:p>
        </w:tc>
        <w:tc>
          <w:tcPr>
            <w:tcW w:w="460" w:type="dxa"/>
            <w:vAlign w:val="bottom"/>
            <w:gridSpan w:val="2"/>
          </w:tcPr>
          <w:p>
            <w:pPr>
              <w:jc w:val="right"/>
              <w:ind w:right="220"/>
              <w:spacing w:after="0" w:line="221" w:lineRule="exact"/>
              <w:rPr>
                <w:sz w:val="20"/>
                <w:szCs w:val="20"/>
                <w:color w:val="auto"/>
              </w:rPr>
            </w:pPr>
            <w:r>
              <w:rPr>
                <w:rFonts w:ascii="Arial" w:cs="Arial" w:eastAsia="Arial" w:hAnsi="Arial"/>
                <w:sz w:val="20"/>
                <w:szCs w:val="20"/>
                <w:color w:val="auto"/>
              </w:rPr>
              <w:t>$</w:t>
            </w:r>
          </w:p>
        </w:tc>
        <w:tc>
          <w:tcPr>
            <w:tcW w:w="1260" w:type="dxa"/>
            <w:vAlign w:val="bottom"/>
          </w:tcPr>
          <w:p>
            <w:pPr>
              <w:jc w:val="right"/>
              <w:spacing w:after="0" w:line="221" w:lineRule="exact"/>
              <w:rPr>
                <w:sz w:val="20"/>
                <w:szCs w:val="20"/>
                <w:color w:val="auto"/>
              </w:rPr>
            </w:pPr>
            <w:r>
              <w:rPr>
                <w:rFonts w:ascii="Arial" w:cs="Arial" w:eastAsia="Arial" w:hAnsi="Arial"/>
                <w:sz w:val="20"/>
                <w:szCs w:val="20"/>
                <w:color w:val="auto"/>
              </w:rPr>
              <w:t>750,006</w:t>
            </w:r>
          </w:p>
        </w:tc>
      </w:tr>
      <w:tr>
        <w:trPr>
          <w:trHeight w:val="20"/>
        </w:trPr>
        <w:tc>
          <w:tcPr>
            <w:tcW w:w="3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-1804035</wp:posOffset>
            </wp:positionV>
            <wp:extent cx="434721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07">
                      <a:extLst>
                        <a:ext uri="{28A0092B-C50C-407E-A947-70E740481C1C}"/>
                      </a:extLst>
                    </a:blip>
                    <a:srcRect/>
                    <a:stretch>
                      <a:fillRect/>
                    </a:stretch>
                  </pic:blipFill>
                  <pic:spPr bwMode="auto">
                    <a:xfrm>
                      <a:off x="0" y="0"/>
                      <a:ext cx="4347210" cy="2540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-917575</wp:posOffset>
            </wp:positionV>
            <wp:extent cx="434721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08">
                      <a:extLst>
                        <a:ext uri="{28A0092B-C50C-407E-A947-70E740481C1C}"/>
                      </a:extLst>
                    </a:blip>
                    <a:srcRect/>
                    <a:stretch>
                      <a:fillRect/>
                    </a:stretch>
                  </pic:blipFill>
                  <pic:spPr bwMode="auto">
                    <a:xfrm>
                      <a:off x="0" y="0"/>
                      <a:ext cx="4347210" cy="2540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-562610</wp:posOffset>
            </wp:positionV>
            <wp:extent cx="434721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09">
                      <a:extLst>
                        <a:ext uri="{28A0092B-C50C-407E-A947-70E740481C1C}"/>
                      </a:extLst>
                    </a:blip>
                    <a:srcRect/>
                    <a:stretch>
                      <a:fillRect/>
                    </a:stretch>
                  </pic:blipFill>
                  <pic:spPr bwMode="auto">
                    <a:xfrm>
                      <a:off x="0" y="0"/>
                      <a:ext cx="4347210" cy="2540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-208280</wp:posOffset>
            </wp:positionV>
            <wp:extent cx="4347210"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10">
                      <a:extLst>
                        <a:ext uri="{28A0092B-C50C-407E-A947-70E740481C1C}"/>
                      </a:extLst>
                    </a:blip>
                    <a:srcRect/>
                    <a:stretch>
                      <a:fillRect/>
                    </a:stretch>
                  </pic:blipFill>
                  <pic:spPr bwMode="auto">
                    <a:xfrm>
                      <a:off x="0" y="0"/>
                      <a:ext cx="4347210" cy="25400"/>
                    </a:xfrm>
                    <a:prstGeom prst="rect">
                      <a:avLst/>
                    </a:prstGeom>
                    <a:noFill/>
                  </pic:spPr>
                </pic:pic>
              </a:graphicData>
            </a:graphic>
          </wp:anchor>
        </w:drawing>
      </w:r>
    </w:p>
    <w:p>
      <w:pPr>
        <w:spacing w:after="0" w:line="78" w:lineRule="exact"/>
        <w:rPr>
          <w:sz w:val="20"/>
          <w:szCs w:val="20"/>
          <w:color w:val="auto"/>
        </w:rPr>
      </w:pPr>
    </w:p>
    <w:p>
      <w:pPr>
        <w:ind w:left="700" w:hanging="355"/>
        <w:spacing w:after="0"/>
        <w:tabs>
          <w:tab w:leader="none" w:pos="70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“Other” represents LivaNova’s former ACS reportable segment.</w:t>
      </w:r>
    </w:p>
    <w:p>
      <w:pPr>
        <w:spacing w:after="0" w:line="100"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As part of LivaNova’s third-quarter 2022 goodwill impairment assessment, the Company considered that revenue for its ACS reporting unit during the nine months ended September 30, 2022 had declined by 29% compared to the prior year period, primarily as a result of a reduction in severe COVID-19 cases, hospital-related challenges, and product mix. As a result, the Company lowered its future revenue projections for the ACS reporting unit. Based on these circumstances, LivaNova concluded it was more likely than not that the goodwill of LivaNova’s ACS reporting unit was impaired and performed a quantitative assessment of the goodwill as of September 30, 2022, using management’s then-current estimate of future cash flows. Based on the valuation performed, LivaNova determined that the fair value of the ACS reporting unit was less than the carrying value and recognized a goodwill impairment of $129.4 million in LivaNova’s consolidated statement of loss during the year ended December 31, 2022.</w:t>
      </w:r>
    </w:p>
    <w:p>
      <w:pPr>
        <w:spacing w:after="0" w:line="78" w:lineRule="exact"/>
        <w:rPr>
          <w:sz w:val="20"/>
          <w:szCs w:val="20"/>
          <w:color w:val="auto"/>
        </w:rPr>
      </w:pPr>
    </w:p>
    <w:p>
      <w:pPr>
        <w:jc w:val="both"/>
        <w:spacing w:after="0" w:line="326" w:lineRule="auto"/>
        <w:rPr>
          <w:sz w:val="20"/>
          <w:szCs w:val="20"/>
          <w:color w:val="auto"/>
        </w:rPr>
      </w:pPr>
      <w:r>
        <w:rPr>
          <w:rFonts w:ascii="Arial" w:cs="Arial" w:eastAsia="Arial" w:hAnsi="Arial"/>
          <w:sz w:val="17"/>
          <w:szCs w:val="17"/>
          <w:color w:val="auto"/>
        </w:rPr>
        <w:t>LivaNova performed a quantitative goodwill impairment assessment for its Cardiopulmonary and Neuromodulation reporting units as of October 1, 2024. The assessment was performed using management’s current estimate of future cash flows. LivaNova concluded that the fair value of its Cardiopulmonary and Neuromodulation reporting units exceeded the carrying value of the respective reporting units and were, therefore, not impaired on the October 1, 2024 test date.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Investments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the carrying value of LivaNova’s investments: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0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rPr>
              <w:t>December 31,</w:t>
            </w:r>
          </w:p>
        </w:tc>
        <w:tc>
          <w:tcPr>
            <w:tcW w:w="940" w:type="dxa"/>
            <w:vAlign w:val="bottom"/>
            <w:tcBorders>
              <w:bottom w:val="single" w:sz="8" w:color="auto"/>
            </w:tcBorders>
          </w:tcPr>
          <w:p>
            <w:pPr>
              <w:spacing w:after="0"/>
              <w:rPr>
                <w:sz w:val="22"/>
                <w:szCs w:val="22"/>
                <w:color w:val="auto"/>
              </w:rPr>
            </w:pPr>
          </w:p>
        </w:tc>
      </w:tr>
      <w:tr>
        <w:trPr>
          <w:trHeight w:val="260"/>
        </w:trPr>
        <w:tc>
          <w:tcPr>
            <w:tcW w:w="700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2024</w:t>
            </w:r>
          </w:p>
        </w:tc>
        <w:tc>
          <w:tcPr>
            <w:tcW w:w="80" w:type="dxa"/>
            <w:vAlign w:val="bottom"/>
            <w:tcBorders>
              <w:bottom w:val="single" w:sz="8" w:color="E6E6E6"/>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w w:val="85"/>
              </w:rPr>
              <w:t>2023</w:t>
            </w:r>
          </w:p>
        </w:tc>
      </w:tr>
      <w:tr>
        <w:trPr>
          <w:trHeight w:val="269"/>
        </w:trPr>
        <w:tc>
          <w:tcPr>
            <w:tcW w:w="7000" w:type="dxa"/>
            <w:vAlign w:val="bottom"/>
            <w:shd w:val="clear" w:color="auto" w:fill="E6E6E6"/>
          </w:tcPr>
          <w:p>
            <w:pPr>
              <w:ind w:left="40"/>
              <w:spacing w:after="0"/>
              <w:rPr>
                <w:sz w:val="20"/>
                <w:szCs w:val="20"/>
                <w:color w:val="auto"/>
              </w:rPr>
            </w:pPr>
            <w:r>
              <w:rPr>
                <w:rFonts w:ascii="Arial" w:cs="Arial" w:eastAsia="Arial" w:hAnsi="Arial"/>
                <w:sz w:val="20"/>
                <w:szCs w:val="20"/>
                <w:color w:val="auto"/>
              </w:rPr>
              <w:t>Investment with readily determinable fair value:</w:t>
            </w:r>
          </w:p>
        </w:tc>
        <w:tc>
          <w:tcPr>
            <w:tcW w:w="360" w:type="dxa"/>
            <w:vAlign w:val="bottom"/>
            <w:shd w:val="clear" w:color="auto" w:fill="E6E6E6"/>
          </w:tcPr>
          <w:p>
            <w:pPr>
              <w:spacing w:after="0"/>
              <w:rPr>
                <w:sz w:val="23"/>
                <w:szCs w:val="23"/>
                <w:color w:val="auto"/>
              </w:rPr>
            </w:pPr>
          </w:p>
        </w:tc>
        <w:tc>
          <w:tcPr>
            <w:tcW w:w="112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540" w:type="dxa"/>
            <w:vAlign w:val="bottom"/>
            <w:shd w:val="clear" w:color="auto" w:fill="E6E6E6"/>
          </w:tcPr>
          <w:p>
            <w:pPr>
              <w:spacing w:after="0"/>
              <w:rPr>
                <w:sz w:val="23"/>
                <w:szCs w:val="23"/>
                <w:color w:val="auto"/>
              </w:rPr>
            </w:pPr>
          </w:p>
        </w:tc>
        <w:tc>
          <w:tcPr>
            <w:tcW w:w="940" w:type="dxa"/>
            <w:vAlign w:val="bottom"/>
            <w:shd w:val="clear" w:color="auto" w:fill="E6E6E6"/>
          </w:tcPr>
          <w:p>
            <w:pPr>
              <w:spacing w:after="0"/>
              <w:rPr>
                <w:sz w:val="23"/>
                <w:szCs w:val="23"/>
                <w:color w:val="auto"/>
              </w:rPr>
            </w:pPr>
          </w:p>
        </w:tc>
      </w:tr>
      <w:tr>
        <w:trPr>
          <w:trHeight w:val="279"/>
        </w:trPr>
        <w:tc>
          <w:tcPr>
            <w:tcW w:w="7000" w:type="dxa"/>
            <w:vAlign w:val="bottom"/>
          </w:tcPr>
          <w:p>
            <w:pPr>
              <w:ind w:left="280"/>
              <w:spacing w:after="0" w:line="280" w:lineRule="exact"/>
              <w:rPr>
                <w:sz w:val="20"/>
                <w:szCs w:val="20"/>
                <w:color w:val="auto"/>
              </w:rPr>
            </w:pPr>
            <w:r>
              <w:rPr>
                <w:rFonts w:ascii="Arial" w:cs="Arial" w:eastAsia="Arial" w:hAnsi="Arial"/>
                <w:sz w:val="20"/>
                <w:szCs w:val="20"/>
                <w:color w:val="auto"/>
              </w:rPr>
              <w:t xml:space="preserve">Ceribell, Inc. </w:t>
            </w:r>
            <w:r>
              <w:rPr>
                <w:rFonts w:ascii="Arial" w:cs="Arial" w:eastAsia="Arial" w:hAnsi="Arial"/>
                <w:sz w:val="25"/>
                <w:szCs w:val="25"/>
                <w:color w:val="auto"/>
                <w:vertAlign w:val="superscript"/>
              </w:rPr>
              <w:t>(1)</w:t>
            </w: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10,144</w:t>
            </w:r>
          </w:p>
        </w:tc>
        <w:tc>
          <w:tcPr>
            <w:tcW w:w="620" w:type="dxa"/>
            <w:vAlign w:val="bottom"/>
            <w:gridSpan w:val="2"/>
          </w:tcPr>
          <w:p>
            <w:pPr>
              <w:jc w:val="right"/>
              <w:ind w:right="282"/>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9"/>
        </w:trPr>
        <w:tc>
          <w:tcPr>
            <w:tcW w:w="7000" w:type="dxa"/>
            <w:vAlign w:val="bottom"/>
            <w:shd w:val="clear" w:color="auto" w:fill="E6E6E6"/>
          </w:tcPr>
          <w:p>
            <w:pPr>
              <w:ind w:left="40"/>
              <w:spacing w:after="0"/>
              <w:rPr>
                <w:sz w:val="20"/>
                <w:szCs w:val="20"/>
                <w:color w:val="auto"/>
              </w:rPr>
            </w:pPr>
            <w:r>
              <w:rPr>
                <w:rFonts w:ascii="Arial" w:cs="Arial" w:eastAsia="Arial" w:hAnsi="Arial"/>
                <w:sz w:val="20"/>
                <w:szCs w:val="20"/>
                <w:color w:val="auto"/>
              </w:rPr>
              <w:t>Investments without readily determinable fair values:</w:t>
            </w:r>
          </w:p>
        </w:tc>
        <w:tc>
          <w:tcPr>
            <w:tcW w:w="360" w:type="dxa"/>
            <w:vAlign w:val="bottom"/>
            <w:shd w:val="clear" w:color="auto" w:fill="E6E6E6"/>
          </w:tcPr>
          <w:p>
            <w:pPr>
              <w:spacing w:after="0"/>
              <w:rPr>
                <w:sz w:val="24"/>
                <w:szCs w:val="24"/>
                <w:color w:val="auto"/>
              </w:rPr>
            </w:pPr>
          </w:p>
        </w:tc>
        <w:tc>
          <w:tcPr>
            <w:tcW w:w="11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54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r>
      <w:tr>
        <w:trPr>
          <w:trHeight w:val="274"/>
        </w:trPr>
        <w:tc>
          <w:tcPr>
            <w:tcW w:w="7000" w:type="dxa"/>
            <w:vAlign w:val="bottom"/>
          </w:tcPr>
          <w:p>
            <w:pPr>
              <w:ind w:left="280"/>
              <w:spacing w:after="0"/>
              <w:rPr>
                <w:sz w:val="20"/>
                <w:szCs w:val="20"/>
                <w:color w:val="auto"/>
              </w:rPr>
            </w:pPr>
            <w:r>
              <w:rPr>
                <w:rFonts w:ascii="Arial" w:cs="Arial" w:eastAsia="Arial" w:hAnsi="Arial"/>
                <w:sz w:val="20"/>
                <w:szCs w:val="20"/>
                <w:color w:val="auto"/>
              </w:rPr>
              <w:t>Cadence Neuroscience, Inc.</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5,000</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5,000</w:t>
            </w:r>
          </w:p>
        </w:tc>
      </w:tr>
      <w:tr>
        <w:trPr>
          <w:trHeight w:val="285"/>
        </w:trPr>
        <w:tc>
          <w:tcPr>
            <w:tcW w:w="7000" w:type="dxa"/>
            <w:vAlign w:val="bottom"/>
            <w:shd w:val="clear" w:color="auto" w:fill="E6E6E6"/>
          </w:tcPr>
          <w:p>
            <w:pPr>
              <w:ind w:left="280"/>
              <w:spacing w:after="0"/>
              <w:rPr>
                <w:sz w:val="20"/>
                <w:szCs w:val="20"/>
                <w:color w:val="auto"/>
              </w:rPr>
            </w:pPr>
            <w:r>
              <w:rPr>
                <w:rFonts w:ascii="Arial" w:cs="Arial" w:eastAsia="Arial" w:hAnsi="Arial"/>
                <w:sz w:val="20"/>
                <w:szCs w:val="20"/>
                <w:color w:val="auto"/>
              </w:rPr>
              <w:t>Noctrix Health, Inc.</w:t>
            </w:r>
          </w:p>
        </w:tc>
        <w:tc>
          <w:tcPr>
            <w:tcW w:w="3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3,410</w:t>
            </w:r>
          </w:p>
        </w:tc>
        <w:tc>
          <w:tcPr>
            <w:tcW w:w="80" w:type="dxa"/>
            <w:vAlign w:val="bottom"/>
            <w:shd w:val="clear" w:color="auto" w:fill="E6E6E6"/>
          </w:tcPr>
          <w:p>
            <w:pPr>
              <w:spacing w:after="0"/>
              <w:rPr>
                <w:sz w:val="24"/>
                <w:szCs w:val="24"/>
                <w:color w:val="auto"/>
              </w:rPr>
            </w:pPr>
          </w:p>
        </w:tc>
        <w:tc>
          <w:tcPr>
            <w:tcW w:w="54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3,159</w:t>
            </w:r>
          </w:p>
        </w:tc>
      </w:tr>
      <w:tr>
        <w:trPr>
          <w:trHeight w:val="274"/>
        </w:trPr>
        <w:tc>
          <w:tcPr>
            <w:tcW w:w="7000" w:type="dxa"/>
            <w:vAlign w:val="bottom"/>
          </w:tcPr>
          <w:p>
            <w:pPr>
              <w:ind w:left="280"/>
              <w:spacing w:after="0"/>
              <w:rPr>
                <w:sz w:val="20"/>
                <w:szCs w:val="20"/>
                <w:color w:val="auto"/>
              </w:rPr>
            </w:pPr>
            <w:r>
              <w:rPr>
                <w:rFonts w:ascii="Arial" w:cs="Arial" w:eastAsia="Arial" w:hAnsi="Arial"/>
                <w:sz w:val="20"/>
                <w:szCs w:val="20"/>
                <w:color w:val="auto"/>
              </w:rPr>
              <w:t>Rainbow Medical Ltd.</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1,017</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1,084</w:t>
            </w:r>
          </w:p>
        </w:tc>
      </w:tr>
      <w:tr>
        <w:trPr>
          <w:trHeight w:val="285"/>
        </w:trPr>
        <w:tc>
          <w:tcPr>
            <w:tcW w:w="7000" w:type="dxa"/>
            <w:vAlign w:val="bottom"/>
            <w:shd w:val="clear" w:color="auto" w:fill="E6E6E6"/>
          </w:tcPr>
          <w:p>
            <w:pPr>
              <w:ind w:left="280"/>
              <w:spacing w:after="0"/>
              <w:rPr>
                <w:sz w:val="20"/>
                <w:szCs w:val="20"/>
                <w:color w:val="auto"/>
              </w:rPr>
            </w:pPr>
            <w:r>
              <w:rPr>
                <w:rFonts w:ascii="Arial" w:cs="Arial" w:eastAsia="Arial" w:hAnsi="Arial"/>
                <w:sz w:val="20"/>
                <w:szCs w:val="20"/>
                <w:color w:val="auto"/>
              </w:rPr>
              <w:t>Highlife S.A.S.</w:t>
            </w:r>
          </w:p>
        </w:tc>
        <w:tc>
          <w:tcPr>
            <w:tcW w:w="3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984</w:t>
            </w:r>
          </w:p>
        </w:tc>
        <w:tc>
          <w:tcPr>
            <w:tcW w:w="80" w:type="dxa"/>
            <w:vAlign w:val="bottom"/>
            <w:shd w:val="clear" w:color="auto" w:fill="E6E6E6"/>
          </w:tcPr>
          <w:p>
            <w:pPr>
              <w:spacing w:after="0"/>
              <w:rPr>
                <w:sz w:val="24"/>
                <w:szCs w:val="24"/>
                <w:color w:val="auto"/>
              </w:rPr>
            </w:pPr>
          </w:p>
        </w:tc>
        <w:tc>
          <w:tcPr>
            <w:tcW w:w="54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1,049</w:t>
            </w:r>
          </w:p>
        </w:tc>
      </w:tr>
      <w:tr>
        <w:trPr>
          <w:trHeight w:val="274"/>
        </w:trPr>
        <w:tc>
          <w:tcPr>
            <w:tcW w:w="7000" w:type="dxa"/>
            <w:vAlign w:val="bottom"/>
          </w:tcPr>
          <w:p>
            <w:pPr>
              <w:ind w:left="280"/>
              <w:spacing w:after="0"/>
              <w:rPr>
                <w:sz w:val="20"/>
                <w:szCs w:val="20"/>
                <w:color w:val="auto"/>
              </w:rPr>
            </w:pPr>
            <w:r>
              <w:rPr>
                <w:rFonts w:ascii="Arial" w:cs="Arial" w:eastAsia="Arial" w:hAnsi="Arial"/>
                <w:sz w:val="20"/>
                <w:szCs w:val="20"/>
                <w:color w:val="auto"/>
              </w:rPr>
              <w:t>MD Start II</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811</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865</w:t>
            </w:r>
          </w:p>
        </w:tc>
      </w:tr>
      <w:tr>
        <w:trPr>
          <w:trHeight w:val="285"/>
        </w:trPr>
        <w:tc>
          <w:tcPr>
            <w:tcW w:w="7000" w:type="dxa"/>
            <w:vAlign w:val="bottom"/>
            <w:shd w:val="clear" w:color="auto" w:fill="E6E6E6"/>
          </w:tcPr>
          <w:p>
            <w:pPr>
              <w:ind w:left="280"/>
              <w:spacing w:after="0" w:line="284" w:lineRule="exact"/>
              <w:rPr>
                <w:sz w:val="20"/>
                <w:szCs w:val="20"/>
                <w:color w:val="auto"/>
              </w:rPr>
            </w:pPr>
            <w:r>
              <w:rPr>
                <w:rFonts w:ascii="Arial" w:cs="Arial" w:eastAsia="Arial" w:hAnsi="Arial"/>
                <w:sz w:val="20"/>
                <w:szCs w:val="20"/>
                <w:color w:val="auto"/>
              </w:rPr>
              <w:t xml:space="preserve">ShiraTronics, Inc. </w:t>
            </w:r>
            <w:r>
              <w:rPr>
                <w:rFonts w:ascii="Arial" w:cs="Arial" w:eastAsia="Arial" w:hAnsi="Arial"/>
                <w:sz w:val="25"/>
                <w:szCs w:val="25"/>
                <w:color w:val="auto"/>
                <w:vertAlign w:val="superscript"/>
              </w:rPr>
              <w:t>(2)</w:t>
            </w:r>
          </w:p>
        </w:tc>
        <w:tc>
          <w:tcPr>
            <w:tcW w:w="3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54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5,750</w:t>
            </w:r>
          </w:p>
        </w:tc>
      </w:tr>
      <w:tr>
        <w:trPr>
          <w:trHeight w:val="269"/>
        </w:trPr>
        <w:tc>
          <w:tcPr>
            <w:tcW w:w="7000" w:type="dxa"/>
            <w:vAlign w:val="bottom"/>
            <w:tcBorders>
              <w:bottom w:val="single" w:sz="8" w:color="E6E6E6"/>
            </w:tcBorders>
          </w:tcPr>
          <w:p>
            <w:pPr>
              <w:ind w:left="280"/>
              <w:spacing w:after="0" w:line="269" w:lineRule="exact"/>
              <w:rPr>
                <w:sz w:val="20"/>
                <w:szCs w:val="20"/>
                <w:color w:val="auto"/>
              </w:rPr>
            </w:pPr>
            <w:r>
              <w:rPr>
                <w:rFonts w:ascii="Arial" w:cs="Arial" w:eastAsia="Arial" w:hAnsi="Arial"/>
                <w:sz w:val="20"/>
                <w:szCs w:val="20"/>
                <w:color w:val="auto"/>
              </w:rPr>
              <w:t xml:space="preserve">Ceribell, Inc. </w:t>
            </w:r>
            <w:r>
              <w:rPr>
                <w:rFonts w:ascii="Arial" w:cs="Arial" w:eastAsia="Arial" w:hAnsi="Arial"/>
                <w:sz w:val="25"/>
                <w:szCs w:val="25"/>
                <w:color w:val="auto"/>
                <w:vertAlign w:val="superscript"/>
              </w:rPr>
              <w:t>(1)</w:t>
            </w: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3,000</w:t>
            </w:r>
          </w:p>
        </w:tc>
      </w:tr>
      <w:tr>
        <w:trPr>
          <w:trHeight w:val="269"/>
        </w:trPr>
        <w:tc>
          <w:tcPr>
            <w:tcW w:w="7000" w:type="dxa"/>
            <w:vAlign w:val="bottom"/>
            <w:shd w:val="clear" w:color="auto" w:fill="E6E6E6"/>
          </w:tcPr>
          <w:p>
            <w:pPr>
              <w:spacing w:after="0"/>
              <w:rPr>
                <w:sz w:val="23"/>
                <w:szCs w:val="23"/>
                <w:color w:val="auto"/>
              </w:rPr>
            </w:pPr>
          </w:p>
        </w:tc>
        <w:tc>
          <w:tcPr>
            <w:tcW w:w="360" w:type="dxa"/>
            <w:vAlign w:val="bottom"/>
            <w:shd w:val="clear" w:color="auto" w:fill="E6E6E6"/>
          </w:tcPr>
          <w:p>
            <w:pPr>
              <w:spacing w:after="0"/>
              <w:rPr>
                <w:sz w:val="23"/>
                <w:szCs w:val="23"/>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11,222</w:t>
            </w:r>
          </w:p>
        </w:tc>
        <w:tc>
          <w:tcPr>
            <w:tcW w:w="80" w:type="dxa"/>
            <w:vAlign w:val="bottom"/>
            <w:shd w:val="clear" w:color="auto" w:fill="E6E6E6"/>
          </w:tcPr>
          <w:p>
            <w:pPr>
              <w:spacing w:after="0"/>
              <w:rPr>
                <w:sz w:val="23"/>
                <w:szCs w:val="23"/>
                <w:color w:val="auto"/>
              </w:rPr>
            </w:pPr>
          </w:p>
        </w:tc>
        <w:tc>
          <w:tcPr>
            <w:tcW w:w="540" w:type="dxa"/>
            <w:vAlign w:val="bottom"/>
            <w:shd w:val="clear" w:color="auto" w:fill="E6E6E6"/>
          </w:tcPr>
          <w:p>
            <w:pPr>
              <w:spacing w:after="0"/>
              <w:rPr>
                <w:sz w:val="23"/>
                <w:szCs w:val="23"/>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19,907</w:t>
            </w:r>
          </w:p>
        </w:tc>
      </w:tr>
      <w:tr>
        <w:trPr>
          <w:trHeight w:val="269"/>
        </w:trPr>
        <w:tc>
          <w:tcPr>
            <w:tcW w:w="7000" w:type="dxa"/>
            <w:vAlign w:val="bottom"/>
            <w:tcBorders>
              <w:bottom w:val="single" w:sz="8" w:color="E6E6E6"/>
            </w:tcBorders>
          </w:tcPr>
          <w:p>
            <w:pPr>
              <w:ind w:left="280"/>
              <w:spacing w:after="0" w:line="269" w:lineRule="exact"/>
              <w:rPr>
                <w:sz w:val="20"/>
                <w:szCs w:val="20"/>
                <w:color w:val="auto"/>
              </w:rPr>
            </w:pPr>
            <w:r>
              <w:rPr>
                <w:rFonts w:ascii="Arial" w:cs="Arial" w:eastAsia="Arial" w:hAnsi="Arial"/>
                <w:sz w:val="20"/>
                <w:szCs w:val="20"/>
                <w:color w:val="auto"/>
              </w:rPr>
              <w:t xml:space="preserve">Equity method investment </w:t>
            </w:r>
            <w:r>
              <w:rPr>
                <w:rFonts w:ascii="Arial" w:cs="Arial" w:eastAsia="Arial" w:hAnsi="Arial"/>
                <w:sz w:val="25"/>
                <w:szCs w:val="25"/>
                <w:color w:val="auto"/>
                <w:vertAlign w:val="superscript"/>
              </w:rPr>
              <w:t>(3)</w:t>
            </w: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3,718</w:t>
            </w:r>
          </w:p>
        </w:tc>
        <w:tc>
          <w:tcPr>
            <w:tcW w:w="80" w:type="dxa"/>
            <w:vAlign w:val="bottom"/>
            <w:tcBorders>
              <w:bottom w:val="single" w:sz="8" w:color="E6E6E6"/>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2,936</w:t>
            </w:r>
          </w:p>
        </w:tc>
      </w:tr>
      <w:tr>
        <w:trPr>
          <w:trHeight w:val="278"/>
        </w:trPr>
        <w:tc>
          <w:tcPr>
            <w:tcW w:w="700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25,084</w:t>
            </w:r>
          </w:p>
        </w:tc>
        <w:tc>
          <w:tcPr>
            <w:tcW w:w="80" w:type="dxa"/>
            <w:vAlign w:val="bottom"/>
            <w:tcBorders>
              <w:bottom w:val="single" w:sz="8" w:color="E6E6E6"/>
            </w:tcBorders>
            <w:shd w:val="clear" w:color="auto" w:fill="E6E6E6"/>
          </w:tcPr>
          <w:p>
            <w:pPr>
              <w:spacing w:after="0"/>
              <w:rPr>
                <w:sz w:val="24"/>
                <w:szCs w:val="24"/>
                <w:color w:val="auto"/>
              </w:rPr>
            </w:pPr>
          </w:p>
        </w:tc>
        <w:tc>
          <w:tcPr>
            <w:tcW w:w="540" w:type="dxa"/>
            <w:vAlign w:val="bottom"/>
            <w:tcBorders>
              <w:bottom w:val="single" w:sz="8" w:color="auto"/>
            </w:tcBorders>
            <w:shd w:val="clear" w:color="auto" w:fill="E6E6E6"/>
          </w:tcPr>
          <w:p>
            <w:pPr>
              <w:jc w:val="right"/>
              <w:ind w:right="282"/>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22,843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4435475</wp:posOffset>
            </wp:positionH>
            <wp:positionV relativeFrom="paragraph">
              <wp:posOffset>-2336165</wp:posOffset>
            </wp:positionV>
            <wp:extent cx="195770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11">
                      <a:extLst>
                        <a:ext uri="{28A0092B-C50C-407E-A947-70E740481C1C}"/>
                      </a:extLst>
                    </a:blip>
                    <a:srcRect/>
                    <a:stretch>
                      <a:fillRect/>
                    </a:stretch>
                  </pic:blipFill>
                  <pic:spPr bwMode="auto">
                    <a:xfrm>
                      <a:off x="0" y="0"/>
                      <a:ext cx="1957705" cy="25400"/>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-562610</wp:posOffset>
            </wp:positionV>
            <wp:extent cx="195770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12">
                      <a:extLst>
                        <a:ext uri="{28A0092B-C50C-407E-A947-70E740481C1C}"/>
                      </a:extLst>
                    </a:blip>
                    <a:srcRect/>
                    <a:stretch>
                      <a:fillRect/>
                    </a:stretch>
                  </pic:blipFill>
                  <pic:spPr bwMode="auto">
                    <a:xfrm>
                      <a:off x="0" y="0"/>
                      <a:ext cx="1957705" cy="25400"/>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-208280</wp:posOffset>
            </wp:positionV>
            <wp:extent cx="195770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13">
                      <a:extLst>
                        <a:ext uri="{28A0092B-C50C-407E-A947-70E740481C1C}"/>
                      </a:extLst>
                    </a:blip>
                    <a:srcRect/>
                    <a:stretch>
                      <a:fillRect/>
                    </a:stretch>
                  </pic:blipFill>
                  <pic:spPr bwMode="auto">
                    <a:xfrm>
                      <a:off x="0" y="0"/>
                      <a:ext cx="1957705" cy="25400"/>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-43180</wp:posOffset>
            </wp:positionV>
            <wp:extent cx="1957705" cy="501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14">
                      <a:extLst>
                        <a:ext uri="{28A0092B-C50C-407E-A947-70E740481C1C}"/>
                      </a:extLst>
                    </a:blip>
                    <a:srcRect/>
                    <a:stretch>
                      <a:fillRect/>
                    </a:stretch>
                  </pic:blipFill>
                  <pic:spPr bwMode="auto">
                    <a:xfrm>
                      <a:off x="0" y="0"/>
                      <a:ext cx="1957705" cy="50165"/>
                    </a:xfrm>
                    <a:prstGeom prst="rect">
                      <a:avLst/>
                    </a:prstGeom>
                    <a:noFill/>
                  </pic:spPr>
                </pic:pic>
              </a:graphicData>
            </a:graphic>
          </wp:anchor>
        </w:drawing>
      </w:r>
    </w:p>
    <w:p>
      <w:pPr>
        <w:spacing w:after="0" w:line="111" w:lineRule="exact"/>
        <w:rPr>
          <w:sz w:val="20"/>
          <w:szCs w:val="20"/>
          <w:color w:val="auto"/>
        </w:rPr>
      </w:pPr>
    </w:p>
    <w:p>
      <w:pPr>
        <w:jc w:val="both"/>
        <w:ind w:left="700" w:hanging="355"/>
        <w:spacing w:after="0" w:line="275" w:lineRule="auto"/>
        <w:tabs>
          <w:tab w:leader="none" w:pos="70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On October 10, 2024, Ceribell, Inc. (Nasdaq: CBLL) announced its initial public offering and began trading on October 11, 2024. Per the amended Articles of Incorporation, LivaNova’s Series B Preferred shares converted to common stock upon the offering. As a result, LivaNova’s investment in Ceribell, Inc. is now classified as an investment with a readily determinable fair value and</w:t>
      </w:r>
    </w:p>
    <w:p>
      <w:pPr>
        <w:sectPr>
          <w:pgSz w:w="11880" w:h="15480" w:orient="portrait"/>
          <w:cols w:equalWidth="0" w:num="1">
            <w:col w:w="10040"/>
          </w:cols>
          <w:pgMar w:left="920" w:top="658" w:right="920" w:bottom="0" w:gutter="0" w:footer="0" w:header="0"/>
        </w:sect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ectPr>
          <w:pgSz w:w="11880" w:h="15480" w:orient="portrait"/>
          <w:cols w:equalWidth="0" w:num="1">
            <w:col w:w="10040"/>
          </w:cols>
          <w:pgMar w:left="920" w:top="658" w:right="920" w:bottom="0" w:gutter="0" w:footer="0" w:header="0"/>
          <w:type w:val="continuous"/>
        </w:sectPr>
      </w:pPr>
    </w:p>
    <w:bookmarkStart w:id="77" w:name="page78"/>
    <w:bookmarkEnd w:id="77"/>
    <w:p>
      <w:pPr>
        <w:jc w:val="both"/>
        <w:ind w:left="700"/>
        <w:spacing w:after="0" w:line="250" w:lineRule="auto"/>
        <w:rPr>
          <w:sz w:val="20"/>
          <w:szCs w:val="20"/>
          <w:color w:val="auto"/>
        </w:rPr>
      </w:pPr>
      <w:r>
        <w:rPr>
          <w:rFonts w:ascii="Arial" w:cs="Arial" w:eastAsia="Arial" w:hAnsi="Arial"/>
          <w:sz w:val="18"/>
          <w:szCs w:val="18"/>
          <w:color w:val="auto"/>
        </w:rPr>
        <w:t>measured on a recurring basis (Level 1) (previously Level 3 with fair value measured on a nonrecurring basis). As of December 31, 2024, LivaNova held 391,952 common shares and recognized a $7.1 million unrealized gain on investment during the fourth quarter of 2024, which is included in foreign exchange and other income/(expense) on LivaNova’s consolidated statements of income (loss).</w:t>
      </w:r>
    </w:p>
    <w:p>
      <w:pPr>
        <w:spacing w:after="0" w:line="20" w:lineRule="exact"/>
        <w:rPr>
          <w:sz w:val="20"/>
          <w:szCs w:val="20"/>
          <w:color w:val="auto"/>
        </w:rPr>
      </w:pPr>
    </w:p>
    <w:p>
      <w:pPr>
        <w:jc w:val="both"/>
        <w:ind w:left="700" w:right="20" w:hanging="355"/>
        <w:spacing w:after="0" w:line="234" w:lineRule="auto"/>
        <w:tabs>
          <w:tab w:leader="none" w:pos="70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During the second quarter of 2024, LivaNova recognized an impairment of its investment in ShiraTronics, Inc. upon the conversion of LivaNova’s investment from preferred shares to common stock, which is included in foreign exchange and other income/ (expense) on LivaNova’s consolidated statements of income (loss).</w:t>
      </w:r>
    </w:p>
    <w:p>
      <w:pPr>
        <w:ind w:left="700" w:right="20" w:hanging="355"/>
        <w:spacing w:after="0" w:line="230" w:lineRule="auto"/>
        <w:tabs>
          <w:tab w:leader="none" w:pos="70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As of December 31, 2024 and 2023, LivaNova had commitments to fund follow-on investments up to €1.0 million and €1.9 million ($1.0 million and $2.0 million as of December 31, 2024 and 2023, respectively) based on cash calls.</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Derivatives and Risk Management</w:t>
      </w:r>
    </w:p>
    <w:p>
      <w:pPr>
        <w:spacing w:after="0" w:line="148" w:lineRule="exact"/>
        <w:rPr>
          <w:sz w:val="20"/>
          <w:szCs w:val="20"/>
          <w:color w:val="auto"/>
        </w:rPr>
      </w:pPr>
    </w:p>
    <w:p>
      <w:pPr>
        <w:jc w:val="both"/>
        <w:ind w:right="20"/>
        <w:spacing w:after="0" w:line="284" w:lineRule="auto"/>
        <w:rPr>
          <w:sz w:val="20"/>
          <w:szCs w:val="20"/>
          <w:color w:val="auto"/>
        </w:rPr>
      </w:pPr>
      <w:r>
        <w:rPr>
          <w:rFonts w:ascii="Arial" w:cs="Arial" w:eastAsia="Arial" w:hAnsi="Arial"/>
          <w:sz w:val="20"/>
          <w:szCs w:val="20"/>
          <w:color w:val="auto"/>
        </w:rPr>
        <w:t>Due to the global nature of LivaNova’s operations, the Company is exposed to FX fluctuations. LivaNova enters into FX derivative contracts to reduce the impact of FX fluctuations on earnings and cash flow.</w:t>
      </w:r>
    </w:p>
    <w:p>
      <w:pPr>
        <w:spacing w:after="0" w:line="63" w:lineRule="exact"/>
        <w:rPr>
          <w:sz w:val="20"/>
          <w:szCs w:val="20"/>
          <w:color w:val="auto"/>
        </w:rPr>
      </w:pPr>
    </w:p>
    <w:p>
      <w:pPr>
        <w:jc w:val="both"/>
        <w:ind w:right="20"/>
        <w:spacing w:after="0" w:line="262" w:lineRule="auto"/>
        <w:rPr>
          <w:sz w:val="20"/>
          <w:szCs w:val="20"/>
          <w:color w:val="auto"/>
        </w:rPr>
      </w:pPr>
      <w:r>
        <w:rPr>
          <w:rFonts w:ascii="Arial" w:cs="Arial" w:eastAsia="Arial" w:hAnsi="Arial"/>
          <w:sz w:val="20"/>
          <w:szCs w:val="20"/>
          <w:color w:val="auto"/>
        </w:rPr>
        <w:t>LivaNova is also exposed to equity price risk in connection with its 2025 Notes and 2029 Notes, including exchange/conversion and settlement provisions based on the price of its ordinary shares at exchange/conversion or maturity of the 2025 Notes and 2029 Notes. The Capped Call Transactions associated with the 2025 Notes and 2029 Notes also include settlement provisions that are based on the price of LivaNova’s ordinary shares, subject to a capped price per share. LivaNova does not enter into derivative contracts for speculative purposes.</w:t>
      </w:r>
    </w:p>
    <w:p>
      <w:pPr>
        <w:spacing w:after="0" w:line="87" w:lineRule="exact"/>
        <w:rPr>
          <w:sz w:val="20"/>
          <w:szCs w:val="20"/>
          <w:color w:val="auto"/>
        </w:rPr>
      </w:pPr>
    </w:p>
    <w:p>
      <w:pPr>
        <w:jc w:val="both"/>
        <w:ind w:right="20"/>
        <w:spacing w:after="0" w:line="277" w:lineRule="auto"/>
        <w:rPr>
          <w:sz w:val="20"/>
          <w:szCs w:val="20"/>
          <w:color w:val="auto"/>
        </w:rPr>
      </w:pPr>
      <w:r>
        <w:rPr>
          <w:rFonts w:ascii="Arial" w:cs="Arial" w:eastAsia="Arial" w:hAnsi="Arial"/>
          <w:sz w:val="19"/>
          <w:szCs w:val="19"/>
          <w:color w:val="auto"/>
        </w:rPr>
        <w:t>LivaNova measures all outstanding derivatives each period-end at fair value and reports the fair value as either financial assets or liabilities on the consolidated balance sheets. At inception of the contract, the derivative is designated as either a freestanding derivative or a hedge. Derivatives that are not designated as hedging instruments are referred to as freestanding derivatives with changes in fair value included in earnings. These derivatives are intended to serve as economic hedges and follow the cash flows of the economic hedged item. The cash flows from these derivative contracts are reported as operating activities on LivaNova’s consolidated statements of cash flows.</w:t>
      </w:r>
    </w:p>
    <w:p>
      <w:pPr>
        <w:spacing w:after="0" w:line="75" w:lineRule="exact"/>
        <w:rPr>
          <w:sz w:val="20"/>
          <w:szCs w:val="20"/>
          <w:color w:val="auto"/>
        </w:rPr>
      </w:pPr>
    </w:p>
    <w:p>
      <w:pPr>
        <w:jc w:val="both"/>
        <w:ind w:right="20"/>
        <w:spacing w:after="0" w:line="283" w:lineRule="auto"/>
        <w:rPr>
          <w:sz w:val="20"/>
          <w:szCs w:val="20"/>
          <w:color w:val="auto"/>
        </w:rPr>
      </w:pPr>
      <w:r>
        <w:rPr>
          <w:rFonts w:ascii="Arial" w:cs="Arial" w:eastAsia="Arial" w:hAnsi="Arial"/>
          <w:sz w:val="19"/>
          <w:szCs w:val="19"/>
          <w:color w:val="auto"/>
        </w:rPr>
        <w:t>If the derivative qualifies for hedge accounting, changes in the fair value of the derivative will be recorded in AOCI until the hedged item is recognized in earnings upon settlement/termination. Interest rate swap gains and losses in AOCI are reclassified to interest expense on LivaNova’s consolidated statements of income (loss). LivaNova evaluates hedge effectiveness at inception. LivaNova had no designated hedging instruments as of December 31, 2024 and 2023.</w:t>
      </w:r>
    </w:p>
    <w:p>
      <w:pPr>
        <w:spacing w:after="0" w:line="61" w:lineRule="exact"/>
        <w:rPr>
          <w:sz w:val="20"/>
          <w:szCs w:val="20"/>
          <w:color w:val="auto"/>
        </w:rPr>
      </w:pPr>
    </w:p>
    <w:p>
      <w:pPr>
        <w:spacing w:after="0"/>
        <w:rPr>
          <w:sz w:val="20"/>
          <w:szCs w:val="20"/>
          <w:color w:val="auto"/>
        </w:rPr>
      </w:pPr>
      <w:r>
        <w:rPr>
          <w:rFonts w:ascii="Arial" w:cs="Arial" w:eastAsia="Arial" w:hAnsi="Arial"/>
          <w:sz w:val="22"/>
          <w:szCs w:val="22"/>
          <w:color w:val="auto"/>
        </w:rPr>
        <w:t>Freestanding FX Derivatives</w:t>
      </w:r>
    </w:p>
    <w:p>
      <w:pPr>
        <w:spacing w:after="0" w:line="140" w:lineRule="exact"/>
        <w:rPr>
          <w:sz w:val="20"/>
          <w:szCs w:val="20"/>
          <w:color w:val="auto"/>
        </w:rPr>
      </w:pPr>
    </w:p>
    <w:p>
      <w:pPr>
        <w:jc w:val="both"/>
        <w:ind w:right="20"/>
        <w:spacing w:after="0" w:line="277" w:lineRule="auto"/>
        <w:rPr>
          <w:sz w:val="20"/>
          <w:szCs w:val="20"/>
          <w:color w:val="auto"/>
        </w:rPr>
      </w:pPr>
      <w:r>
        <w:rPr>
          <w:rFonts w:ascii="Arial" w:cs="Arial" w:eastAsia="Arial" w:hAnsi="Arial"/>
          <w:sz w:val="19"/>
          <w:szCs w:val="19"/>
          <w:color w:val="auto"/>
        </w:rPr>
        <w:t>The gross notional amount of freestanding FX derivative contracts not designated as hedging instruments outstanding as of December 31, 2024 and 2023 was $442.3 million and $223.4 million, respectively. These derivative contracts are designed to offset the FX effects in earnings of various intercompany loans and trade receivables. LivaNova recorded a net gain for freestanding derivatives of $5.2 million for the year ended December 31, 2024, a net loss of $1.3 million, and a net gain of $4.5 million for the years ended December 31, 2023 and 2022, respectively. These gains and losses are included in foreign exchange and other income/(expense) on LivaNova’s consolidated statements of income (loss).</w:t>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color w:val="auto"/>
        </w:rPr>
        <w:t>Capped Call Derivatives</w:t>
      </w:r>
    </w:p>
    <w:p>
      <w:pPr>
        <w:spacing w:after="0" w:line="140"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color w:val="auto"/>
        </w:rPr>
        <w:t>The Capped Call Transactions are carried on the consolidated balance sheets as a derivative asset at their estimated fair value and are adjusted at the end of each reporting period, with unrealized gain or loss reflected in foreign exchange and other income/(expense) in the consolidated statements of income (loss). The Capped Call Transactions are measured at fair value using the Black-Scholes model utilizing observable and unobservable market data, including stock price, remaining contractual term, expected volatility, risk-free interest rate, and expected dividend yield, as applicable. For additional information, refer to “Note 9. Financing Arrangements.”</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2025 Capped Calls</w:t>
      </w:r>
    </w:p>
    <w:p>
      <w:pPr>
        <w:spacing w:after="0" w:line="144" w:lineRule="exact"/>
        <w:rPr>
          <w:sz w:val="20"/>
          <w:szCs w:val="20"/>
          <w:color w:val="auto"/>
        </w:rPr>
      </w:pPr>
    </w:p>
    <w:p>
      <w:pPr>
        <w:jc w:val="both"/>
        <w:ind w:right="20"/>
        <w:spacing w:after="0" w:line="309" w:lineRule="auto"/>
        <w:rPr>
          <w:sz w:val="20"/>
          <w:szCs w:val="20"/>
          <w:color w:val="auto"/>
        </w:rPr>
      </w:pPr>
      <w:r>
        <w:rPr>
          <w:rFonts w:ascii="Arial" w:cs="Arial" w:eastAsia="Arial" w:hAnsi="Arial"/>
          <w:sz w:val="17"/>
          <w:szCs w:val="17"/>
          <w:color w:val="auto"/>
        </w:rPr>
        <w:t>In June 2020, LivaNova issued the 2025 Notes. In connection with the pricing of the 2025 Notes, the Company entered into related privately-negotiated capped call transactions with certain financial institutions. Under the 2025 Capped Calls, the Company purchased a capped call option with an initial strike price of $60.98 and an initial cap price of $100.00 per share. The strike price, which is subject to certain adjustments, corresponds to the initial exchange price of the 2025 Notes. The 2025 Capped Calls are intended to offset any cash payments upon exchange of the 2025 Notes in excess of the principal amount; however, the proceeds are limited to the initial cap price in the event the Company’s share price exceeds the cap price at the time of an exchange. The 2025 Capped Calls expire on December 15, 2025, and must be settled in cash. The 2025 Capped Calls are subject to anti-dilution adjustments substantially similar to those applicable to the 2025 Notes and cover the number of LivaNova’s ordinary shares underlying the 2025 Notes. If the 2025 Capped Calls are terminated early, settlement occurs at their termination value, which is equal to their fair value at the time of the early termination. In connection with the issuance of the</w:t>
      </w: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F-20</w:t>
      </w:r>
    </w:p>
    <w:p>
      <w:pPr>
        <w:sectPr>
          <w:pgSz w:w="11880" w:h="15480" w:orient="portrait"/>
          <w:cols w:equalWidth="0" w:num="1">
            <w:col w:w="10060"/>
          </w:cols>
          <w:pgMar w:left="920" w:top="670" w:right="900" w:bottom="0" w:gutter="0" w:footer="0" w:header="0"/>
        </w:sectPr>
      </w:pPr>
    </w:p>
    <w:bookmarkStart w:id="78" w:name="page79"/>
    <w:bookmarkEnd w:id="78"/>
    <w:p>
      <w:pPr>
        <w:jc w:val="both"/>
        <w:spacing w:after="0" w:line="326" w:lineRule="auto"/>
        <w:rPr>
          <w:sz w:val="20"/>
          <w:szCs w:val="20"/>
          <w:color w:val="auto"/>
        </w:rPr>
      </w:pPr>
      <w:r>
        <w:rPr>
          <w:rFonts w:ascii="Arial" w:cs="Arial" w:eastAsia="Arial" w:hAnsi="Arial"/>
          <w:sz w:val="17"/>
          <w:szCs w:val="17"/>
          <w:color w:val="auto"/>
        </w:rPr>
        <w:t>2029 Notes, the Company repurchased an aggregate principal amount of $230.0 million of the 2025 Notes and unwound a corresponding portion of the 2025 Capped Calls at the fair value of such portion of the 2025 Capped Calls. The Company received $22.5 million in cash consideration, the fair value of the terminated portion, upon settlement. The terms of the remaining 2025 Capped Calls remain unchanged and continue to be classified as long-term derivative assets.</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2029 Capped Calls</w:t>
      </w:r>
    </w:p>
    <w:p>
      <w:pPr>
        <w:spacing w:after="0" w:line="144"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In March 2024, LivaNova issued the 2029 Notes. In connection with the pricing of the 2029 Notes, the Company entered into related privately-negotiated capped call transactions with certain financial institutions. Under the 2029 Capped Calls, the Company purchased a capped call option with an initial strike price of $69.40 and an initial cap price of $94.28 per share. The strike price, which is subject to certain adjustments, corresponds to the initial conversion price of the 2029 Notes. The 2029 Capped Calls are intended to offset any cash payments and/or cash equivalent value of ordinary shares upon conversion of the 2029 Notes if the market value per ordinary share is greater than the strike price, with such offsets being subject to the initial cap price of $94.28 per share. However, the proceeds under the 2029 Capped Calls are limited to the initial cap price in the event the Company’s share price exceeds the cap price at the time of conversion. The 2029 Capped Calls expire on March 15, 2029, and must be settled in cash. The 2029 Capped Calls are subject to anti-dilution adjustments substantially similar to those applicable to the 2029 Notes and cover the number of LivaNova’s ordinary shares underlying the 2029 Notes. If the 2029 Capped Calls are terminated early, settlement occurs at their termination value, which is equal to their fair value at the time of the early termination. For transaction costs associated with entering into the 2029 Capped Calls, refer to “Additions” in the “Reconciliation of Level 3 Assets and Liabilities” table within “Note 8. Fair Value Measurements.”</w:t>
      </w:r>
    </w:p>
    <w:p>
      <w:pPr>
        <w:spacing w:after="0" w:line="46" w:lineRule="exact"/>
        <w:rPr>
          <w:sz w:val="20"/>
          <w:szCs w:val="20"/>
          <w:color w:val="auto"/>
        </w:rPr>
      </w:pPr>
    </w:p>
    <w:p>
      <w:pPr>
        <w:spacing w:after="0"/>
        <w:rPr>
          <w:sz w:val="20"/>
          <w:szCs w:val="20"/>
          <w:color w:val="auto"/>
        </w:rPr>
      </w:pPr>
      <w:r>
        <w:rPr>
          <w:rFonts w:ascii="Arial" w:cs="Arial" w:eastAsia="Arial" w:hAnsi="Arial"/>
          <w:sz w:val="22"/>
          <w:szCs w:val="22"/>
          <w:color w:val="auto"/>
        </w:rPr>
        <w:t>Embedded Derivatives</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2025 Notes and 2029 Notes each include terms resulting in a bifurcated embedded derivative. The Embedded Derivatives are measured at fair value using a binomial lattice model and estimated discounted cash flows that utilize observable and unobservable market data and are adjusted at the end of each reporting period, with the unrealized gain or loss reflected in foreign exchange and other income/(expense) in the consolidated statements of income (loss). For additional information, refer to “Note 9. Financing Arrangements.”</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color w:val="auto"/>
        </w:rPr>
        <w:t>Counterparty Credit Risk</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color w:val="auto"/>
        </w:rPr>
        <w:t>LivaNova is exposed to credit risk in the event of non-performance by the counterparties to the Company’s derivatives.</w:t>
      </w:r>
    </w:p>
    <w:p>
      <w:pPr>
        <w:spacing w:after="0" w:line="144"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The Option Counterparties are financial institutions. To limit LivaNova’s credit risk, the Company selected financial institutions with a minimum long-term investment grade credit rating. LivaNova’s exposure to the credit risk of the Option Counterparties is not secured by any collateral. If one or more of the Option Counterparties becomes subject to insolvency proceedings, LivaNova will become an unsecured creditor in those proceedings, with a claim equal to the Company’s exposure at that time under the 2025 Capped Calls and/or 2029 Capped Calls, as applicable, with that Option Counterparty.</w:t>
      </w:r>
    </w:p>
    <w:p>
      <w:pPr>
        <w:spacing w:after="0" w:line="4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To manage credit risk with respect to LivaNova’s other derivatives, the Company selects and periodically reviews counterparties based on credit ratings, limits its exposure with respect to each counterparty, and monitors their respective market positions. However, if one or more of these counterparties were in a liability position to the Company and were unable to meet their obligations, any transactions with the counterparty could be subject to early termination, which could result in substantial losses for the Company.</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color w:val="auto"/>
        </w:rPr>
        <w:t>Cash Flow Hedges</w:t>
      </w:r>
    </w:p>
    <w:p>
      <w:pPr>
        <w:spacing w:after="0" w:line="140" w:lineRule="exact"/>
        <w:rPr>
          <w:sz w:val="20"/>
          <w:szCs w:val="20"/>
          <w:color w:val="auto"/>
        </w:rPr>
      </w:pPr>
    </w:p>
    <w:p>
      <w:pPr>
        <w:jc w:val="both"/>
        <w:spacing w:after="0" w:line="326" w:lineRule="auto"/>
        <w:rPr>
          <w:sz w:val="20"/>
          <w:szCs w:val="20"/>
          <w:color w:val="auto"/>
        </w:rPr>
      </w:pPr>
      <w:r>
        <w:rPr>
          <w:rFonts w:ascii="Arial" w:cs="Arial" w:eastAsia="Arial" w:hAnsi="Arial"/>
          <w:sz w:val="17"/>
          <w:szCs w:val="17"/>
          <w:color w:val="auto"/>
        </w:rPr>
        <w:t>Historically, LivaNova entered into interest rate swaps associated with the Initial Term Facility, which qualified for and were designated as cash flow hedges. The Company’s outstanding interest rate swaps expired on April 6, 2023. LivaNova elected not to renew the interest rate swaps. Interest expense associated with the Initial Term Facility is principally offset by holding proceeds from the Term Facilities in a depository account, which earns a floating rate of interest.</w:t>
      </w:r>
    </w:p>
    <w:p>
      <w:pPr>
        <w:spacing w:after="0" w:line="36"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pre-tax gains (losses) for derivative contracts designated as cash flow hedges recognized in OCI and the amount reclassified to earnings from AOCI were as follows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60" w:type="dxa"/>
            <w:vAlign w:val="bottom"/>
            <w:gridSpan w:val="2"/>
            <w:vMerge w:val="restart"/>
          </w:tcPr>
          <w:p>
            <w:pPr>
              <w:ind w:left="60"/>
              <w:spacing w:after="0"/>
              <w:rPr>
                <w:sz w:val="20"/>
                <w:szCs w:val="20"/>
                <w:color w:val="auto"/>
              </w:rPr>
            </w:pPr>
            <w:r>
              <w:rPr>
                <w:rFonts w:ascii="Arial" w:cs="Arial" w:eastAsia="Arial" w:hAnsi="Arial"/>
                <w:sz w:val="20"/>
                <w:szCs w:val="20"/>
                <w:b w:val="1"/>
                <w:bCs w:val="1"/>
                <w:color w:val="auto"/>
              </w:rPr>
              <w:t>Location in Earnings of</w:t>
            </w:r>
          </w:p>
        </w:tc>
        <w:tc>
          <w:tcPr>
            <w:tcW w:w="9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rPr>
              <w:t>2023</w:t>
            </w:r>
          </w:p>
        </w:tc>
        <w:tc>
          <w:tcPr>
            <w:tcW w:w="1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8"/>
        </w:trPr>
        <w:tc>
          <w:tcPr>
            <w:tcW w:w="3160" w:type="dxa"/>
            <w:vAlign w:val="bottom"/>
            <w:vMerge w:val="restart"/>
          </w:tcPr>
          <w:p>
            <w:pPr>
              <w:ind w:left="40"/>
              <w:spacing w:after="0"/>
              <w:rPr>
                <w:sz w:val="20"/>
                <w:szCs w:val="20"/>
                <w:color w:val="auto"/>
              </w:rPr>
            </w:pPr>
            <w:r>
              <w:rPr>
                <w:rFonts w:ascii="Arial" w:cs="Arial" w:eastAsia="Arial" w:hAnsi="Arial"/>
                <w:sz w:val="20"/>
                <w:szCs w:val="20"/>
                <w:b w:val="1"/>
                <w:bCs w:val="1"/>
                <w:color w:val="auto"/>
                <w:w w:val="95"/>
              </w:rPr>
              <w:t>Description of Derivative Contract</w:t>
            </w:r>
          </w:p>
        </w:tc>
        <w:tc>
          <w:tcPr>
            <w:tcW w:w="60" w:type="dxa"/>
            <w:vAlign w:val="bottom"/>
          </w:tcPr>
          <w:p>
            <w:pPr>
              <w:spacing w:after="0"/>
              <w:rPr>
                <w:sz w:val="15"/>
                <w:szCs w:val="15"/>
                <w:color w:val="auto"/>
              </w:rPr>
            </w:pPr>
          </w:p>
        </w:tc>
        <w:tc>
          <w:tcPr>
            <w:tcW w:w="2460" w:type="dxa"/>
            <w:vAlign w:val="bottom"/>
            <w:gridSpan w:val="2"/>
            <w:vMerge w:val="continue"/>
          </w:tcPr>
          <w:p>
            <w:pPr>
              <w:spacing w:after="0"/>
              <w:rPr>
                <w:sz w:val="15"/>
                <w:szCs w:val="15"/>
                <w:color w:val="auto"/>
              </w:rPr>
            </w:pPr>
          </w:p>
        </w:tc>
        <w:tc>
          <w:tcPr>
            <w:tcW w:w="2160" w:type="dxa"/>
            <w:vAlign w:val="bottom"/>
            <w:gridSpan w:val="2"/>
            <w:vMerge w:val="restart"/>
          </w:tcPr>
          <w:p>
            <w:pPr>
              <w:ind w:left="80"/>
              <w:spacing w:after="0"/>
              <w:rPr>
                <w:sz w:val="20"/>
                <w:szCs w:val="20"/>
                <w:color w:val="auto"/>
              </w:rPr>
            </w:pPr>
            <w:r>
              <w:rPr>
                <w:rFonts w:ascii="Arial" w:cs="Arial" w:eastAsia="Arial" w:hAnsi="Arial"/>
                <w:sz w:val="20"/>
                <w:szCs w:val="20"/>
                <w:b w:val="1"/>
                <w:bCs w:val="1"/>
                <w:color w:val="auto"/>
                <w:w w:val="89"/>
              </w:rPr>
              <w:t>Loss Recognized in OCI</w:t>
            </w:r>
          </w:p>
        </w:tc>
        <w:tc>
          <w:tcPr>
            <w:tcW w:w="80" w:type="dxa"/>
            <w:vAlign w:val="bottom"/>
          </w:tcPr>
          <w:p>
            <w:pPr>
              <w:spacing w:after="0"/>
              <w:rPr>
                <w:sz w:val="15"/>
                <w:szCs w:val="15"/>
                <w:color w:val="auto"/>
              </w:rPr>
            </w:pPr>
          </w:p>
        </w:tc>
        <w:tc>
          <w:tcPr>
            <w:tcW w:w="2120" w:type="dxa"/>
            <w:vAlign w:val="bottom"/>
            <w:gridSpan w:val="2"/>
          </w:tcPr>
          <w:p>
            <w:pPr>
              <w:jc w:val="center"/>
              <w:spacing w:after="0" w:line="179" w:lineRule="exact"/>
              <w:rPr>
                <w:sz w:val="20"/>
                <w:szCs w:val="20"/>
                <w:color w:val="auto"/>
              </w:rPr>
            </w:pPr>
            <w:r>
              <w:rPr>
                <w:rFonts w:ascii="Arial" w:cs="Arial" w:eastAsia="Arial" w:hAnsi="Arial"/>
                <w:sz w:val="20"/>
                <w:szCs w:val="20"/>
                <w:b w:val="1"/>
                <w:bCs w:val="1"/>
                <w:color w:val="auto"/>
                <w:w w:val="88"/>
              </w:rPr>
              <w:t>Gain Reclassified from</w:t>
            </w:r>
          </w:p>
        </w:tc>
        <w:tc>
          <w:tcPr>
            <w:tcW w:w="0" w:type="dxa"/>
            <w:vAlign w:val="bottom"/>
          </w:tcPr>
          <w:p>
            <w:pPr>
              <w:spacing w:after="0"/>
              <w:rPr>
                <w:sz w:val="1"/>
                <w:szCs w:val="1"/>
                <w:color w:val="auto"/>
              </w:rPr>
            </w:pPr>
          </w:p>
        </w:tc>
      </w:tr>
      <w:tr>
        <w:trPr>
          <w:trHeight w:val="258"/>
        </w:trPr>
        <w:tc>
          <w:tcPr>
            <w:tcW w:w="316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238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color w:val="auto"/>
                <w:w w:val="94"/>
              </w:rPr>
              <w:t>Reclassified Gain or Loss</w:t>
            </w:r>
          </w:p>
        </w:tc>
        <w:tc>
          <w:tcPr>
            <w:tcW w:w="80" w:type="dxa"/>
            <w:vAlign w:val="bottom"/>
            <w:tcBorders>
              <w:bottom w:val="single" w:sz="8" w:color="E6E6E6"/>
            </w:tcBorders>
          </w:tcPr>
          <w:p>
            <w:pPr>
              <w:spacing w:after="0"/>
              <w:rPr>
                <w:sz w:val="22"/>
                <w:szCs w:val="22"/>
                <w:color w:val="auto"/>
              </w:rPr>
            </w:pPr>
          </w:p>
        </w:tc>
        <w:tc>
          <w:tcPr>
            <w:tcW w:w="2160" w:type="dxa"/>
            <w:vAlign w:val="bottom"/>
            <w:tcBorders>
              <w:bottom w:val="single" w:sz="8" w:color="auto"/>
            </w:tcBorders>
            <w:gridSpan w:val="2"/>
            <w:vMerge w:val="continue"/>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center"/>
              <w:ind w:right="122"/>
              <w:spacing w:after="0"/>
              <w:rPr>
                <w:sz w:val="20"/>
                <w:szCs w:val="20"/>
                <w:color w:val="auto"/>
              </w:rPr>
            </w:pPr>
            <w:r>
              <w:rPr>
                <w:rFonts w:ascii="Arial" w:cs="Arial" w:eastAsia="Arial" w:hAnsi="Arial"/>
                <w:sz w:val="20"/>
                <w:szCs w:val="20"/>
                <w:b w:val="1"/>
                <w:bCs w:val="1"/>
                <w:color w:val="auto"/>
                <w:w w:val="91"/>
              </w:rPr>
              <w:t>AOCI to Earnings</w:t>
            </w:r>
          </w:p>
        </w:tc>
        <w:tc>
          <w:tcPr>
            <w:tcW w:w="0" w:type="dxa"/>
            <w:vAlign w:val="bottom"/>
          </w:tcPr>
          <w:p>
            <w:pPr>
              <w:spacing w:after="0"/>
              <w:rPr>
                <w:sz w:val="1"/>
                <w:szCs w:val="1"/>
                <w:color w:val="auto"/>
              </w:rPr>
            </w:pPr>
          </w:p>
        </w:tc>
      </w:tr>
      <w:tr>
        <w:trPr>
          <w:trHeight w:val="269"/>
        </w:trPr>
        <w:tc>
          <w:tcPr>
            <w:tcW w:w="3160" w:type="dxa"/>
            <w:vAlign w:val="bottom"/>
            <w:shd w:val="clear" w:color="auto" w:fill="E6E6E6"/>
          </w:tcPr>
          <w:p>
            <w:pPr>
              <w:ind w:left="40"/>
              <w:spacing w:after="0"/>
              <w:rPr>
                <w:sz w:val="20"/>
                <w:szCs w:val="20"/>
                <w:color w:val="auto"/>
              </w:rPr>
            </w:pPr>
            <w:r>
              <w:rPr>
                <w:rFonts w:ascii="Arial" w:cs="Arial" w:eastAsia="Arial" w:hAnsi="Arial"/>
                <w:sz w:val="20"/>
                <w:szCs w:val="20"/>
                <w:color w:val="auto"/>
              </w:rPr>
              <w:t>Interest rate swap contracts</w:t>
            </w:r>
          </w:p>
        </w:tc>
        <w:tc>
          <w:tcPr>
            <w:tcW w:w="60" w:type="dxa"/>
            <w:vAlign w:val="bottom"/>
            <w:shd w:val="clear" w:color="auto" w:fill="E6E6E6"/>
          </w:tcPr>
          <w:p>
            <w:pPr>
              <w:spacing w:after="0"/>
              <w:rPr>
                <w:sz w:val="23"/>
                <w:szCs w:val="23"/>
                <w:color w:val="auto"/>
              </w:rPr>
            </w:pPr>
          </w:p>
        </w:tc>
        <w:tc>
          <w:tcPr>
            <w:tcW w:w="2460" w:type="dxa"/>
            <w:vAlign w:val="bottom"/>
            <w:gridSpan w:val="2"/>
            <w:shd w:val="clear" w:color="auto" w:fill="E6E6E6"/>
          </w:tcPr>
          <w:p>
            <w:pPr>
              <w:ind w:left="60"/>
              <w:spacing w:after="0"/>
              <w:rPr>
                <w:sz w:val="20"/>
                <w:szCs w:val="20"/>
                <w:color w:val="auto"/>
              </w:rPr>
            </w:pPr>
            <w:r>
              <w:rPr>
                <w:rFonts w:ascii="Arial" w:cs="Arial" w:eastAsia="Arial" w:hAnsi="Arial"/>
                <w:sz w:val="20"/>
                <w:szCs w:val="20"/>
                <w:color w:val="auto"/>
              </w:rPr>
              <w:t>Interest expense</w:t>
            </w:r>
          </w:p>
        </w:tc>
        <w:tc>
          <w:tcPr>
            <w:tcW w:w="940" w:type="dxa"/>
            <w:vAlign w:val="bottom"/>
            <w:shd w:val="clear" w:color="auto" w:fill="E6E6E6"/>
          </w:tcPr>
          <w:p>
            <w:pPr>
              <w:ind w:left="60"/>
              <w:spacing w:after="0"/>
              <w:rPr>
                <w:sz w:val="20"/>
                <w:szCs w:val="20"/>
                <w:color w:val="auto"/>
              </w:rPr>
            </w:pPr>
            <w:r>
              <w:rPr>
                <w:rFonts w:ascii="Arial" w:cs="Arial" w:eastAsia="Arial" w:hAnsi="Arial"/>
                <w:sz w:val="20"/>
                <w:szCs w:val="20"/>
                <w:color w:val="auto"/>
              </w:rPr>
              <w:t>$</w:t>
            </w:r>
          </w:p>
        </w:tc>
        <w:tc>
          <w:tcPr>
            <w:tcW w:w="12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(433)</w:t>
            </w:r>
          </w:p>
        </w:tc>
        <w:tc>
          <w:tcPr>
            <w:tcW w:w="30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9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-189230</wp:posOffset>
            </wp:positionV>
            <wp:extent cx="641032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15">
                      <a:extLst>
                        <a:ext uri="{28A0092B-C50C-407E-A947-70E740481C1C}"/>
                      </a:extLst>
                    </a:blip>
                    <a:srcRect/>
                    <a:stretch>
                      <a:fillRect/>
                    </a:stretch>
                  </pic:blipFill>
                  <pic:spPr bwMode="auto">
                    <a:xfrm>
                      <a:off x="0" y="0"/>
                      <a:ext cx="6410325" cy="25400"/>
                    </a:xfrm>
                    <a:prstGeom prst="rect">
                      <a:avLst/>
                    </a:prstGeom>
                    <a:noFill/>
                  </pic:spPr>
                </pic:pic>
              </a:graphicData>
            </a:graphic>
          </wp:anchor>
        </w:drawing>
      </w:r>
    </w:p>
    <w:p>
      <w:pPr>
        <w:sectPr>
          <w:pgSz w:w="11880" w:h="15480" w:orient="portrait"/>
          <w:cols w:equalWidth="0" w:num="1">
            <w:col w:w="10040"/>
          </w:cols>
          <w:pgMar w:left="920" w:top="66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ectPr>
          <w:pgSz w:w="11880" w:h="15480" w:orient="portrait"/>
          <w:cols w:equalWidth="0" w:num="1">
            <w:col w:w="10040"/>
          </w:cols>
          <w:pgMar w:left="920" w:top="664" w:right="920" w:bottom="0" w:gutter="0" w:footer="0" w:header="0"/>
          <w:type w:val="continuous"/>
        </w:sectPr>
      </w:pPr>
    </w:p>
    <w:bookmarkStart w:id="79" w:name="page80"/>
    <w:bookmarkEnd w:id="79"/>
    <w:tbl>
      <w:tblPr>
        <w:tblLayout w:type="fixed"/>
        <w:tblInd w:w="0" w:type="dxa"/>
        <w:tblCellMar>
          <w:top w:w="0" w:type="dxa"/>
          <w:left w:w="0" w:type="dxa"/>
          <w:bottom w:w="0" w:type="dxa"/>
          <w:right w:w="0" w:type="dxa"/>
        </w:tblCellMar>
      </w:tblPr>
      <w:tr>
        <w:trPr>
          <w:trHeight w:val="262"/>
        </w:trPr>
        <w:tc>
          <w:tcPr>
            <w:tcW w:w="3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60" w:type="dxa"/>
            <w:vAlign w:val="bottom"/>
            <w:gridSpan w:val="2"/>
            <w:vMerge w:val="restart"/>
          </w:tcPr>
          <w:p>
            <w:pPr>
              <w:ind w:left="60"/>
              <w:spacing w:after="0"/>
              <w:rPr>
                <w:sz w:val="20"/>
                <w:szCs w:val="20"/>
                <w:color w:val="auto"/>
              </w:rPr>
            </w:pPr>
            <w:r>
              <w:rPr>
                <w:rFonts w:ascii="Arial" w:cs="Arial" w:eastAsia="Arial" w:hAnsi="Arial"/>
                <w:sz w:val="20"/>
                <w:szCs w:val="20"/>
                <w:b w:val="1"/>
                <w:bCs w:val="1"/>
                <w:color w:val="auto"/>
              </w:rPr>
              <w:t>Location in Earnings of</w:t>
            </w:r>
          </w:p>
        </w:tc>
        <w:tc>
          <w:tcPr>
            <w:tcW w:w="48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rPr>
              <w:t>2022</w:t>
            </w:r>
          </w:p>
        </w:tc>
        <w:tc>
          <w:tcPr>
            <w:tcW w:w="1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8"/>
        </w:trPr>
        <w:tc>
          <w:tcPr>
            <w:tcW w:w="3160" w:type="dxa"/>
            <w:vAlign w:val="bottom"/>
            <w:vMerge w:val="restart"/>
          </w:tcPr>
          <w:p>
            <w:pPr>
              <w:ind w:left="40"/>
              <w:spacing w:after="0"/>
              <w:rPr>
                <w:sz w:val="20"/>
                <w:szCs w:val="20"/>
                <w:color w:val="auto"/>
              </w:rPr>
            </w:pPr>
            <w:r>
              <w:rPr>
                <w:rFonts w:ascii="Arial" w:cs="Arial" w:eastAsia="Arial" w:hAnsi="Arial"/>
                <w:sz w:val="20"/>
                <w:szCs w:val="20"/>
                <w:b w:val="1"/>
                <w:bCs w:val="1"/>
                <w:color w:val="auto"/>
                <w:w w:val="95"/>
              </w:rPr>
              <w:t>Description of Derivative Contract</w:t>
            </w:r>
          </w:p>
        </w:tc>
        <w:tc>
          <w:tcPr>
            <w:tcW w:w="60" w:type="dxa"/>
            <w:vAlign w:val="bottom"/>
          </w:tcPr>
          <w:p>
            <w:pPr>
              <w:spacing w:after="0"/>
              <w:rPr>
                <w:sz w:val="15"/>
                <w:szCs w:val="15"/>
                <w:color w:val="auto"/>
              </w:rPr>
            </w:pPr>
          </w:p>
        </w:tc>
        <w:tc>
          <w:tcPr>
            <w:tcW w:w="2460" w:type="dxa"/>
            <w:vAlign w:val="bottom"/>
            <w:gridSpan w:val="2"/>
            <w:vMerge w:val="continue"/>
          </w:tcPr>
          <w:p>
            <w:pPr>
              <w:spacing w:after="0"/>
              <w:rPr>
                <w:sz w:val="15"/>
                <w:szCs w:val="15"/>
                <w:color w:val="auto"/>
              </w:rPr>
            </w:pPr>
          </w:p>
        </w:tc>
        <w:tc>
          <w:tcPr>
            <w:tcW w:w="2160" w:type="dxa"/>
            <w:vAlign w:val="bottom"/>
            <w:gridSpan w:val="2"/>
          </w:tcPr>
          <w:p>
            <w:pPr>
              <w:jc w:val="right"/>
              <w:spacing w:after="0" w:line="179" w:lineRule="exact"/>
              <w:rPr>
                <w:sz w:val="20"/>
                <w:szCs w:val="20"/>
                <w:color w:val="auto"/>
              </w:rPr>
            </w:pPr>
            <w:r>
              <w:rPr>
                <w:rFonts w:ascii="Arial" w:cs="Arial" w:eastAsia="Arial" w:hAnsi="Arial"/>
                <w:sz w:val="20"/>
                <w:szCs w:val="20"/>
                <w:b w:val="1"/>
                <w:bCs w:val="1"/>
                <w:color w:val="auto"/>
                <w:w w:val="90"/>
              </w:rPr>
              <w:t>(Loss) Gain Recognized</w:t>
            </w:r>
          </w:p>
        </w:tc>
        <w:tc>
          <w:tcPr>
            <w:tcW w:w="80" w:type="dxa"/>
            <w:vAlign w:val="bottom"/>
          </w:tcPr>
          <w:p>
            <w:pPr>
              <w:spacing w:after="0"/>
              <w:rPr>
                <w:sz w:val="15"/>
                <w:szCs w:val="15"/>
                <w:color w:val="auto"/>
              </w:rPr>
            </w:pPr>
          </w:p>
        </w:tc>
        <w:tc>
          <w:tcPr>
            <w:tcW w:w="2120" w:type="dxa"/>
            <w:vAlign w:val="bottom"/>
            <w:gridSpan w:val="2"/>
          </w:tcPr>
          <w:p>
            <w:pPr>
              <w:jc w:val="right"/>
              <w:ind w:right="22"/>
              <w:spacing w:after="0" w:line="179" w:lineRule="exact"/>
              <w:rPr>
                <w:sz w:val="20"/>
                <w:szCs w:val="20"/>
                <w:color w:val="auto"/>
              </w:rPr>
            </w:pPr>
            <w:r>
              <w:rPr>
                <w:rFonts w:ascii="Arial" w:cs="Arial" w:eastAsia="Arial" w:hAnsi="Arial"/>
                <w:sz w:val="20"/>
                <w:szCs w:val="20"/>
                <w:b w:val="1"/>
                <w:bCs w:val="1"/>
                <w:color w:val="auto"/>
                <w:w w:val="90"/>
              </w:rPr>
              <w:t>Loss Reclassified from</w:t>
            </w:r>
          </w:p>
        </w:tc>
        <w:tc>
          <w:tcPr>
            <w:tcW w:w="0" w:type="dxa"/>
            <w:vAlign w:val="bottom"/>
          </w:tcPr>
          <w:p>
            <w:pPr>
              <w:spacing w:after="0"/>
              <w:rPr>
                <w:sz w:val="1"/>
                <w:szCs w:val="1"/>
                <w:color w:val="auto"/>
              </w:rPr>
            </w:pPr>
          </w:p>
        </w:tc>
      </w:tr>
      <w:tr>
        <w:trPr>
          <w:trHeight w:val="258"/>
        </w:trPr>
        <w:tc>
          <w:tcPr>
            <w:tcW w:w="316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238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color w:val="auto"/>
                <w:w w:val="94"/>
              </w:rPr>
              <w:t>Reclassified Gain or Loss</w:t>
            </w:r>
          </w:p>
        </w:tc>
        <w:tc>
          <w:tcPr>
            <w:tcW w:w="80" w:type="dxa"/>
            <w:vAlign w:val="bottom"/>
            <w:tcBorders>
              <w:bottom w:val="single" w:sz="8" w:color="E6E6E6"/>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682"/>
              <w:spacing w:after="0"/>
              <w:rPr>
                <w:sz w:val="20"/>
                <w:szCs w:val="20"/>
                <w:color w:val="auto"/>
              </w:rPr>
            </w:pPr>
            <w:r>
              <w:rPr>
                <w:rFonts w:ascii="Arial" w:cs="Arial" w:eastAsia="Arial" w:hAnsi="Arial"/>
                <w:sz w:val="20"/>
                <w:szCs w:val="20"/>
                <w:b w:val="1"/>
                <w:bCs w:val="1"/>
                <w:color w:val="auto"/>
              </w:rPr>
              <w:t>in OCI</w:t>
            </w:r>
          </w:p>
        </w:tc>
        <w:tc>
          <w:tcPr>
            <w:tcW w:w="80" w:type="dxa"/>
            <w:vAlign w:val="bottom"/>
            <w:tcBorders>
              <w:bottom w:val="single" w:sz="8" w:color="E6E6E6"/>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ind w:right="202"/>
              <w:spacing w:after="0"/>
              <w:rPr>
                <w:sz w:val="20"/>
                <w:szCs w:val="20"/>
                <w:color w:val="auto"/>
              </w:rPr>
            </w:pPr>
            <w:r>
              <w:rPr>
                <w:rFonts w:ascii="Arial" w:cs="Arial" w:eastAsia="Arial" w:hAnsi="Arial"/>
                <w:sz w:val="20"/>
                <w:szCs w:val="20"/>
                <w:b w:val="1"/>
                <w:bCs w:val="1"/>
                <w:color w:val="auto"/>
                <w:w w:val="95"/>
              </w:rPr>
              <w:t>AOCI to Earnings</w:t>
            </w:r>
          </w:p>
        </w:tc>
        <w:tc>
          <w:tcPr>
            <w:tcW w:w="0" w:type="dxa"/>
            <w:vAlign w:val="bottom"/>
          </w:tcPr>
          <w:p>
            <w:pPr>
              <w:spacing w:after="0"/>
              <w:rPr>
                <w:sz w:val="1"/>
                <w:szCs w:val="1"/>
                <w:color w:val="auto"/>
              </w:rPr>
            </w:pPr>
          </w:p>
        </w:tc>
      </w:tr>
      <w:tr>
        <w:trPr>
          <w:trHeight w:val="178"/>
        </w:trPr>
        <w:tc>
          <w:tcPr>
            <w:tcW w:w="3160" w:type="dxa"/>
            <w:vAlign w:val="bottom"/>
            <w:shd w:val="clear" w:color="auto" w:fill="E6E6E6"/>
          </w:tcPr>
          <w:p>
            <w:pPr>
              <w:ind w:left="40"/>
              <w:spacing w:after="0" w:line="178" w:lineRule="exact"/>
              <w:rPr>
                <w:sz w:val="20"/>
                <w:szCs w:val="20"/>
                <w:color w:val="auto"/>
              </w:rPr>
            </w:pPr>
            <w:r>
              <w:rPr>
                <w:rFonts w:ascii="Arial" w:cs="Arial" w:eastAsia="Arial" w:hAnsi="Arial"/>
                <w:sz w:val="20"/>
                <w:szCs w:val="20"/>
                <w:color w:val="auto"/>
              </w:rPr>
              <w:t>FX derivative contracts</w:t>
            </w:r>
          </w:p>
        </w:tc>
        <w:tc>
          <w:tcPr>
            <w:tcW w:w="60" w:type="dxa"/>
            <w:vAlign w:val="bottom"/>
            <w:shd w:val="clear" w:color="auto" w:fill="E6E6E6"/>
          </w:tcPr>
          <w:p>
            <w:pPr>
              <w:spacing w:after="0"/>
              <w:rPr>
                <w:sz w:val="15"/>
                <w:szCs w:val="15"/>
                <w:color w:val="auto"/>
              </w:rPr>
            </w:pPr>
          </w:p>
        </w:tc>
        <w:tc>
          <w:tcPr>
            <w:tcW w:w="2380" w:type="dxa"/>
            <w:vAlign w:val="bottom"/>
            <w:shd w:val="clear" w:color="auto" w:fill="E6E6E6"/>
          </w:tcPr>
          <w:p>
            <w:pPr>
              <w:ind w:left="60"/>
              <w:spacing w:after="0" w:line="178" w:lineRule="exact"/>
              <w:rPr>
                <w:sz w:val="20"/>
                <w:szCs w:val="20"/>
                <w:color w:val="auto"/>
              </w:rPr>
            </w:pPr>
            <w:r>
              <w:rPr>
                <w:rFonts w:ascii="Arial" w:cs="Arial" w:eastAsia="Arial" w:hAnsi="Arial"/>
                <w:sz w:val="20"/>
                <w:szCs w:val="20"/>
                <w:color w:val="auto"/>
                <w:w w:val="91"/>
              </w:rPr>
              <w:t>Foreign exchange and other</w:t>
            </w:r>
          </w:p>
        </w:tc>
        <w:tc>
          <w:tcPr>
            <w:tcW w:w="80" w:type="dxa"/>
            <w:vAlign w:val="bottom"/>
            <w:shd w:val="clear" w:color="auto" w:fill="E6E6E6"/>
          </w:tcPr>
          <w:p>
            <w:pPr>
              <w:spacing w:after="0"/>
              <w:rPr>
                <w:sz w:val="15"/>
                <w:szCs w:val="15"/>
                <w:color w:val="auto"/>
              </w:rPr>
            </w:pPr>
          </w:p>
        </w:tc>
        <w:tc>
          <w:tcPr>
            <w:tcW w:w="480" w:type="dxa"/>
            <w:vAlign w:val="bottom"/>
            <w:vMerge w:val="restart"/>
            <w:shd w:val="clear" w:color="auto" w:fill="E6E6E6"/>
          </w:tcPr>
          <w:p>
            <w:pPr>
              <w:jc w:val="right"/>
              <w:ind w:right="222"/>
              <w:spacing w:after="0"/>
              <w:rPr>
                <w:sz w:val="20"/>
                <w:szCs w:val="20"/>
                <w:color w:val="auto"/>
              </w:rPr>
            </w:pPr>
            <w:r>
              <w:rPr>
                <w:rFonts w:ascii="Arial" w:cs="Arial" w:eastAsia="Arial" w:hAnsi="Arial"/>
                <w:sz w:val="20"/>
                <w:szCs w:val="20"/>
                <w:color w:val="auto"/>
              </w:rPr>
              <w:t>$</w:t>
            </w:r>
          </w:p>
        </w:tc>
        <w:tc>
          <w:tcPr>
            <w:tcW w:w="168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(4,602)</w:t>
            </w:r>
          </w:p>
        </w:tc>
        <w:tc>
          <w:tcPr>
            <w:tcW w:w="300" w:type="dxa"/>
            <w:vAlign w:val="bottom"/>
            <w:gridSpan w:val="2"/>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90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(382)</w:t>
            </w:r>
          </w:p>
        </w:tc>
        <w:tc>
          <w:tcPr>
            <w:tcW w:w="0" w:type="dxa"/>
            <w:vAlign w:val="bottom"/>
          </w:tcPr>
          <w:p>
            <w:pPr>
              <w:spacing w:after="0"/>
              <w:rPr>
                <w:sz w:val="1"/>
                <w:szCs w:val="1"/>
                <w:color w:val="auto"/>
              </w:rPr>
            </w:pPr>
          </w:p>
        </w:tc>
      </w:tr>
      <w:tr>
        <w:trPr>
          <w:trHeight w:val="268"/>
        </w:trPr>
        <w:tc>
          <w:tcPr>
            <w:tcW w:w="316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2460" w:type="dxa"/>
            <w:vAlign w:val="bottom"/>
            <w:gridSpan w:val="2"/>
            <w:shd w:val="clear" w:color="auto" w:fill="E6E6E6"/>
          </w:tcPr>
          <w:p>
            <w:pPr>
              <w:ind w:left="60"/>
              <w:spacing w:after="0"/>
              <w:rPr>
                <w:sz w:val="20"/>
                <w:szCs w:val="20"/>
                <w:color w:val="auto"/>
              </w:rPr>
            </w:pPr>
            <w:r>
              <w:rPr>
                <w:rFonts w:ascii="Arial" w:cs="Arial" w:eastAsia="Arial" w:hAnsi="Arial"/>
                <w:sz w:val="20"/>
                <w:szCs w:val="20"/>
                <w:color w:val="auto"/>
              </w:rPr>
              <w:t>income/(expense)</w:t>
            </w:r>
          </w:p>
        </w:tc>
        <w:tc>
          <w:tcPr>
            <w:tcW w:w="480" w:type="dxa"/>
            <w:vAlign w:val="bottom"/>
            <w:vMerge w:val="continue"/>
            <w:shd w:val="clear" w:color="auto" w:fill="E6E6E6"/>
          </w:tcPr>
          <w:p>
            <w:pPr>
              <w:spacing w:after="0"/>
              <w:rPr>
                <w:sz w:val="23"/>
                <w:szCs w:val="23"/>
                <w:color w:val="auto"/>
              </w:rPr>
            </w:pPr>
          </w:p>
        </w:tc>
        <w:tc>
          <w:tcPr>
            <w:tcW w:w="1680" w:type="dxa"/>
            <w:vAlign w:val="bottom"/>
            <w:vMerge w:val="continue"/>
            <w:shd w:val="clear" w:color="auto" w:fill="E6E6E6"/>
          </w:tcPr>
          <w:p>
            <w:pPr>
              <w:spacing w:after="0"/>
              <w:rPr>
                <w:sz w:val="23"/>
                <w:szCs w:val="23"/>
                <w:color w:val="auto"/>
              </w:rPr>
            </w:pPr>
          </w:p>
        </w:tc>
        <w:tc>
          <w:tcPr>
            <w:tcW w:w="300" w:type="dxa"/>
            <w:vAlign w:val="bottom"/>
            <w:gridSpan w:val="2"/>
            <w:vMerge w:val="continue"/>
            <w:shd w:val="clear" w:color="auto" w:fill="E6E6E6"/>
          </w:tcPr>
          <w:p>
            <w:pPr>
              <w:spacing w:after="0"/>
              <w:rPr>
                <w:sz w:val="23"/>
                <w:szCs w:val="23"/>
                <w:color w:val="auto"/>
              </w:rPr>
            </w:pPr>
          </w:p>
        </w:tc>
        <w:tc>
          <w:tcPr>
            <w:tcW w:w="1900" w:type="dxa"/>
            <w:vAlign w:val="bottom"/>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160" w:type="dxa"/>
            <w:vAlign w:val="bottom"/>
          </w:tcPr>
          <w:p>
            <w:pPr>
              <w:ind w:left="40"/>
              <w:spacing w:after="0"/>
              <w:rPr>
                <w:sz w:val="20"/>
                <w:szCs w:val="20"/>
                <w:color w:val="auto"/>
              </w:rPr>
            </w:pPr>
            <w:r>
              <w:rPr>
                <w:rFonts w:ascii="Arial" w:cs="Arial" w:eastAsia="Arial" w:hAnsi="Arial"/>
                <w:sz w:val="20"/>
                <w:szCs w:val="20"/>
                <w:color w:val="auto"/>
              </w:rPr>
              <w:t>FX derivative contracts</w:t>
            </w:r>
          </w:p>
        </w:tc>
        <w:tc>
          <w:tcPr>
            <w:tcW w:w="60" w:type="dxa"/>
            <w:vAlign w:val="bottom"/>
          </w:tcPr>
          <w:p>
            <w:pPr>
              <w:spacing w:after="0"/>
              <w:rPr>
                <w:sz w:val="23"/>
                <w:szCs w:val="23"/>
                <w:color w:val="auto"/>
              </w:rPr>
            </w:pPr>
          </w:p>
        </w:tc>
        <w:tc>
          <w:tcPr>
            <w:tcW w:w="2460" w:type="dxa"/>
            <w:vAlign w:val="bottom"/>
            <w:gridSpan w:val="2"/>
          </w:tcPr>
          <w:p>
            <w:pPr>
              <w:ind w:left="60"/>
              <w:spacing w:after="0"/>
              <w:rPr>
                <w:sz w:val="20"/>
                <w:szCs w:val="20"/>
                <w:color w:val="auto"/>
              </w:rPr>
            </w:pPr>
            <w:r>
              <w:rPr>
                <w:rFonts w:ascii="Arial" w:cs="Arial" w:eastAsia="Arial" w:hAnsi="Arial"/>
                <w:sz w:val="20"/>
                <w:szCs w:val="20"/>
                <w:color w:val="auto"/>
              </w:rPr>
              <w:t>SG&amp;A</w:t>
            </w:r>
          </w:p>
        </w:tc>
        <w:tc>
          <w:tcPr>
            <w:tcW w:w="48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20"/>
                <w:szCs w:val="20"/>
                <w:color w:val="auto"/>
              </w:rPr>
              <w:t>(5,165)</w:t>
            </w:r>
          </w:p>
        </w:tc>
        <w:tc>
          <w:tcPr>
            <w:tcW w:w="0" w:type="dxa"/>
            <w:vAlign w:val="bottom"/>
          </w:tcPr>
          <w:p>
            <w:pPr>
              <w:spacing w:after="0"/>
              <w:rPr>
                <w:sz w:val="1"/>
                <w:szCs w:val="1"/>
                <w:color w:val="auto"/>
              </w:rPr>
            </w:pPr>
          </w:p>
        </w:tc>
      </w:tr>
      <w:tr>
        <w:trPr>
          <w:trHeight w:val="275"/>
        </w:trPr>
        <w:tc>
          <w:tcPr>
            <w:tcW w:w="316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Interest rate swap contracts</w:t>
            </w:r>
          </w:p>
        </w:tc>
        <w:tc>
          <w:tcPr>
            <w:tcW w:w="60" w:type="dxa"/>
            <w:vAlign w:val="bottom"/>
            <w:tcBorders>
              <w:bottom w:val="single" w:sz="8" w:color="E6E6E6"/>
            </w:tcBorders>
            <w:shd w:val="clear" w:color="auto" w:fill="E6E6E6"/>
          </w:tcPr>
          <w:p>
            <w:pPr>
              <w:spacing w:after="0"/>
              <w:rPr>
                <w:sz w:val="23"/>
                <w:szCs w:val="23"/>
                <w:color w:val="auto"/>
              </w:rPr>
            </w:pPr>
          </w:p>
        </w:tc>
        <w:tc>
          <w:tcPr>
            <w:tcW w:w="2460" w:type="dxa"/>
            <w:vAlign w:val="bottom"/>
            <w:tcBorders>
              <w:bottom w:val="single" w:sz="8" w:color="E6E6E6"/>
            </w:tcBorders>
            <w:gridSpan w:val="2"/>
            <w:shd w:val="clear" w:color="auto" w:fill="E6E6E6"/>
          </w:tcPr>
          <w:p>
            <w:pPr>
              <w:ind w:left="60"/>
              <w:spacing w:after="0"/>
              <w:rPr>
                <w:sz w:val="20"/>
                <w:szCs w:val="20"/>
                <w:color w:val="auto"/>
              </w:rPr>
            </w:pPr>
            <w:r>
              <w:rPr>
                <w:rFonts w:ascii="Arial" w:cs="Arial" w:eastAsia="Arial" w:hAnsi="Arial"/>
                <w:sz w:val="20"/>
                <w:szCs w:val="20"/>
                <w:color w:val="auto"/>
              </w:rPr>
              <w:t>Interest expense</w:t>
            </w:r>
          </w:p>
        </w:tc>
        <w:tc>
          <w:tcPr>
            <w:tcW w:w="480" w:type="dxa"/>
            <w:vAlign w:val="bottom"/>
            <w:tcBorders>
              <w:bottom w:val="single" w:sz="8" w:color="auto"/>
            </w:tcBorders>
            <w:shd w:val="clear" w:color="auto" w:fill="E6E6E6"/>
          </w:tcPr>
          <w:p>
            <w:pPr>
              <w:spacing w:after="0"/>
              <w:rPr>
                <w:sz w:val="23"/>
                <w:szCs w:val="23"/>
                <w:color w:val="auto"/>
              </w:rPr>
            </w:pPr>
          </w:p>
        </w:tc>
        <w:tc>
          <w:tcPr>
            <w:tcW w:w="16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914</w:t>
            </w:r>
          </w:p>
        </w:tc>
        <w:tc>
          <w:tcPr>
            <w:tcW w:w="80" w:type="dxa"/>
            <w:vAlign w:val="bottom"/>
            <w:tcBorders>
              <w:bottom w:val="single" w:sz="8" w:color="E6E6E6"/>
            </w:tcBorders>
            <w:shd w:val="clear" w:color="auto" w:fill="E6E6E6"/>
          </w:tcPr>
          <w:p>
            <w:pPr>
              <w:spacing w:after="0"/>
              <w:rPr>
                <w:sz w:val="23"/>
                <w:szCs w:val="23"/>
                <w:color w:val="auto"/>
              </w:rPr>
            </w:pPr>
          </w:p>
        </w:tc>
        <w:tc>
          <w:tcPr>
            <w:tcW w:w="2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9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(52)</w:t>
            </w:r>
          </w:p>
        </w:tc>
        <w:tc>
          <w:tcPr>
            <w:tcW w:w="0" w:type="dxa"/>
            <w:vAlign w:val="bottom"/>
          </w:tcPr>
          <w:p>
            <w:pPr>
              <w:spacing w:after="0"/>
              <w:rPr>
                <w:sz w:val="1"/>
                <w:szCs w:val="1"/>
                <w:color w:val="auto"/>
              </w:rPr>
            </w:pPr>
          </w:p>
        </w:tc>
      </w:tr>
      <w:tr>
        <w:trPr>
          <w:trHeight w:val="240"/>
        </w:trPr>
        <w:tc>
          <w:tcPr>
            <w:tcW w:w="3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jc w:val="right"/>
              <w:ind w:right="222"/>
              <w:spacing w:after="0"/>
              <w:rPr>
                <w:sz w:val="20"/>
                <w:szCs w:val="20"/>
                <w:color w:val="auto"/>
              </w:rPr>
            </w:pPr>
            <w:r>
              <w:rPr>
                <w:rFonts w:ascii="Arial" w:cs="Arial" w:eastAsia="Arial" w:hAnsi="Arial"/>
                <w:sz w:val="20"/>
                <w:szCs w:val="20"/>
                <w:color w:val="auto"/>
              </w:rPr>
              <w:t>$</w:t>
            </w:r>
          </w:p>
        </w:tc>
        <w:tc>
          <w:tcPr>
            <w:tcW w:w="1680" w:type="dxa"/>
            <w:vAlign w:val="bottom"/>
          </w:tcPr>
          <w:p>
            <w:pPr>
              <w:jc w:val="right"/>
              <w:spacing w:after="0"/>
              <w:rPr>
                <w:sz w:val="20"/>
                <w:szCs w:val="20"/>
                <w:color w:val="auto"/>
              </w:rPr>
            </w:pPr>
            <w:r>
              <w:rPr>
                <w:rFonts w:ascii="Arial" w:cs="Arial" w:eastAsia="Arial" w:hAnsi="Arial"/>
                <w:sz w:val="20"/>
                <w:szCs w:val="20"/>
                <w:color w:val="auto"/>
              </w:rPr>
              <w:t>(3,688)</w:t>
            </w:r>
          </w:p>
        </w:tc>
        <w:tc>
          <w:tcPr>
            <w:tcW w:w="3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900" w:type="dxa"/>
            <w:vAlign w:val="bottom"/>
          </w:tcPr>
          <w:p>
            <w:pPr>
              <w:jc w:val="right"/>
              <w:spacing w:after="0"/>
              <w:rPr>
                <w:sz w:val="20"/>
                <w:szCs w:val="20"/>
                <w:color w:val="auto"/>
              </w:rPr>
            </w:pPr>
            <w:r>
              <w:rPr>
                <w:rFonts w:ascii="Arial" w:cs="Arial" w:eastAsia="Arial" w:hAnsi="Arial"/>
                <w:sz w:val="20"/>
                <w:szCs w:val="20"/>
                <w:color w:val="auto"/>
              </w:rPr>
              <w:t>(5,599)</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-852170</wp:posOffset>
            </wp:positionV>
            <wp:extent cx="641032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16">
                      <a:extLst>
                        <a:ext uri="{28A0092B-C50C-407E-A947-70E740481C1C}"/>
                      </a:extLst>
                    </a:blip>
                    <a:srcRect/>
                    <a:stretch>
                      <a:fillRect/>
                    </a:stretch>
                  </pic:blipFill>
                  <pic:spPr bwMode="auto">
                    <a:xfrm>
                      <a:off x="0" y="0"/>
                      <a:ext cx="6410325" cy="25400"/>
                    </a:xfrm>
                    <a:prstGeom prst="rect">
                      <a:avLst/>
                    </a:prstGeom>
                    <a:noFill/>
                  </pic:spPr>
                </pic:pic>
              </a:graphicData>
            </a:graphic>
          </wp:anchor>
        </w:drawing>
        <w:drawing>
          <wp:anchor simplePos="0" relativeHeight="251657728" behindDoc="1" locked="0" layoutInCell="0" allowOverlap="1">
            <wp:simplePos x="0" y="0"/>
            <wp:positionH relativeFrom="column">
              <wp:posOffset>3595370</wp:posOffset>
            </wp:positionH>
            <wp:positionV relativeFrom="paragraph">
              <wp:posOffset>-208280</wp:posOffset>
            </wp:positionV>
            <wp:extent cx="2797810"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17">
                      <a:extLst>
                        <a:ext uri="{28A0092B-C50C-407E-A947-70E740481C1C}"/>
                      </a:extLst>
                    </a:blip>
                    <a:srcRect/>
                    <a:stretch>
                      <a:fillRect/>
                    </a:stretch>
                  </pic:blipFill>
                  <pic:spPr bwMode="auto">
                    <a:xfrm>
                      <a:off x="0" y="0"/>
                      <a:ext cx="2797810" cy="25400"/>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Balance Sheet Presentation</w:t>
      </w:r>
    </w:p>
    <w:p>
      <w:pPr>
        <w:spacing w:after="0" w:line="140" w:lineRule="exact"/>
        <w:rPr>
          <w:sz w:val="20"/>
          <w:szCs w:val="20"/>
          <w:color w:val="auto"/>
        </w:rPr>
      </w:pPr>
    </w:p>
    <w:p>
      <w:pPr>
        <w:jc w:val="both"/>
        <w:spacing w:after="0" w:line="338" w:lineRule="auto"/>
        <w:rPr>
          <w:sz w:val="20"/>
          <w:szCs w:val="20"/>
          <w:color w:val="auto"/>
        </w:rPr>
      </w:pPr>
      <w:r>
        <w:rPr>
          <w:rFonts w:ascii="Arial" w:cs="Arial" w:eastAsia="Arial" w:hAnsi="Arial"/>
          <w:sz w:val="17"/>
          <w:szCs w:val="17"/>
          <w:color w:val="auto"/>
        </w:rPr>
        <w:t>LivaNova offsets fair value amounts associated with its derivative instruments that are executed with the same counterparty under master netting arrangements on the Company’s consolidated balance sheets. Master netting arrangements include a right to set off or net together purchases and sales of similar products in the settlement process.</w:t>
      </w:r>
    </w:p>
    <w:p>
      <w:pPr>
        <w:spacing w:after="0" w:line="27"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following tables present the fair value and the location of derivative contracts reported on the consolidated balance sheets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December 31, 2024</w:t>
            </w:r>
          </w:p>
        </w:tc>
        <w:tc>
          <w:tcPr>
            <w:tcW w:w="60" w:type="dxa"/>
            <w:vAlign w:val="bottom"/>
          </w:tcPr>
          <w:p>
            <w:pPr>
              <w:spacing w:after="0"/>
              <w:rPr>
                <w:sz w:val="22"/>
                <w:szCs w:val="22"/>
                <w:color w:val="auto"/>
              </w:rPr>
            </w:pPr>
          </w:p>
        </w:tc>
        <w:tc>
          <w:tcPr>
            <w:tcW w:w="2700" w:type="dxa"/>
            <w:vAlign w:val="bottom"/>
            <w:tcBorders>
              <w:bottom w:val="single" w:sz="8" w:color="auto"/>
            </w:tcBorders>
            <w:gridSpan w:val="3"/>
          </w:tcPr>
          <w:p>
            <w:pPr>
              <w:ind w:left="1040"/>
              <w:spacing w:after="0"/>
              <w:rPr>
                <w:sz w:val="20"/>
                <w:szCs w:val="20"/>
                <w:color w:val="auto"/>
              </w:rPr>
            </w:pPr>
            <w:r>
              <w:rPr>
                <w:rFonts w:ascii="Arial" w:cs="Arial" w:eastAsia="Arial" w:hAnsi="Arial"/>
                <w:sz w:val="20"/>
                <w:szCs w:val="20"/>
                <w:b w:val="1"/>
                <w:bCs w:val="1"/>
                <w:color w:val="auto"/>
                <w:w w:val="98"/>
              </w:rPr>
              <w:t>Derivative Assets</w:t>
            </w:r>
          </w:p>
        </w:tc>
        <w:tc>
          <w:tcPr>
            <w:tcW w:w="8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760" w:type="dxa"/>
            <w:vAlign w:val="bottom"/>
            <w:tcBorders>
              <w:bottom w:val="single" w:sz="8" w:color="auto"/>
            </w:tcBorders>
            <w:gridSpan w:val="4"/>
          </w:tcPr>
          <w:p>
            <w:pPr>
              <w:ind w:left="860"/>
              <w:spacing w:after="0"/>
              <w:rPr>
                <w:sz w:val="20"/>
                <w:szCs w:val="20"/>
                <w:color w:val="auto"/>
              </w:rPr>
            </w:pPr>
            <w:r>
              <w:rPr>
                <w:rFonts w:ascii="Arial" w:cs="Arial" w:eastAsia="Arial" w:hAnsi="Arial"/>
                <w:sz w:val="20"/>
                <w:szCs w:val="20"/>
                <w:b w:val="1"/>
                <w:bCs w:val="1"/>
                <w:color w:val="auto"/>
                <w:w w:val="97"/>
              </w:rPr>
              <w:t>Derivative Liabilities</w:t>
            </w:r>
          </w:p>
        </w:tc>
        <w:tc>
          <w:tcPr>
            <w:tcW w:w="7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8"/>
        </w:trPr>
        <w:tc>
          <w:tcPr>
            <w:tcW w:w="2880" w:type="dxa"/>
            <w:vAlign w:val="bottom"/>
          </w:tcPr>
          <w:p>
            <w:pPr>
              <w:ind w:left="40"/>
              <w:spacing w:after="0" w:line="179" w:lineRule="exact"/>
              <w:rPr>
                <w:sz w:val="20"/>
                <w:szCs w:val="20"/>
                <w:color w:val="auto"/>
              </w:rPr>
            </w:pPr>
            <w:r>
              <w:rPr>
                <w:rFonts w:ascii="Arial" w:cs="Arial" w:eastAsia="Arial" w:hAnsi="Arial"/>
                <w:sz w:val="20"/>
                <w:szCs w:val="20"/>
                <w:b w:val="1"/>
                <w:bCs w:val="1"/>
                <w:color w:val="auto"/>
                <w:w w:val="98"/>
              </w:rPr>
              <w:t>Derivatives Not Designated as</w:t>
            </w:r>
          </w:p>
        </w:tc>
        <w:tc>
          <w:tcPr>
            <w:tcW w:w="60" w:type="dxa"/>
            <w:vAlign w:val="bottom"/>
          </w:tcPr>
          <w:p>
            <w:pPr>
              <w:spacing w:after="0"/>
              <w:rPr>
                <w:sz w:val="15"/>
                <w:szCs w:val="15"/>
                <w:color w:val="auto"/>
              </w:rPr>
            </w:pPr>
          </w:p>
        </w:tc>
        <w:tc>
          <w:tcPr>
            <w:tcW w:w="2220" w:type="dxa"/>
            <w:vAlign w:val="bottom"/>
            <w:vMerge w:val="restart"/>
          </w:tcPr>
          <w:p>
            <w:pPr>
              <w:ind w:left="140"/>
              <w:spacing w:after="0"/>
              <w:rPr>
                <w:sz w:val="20"/>
                <w:szCs w:val="20"/>
                <w:color w:val="auto"/>
              </w:rPr>
            </w:pPr>
            <w:r>
              <w:rPr>
                <w:rFonts w:ascii="Arial" w:cs="Arial" w:eastAsia="Arial" w:hAnsi="Arial"/>
                <w:sz w:val="20"/>
                <w:szCs w:val="20"/>
                <w:b w:val="1"/>
                <w:bCs w:val="1"/>
                <w:color w:val="auto"/>
                <w:w w:val="91"/>
              </w:rPr>
              <w:t>Balance Sheet Location</w:t>
            </w:r>
          </w:p>
        </w:tc>
        <w:tc>
          <w:tcPr>
            <w:tcW w:w="80" w:type="dxa"/>
            <w:vAlign w:val="bottom"/>
          </w:tcPr>
          <w:p>
            <w:pPr>
              <w:spacing w:after="0"/>
              <w:rPr>
                <w:sz w:val="15"/>
                <w:szCs w:val="15"/>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20"/>
                <w:szCs w:val="20"/>
                <w:b w:val="1"/>
                <w:bCs w:val="1"/>
                <w:color w:val="auto"/>
                <w:w w:val="93"/>
              </w:rPr>
              <w:t xml:space="preserve">Fair Value </w:t>
            </w:r>
            <w:r>
              <w:rPr>
                <w:rFonts w:ascii="Arial" w:cs="Arial" w:eastAsia="Arial" w:hAnsi="Arial"/>
                <w:sz w:val="25"/>
                <w:szCs w:val="25"/>
                <w:b w:val="1"/>
                <w:bCs w:val="1"/>
                <w:color w:val="auto"/>
                <w:w w:val="93"/>
                <w:vertAlign w:val="superscript"/>
              </w:rPr>
              <w:t>(1)</w:t>
            </w:r>
          </w:p>
        </w:tc>
        <w:tc>
          <w:tcPr>
            <w:tcW w:w="80" w:type="dxa"/>
            <w:vAlign w:val="bottom"/>
          </w:tcPr>
          <w:p>
            <w:pPr>
              <w:spacing w:after="0"/>
              <w:rPr>
                <w:sz w:val="15"/>
                <w:szCs w:val="15"/>
                <w:color w:val="auto"/>
              </w:rPr>
            </w:pPr>
          </w:p>
        </w:tc>
        <w:tc>
          <w:tcPr>
            <w:tcW w:w="2220" w:type="dxa"/>
            <w:vAlign w:val="bottom"/>
            <w:vMerge w:val="restart"/>
          </w:tcPr>
          <w:p>
            <w:pPr>
              <w:ind w:left="120"/>
              <w:spacing w:after="0"/>
              <w:rPr>
                <w:sz w:val="20"/>
                <w:szCs w:val="20"/>
                <w:color w:val="auto"/>
              </w:rPr>
            </w:pPr>
            <w:r>
              <w:rPr>
                <w:rFonts w:ascii="Arial" w:cs="Arial" w:eastAsia="Arial" w:hAnsi="Arial"/>
                <w:sz w:val="20"/>
                <w:szCs w:val="20"/>
                <w:b w:val="1"/>
                <w:bCs w:val="1"/>
                <w:color w:val="auto"/>
                <w:w w:val="92"/>
              </w:rPr>
              <w:t>Balance Sheet Location</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20"/>
                <w:szCs w:val="20"/>
                <w:b w:val="1"/>
                <w:bCs w:val="1"/>
                <w:color w:val="auto"/>
                <w:w w:val="93"/>
              </w:rPr>
              <w:t xml:space="preserve">Fair Value </w:t>
            </w:r>
            <w:r>
              <w:rPr>
                <w:rFonts w:ascii="Arial" w:cs="Arial" w:eastAsia="Arial" w:hAnsi="Arial"/>
                <w:sz w:val="25"/>
                <w:szCs w:val="25"/>
                <w:b w:val="1"/>
                <w:bCs w:val="1"/>
                <w:color w:val="auto"/>
                <w:w w:val="93"/>
                <w:vertAlign w:val="superscript"/>
              </w:rPr>
              <w:t>(1)</w:t>
            </w:r>
          </w:p>
        </w:tc>
        <w:tc>
          <w:tcPr>
            <w:tcW w:w="0" w:type="dxa"/>
            <w:vAlign w:val="bottom"/>
          </w:tcPr>
          <w:p>
            <w:pPr>
              <w:spacing w:after="0"/>
              <w:rPr>
                <w:sz w:val="1"/>
                <w:szCs w:val="1"/>
                <w:color w:val="auto"/>
              </w:rPr>
            </w:pPr>
          </w:p>
        </w:tc>
      </w:tr>
      <w:tr>
        <w:trPr>
          <w:trHeight w:val="258"/>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Hedging Instruments:</w:t>
            </w:r>
          </w:p>
        </w:tc>
        <w:tc>
          <w:tcPr>
            <w:tcW w:w="60" w:type="dxa"/>
            <w:vAlign w:val="bottom"/>
            <w:tcBorders>
              <w:bottom w:val="single" w:sz="8" w:color="E6E6E6"/>
            </w:tcBorders>
          </w:tcPr>
          <w:p>
            <w:pPr>
              <w:spacing w:after="0"/>
              <w:rPr>
                <w:sz w:val="22"/>
                <w:szCs w:val="22"/>
                <w:color w:val="auto"/>
              </w:rPr>
            </w:pPr>
          </w:p>
        </w:tc>
        <w:tc>
          <w:tcPr>
            <w:tcW w:w="222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1220" w:type="dxa"/>
            <w:vAlign w:val="bottom"/>
            <w:tcBorders>
              <w:bottom w:val="single" w:sz="8" w:color="auto"/>
            </w:tcBorders>
            <w:gridSpan w:val="2"/>
            <w:vMerge w:val="continue"/>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222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7"/>
        </w:trPr>
        <w:tc>
          <w:tcPr>
            <w:tcW w:w="2880" w:type="dxa"/>
            <w:vAlign w:val="bottom"/>
            <w:shd w:val="clear" w:color="auto" w:fill="E6E6E6"/>
          </w:tcPr>
          <w:p>
            <w:pPr>
              <w:ind w:left="40"/>
              <w:spacing w:after="0" w:line="177" w:lineRule="exact"/>
              <w:rPr>
                <w:sz w:val="20"/>
                <w:szCs w:val="20"/>
                <w:color w:val="auto"/>
              </w:rPr>
            </w:pPr>
            <w:r>
              <w:rPr>
                <w:rFonts w:ascii="Arial" w:cs="Arial" w:eastAsia="Arial" w:hAnsi="Arial"/>
                <w:sz w:val="20"/>
                <w:szCs w:val="20"/>
                <w:color w:val="auto"/>
              </w:rPr>
              <w:t>Capped call derivatives (2025</w:t>
            </w:r>
          </w:p>
        </w:tc>
        <w:tc>
          <w:tcPr>
            <w:tcW w:w="60" w:type="dxa"/>
            <w:vAlign w:val="bottom"/>
            <w:shd w:val="clear" w:color="auto" w:fill="E6E6E6"/>
          </w:tcPr>
          <w:p>
            <w:pPr>
              <w:spacing w:after="0"/>
              <w:rPr>
                <w:sz w:val="15"/>
                <w:szCs w:val="15"/>
                <w:color w:val="auto"/>
              </w:rPr>
            </w:pPr>
          </w:p>
        </w:tc>
        <w:tc>
          <w:tcPr>
            <w:tcW w:w="2220" w:type="dxa"/>
            <w:vAlign w:val="bottom"/>
            <w:shd w:val="clear" w:color="auto" w:fill="E6E6E6"/>
          </w:tcPr>
          <w:p>
            <w:pPr>
              <w:ind w:left="60"/>
              <w:spacing w:after="0" w:line="177" w:lineRule="exact"/>
              <w:rPr>
                <w:sz w:val="20"/>
                <w:szCs w:val="20"/>
                <w:color w:val="auto"/>
              </w:rPr>
            </w:pPr>
            <w:r>
              <w:rPr>
                <w:rFonts w:ascii="Arial" w:cs="Arial" w:eastAsia="Arial" w:hAnsi="Arial"/>
                <w:sz w:val="20"/>
                <w:szCs w:val="20"/>
                <w:color w:val="auto"/>
              </w:rPr>
              <w:t>Prepaid expenses and</w:t>
            </w:r>
          </w:p>
        </w:tc>
        <w:tc>
          <w:tcPr>
            <w:tcW w:w="480" w:type="dxa"/>
            <w:vAlign w:val="bottom"/>
            <w:gridSpan w:val="2"/>
            <w:vMerge w:val="restart"/>
            <w:shd w:val="clear" w:color="auto" w:fill="E6E6E6"/>
          </w:tcPr>
          <w:p>
            <w:pPr>
              <w:ind w:left="140"/>
              <w:spacing w:after="0"/>
              <w:rPr>
                <w:sz w:val="20"/>
                <w:szCs w:val="20"/>
                <w:color w:val="auto"/>
              </w:rPr>
            </w:pPr>
            <w:r>
              <w:rPr>
                <w:rFonts w:ascii="Arial" w:cs="Arial" w:eastAsia="Arial" w:hAnsi="Arial"/>
                <w:sz w:val="20"/>
                <w:szCs w:val="20"/>
                <w:color w:val="auto"/>
              </w:rPr>
              <w:t>$</w:t>
            </w:r>
          </w:p>
        </w:tc>
        <w:tc>
          <w:tcPr>
            <w:tcW w:w="82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2,624</w:t>
            </w:r>
          </w:p>
        </w:tc>
        <w:tc>
          <w:tcPr>
            <w:tcW w:w="80" w:type="dxa"/>
            <w:vAlign w:val="bottom"/>
            <w:shd w:val="clear" w:color="auto" w:fill="E6E6E6"/>
          </w:tcPr>
          <w:p>
            <w:pPr>
              <w:spacing w:after="0"/>
              <w:rPr>
                <w:sz w:val="15"/>
                <w:szCs w:val="15"/>
                <w:color w:val="auto"/>
              </w:rPr>
            </w:pPr>
          </w:p>
        </w:tc>
        <w:tc>
          <w:tcPr>
            <w:tcW w:w="2220" w:type="dxa"/>
            <w:vAlign w:val="bottom"/>
            <w:shd w:val="clear" w:color="auto" w:fill="E6E6E6"/>
          </w:tcPr>
          <w:p>
            <w:pPr>
              <w:spacing w:after="0"/>
              <w:rPr>
                <w:sz w:val="15"/>
                <w:szCs w:val="15"/>
                <w:color w:val="auto"/>
              </w:rPr>
            </w:pPr>
          </w:p>
        </w:tc>
        <w:tc>
          <w:tcPr>
            <w:tcW w:w="6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460" w:type="dxa"/>
            <w:vAlign w:val="bottom"/>
            <w:shd w:val="clear" w:color="auto" w:fill="E6E6E6"/>
          </w:tcPr>
          <w:p>
            <w:pPr>
              <w:spacing w:after="0"/>
              <w:rPr>
                <w:sz w:val="15"/>
                <w:szCs w:val="15"/>
                <w:color w:val="auto"/>
              </w:rPr>
            </w:pPr>
          </w:p>
        </w:tc>
        <w:tc>
          <w:tcPr>
            <w:tcW w:w="740" w:type="dxa"/>
            <w:vAlign w:val="bottom"/>
            <w:shd w:val="clear" w:color="auto" w:fill="E6E6E6"/>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2880" w:type="dxa"/>
            <w:vAlign w:val="bottom"/>
            <w:shd w:val="clear" w:color="auto" w:fill="E6E6E6"/>
          </w:tcPr>
          <w:p>
            <w:pPr>
              <w:ind w:left="40"/>
              <w:spacing w:after="0"/>
              <w:rPr>
                <w:sz w:val="20"/>
                <w:szCs w:val="20"/>
                <w:color w:val="auto"/>
              </w:rPr>
            </w:pPr>
            <w:r>
              <w:rPr>
                <w:rFonts w:ascii="Arial" w:cs="Arial" w:eastAsia="Arial" w:hAnsi="Arial"/>
                <w:sz w:val="20"/>
                <w:szCs w:val="20"/>
                <w:color w:val="auto"/>
              </w:rPr>
              <w:t>Notes)</w:t>
            </w:r>
          </w:p>
        </w:tc>
        <w:tc>
          <w:tcPr>
            <w:tcW w:w="60" w:type="dxa"/>
            <w:vAlign w:val="bottom"/>
            <w:shd w:val="clear" w:color="auto" w:fill="E6E6E6"/>
          </w:tcPr>
          <w:p>
            <w:pPr>
              <w:spacing w:after="0"/>
              <w:rPr>
                <w:sz w:val="23"/>
                <w:szCs w:val="23"/>
                <w:color w:val="auto"/>
              </w:rPr>
            </w:pPr>
          </w:p>
        </w:tc>
        <w:tc>
          <w:tcPr>
            <w:tcW w:w="2220" w:type="dxa"/>
            <w:vAlign w:val="bottom"/>
            <w:shd w:val="clear" w:color="auto" w:fill="E6E6E6"/>
          </w:tcPr>
          <w:p>
            <w:pPr>
              <w:ind w:left="60"/>
              <w:spacing w:after="0"/>
              <w:rPr>
                <w:sz w:val="20"/>
                <w:szCs w:val="20"/>
                <w:color w:val="auto"/>
              </w:rPr>
            </w:pPr>
            <w:r>
              <w:rPr>
                <w:rFonts w:ascii="Arial" w:cs="Arial" w:eastAsia="Arial" w:hAnsi="Arial"/>
                <w:sz w:val="20"/>
                <w:szCs w:val="20"/>
                <w:color w:val="auto"/>
              </w:rPr>
              <w:t>other current assets</w:t>
            </w:r>
          </w:p>
        </w:tc>
        <w:tc>
          <w:tcPr>
            <w:tcW w:w="480" w:type="dxa"/>
            <w:vAlign w:val="bottom"/>
            <w:gridSpan w:val="2"/>
            <w:vMerge w:val="continue"/>
            <w:shd w:val="clear" w:color="auto" w:fill="E6E6E6"/>
          </w:tcPr>
          <w:p>
            <w:pPr>
              <w:spacing w:after="0"/>
              <w:rPr>
                <w:sz w:val="23"/>
                <w:szCs w:val="23"/>
                <w:color w:val="auto"/>
              </w:rPr>
            </w:pPr>
          </w:p>
        </w:tc>
        <w:tc>
          <w:tcPr>
            <w:tcW w:w="82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22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460" w:type="dxa"/>
            <w:vAlign w:val="bottom"/>
            <w:shd w:val="clear" w:color="auto" w:fill="E6E6E6"/>
          </w:tcPr>
          <w:p>
            <w:pPr>
              <w:spacing w:after="0"/>
              <w:rPr>
                <w:sz w:val="23"/>
                <w:szCs w:val="23"/>
                <w:color w:val="auto"/>
              </w:rPr>
            </w:pPr>
          </w:p>
        </w:tc>
        <w:tc>
          <w:tcPr>
            <w:tcW w:w="74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2880" w:type="dxa"/>
            <w:vAlign w:val="bottom"/>
          </w:tcPr>
          <w:p>
            <w:pPr>
              <w:ind w:left="40"/>
              <w:spacing w:after="0" w:line="187" w:lineRule="exact"/>
              <w:rPr>
                <w:sz w:val="20"/>
                <w:szCs w:val="20"/>
                <w:color w:val="auto"/>
              </w:rPr>
            </w:pPr>
            <w:r>
              <w:rPr>
                <w:rFonts w:ascii="Arial" w:cs="Arial" w:eastAsia="Arial" w:hAnsi="Arial"/>
                <w:sz w:val="20"/>
                <w:szCs w:val="20"/>
                <w:color w:val="auto"/>
              </w:rPr>
              <w:t>Capped call derivatives (2029</w:t>
            </w:r>
          </w:p>
        </w:tc>
        <w:tc>
          <w:tcPr>
            <w:tcW w:w="60" w:type="dxa"/>
            <w:vAlign w:val="bottom"/>
          </w:tcPr>
          <w:p>
            <w:pPr>
              <w:spacing w:after="0"/>
              <w:rPr>
                <w:sz w:val="16"/>
                <w:szCs w:val="16"/>
                <w:color w:val="auto"/>
              </w:rPr>
            </w:pPr>
          </w:p>
        </w:tc>
        <w:tc>
          <w:tcPr>
            <w:tcW w:w="2220" w:type="dxa"/>
            <w:vAlign w:val="bottom"/>
          </w:tcPr>
          <w:p>
            <w:pPr>
              <w:ind w:left="60"/>
              <w:spacing w:after="0" w:line="187" w:lineRule="exact"/>
              <w:rPr>
                <w:sz w:val="20"/>
                <w:szCs w:val="20"/>
                <w:color w:val="auto"/>
              </w:rPr>
            </w:pPr>
            <w:r>
              <w:rPr>
                <w:rFonts w:ascii="Arial" w:cs="Arial" w:eastAsia="Arial" w:hAnsi="Arial"/>
                <w:sz w:val="20"/>
                <w:szCs w:val="20"/>
                <w:color w:val="auto"/>
              </w:rPr>
              <w:t>Long-term derivative</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23,735</w:t>
            </w: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880" w:type="dxa"/>
            <w:vAlign w:val="bottom"/>
          </w:tcPr>
          <w:p>
            <w:pPr>
              <w:ind w:left="40"/>
              <w:spacing w:after="0"/>
              <w:rPr>
                <w:sz w:val="20"/>
                <w:szCs w:val="20"/>
                <w:color w:val="auto"/>
              </w:rPr>
            </w:pPr>
            <w:r>
              <w:rPr>
                <w:rFonts w:ascii="Arial" w:cs="Arial" w:eastAsia="Arial" w:hAnsi="Arial"/>
                <w:sz w:val="20"/>
                <w:szCs w:val="20"/>
                <w:color w:val="auto"/>
              </w:rPr>
              <w:t>Notes)</w:t>
            </w:r>
          </w:p>
        </w:tc>
        <w:tc>
          <w:tcPr>
            <w:tcW w:w="60" w:type="dxa"/>
            <w:vAlign w:val="bottom"/>
          </w:tcPr>
          <w:p>
            <w:pPr>
              <w:spacing w:after="0"/>
              <w:rPr>
                <w:sz w:val="22"/>
                <w:szCs w:val="22"/>
                <w:color w:val="auto"/>
              </w:rPr>
            </w:pPr>
          </w:p>
        </w:tc>
        <w:tc>
          <w:tcPr>
            <w:tcW w:w="2220" w:type="dxa"/>
            <w:vAlign w:val="bottom"/>
          </w:tcPr>
          <w:p>
            <w:pPr>
              <w:ind w:left="60"/>
              <w:spacing w:after="0"/>
              <w:rPr>
                <w:sz w:val="20"/>
                <w:szCs w:val="20"/>
                <w:color w:val="auto"/>
              </w:rPr>
            </w:pPr>
            <w:r>
              <w:rPr>
                <w:rFonts w:ascii="Arial" w:cs="Arial" w:eastAsia="Arial" w:hAnsi="Arial"/>
                <w:sz w:val="20"/>
                <w:szCs w:val="20"/>
                <w:color w:val="auto"/>
              </w:rPr>
              <w:t>assets</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2880" w:type="dxa"/>
            <w:vAlign w:val="bottom"/>
            <w:shd w:val="clear" w:color="auto" w:fill="E6E6E6"/>
          </w:tcPr>
          <w:p>
            <w:pPr>
              <w:ind w:left="40"/>
              <w:spacing w:after="0" w:line="193" w:lineRule="exact"/>
              <w:rPr>
                <w:sz w:val="20"/>
                <w:szCs w:val="20"/>
                <w:color w:val="auto"/>
              </w:rPr>
            </w:pPr>
            <w:r>
              <w:rPr>
                <w:rFonts w:ascii="Arial" w:cs="Arial" w:eastAsia="Arial" w:hAnsi="Arial"/>
                <w:sz w:val="20"/>
                <w:szCs w:val="20"/>
                <w:color w:val="auto"/>
                <w:w w:val="91"/>
              </w:rPr>
              <w:t>Embedded derivative (2025 Notes)</w:t>
            </w:r>
          </w:p>
        </w:tc>
        <w:tc>
          <w:tcPr>
            <w:tcW w:w="60" w:type="dxa"/>
            <w:vAlign w:val="bottom"/>
            <w:shd w:val="clear" w:color="auto" w:fill="E6E6E6"/>
          </w:tcPr>
          <w:p>
            <w:pPr>
              <w:spacing w:after="0"/>
              <w:rPr>
                <w:sz w:val="16"/>
                <w:szCs w:val="16"/>
                <w:color w:val="auto"/>
              </w:rPr>
            </w:pPr>
          </w:p>
        </w:tc>
        <w:tc>
          <w:tcPr>
            <w:tcW w:w="2220" w:type="dxa"/>
            <w:vAlign w:val="bottom"/>
            <w:shd w:val="clear" w:color="auto" w:fill="E6E6E6"/>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400" w:type="dxa"/>
            <w:vAlign w:val="bottom"/>
            <w:shd w:val="clear" w:color="auto" w:fill="E6E6E6"/>
          </w:tcPr>
          <w:p>
            <w:pPr>
              <w:spacing w:after="0"/>
              <w:rPr>
                <w:sz w:val="16"/>
                <w:szCs w:val="16"/>
                <w:color w:val="auto"/>
              </w:rPr>
            </w:pPr>
          </w:p>
        </w:tc>
        <w:tc>
          <w:tcPr>
            <w:tcW w:w="820" w:type="dxa"/>
            <w:vAlign w:val="bottom"/>
            <w:shd w:val="clear" w:color="auto" w:fill="E6E6E6"/>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2220" w:type="dxa"/>
            <w:vAlign w:val="bottom"/>
            <w:shd w:val="clear" w:color="auto" w:fill="E6E6E6"/>
          </w:tcPr>
          <w:p>
            <w:pPr>
              <w:ind w:left="40"/>
              <w:spacing w:after="0" w:line="193" w:lineRule="exact"/>
              <w:rPr>
                <w:sz w:val="20"/>
                <w:szCs w:val="20"/>
                <w:color w:val="auto"/>
              </w:rPr>
            </w:pPr>
            <w:r>
              <w:rPr>
                <w:rFonts w:ascii="Arial" w:cs="Arial" w:eastAsia="Arial" w:hAnsi="Arial"/>
                <w:sz w:val="20"/>
                <w:szCs w:val="20"/>
                <w:color w:val="auto"/>
              </w:rPr>
              <w:t>Accrued liabilities and</w:t>
            </w:r>
          </w:p>
        </w:tc>
        <w:tc>
          <w:tcPr>
            <w:tcW w:w="540" w:type="dxa"/>
            <w:vAlign w:val="bottom"/>
            <w:gridSpan w:val="3"/>
            <w:vMerge w:val="restart"/>
            <w:shd w:val="clear" w:color="auto" w:fill="E6E6E6"/>
          </w:tcPr>
          <w:p>
            <w:pPr>
              <w:ind w:left="120"/>
              <w:spacing w:after="0"/>
              <w:rPr>
                <w:sz w:val="20"/>
                <w:szCs w:val="20"/>
                <w:color w:val="auto"/>
              </w:rPr>
            </w:pPr>
            <w:r>
              <w:rPr>
                <w:rFonts w:ascii="Arial" w:cs="Arial" w:eastAsia="Arial" w:hAnsi="Arial"/>
                <w:sz w:val="20"/>
                <w:szCs w:val="20"/>
                <w:color w:val="auto"/>
              </w:rPr>
              <w:t>$</w:t>
            </w:r>
          </w:p>
        </w:tc>
        <w:tc>
          <w:tcPr>
            <w:tcW w:w="74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2,915</w:t>
            </w:r>
          </w:p>
        </w:tc>
        <w:tc>
          <w:tcPr>
            <w:tcW w:w="0" w:type="dxa"/>
            <w:vAlign w:val="bottom"/>
          </w:tcPr>
          <w:p>
            <w:pPr>
              <w:spacing w:after="0"/>
              <w:rPr>
                <w:sz w:val="1"/>
                <w:szCs w:val="1"/>
                <w:color w:val="auto"/>
              </w:rPr>
            </w:pPr>
          </w:p>
        </w:tc>
      </w:tr>
      <w:tr>
        <w:trPr>
          <w:trHeight w:val="268"/>
        </w:trPr>
        <w:tc>
          <w:tcPr>
            <w:tcW w:w="288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222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400" w:type="dxa"/>
            <w:vAlign w:val="bottom"/>
            <w:shd w:val="clear" w:color="auto" w:fill="E6E6E6"/>
          </w:tcPr>
          <w:p>
            <w:pPr>
              <w:spacing w:after="0"/>
              <w:rPr>
                <w:sz w:val="23"/>
                <w:szCs w:val="23"/>
                <w:color w:val="auto"/>
              </w:rPr>
            </w:pPr>
          </w:p>
        </w:tc>
        <w:tc>
          <w:tcPr>
            <w:tcW w:w="82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220" w:type="dxa"/>
            <w:vAlign w:val="bottom"/>
            <w:shd w:val="clear" w:color="auto" w:fill="E6E6E6"/>
          </w:tcPr>
          <w:p>
            <w:pPr>
              <w:ind w:left="40"/>
              <w:spacing w:after="0"/>
              <w:rPr>
                <w:sz w:val="20"/>
                <w:szCs w:val="20"/>
                <w:color w:val="auto"/>
              </w:rPr>
            </w:pPr>
            <w:r>
              <w:rPr>
                <w:rFonts w:ascii="Arial" w:cs="Arial" w:eastAsia="Arial" w:hAnsi="Arial"/>
                <w:sz w:val="20"/>
                <w:szCs w:val="20"/>
                <w:color w:val="auto"/>
              </w:rPr>
              <w:t>other</w:t>
            </w:r>
          </w:p>
        </w:tc>
        <w:tc>
          <w:tcPr>
            <w:tcW w:w="540" w:type="dxa"/>
            <w:vAlign w:val="bottom"/>
            <w:gridSpan w:val="3"/>
            <w:vMerge w:val="continue"/>
            <w:shd w:val="clear" w:color="auto" w:fill="E6E6E6"/>
          </w:tcPr>
          <w:p>
            <w:pPr>
              <w:spacing w:after="0"/>
              <w:rPr>
                <w:sz w:val="23"/>
                <w:szCs w:val="23"/>
                <w:color w:val="auto"/>
              </w:rPr>
            </w:pPr>
          </w:p>
        </w:tc>
        <w:tc>
          <w:tcPr>
            <w:tcW w:w="740" w:type="dxa"/>
            <w:vAlign w:val="bottom"/>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2880" w:type="dxa"/>
            <w:vAlign w:val="bottom"/>
          </w:tcPr>
          <w:p>
            <w:pPr>
              <w:ind w:left="40"/>
              <w:spacing w:after="0" w:line="188" w:lineRule="exact"/>
              <w:rPr>
                <w:sz w:val="20"/>
                <w:szCs w:val="20"/>
                <w:color w:val="auto"/>
              </w:rPr>
            </w:pPr>
            <w:r>
              <w:rPr>
                <w:rFonts w:ascii="Arial" w:cs="Arial" w:eastAsia="Arial" w:hAnsi="Arial"/>
                <w:sz w:val="20"/>
                <w:szCs w:val="20"/>
                <w:color w:val="auto"/>
                <w:w w:val="91"/>
              </w:rPr>
              <w:t>Embedded derivative (2029 Notes)</w:t>
            </w:r>
          </w:p>
        </w:tc>
        <w:tc>
          <w:tcPr>
            <w:tcW w:w="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ind w:left="40"/>
              <w:spacing w:after="0" w:line="188" w:lineRule="exact"/>
              <w:rPr>
                <w:sz w:val="20"/>
                <w:szCs w:val="20"/>
                <w:color w:val="auto"/>
              </w:rPr>
            </w:pPr>
            <w:r>
              <w:rPr>
                <w:rFonts w:ascii="Arial" w:cs="Arial" w:eastAsia="Arial" w:hAnsi="Arial"/>
                <w:sz w:val="20"/>
                <w:szCs w:val="20"/>
                <w:color w:val="auto"/>
              </w:rPr>
              <w:t>Long-term derivative</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51,819</w:t>
            </w:r>
          </w:p>
        </w:tc>
        <w:tc>
          <w:tcPr>
            <w:tcW w:w="0" w:type="dxa"/>
            <w:vAlign w:val="bottom"/>
          </w:tcPr>
          <w:p>
            <w:pPr>
              <w:spacing w:after="0"/>
              <w:rPr>
                <w:sz w:val="1"/>
                <w:szCs w:val="1"/>
                <w:color w:val="auto"/>
              </w:rPr>
            </w:pPr>
          </w:p>
        </w:tc>
      </w:tr>
      <w:tr>
        <w:trPr>
          <w:trHeight w:val="262"/>
        </w:trPr>
        <w:tc>
          <w:tcPr>
            <w:tcW w:w="2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20" w:type="dxa"/>
            <w:vAlign w:val="bottom"/>
          </w:tcPr>
          <w:p>
            <w:pPr>
              <w:ind w:left="40"/>
              <w:spacing w:after="0"/>
              <w:rPr>
                <w:sz w:val="20"/>
                <w:szCs w:val="20"/>
                <w:color w:val="auto"/>
              </w:rPr>
            </w:pPr>
            <w:r>
              <w:rPr>
                <w:rFonts w:ascii="Arial" w:cs="Arial" w:eastAsia="Arial" w:hAnsi="Arial"/>
                <w:sz w:val="20"/>
                <w:szCs w:val="20"/>
                <w:color w:val="auto"/>
              </w:rPr>
              <w:t>liabilities</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2880" w:type="dxa"/>
            <w:vAlign w:val="bottom"/>
            <w:shd w:val="clear" w:color="auto" w:fill="E6E6E6"/>
          </w:tcPr>
          <w:p>
            <w:pPr>
              <w:ind w:left="40"/>
              <w:spacing w:after="0" w:line="193" w:lineRule="exact"/>
              <w:rPr>
                <w:sz w:val="20"/>
                <w:szCs w:val="20"/>
                <w:color w:val="auto"/>
              </w:rPr>
            </w:pPr>
            <w:r>
              <w:rPr>
                <w:rFonts w:ascii="Arial" w:cs="Arial" w:eastAsia="Arial" w:hAnsi="Arial"/>
                <w:sz w:val="20"/>
                <w:szCs w:val="20"/>
                <w:color w:val="auto"/>
              </w:rPr>
              <w:t>FX derivative contracts</w:t>
            </w:r>
          </w:p>
        </w:tc>
        <w:tc>
          <w:tcPr>
            <w:tcW w:w="60" w:type="dxa"/>
            <w:vAlign w:val="bottom"/>
            <w:shd w:val="clear" w:color="auto" w:fill="E6E6E6"/>
          </w:tcPr>
          <w:p>
            <w:pPr>
              <w:spacing w:after="0"/>
              <w:rPr>
                <w:sz w:val="16"/>
                <w:szCs w:val="16"/>
                <w:color w:val="auto"/>
              </w:rPr>
            </w:pPr>
          </w:p>
        </w:tc>
        <w:tc>
          <w:tcPr>
            <w:tcW w:w="2220" w:type="dxa"/>
            <w:vAlign w:val="bottom"/>
            <w:shd w:val="clear" w:color="auto" w:fill="E6E6E6"/>
          </w:tcPr>
          <w:p>
            <w:pPr>
              <w:ind w:left="60"/>
              <w:spacing w:after="0" w:line="193" w:lineRule="exact"/>
              <w:rPr>
                <w:sz w:val="20"/>
                <w:szCs w:val="20"/>
                <w:color w:val="auto"/>
              </w:rPr>
            </w:pPr>
            <w:r>
              <w:rPr>
                <w:rFonts w:ascii="Arial" w:cs="Arial" w:eastAsia="Arial" w:hAnsi="Arial"/>
                <w:sz w:val="20"/>
                <w:szCs w:val="20"/>
                <w:color w:val="auto"/>
              </w:rPr>
              <w:t>Prepaid expenses and</w:t>
            </w:r>
          </w:p>
        </w:tc>
        <w:tc>
          <w:tcPr>
            <w:tcW w:w="80" w:type="dxa"/>
            <w:vAlign w:val="bottom"/>
            <w:shd w:val="clear" w:color="auto" w:fill="E6E6E6"/>
          </w:tcPr>
          <w:p>
            <w:pPr>
              <w:spacing w:after="0"/>
              <w:rPr>
                <w:sz w:val="16"/>
                <w:szCs w:val="16"/>
                <w:color w:val="auto"/>
              </w:rPr>
            </w:pPr>
          </w:p>
        </w:tc>
        <w:tc>
          <w:tcPr>
            <w:tcW w:w="400" w:type="dxa"/>
            <w:vAlign w:val="bottom"/>
            <w:shd w:val="clear" w:color="auto" w:fill="E6E6E6"/>
          </w:tcPr>
          <w:p>
            <w:pPr>
              <w:spacing w:after="0"/>
              <w:rPr>
                <w:sz w:val="16"/>
                <w:szCs w:val="16"/>
                <w:color w:val="auto"/>
              </w:rPr>
            </w:pPr>
          </w:p>
        </w:tc>
        <w:tc>
          <w:tcPr>
            <w:tcW w:w="82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738</w:t>
            </w:r>
          </w:p>
        </w:tc>
        <w:tc>
          <w:tcPr>
            <w:tcW w:w="80" w:type="dxa"/>
            <w:vAlign w:val="bottom"/>
            <w:shd w:val="clear" w:color="auto" w:fill="E6E6E6"/>
          </w:tcPr>
          <w:p>
            <w:pPr>
              <w:spacing w:after="0"/>
              <w:rPr>
                <w:sz w:val="16"/>
                <w:szCs w:val="16"/>
                <w:color w:val="auto"/>
              </w:rPr>
            </w:pPr>
          </w:p>
        </w:tc>
        <w:tc>
          <w:tcPr>
            <w:tcW w:w="222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460" w:type="dxa"/>
            <w:vAlign w:val="bottom"/>
            <w:shd w:val="clear" w:color="auto" w:fill="E6E6E6"/>
          </w:tcPr>
          <w:p>
            <w:pPr>
              <w:spacing w:after="0"/>
              <w:rPr>
                <w:sz w:val="16"/>
                <w:szCs w:val="16"/>
                <w:color w:val="auto"/>
              </w:rPr>
            </w:pPr>
          </w:p>
        </w:tc>
        <w:tc>
          <w:tcPr>
            <w:tcW w:w="74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288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22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other current assets</w:t>
            </w:r>
          </w:p>
        </w:tc>
        <w:tc>
          <w:tcPr>
            <w:tcW w:w="8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auto"/>
            </w:tcBorders>
            <w:shd w:val="clear" w:color="auto" w:fill="E6E6E6"/>
          </w:tcPr>
          <w:p>
            <w:pPr>
              <w:spacing w:after="0"/>
              <w:rPr>
                <w:sz w:val="24"/>
                <w:szCs w:val="24"/>
                <w:color w:val="auto"/>
              </w:rPr>
            </w:pPr>
          </w:p>
        </w:tc>
        <w:tc>
          <w:tcPr>
            <w:tcW w:w="820" w:type="dxa"/>
            <w:vAlign w:val="bottom"/>
            <w:tcBorders>
              <w:bottom w:val="single" w:sz="8" w:color="auto"/>
            </w:tcBorders>
            <w:vMerge w:val="continue"/>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222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460" w:type="dxa"/>
            <w:vAlign w:val="bottom"/>
            <w:tcBorders>
              <w:bottom w:val="single" w:sz="8" w:color="auto"/>
            </w:tcBorders>
            <w:shd w:val="clear" w:color="auto" w:fill="E6E6E6"/>
          </w:tcPr>
          <w:p>
            <w:pPr>
              <w:spacing w:after="0"/>
              <w:rPr>
                <w:sz w:val="24"/>
                <w:szCs w:val="24"/>
                <w:color w:val="auto"/>
              </w:rPr>
            </w:pPr>
          </w:p>
        </w:tc>
        <w:tc>
          <w:tcPr>
            <w:tcW w:w="740" w:type="dxa"/>
            <w:vAlign w:val="bottom"/>
            <w:tcBorders>
              <w:bottom w:val="single" w:sz="8" w:color="auto"/>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880" w:type="dxa"/>
            <w:vAlign w:val="bottom"/>
          </w:tcPr>
          <w:p>
            <w:pPr>
              <w:ind w:left="40"/>
              <w:spacing w:after="0" w:line="159" w:lineRule="exact"/>
              <w:rPr>
                <w:sz w:val="20"/>
                <w:szCs w:val="20"/>
                <w:color w:val="auto"/>
              </w:rPr>
            </w:pPr>
            <w:r>
              <w:rPr>
                <w:rFonts w:ascii="Arial" w:cs="Arial" w:eastAsia="Arial" w:hAnsi="Arial"/>
                <w:sz w:val="17"/>
                <w:szCs w:val="17"/>
                <w:color w:val="auto"/>
              </w:rPr>
              <w:t>Total derivatives not designated as</w:t>
            </w:r>
          </w:p>
        </w:tc>
        <w:tc>
          <w:tcPr>
            <w:tcW w:w="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480" w:type="dxa"/>
            <w:vAlign w:val="bottom"/>
            <w:gridSpan w:val="2"/>
            <w:vMerge w:val="restart"/>
          </w:tcPr>
          <w:p>
            <w:pPr>
              <w:ind w:left="140"/>
              <w:spacing w:after="0"/>
              <w:rPr>
                <w:sz w:val="20"/>
                <w:szCs w:val="20"/>
                <w:color w:val="auto"/>
              </w:rPr>
            </w:pPr>
            <w:r>
              <w:rPr>
                <w:rFonts w:ascii="Arial" w:cs="Arial" w:eastAsia="Arial" w:hAnsi="Arial"/>
                <w:sz w:val="20"/>
                <w:szCs w:val="20"/>
                <w:color w:val="auto"/>
              </w:rPr>
              <w:t>$</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27,097</w:t>
            </w:r>
          </w:p>
        </w:tc>
        <w:tc>
          <w:tcPr>
            <w:tcW w:w="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540" w:type="dxa"/>
            <w:vAlign w:val="bottom"/>
            <w:gridSpan w:val="3"/>
            <w:vMerge w:val="restart"/>
          </w:tcPr>
          <w:p>
            <w:pPr>
              <w:ind w:left="120"/>
              <w:spacing w:after="0"/>
              <w:rPr>
                <w:sz w:val="20"/>
                <w:szCs w:val="20"/>
                <w:color w:val="auto"/>
              </w:rPr>
            </w:pPr>
            <w:r>
              <w:rPr>
                <w:rFonts w:ascii="Arial" w:cs="Arial" w:eastAsia="Arial" w:hAnsi="Arial"/>
                <w:sz w:val="20"/>
                <w:szCs w:val="20"/>
                <w:color w:val="auto"/>
              </w:rPr>
              <w:t>$</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54,734</w:t>
            </w:r>
          </w:p>
        </w:tc>
        <w:tc>
          <w:tcPr>
            <w:tcW w:w="0" w:type="dxa"/>
            <w:vAlign w:val="bottom"/>
          </w:tcPr>
          <w:p>
            <w:pPr>
              <w:spacing w:after="0"/>
              <w:rPr>
                <w:sz w:val="1"/>
                <w:szCs w:val="1"/>
                <w:color w:val="auto"/>
              </w:rPr>
            </w:pPr>
          </w:p>
        </w:tc>
      </w:tr>
      <w:tr>
        <w:trPr>
          <w:trHeight w:val="238"/>
        </w:trPr>
        <w:tc>
          <w:tcPr>
            <w:tcW w:w="2880" w:type="dxa"/>
            <w:vAlign w:val="bottom"/>
          </w:tcPr>
          <w:p>
            <w:pPr>
              <w:ind w:left="40"/>
              <w:spacing w:after="0"/>
              <w:rPr>
                <w:sz w:val="20"/>
                <w:szCs w:val="20"/>
                <w:color w:val="auto"/>
              </w:rPr>
            </w:pPr>
            <w:r>
              <w:rPr>
                <w:rFonts w:ascii="Arial" w:cs="Arial" w:eastAsia="Arial" w:hAnsi="Arial"/>
                <w:sz w:val="20"/>
                <w:szCs w:val="20"/>
                <w:color w:val="auto"/>
              </w:rPr>
              <w:t>hedging instruments</w:t>
            </w:r>
          </w:p>
        </w:tc>
        <w:tc>
          <w:tcPr>
            <w:tcW w:w="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80" w:type="dxa"/>
            <w:vAlign w:val="bottom"/>
            <w:gridSpan w:val="2"/>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40" w:type="dxa"/>
            <w:vAlign w:val="bottom"/>
            <w:gridSpan w:val="3"/>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December 31, 2023</w:t>
            </w:r>
          </w:p>
        </w:tc>
        <w:tc>
          <w:tcPr>
            <w:tcW w:w="60" w:type="dxa"/>
            <w:vAlign w:val="bottom"/>
          </w:tcPr>
          <w:p>
            <w:pPr>
              <w:spacing w:after="0"/>
              <w:rPr>
                <w:sz w:val="24"/>
                <w:szCs w:val="24"/>
                <w:color w:val="auto"/>
              </w:rPr>
            </w:pPr>
          </w:p>
        </w:tc>
        <w:tc>
          <w:tcPr>
            <w:tcW w:w="2700" w:type="dxa"/>
            <w:vAlign w:val="bottom"/>
            <w:tcBorders>
              <w:bottom w:val="single" w:sz="8" w:color="auto"/>
            </w:tcBorders>
            <w:gridSpan w:val="3"/>
          </w:tcPr>
          <w:p>
            <w:pPr>
              <w:ind w:left="1040"/>
              <w:spacing w:after="0"/>
              <w:rPr>
                <w:sz w:val="20"/>
                <w:szCs w:val="20"/>
                <w:color w:val="auto"/>
              </w:rPr>
            </w:pPr>
            <w:r>
              <w:rPr>
                <w:rFonts w:ascii="Arial" w:cs="Arial" w:eastAsia="Arial" w:hAnsi="Arial"/>
                <w:sz w:val="20"/>
                <w:szCs w:val="20"/>
                <w:b w:val="1"/>
                <w:bCs w:val="1"/>
                <w:color w:val="auto"/>
                <w:w w:val="98"/>
              </w:rPr>
              <w:t>Derivative Assets</w:t>
            </w:r>
          </w:p>
        </w:tc>
        <w:tc>
          <w:tcPr>
            <w:tcW w:w="8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760" w:type="dxa"/>
            <w:vAlign w:val="bottom"/>
            <w:tcBorders>
              <w:bottom w:val="single" w:sz="8" w:color="auto"/>
            </w:tcBorders>
            <w:gridSpan w:val="4"/>
          </w:tcPr>
          <w:p>
            <w:pPr>
              <w:ind w:left="880"/>
              <w:spacing w:after="0"/>
              <w:rPr>
                <w:sz w:val="20"/>
                <w:szCs w:val="20"/>
                <w:color w:val="auto"/>
              </w:rPr>
            </w:pPr>
            <w:r>
              <w:rPr>
                <w:rFonts w:ascii="Arial" w:cs="Arial" w:eastAsia="Arial" w:hAnsi="Arial"/>
                <w:sz w:val="20"/>
                <w:szCs w:val="20"/>
                <w:b w:val="1"/>
                <w:bCs w:val="1"/>
                <w:color w:val="auto"/>
                <w:w w:val="96"/>
              </w:rPr>
              <w:t>Derivative Liabilities</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880" w:type="dxa"/>
            <w:vAlign w:val="bottom"/>
          </w:tcPr>
          <w:p>
            <w:pPr>
              <w:ind w:left="40"/>
              <w:spacing w:after="0" w:line="179" w:lineRule="exact"/>
              <w:rPr>
                <w:sz w:val="20"/>
                <w:szCs w:val="20"/>
                <w:color w:val="auto"/>
              </w:rPr>
            </w:pPr>
            <w:r>
              <w:rPr>
                <w:rFonts w:ascii="Arial" w:cs="Arial" w:eastAsia="Arial" w:hAnsi="Arial"/>
                <w:sz w:val="20"/>
                <w:szCs w:val="20"/>
                <w:b w:val="1"/>
                <w:bCs w:val="1"/>
                <w:color w:val="auto"/>
                <w:w w:val="98"/>
              </w:rPr>
              <w:t>Derivatives Not Designated as</w:t>
            </w:r>
          </w:p>
        </w:tc>
        <w:tc>
          <w:tcPr>
            <w:tcW w:w="60" w:type="dxa"/>
            <w:vAlign w:val="bottom"/>
          </w:tcPr>
          <w:p>
            <w:pPr>
              <w:spacing w:after="0"/>
              <w:rPr>
                <w:sz w:val="15"/>
                <w:szCs w:val="15"/>
                <w:color w:val="auto"/>
              </w:rPr>
            </w:pPr>
          </w:p>
        </w:tc>
        <w:tc>
          <w:tcPr>
            <w:tcW w:w="2220" w:type="dxa"/>
            <w:vAlign w:val="bottom"/>
            <w:vMerge w:val="restart"/>
          </w:tcPr>
          <w:p>
            <w:pPr>
              <w:ind w:left="140"/>
              <w:spacing w:after="0"/>
              <w:rPr>
                <w:sz w:val="20"/>
                <w:szCs w:val="20"/>
                <w:color w:val="auto"/>
              </w:rPr>
            </w:pPr>
            <w:r>
              <w:rPr>
                <w:rFonts w:ascii="Arial" w:cs="Arial" w:eastAsia="Arial" w:hAnsi="Arial"/>
                <w:sz w:val="20"/>
                <w:szCs w:val="20"/>
                <w:b w:val="1"/>
                <w:bCs w:val="1"/>
                <w:color w:val="auto"/>
                <w:w w:val="91"/>
              </w:rPr>
              <w:t>Balance Sheet Location</w:t>
            </w:r>
          </w:p>
        </w:tc>
        <w:tc>
          <w:tcPr>
            <w:tcW w:w="80" w:type="dxa"/>
            <w:vAlign w:val="bottom"/>
          </w:tcPr>
          <w:p>
            <w:pPr>
              <w:spacing w:after="0"/>
              <w:rPr>
                <w:sz w:val="15"/>
                <w:szCs w:val="15"/>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20"/>
                <w:szCs w:val="20"/>
                <w:b w:val="1"/>
                <w:bCs w:val="1"/>
                <w:color w:val="auto"/>
                <w:w w:val="93"/>
              </w:rPr>
              <w:t xml:space="preserve">Fair Value </w:t>
            </w:r>
            <w:r>
              <w:rPr>
                <w:rFonts w:ascii="Arial" w:cs="Arial" w:eastAsia="Arial" w:hAnsi="Arial"/>
                <w:sz w:val="25"/>
                <w:szCs w:val="25"/>
                <w:b w:val="1"/>
                <w:bCs w:val="1"/>
                <w:color w:val="auto"/>
                <w:w w:val="93"/>
                <w:vertAlign w:val="superscript"/>
              </w:rPr>
              <w:t>(1)</w:t>
            </w:r>
          </w:p>
        </w:tc>
        <w:tc>
          <w:tcPr>
            <w:tcW w:w="80" w:type="dxa"/>
            <w:vAlign w:val="bottom"/>
          </w:tcPr>
          <w:p>
            <w:pPr>
              <w:spacing w:after="0"/>
              <w:rPr>
                <w:sz w:val="15"/>
                <w:szCs w:val="15"/>
                <w:color w:val="auto"/>
              </w:rPr>
            </w:pPr>
          </w:p>
        </w:tc>
        <w:tc>
          <w:tcPr>
            <w:tcW w:w="2220" w:type="dxa"/>
            <w:vAlign w:val="bottom"/>
            <w:vMerge w:val="restart"/>
          </w:tcPr>
          <w:p>
            <w:pPr>
              <w:ind w:left="120"/>
              <w:spacing w:after="0"/>
              <w:rPr>
                <w:sz w:val="20"/>
                <w:szCs w:val="20"/>
                <w:color w:val="auto"/>
              </w:rPr>
            </w:pPr>
            <w:r>
              <w:rPr>
                <w:rFonts w:ascii="Arial" w:cs="Arial" w:eastAsia="Arial" w:hAnsi="Arial"/>
                <w:sz w:val="20"/>
                <w:szCs w:val="20"/>
                <w:b w:val="1"/>
                <w:bCs w:val="1"/>
                <w:color w:val="auto"/>
                <w:w w:val="92"/>
              </w:rPr>
              <w:t>Balance Sheet Location</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20"/>
                <w:szCs w:val="20"/>
                <w:b w:val="1"/>
                <w:bCs w:val="1"/>
                <w:color w:val="auto"/>
                <w:w w:val="92"/>
              </w:rPr>
              <w:t xml:space="preserve">Fair Value </w:t>
            </w:r>
            <w:r>
              <w:rPr>
                <w:rFonts w:ascii="Arial" w:cs="Arial" w:eastAsia="Arial" w:hAnsi="Arial"/>
                <w:sz w:val="25"/>
                <w:szCs w:val="25"/>
                <w:b w:val="1"/>
                <w:bCs w:val="1"/>
                <w:color w:val="auto"/>
                <w:w w:val="92"/>
                <w:vertAlign w:val="superscript"/>
              </w:rPr>
              <w:t>(1)</w:t>
            </w:r>
          </w:p>
        </w:tc>
        <w:tc>
          <w:tcPr>
            <w:tcW w:w="0" w:type="dxa"/>
            <w:vAlign w:val="bottom"/>
          </w:tcPr>
          <w:p>
            <w:pPr>
              <w:spacing w:after="0"/>
              <w:rPr>
                <w:sz w:val="1"/>
                <w:szCs w:val="1"/>
                <w:color w:val="auto"/>
              </w:rPr>
            </w:pPr>
          </w:p>
        </w:tc>
      </w:tr>
      <w:tr>
        <w:trPr>
          <w:trHeight w:val="258"/>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Hedging Instruments:</w:t>
            </w:r>
          </w:p>
        </w:tc>
        <w:tc>
          <w:tcPr>
            <w:tcW w:w="60" w:type="dxa"/>
            <w:vAlign w:val="bottom"/>
            <w:tcBorders>
              <w:bottom w:val="single" w:sz="8" w:color="E6E6E6"/>
            </w:tcBorders>
          </w:tcPr>
          <w:p>
            <w:pPr>
              <w:spacing w:after="0"/>
              <w:rPr>
                <w:sz w:val="22"/>
                <w:szCs w:val="22"/>
                <w:color w:val="auto"/>
              </w:rPr>
            </w:pPr>
          </w:p>
        </w:tc>
        <w:tc>
          <w:tcPr>
            <w:tcW w:w="222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1220" w:type="dxa"/>
            <w:vAlign w:val="bottom"/>
            <w:tcBorders>
              <w:bottom w:val="single" w:sz="8" w:color="auto"/>
            </w:tcBorders>
            <w:gridSpan w:val="2"/>
            <w:vMerge w:val="continue"/>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222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1200" w:type="dxa"/>
            <w:vAlign w:val="bottom"/>
            <w:tcBorders>
              <w:bottom w:val="single" w:sz="8" w:color="auto"/>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8"/>
        </w:trPr>
        <w:tc>
          <w:tcPr>
            <w:tcW w:w="2880" w:type="dxa"/>
            <w:vAlign w:val="bottom"/>
            <w:shd w:val="clear" w:color="auto" w:fill="E6E6E6"/>
          </w:tcPr>
          <w:p>
            <w:pPr>
              <w:ind w:left="40"/>
              <w:spacing w:after="0" w:line="178" w:lineRule="exact"/>
              <w:rPr>
                <w:sz w:val="20"/>
                <w:szCs w:val="20"/>
                <w:color w:val="auto"/>
              </w:rPr>
            </w:pPr>
            <w:r>
              <w:rPr>
                <w:rFonts w:ascii="Arial" w:cs="Arial" w:eastAsia="Arial" w:hAnsi="Arial"/>
                <w:sz w:val="20"/>
                <w:szCs w:val="20"/>
                <w:color w:val="auto"/>
              </w:rPr>
              <w:t>Capped call derivatives (2025</w:t>
            </w:r>
          </w:p>
        </w:tc>
        <w:tc>
          <w:tcPr>
            <w:tcW w:w="60" w:type="dxa"/>
            <w:vAlign w:val="bottom"/>
            <w:shd w:val="clear" w:color="auto" w:fill="E6E6E6"/>
          </w:tcPr>
          <w:p>
            <w:pPr>
              <w:spacing w:after="0"/>
              <w:rPr>
                <w:sz w:val="15"/>
                <w:szCs w:val="15"/>
                <w:color w:val="auto"/>
              </w:rPr>
            </w:pPr>
          </w:p>
        </w:tc>
        <w:tc>
          <w:tcPr>
            <w:tcW w:w="2220" w:type="dxa"/>
            <w:vAlign w:val="bottom"/>
            <w:shd w:val="clear" w:color="auto" w:fill="E6E6E6"/>
          </w:tcPr>
          <w:p>
            <w:pPr>
              <w:ind w:left="60"/>
              <w:spacing w:after="0" w:line="178" w:lineRule="exact"/>
              <w:rPr>
                <w:sz w:val="20"/>
                <w:szCs w:val="20"/>
                <w:color w:val="auto"/>
              </w:rPr>
            </w:pPr>
            <w:r>
              <w:rPr>
                <w:rFonts w:ascii="Arial" w:cs="Arial" w:eastAsia="Arial" w:hAnsi="Arial"/>
                <w:sz w:val="20"/>
                <w:szCs w:val="20"/>
                <w:color w:val="auto"/>
              </w:rPr>
              <w:t>Long-term derivative</w:t>
            </w:r>
          </w:p>
        </w:tc>
        <w:tc>
          <w:tcPr>
            <w:tcW w:w="480" w:type="dxa"/>
            <w:vAlign w:val="bottom"/>
            <w:gridSpan w:val="2"/>
            <w:vMerge w:val="restart"/>
            <w:shd w:val="clear" w:color="auto" w:fill="E6E6E6"/>
          </w:tcPr>
          <w:p>
            <w:pPr>
              <w:ind w:left="140"/>
              <w:spacing w:after="0"/>
              <w:rPr>
                <w:sz w:val="20"/>
                <w:szCs w:val="20"/>
                <w:color w:val="auto"/>
              </w:rPr>
            </w:pPr>
            <w:r>
              <w:rPr>
                <w:rFonts w:ascii="Arial" w:cs="Arial" w:eastAsia="Arial" w:hAnsi="Arial"/>
                <w:sz w:val="20"/>
                <w:szCs w:val="20"/>
                <w:color w:val="auto"/>
              </w:rPr>
              <w:t>$</w:t>
            </w:r>
          </w:p>
        </w:tc>
        <w:tc>
          <w:tcPr>
            <w:tcW w:w="82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38,496</w:t>
            </w:r>
          </w:p>
        </w:tc>
        <w:tc>
          <w:tcPr>
            <w:tcW w:w="80" w:type="dxa"/>
            <w:vAlign w:val="bottom"/>
            <w:shd w:val="clear" w:color="auto" w:fill="E6E6E6"/>
          </w:tcPr>
          <w:p>
            <w:pPr>
              <w:spacing w:after="0"/>
              <w:rPr>
                <w:sz w:val="15"/>
                <w:szCs w:val="15"/>
                <w:color w:val="auto"/>
              </w:rPr>
            </w:pPr>
          </w:p>
        </w:tc>
        <w:tc>
          <w:tcPr>
            <w:tcW w:w="2220" w:type="dxa"/>
            <w:vAlign w:val="bottom"/>
            <w:shd w:val="clear" w:color="auto" w:fill="E6E6E6"/>
          </w:tcPr>
          <w:p>
            <w:pPr>
              <w:spacing w:after="0"/>
              <w:rPr>
                <w:sz w:val="15"/>
                <w:szCs w:val="15"/>
                <w:color w:val="auto"/>
              </w:rPr>
            </w:pPr>
          </w:p>
        </w:tc>
        <w:tc>
          <w:tcPr>
            <w:tcW w:w="6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460" w:type="dxa"/>
            <w:vAlign w:val="bottom"/>
            <w:shd w:val="clear" w:color="auto" w:fill="E6E6E6"/>
          </w:tcPr>
          <w:p>
            <w:pPr>
              <w:spacing w:after="0"/>
              <w:rPr>
                <w:sz w:val="15"/>
                <w:szCs w:val="15"/>
                <w:color w:val="auto"/>
              </w:rPr>
            </w:pPr>
          </w:p>
        </w:tc>
        <w:tc>
          <w:tcPr>
            <w:tcW w:w="740" w:type="dxa"/>
            <w:vAlign w:val="bottom"/>
            <w:shd w:val="clear" w:color="auto" w:fill="E6E6E6"/>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2880" w:type="dxa"/>
            <w:vAlign w:val="bottom"/>
            <w:shd w:val="clear" w:color="auto" w:fill="E6E6E6"/>
          </w:tcPr>
          <w:p>
            <w:pPr>
              <w:ind w:left="40"/>
              <w:spacing w:after="0"/>
              <w:rPr>
                <w:sz w:val="20"/>
                <w:szCs w:val="20"/>
                <w:color w:val="auto"/>
              </w:rPr>
            </w:pPr>
            <w:r>
              <w:rPr>
                <w:rFonts w:ascii="Arial" w:cs="Arial" w:eastAsia="Arial" w:hAnsi="Arial"/>
                <w:sz w:val="20"/>
                <w:szCs w:val="20"/>
                <w:color w:val="auto"/>
              </w:rPr>
              <w:t>Notes)</w:t>
            </w:r>
          </w:p>
        </w:tc>
        <w:tc>
          <w:tcPr>
            <w:tcW w:w="60" w:type="dxa"/>
            <w:vAlign w:val="bottom"/>
            <w:shd w:val="clear" w:color="auto" w:fill="E6E6E6"/>
          </w:tcPr>
          <w:p>
            <w:pPr>
              <w:spacing w:after="0"/>
              <w:rPr>
                <w:sz w:val="23"/>
                <w:szCs w:val="23"/>
                <w:color w:val="auto"/>
              </w:rPr>
            </w:pPr>
          </w:p>
        </w:tc>
        <w:tc>
          <w:tcPr>
            <w:tcW w:w="2220" w:type="dxa"/>
            <w:vAlign w:val="bottom"/>
            <w:shd w:val="clear" w:color="auto" w:fill="E6E6E6"/>
          </w:tcPr>
          <w:p>
            <w:pPr>
              <w:ind w:left="60"/>
              <w:spacing w:after="0"/>
              <w:rPr>
                <w:sz w:val="20"/>
                <w:szCs w:val="20"/>
                <w:color w:val="auto"/>
              </w:rPr>
            </w:pPr>
            <w:r>
              <w:rPr>
                <w:rFonts w:ascii="Arial" w:cs="Arial" w:eastAsia="Arial" w:hAnsi="Arial"/>
                <w:sz w:val="20"/>
                <w:szCs w:val="20"/>
                <w:color w:val="auto"/>
              </w:rPr>
              <w:t>assets</w:t>
            </w:r>
          </w:p>
        </w:tc>
        <w:tc>
          <w:tcPr>
            <w:tcW w:w="480" w:type="dxa"/>
            <w:vAlign w:val="bottom"/>
            <w:gridSpan w:val="2"/>
            <w:vMerge w:val="continue"/>
            <w:shd w:val="clear" w:color="auto" w:fill="E6E6E6"/>
          </w:tcPr>
          <w:p>
            <w:pPr>
              <w:spacing w:after="0"/>
              <w:rPr>
                <w:sz w:val="23"/>
                <w:szCs w:val="23"/>
                <w:color w:val="auto"/>
              </w:rPr>
            </w:pPr>
          </w:p>
        </w:tc>
        <w:tc>
          <w:tcPr>
            <w:tcW w:w="82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22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460" w:type="dxa"/>
            <w:vAlign w:val="bottom"/>
            <w:shd w:val="clear" w:color="auto" w:fill="E6E6E6"/>
          </w:tcPr>
          <w:p>
            <w:pPr>
              <w:spacing w:after="0"/>
              <w:rPr>
                <w:sz w:val="23"/>
                <w:szCs w:val="23"/>
                <w:color w:val="auto"/>
              </w:rPr>
            </w:pPr>
          </w:p>
        </w:tc>
        <w:tc>
          <w:tcPr>
            <w:tcW w:w="74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2880" w:type="dxa"/>
            <w:vAlign w:val="bottom"/>
          </w:tcPr>
          <w:p>
            <w:pPr>
              <w:ind w:left="40"/>
              <w:spacing w:after="0" w:line="187" w:lineRule="exact"/>
              <w:rPr>
                <w:sz w:val="20"/>
                <w:szCs w:val="20"/>
                <w:color w:val="auto"/>
              </w:rPr>
            </w:pPr>
            <w:r>
              <w:rPr>
                <w:rFonts w:ascii="Arial" w:cs="Arial" w:eastAsia="Arial" w:hAnsi="Arial"/>
                <w:sz w:val="20"/>
                <w:szCs w:val="20"/>
                <w:color w:val="auto"/>
                <w:w w:val="91"/>
              </w:rPr>
              <w:t>Embedded derivative (2025 Notes)</w:t>
            </w:r>
          </w:p>
        </w:tc>
        <w:tc>
          <w:tcPr>
            <w:tcW w:w="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ind w:left="40"/>
              <w:spacing w:after="0" w:line="187" w:lineRule="exact"/>
              <w:rPr>
                <w:sz w:val="20"/>
                <w:szCs w:val="20"/>
                <w:color w:val="auto"/>
              </w:rPr>
            </w:pPr>
            <w:r>
              <w:rPr>
                <w:rFonts w:ascii="Arial" w:cs="Arial" w:eastAsia="Arial" w:hAnsi="Arial"/>
                <w:sz w:val="20"/>
                <w:szCs w:val="20"/>
                <w:color w:val="auto"/>
              </w:rPr>
              <w:t>Long-term derivative</w:t>
            </w:r>
          </w:p>
        </w:tc>
        <w:tc>
          <w:tcPr>
            <w:tcW w:w="540" w:type="dxa"/>
            <w:vAlign w:val="bottom"/>
            <w:gridSpan w:val="3"/>
            <w:vMerge w:val="restart"/>
          </w:tcPr>
          <w:p>
            <w:pPr>
              <w:ind w:left="120"/>
              <w:spacing w:after="0"/>
              <w:rPr>
                <w:sz w:val="20"/>
                <w:szCs w:val="20"/>
                <w:color w:val="auto"/>
              </w:rPr>
            </w:pPr>
            <w:r>
              <w:rPr>
                <w:rFonts w:ascii="Arial" w:cs="Arial" w:eastAsia="Arial" w:hAnsi="Arial"/>
                <w:sz w:val="20"/>
                <w:szCs w:val="20"/>
                <w:color w:val="auto"/>
              </w:rPr>
              <w:t>$</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45,569</w:t>
            </w:r>
          </w:p>
        </w:tc>
        <w:tc>
          <w:tcPr>
            <w:tcW w:w="0" w:type="dxa"/>
            <w:vAlign w:val="bottom"/>
          </w:tcPr>
          <w:p>
            <w:pPr>
              <w:spacing w:after="0"/>
              <w:rPr>
                <w:sz w:val="1"/>
                <w:szCs w:val="1"/>
                <w:color w:val="auto"/>
              </w:rPr>
            </w:pPr>
          </w:p>
        </w:tc>
      </w:tr>
      <w:tr>
        <w:trPr>
          <w:trHeight w:val="263"/>
        </w:trPr>
        <w:tc>
          <w:tcPr>
            <w:tcW w:w="2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20" w:type="dxa"/>
            <w:vAlign w:val="bottom"/>
          </w:tcPr>
          <w:p>
            <w:pPr>
              <w:ind w:left="40"/>
              <w:spacing w:after="0"/>
              <w:rPr>
                <w:sz w:val="20"/>
                <w:szCs w:val="20"/>
                <w:color w:val="auto"/>
              </w:rPr>
            </w:pPr>
            <w:r>
              <w:rPr>
                <w:rFonts w:ascii="Arial" w:cs="Arial" w:eastAsia="Arial" w:hAnsi="Arial"/>
                <w:sz w:val="20"/>
                <w:szCs w:val="20"/>
                <w:color w:val="auto"/>
              </w:rPr>
              <w:t>liabilities</w:t>
            </w:r>
          </w:p>
        </w:tc>
        <w:tc>
          <w:tcPr>
            <w:tcW w:w="540" w:type="dxa"/>
            <w:vAlign w:val="bottom"/>
            <w:gridSpan w:val="3"/>
            <w:vMerge w:val="continue"/>
          </w:tcPr>
          <w:p>
            <w:pPr>
              <w:spacing w:after="0"/>
              <w:rPr>
                <w:sz w:val="22"/>
                <w:szCs w:val="22"/>
                <w:color w:val="auto"/>
              </w:rPr>
            </w:pPr>
          </w:p>
        </w:tc>
        <w:tc>
          <w:tcPr>
            <w:tcW w:w="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2880" w:type="dxa"/>
            <w:vAlign w:val="bottom"/>
            <w:shd w:val="clear" w:color="auto" w:fill="E6E6E6"/>
          </w:tcPr>
          <w:p>
            <w:pPr>
              <w:ind w:left="40"/>
              <w:spacing w:after="0" w:line="193" w:lineRule="exact"/>
              <w:rPr>
                <w:sz w:val="20"/>
                <w:szCs w:val="20"/>
                <w:color w:val="auto"/>
              </w:rPr>
            </w:pPr>
            <w:r>
              <w:rPr>
                <w:rFonts w:ascii="Arial" w:cs="Arial" w:eastAsia="Arial" w:hAnsi="Arial"/>
                <w:sz w:val="20"/>
                <w:szCs w:val="20"/>
                <w:color w:val="auto"/>
              </w:rPr>
              <w:t>FX derivative contracts</w:t>
            </w:r>
          </w:p>
        </w:tc>
        <w:tc>
          <w:tcPr>
            <w:tcW w:w="60" w:type="dxa"/>
            <w:vAlign w:val="bottom"/>
            <w:shd w:val="clear" w:color="auto" w:fill="E6E6E6"/>
          </w:tcPr>
          <w:p>
            <w:pPr>
              <w:spacing w:after="0"/>
              <w:rPr>
                <w:sz w:val="16"/>
                <w:szCs w:val="16"/>
                <w:color w:val="auto"/>
              </w:rPr>
            </w:pPr>
          </w:p>
        </w:tc>
        <w:tc>
          <w:tcPr>
            <w:tcW w:w="2220" w:type="dxa"/>
            <w:vAlign w:val="bottom"/>
            <w:shd w:val="clear" w:color="auto" w:fill="E6E6E6"/>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400" w:type="dxa"/>
            <w:vAlign w:val="bottom"/>
            <w:shd w:val="clear" w:color="auto" w:fill="E6E6E6"/>
          </w:tcPr>
          <w:p>
            <w:pPr>
              <w:spacing w:after="0"/>
              <w:rPr>
                <w:sz w:val="16"/>
                <w:szCs w:val="16"/>
                <w:color w:val="auto"/>
              </w:rPr>
            </w:pPr>
          </w:p>
        </w:tc>
        <w:tc>
          <w:tcPr>
            <w:tcW w:w="820" w:type="dxa"/>
            <w:vAlign w:val="bottom"/>
            <w:shd w:val="clear" w:color="auto" w:fill="E6E6E6"/>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2220" w:type="dxa"/>
            <w:vAlign w:val="bottom"/>
            <w:shd w:val="clear" w:color="auto" w:fill="E6E6E6"/>
          </w:tcPr>
          <w:p>
            <w:pPr>
              <w:ind w:left="40"/>
              <w:spacing w:after="0" w:line="193" w:lineRule="exact"/>
              <w:rPr>
                <w:sz w:val="20"/>
                <w:szCs w:val="20"/>
                <w:color w:val="auto"/>
              </w:rPr>
            </w:pPr>
            <w:r>
              <w:rPr>
                <w:rFonts w:ascii="Arial" w:cs="Arial" w:eastAsia="Arial" w:hAnsi="Arial"/>
                <w:sz w:val="20"/>
                <w:szCs w:val="20"/>
                <w:color w:val="auto"/>
              </w:rPr>
              <w:t>Accrued liabilities and</w:t>
            </w:r>
          </w:p>
        </w:tc>
        <w:tc>
          <w:tcPr>
            <w:tcW w:w="6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460" w:type="dxa"/>
            <w:vAlign w:val="bottom"/>
            <w:shd w:val="clear" w:color="auto" w:fill="E6E6E6"/>
          </w:tcPr>
          <w:p>
            <w:pPr>
              <w:spacing w:after="0"/>
              <w:rPr>
                <w:sz w:val="16"/>
                <w:szCs w:val="16"/>
                <w:color w:val="auto"/>
              </w:rPr>
            </w:pPr>
          </w:p>
        </w:tc>
        <w:tc>
          <w:tcPr>
            <w:tcW w:w="74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3,883</w:t>
            </w:r>
          </w:p>
        </w:tc>
        <w:tc>
          <w:tcPr>
            <w:tcW w:w="0" w:type="dxa"/>
            <w:vAlign w:val="bottom"/>
          </w:tcPr>
          <w:p>
            <w:pPr>
              <w:spacing w:after="0"/>
              <w:rPr>
                <w:sz w:val="1"/>
                <w:szCs w:val="1"/>
                <w:color w:val="auto"/>
              </w:rPr>
            </w:pPr>
          </w:p>
        </w:tc>
      </w:tr>
      <w:tr>
        <w:trPr>
          <w:trHeight w:val="278"/>
        </w:trPr>
        <w:tc>
          <w:tcPr>
            <w:tcW w:w="288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2220" w:type="dxa"/>
            <w:vAlign w:val="bottom"/>
            <w:tcBorders>
              <w:bottom w:val="single" w:sz="8" w:color="E6E6E6"/>
            </w:tcBorders>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auto"/>
            </w:tcBorders>
            <w:shd w:val="clear" w:color="auto" w:fill="E6E6E6"/>
          </w:tcPr>
          <w:p>
            <w:pPr>
              <w:spacing w:after="0"/>
              <w:rPr>
                <w:sz w:val="24"/>
                <w:szCs w:val="24"/>
                <w:color w:val="auto"/>
              </w:rPr>
            </w:pPr>
          </w:p>
        </w:tc>
        <w:tc>
          <w:tcPr>
            <w:tcW w:w="820" w:type="dxa"/>
            <w:vAlign w:val="bottom"/>
            <w:tcBorders>
              <w:bottom w:val="single" w:sz="8" w:color="auto"/>
            </w:tcBorders>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222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other</w:t>
            </w:r>
          </w:p>
        </w:tc>
        <w:tc>
          <w:tcPr>
            <w:tcW w:w="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460" w:type="dxa"/>
            <w:vAlign w:val="bottom"/>
            <w:tcBorders>
              <w:bottom w:val="single" w:sz="8" w:color="auto"/>
            </w:tcBorders>
            <w:shd w:val="clear" w:color="auto" w:fill="E6E6E6"/>
          </w:tcPr>
          <w:p>
            <w:pPr>
              <w:spacing w:after="0"/>
              <w:rPr>
                <w:sz w:val="24"/>
                <w:szCs w:val="24"/>
                <w:color w:val="auto"/>
              </w:rPr>
            </w:pPr>
          </w:p>
        </w:tc>
        <w:tc>
          <w:tcPr>
            <w:tcW w:w="740" w:type="dxa"/>
            <w:vAlign w:val="bottom"/>
            <w:tcBorders>
              <w:bottom w:val="single" w:sz="8" w:color="auto"/>
            </w:tcBorders>
            <w:vMerge w:val="continue"/>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880" w:type="dxa"/>
            <w:vAlign w:val="bottom"/>
          </w:tcPr>
          <w:p>
            <w:pPr>
              <w:ind w:left="40"/>
              <w:spacing w:after="0" w:line="159" w:lineRule="exact"/>
              <w:rPr>
                <w:sz w:val="20"/>
                <w:szCs w:val="20"/>
                <w:color w:val="auto"/>
              </w:rPr>
            </w:pPr>
            <w:r>
              <w:rPr>
                <w:rFonts w:ascii="Arial" w:cs="Arial" w:eastAsia="Arial" w:hAnsi="Arial"/>
                <w:sz w:val="17"/>
                <w:szCs w:val="17"/>
                <w:color w:val="auto"/>
              </w:rPr>
              <w:t>Total derivatives not designated as</w:t>
            </w:r>
          </w:p>
        </w:tc>
        <w:tc>
          <w:tcPr>
            <w:tcW w:w="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480" w:type="dxa"/>
            <w:vAlign w:val="bottom"/>
            <w:gridSpan w:val="2"/>
            <w:vMerge w:val="restart"/>
          </w:tcPr>
          <w:p>
            <w:pPr>
              <w:ind w:left="140"/>
              <w:spacing w:after="0"/>
              <w:rPr>
                <w:sz w:val="20"/>
                <w:szCs w:val="20"/>
                <w:color w:val="auto"/>
              </w:rPr>
            </w:pPr>
            <w:r>
              <w:rPr>
                <w:rFonts w:ascii="Arial" w:cs="Arial" w:eastAsia="Arial" w:hAnsi="Arial"/>
                <w:sz w:val="20"/>
                <w:szCs w:val="20"/>
                <w:color w:val="auto"/>
              </w:rPr>
              <w:t>$</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38,496</w:t>
            </w:r>
          </w:p>
        </w:tc>
        <w:tc>
          <w:tcPr>
            <w:tcW w:w="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540" w:type="dxa"/>
            <w:vAlign w:val="bottom"/>
            <w:gridSpan w:val="3"/>
            <w:vMerge w:val="restart"/>
          </w:tcPr>
          <w:p>
            <w:pPr>
              <w:ind w:left="120"/>
              <w:spacing w:after="0"/>
              <w:rPr>
                <w:sz w:val="20"/>
                <w:szCs w:val="20"/>
                <w:color w:val="auto"/>
              </w:rPr>
            </w:pPr>
            <w:r>
              <w:rPr>
                <w:rFonts w:ascii="Arial" w:cs="Arial" w:eastAsia="Arial" w:hAnsi="Arial"/>
                <w:sz w:val="20"/>
                <w:szCs w:val="20"/>
                <w:color w:val="auto"/>
              </w:rPr>
              <w:t>$</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49,452</w:t>
            </w:r>
          </w:p>
        </w:tc>
        <w:tc>
          <w:tcPr>
            <w:tcW w:w="0" w:type="dxa"/>
            <w:vAlign w:val="bottom"/>
          </w:tcPr>
          <w:p>
            <w:pPr>
              <w:spacing w:after="0"/>
              <w:rPr>
                <w:sz w:val="1"/>
                <w:szCs w:val="1"/>
                <w:color w:val="auto"/>
              </w:rPr>
            </w:pPr>
          </w:p>
        </w:tc>
      </w:tr>
      <w:tr>
        <w:trPr>
          <w:trHeight w:val="238"/>
        </w:trPr>
        <w:tc>
          <w:tcPr>
            <w:tcW w:w="2880" w:type="dxa"/>
            <w:vAlign w:val="bottom"/>
          </w:tcPr>
          <w:p>
            <w:pPr>
              <w:ind w:left="40"/>
              <w:spacing w:after="0"/>
              <w:rPr>
                <w:sz w:val="20"/>
                <w:szCs w:val="20"/>
                <w:color w:val="auto"/>
              </w:rPr>
            </w:pPr>
            <w:r>
              <w:rPr>
                <w:rFonts w:ascii="Arial" w:cs="Arial" w:eastAsia="Arial" w:hAnsi="Arial"/>
                <w:sz w:val="20"/>
                <w:szCs w:val="20"/>
                <w:color w:val="auto"/>
              </w:rPr>
              <w:t>hedging instruments</w:t>
            </w:r>
          </w:p>
        </w:tc>
        <w:tc>
          <w:tcPr>
            <w:tcW w:w="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80" w:type="dxa"/>
            <w:vAlign w:val="bottom"/>
            <w:gridSpan w:val="2"/>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40" w:type="dxa"/>
            <w:vAlign w:val="bottom"/>
            <w:gridSpan w:val="3"/>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-3528060</wp:posOffset>
            </wp:positionV>
            <wp:extent cx="6400800"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18">
                      <a:extLst>
                        <a:ext uri="{28A0092B-C50C-407E-A947-70E740481C1C}"/>
                      </a:extLst>
                    </a:blip>
                    <a:srcRect/>
                    <a:stretch>
                      <a:fillRect/>
                    </a:stretch>
                  </pic:blipFill>
                  <pic:spPr bwMode="auto">
                    <a:xfrm>
                      <a:off x="0" y="0"/>
                      <a:ext cx="6400800" cy="25400"/>
                    </a:xfrm>
                    <a:prstGeom prst="rect">
                      <a:avLst/>
                    </a:prstGeom>
                    <a:noFill/>
                  </pic:spPr>
                </pic:pic>
              </a:graphicData>
            </a:graphic>
          </wp:anchor>
        </w:drawing>
        <w:drawing>
          <wp:anchor simplePos="0" relativeHeight="251657728" behindDoc="1" locked="0" layoutInCell="0" allowOverlap="1">
            <wp:simplePos x="0" y="0"/>
            <wp:positionH relativeFrom="column">
              <wp:posOffset>3314700</wp:posOffset>
            </wp:positionH>
            <wp:positionV relativeFrom="paragraph">
              <wp:posOffset>-2081530</wp:posOffset>
            </wp:positionV>
            <wp:extent cx="80010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19">
                      <a:extLst>
                        <a:ext uri="{28A0092B-C50C-407E-A947-70E740481C1C}"/>
                      </a:extLst>
                    </a:blip>
                    <a:srcRect/>
                    <a:stretch>
                      <a:fillRect/>
                    </a:stretch>
                  </pic:blipFill>
                  <pic:spPr bwMode="auto">
                    <a:xfrm>
                      <a:off x="0" y="0"/>
                      <a:ext cx="800100" cy="25400"/>
                    </a:xfrm>
                    <a:prstGeom prst="rect">
                      <a:avLst/>
                    </a:prstGeom>
                    <a:noFill/>
                  </pic:spPr>
                </pic:pic>
              </a:graphicData>
            </a:graphic>
          </wp:anchor>
        </w:drawing>
        <w:drawing>
          <wp:anchor simplePos="0" relativeHeight="251657728" behindDoc="1" locked="0" layoutInCell="0" allowOverlap="1">
            <wp:simplePos x="0" y="0"/>
            <wp:positionH relativeFrom="column">
              <wp:posOffset>5592445</wp:posOffset>
            </wp:positionH>
            <wp:positionV relativeFrom="paragraph">
              <wp:posOffset>-2081530</wp:posOffset>
            </wp:positionV>
            <wp:extent cx="79057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20">
                      <a:extLst>
                        <a:ext uri="{28A0092B-C50C-407E-A947-70E740481C1C}"/>
                      </a:extLst>
                    </a:blip>
                    <a:srcRect/>
                    <a:stretch>
                      <a:fillRect/>
                    </a:stretch>
                  </pic:blipFill>
                  <pic:spPr bwMode="auto">
                    <a:xfrm>
                      <a:off x="0" y="0"/>
                      <a:ext cx="790575" cy="2540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-1188085</wp:posOffset>
            </wp:positionV>
            <wp:extent cx="641032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21">
                      <a:extLst>
                        <a:ext uri="{28A0092B-C50C-407E-A947-70E740481C1C}"/>
                      </a:extLst>
                    </a:blip>
                    <a:srcRect/>
                    <a:stretch>
                      <a:fillRect/>
                    </a:stretch>
                  </pic:blipFill>
                  <pic:spPr bwMode="auto">
                    <a:xfrm>
                      <a:off x="0" y="0"/>
                      <a:ext cx="6410325" cy="2540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-320040</wp:posOffset>
            </wp:positionV>
            <wp:extent cx="80010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22">
                      <a:extLst>
                        <a:ext uri="{28A0092B-C50C-407E-A947-70E740481C1C}"/>
                      </a:extLst>
                    </a:blip>
                    <a:srcRect/>
                    <a:stretch>
                      <a:fillRect/>
                    </a:stretch>
                  </pic:blipFill>
                  <pic:spPr bwMode="auto">
                    <a:xfrm>
                      <a:off x="0" y="0"/>
                      <a:ext cx="800100" cy="25400"/>
                    </a:xfrm>
                    <a:prstGeom prst="rect">
                      <a:avLst/>
                    </a:prstGeom>
                    <a:noFill/>
                  </pic:spPr>
                </pic:pic>
              </a:graphicData>
            </a:graphic>
          </wp:anchor>
        </w:drawing>
        <w:drawing>
          <wp:anchor simplePos="0" relativeHeight="251657728" behindDoc="1" locked="0" layoutInCell="0" allowOverlap="1">
            <wp:simplePos x="0" y="0"/>
            <wp:positionH relativeFrom="column">
              <wp:posOffset>5592445</wp:posOffset>
            </wp:positionH>
            <wp:positionV relativeFrom="paragraph">
              <wp:posOffset>-320040</wp:posOffset>
            </wp:positionV>
            <wp:extent cx="80010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23">
                      <a:extLst>
                        <a:ext uri="{28A0092B-C50C-407E-A947-70E740481C1C}"/>
                      </a:extLst>
                    </a:blip>
                    <a:srcRect/>
                    <a:stretch>
                      <a:fillRect/>
                    </a:stretch>
                  </pic:blipFill>
                  <pic:spPr bwMode="auto">
                    <a:xfrm>
                      <a:off x="0" y="0"/>
                      <a:ext cx="800100" cy="25400"/>
                    </a:xfrm>
                    <a:prstGeom prst="rect">
                      <a:avLst/>
                    </a:prstGeom>
                    <a:noFill/>
                  </pic:spPr>
                </pic:pic>
              </a:graphicData>
            </a:graphic>
          </wp:anchor>
        </w:drawing>
      </w:r>
    </w:p>
    <w:p>
      <w:pPr>
        <w:spacing w:after="0" w:line="111" w:lineRule="exact"/>
        <w:rPr>
          <w:sz w:val="20"/>
          <w:szCs w:val="20"/>
          <w:color w:val="auto"/>
        </w:rPr>
      </w:pPr>
    </w:p>
    <w:p>
      <w:pPr>
        <w:ind w:left="700" w:right="1220" w:hanging="355"/>
        <w:spacing w:after="0" w:line="230" w:lineRule="auto"/>
        <w:tabs>
          <w:tab w:leader="none" w:pos="70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For the classification of inputs used to evaluate the fair value of LivaNova’s derivatives, refer to “Note 8. Fair Value Measurements.”</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Fair Value Measurements</w:t>
      </w:r>
    </w:p>
    <w:p>
      <w:pPr>
        <w:spacing w:after="0" w:line="148"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LivaNova reviews its fair value hierarchy classification on a quarterly basis. Changes in the ability to observe valuation inputs may result in a reclassification of levels for certain securities in the fair value hierarchy. Excluding LivaNova’s investment in Ceribell, Inc., as discussed in “Note 6. Investments,” there were no transfers between Level 1, Level 2, or Level 3 during the years ended December 31, 2024, 2023, or 2022.</w:t>
      </w:r>
    </w:p>
    <w:p>
      <w:pPr>
        <w:sectPr>
          <w:pgSz w:w="11880" w:h="15480" w:orient="portrait"/>
          <w:cols w:equalWidth="0" w:num="1">
            <w:col w:w="10040"/>
          </w:cols>
          <w:pgMar w:left="920" w:top="73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ectPr>
          <w:pgSz w:w="11880" w:h="15480" w:orient="portrait"/>
          <w:cols w:equalWidth="0" w:num="1">
            <w:col w:w="10040"/>
          </w:cols>
          <w:pgMar w:left="920" w:top="732" w:right="920" w:bottom="0" w:gutter="0" w:footer="0" w:header="0"/>
          <w:type w:val="continuous"/>
        </w:sectPr>
      </w:pPr>
    </w:p>
    <w:bookmarkStart w:id="80" w:name="page81"/>
    <w:bookmarkEnd w:id="80"/>
    <w:p>
      <w:pPr>
        <w:spacing w:after="0"/>
        <w:rPr>
          <w:sz w:val="20"/>
          <w:szCs w:val="20"/>
          <w:color w:val="auto"/>
        </w:rPr>
      </w:pPr>
      <w:r>
        <w:rPr>
          <w:rFonts w:ascii="Arial" w:cs="Arial" w:eastAsia="Arial" w:hAnsi="Arial"/>
          <w:sz w:val="22"/>
          <w:szCs w:val="22"/>
          <w:color w:val="auto"/>
        </w:rPr>
        <w:t>Assets and Liabilities Measured at Fair Value on a Recurring Basis</w:t>
      </w:r>
    </w:p>
    <w:p>
      <w:pPr>
        <w:spacing w:after="0" w:line="140" w:lineRule="exact"/>
        <w:rPr>
          <w:sz w:val="20"/>
          <w:szCs w:val="20"/>
          <w:color w:val="auto"/>
        </w:rPr>
      </w:pPr>
    </w:p>
    <w:p>
      <w:pPr>
        <w:spacing w:after="0" w:line="282" w:lineRule="auto"/>
        <w:rPr>
          <w:sz w:val="20"/>
          <w:szCs w:val="20"/>
          <w:color w:val="auto"/>
        </w:rPr>
      </w:pPr>
      <w:r>
        <w:rPr>
          <w:rFonts w:ascii="Arial" w:cs="Arial" w:eastAsia="Arial" w:hAnsi="Arial"/>
          <w:sz w:val="20"/>
          <w:szCs w:val="20"/>
          <w:color w:val="auto"/>
        </w:rPr>
        <w:t>The following tables present the level in the fair value hierarchy at which the Company’s assets and liabilities are measured on a recurring basis (in thousands):</w:t>
      </w:r>
    </w:p>
    <w:tbl>
      <w:tblPr>
        <w:tblLayout w:type="fixed"/>
        <w:tblInd w:w="0" w:type="dxa"/>
        <w:tblCellMar>
          <w:top w:w="0" w:type="dxa"/>
          <w:left w:w="0" w:type="dxa"/>
          <w:bottom w:w="0" w:type="dxa"/>
          <w:right w:w="0" w:type="dxa"/>
        </w:tblCellMar>
      </w:tblPr>
      <w:tr>
        <w:trPr>
          <w:trHeight w:val="202"/>
        </w:trPr>
        <w:tc>
          <w:tcPr>
            <w:tcW w:w="4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80" w:type="dxa"/>
            <w:vAlign w:val="bottom"/>
            <w:gridSpan w:val="8"/>
          </w:tcPr>
          <w:p>
            <w:pPr>
              <w:jc w:val="center"/>
              <w:ind w:right="62"/>
              <w:spacing w:after="0" w:line="203" w:lineRule="exact"/>
              <w:rPr>
                <w:sz w:val="20"/>
                <w:szCs w:val="20"/>
                <w:color w:val="auto"/>
              </w:rPr>
            </w:pPr>
            <w:r>
              <w:rPr>
                <w:rFonts w:ascii="Arial" w:cs="Arial" w:eastAsia="Arial" w:hAnsi="Arial"/>
                <w:sz w:val="20"/>
                <w:szCs w:val="20"/>
                <w:b w:val="1"/>
                <w:bCs w:val="1"/>
                <w:color w:val="auto"/>
                <w:w w:val="90"/>
              </w:rPr>
              <w:t>Fair Value Measurements</w:t>
            </w:r>
          </w:p>
        </w:tc>
        <w:tc>
          <w:tcPr>
            <w:tcW w:w="0" w:type="dxa"/>
            <w:vAlign w:val="bottom"/>
          </w:tcPr>
          <w:p>
            <w:pPr>
              <w:spacing w:after="0"/>
              <w:rPr>
                <w:sz w:val="1"/>
                <w:szCs w:val="1"/>
                <w:color w:val="auto"/>
              </w:rPr>
            </w:pPr>
          </w:p>
        </w:tc>
      </w:tr>
      <w:tr>
        <w:trPr>
          <w:trHeight w:val="255"/>
        </w:trPr>
        <w:tc>
          <w:tcPr>
            <w:tcW w:w="4220" w:type="dxa"/>
            <w:vAlign w:val="bottom"/>
          </w:tcPr>
          <w:p>
            <w:pPr>
              <w:spacing w:after="0"/>
              <w:rPr>
                <w:sz w:val="22"/>
                <w:szCs w:val="22"/>
                <w:color w:val="auto"/>
              </w:rPr>
            </w:pPr>
          </w:p>
        </w:tc>
        <w:tc>
          <w:tcPr>
            <w:tcW w:w="1880" w:type="dxa"/>
            <w:vAlign w:val="bottom"/>
          </w:tcPr>
          <w:p>
            <w:pPr>
              <w:jc w:val="center"/>
              <w:spacing w:after="0"/>
              <w:rPr>
                <w:sz w:val="20"/>
                <w:szCs w:val="20"/>
                <w:color w:val="auto"/>
              </w:rPr>
            </w:pPr>
            <w:r>
              <w:rPr>
                <w:rFonts w:ascii="Arial" w:cs="Arial" w:eastAsia="Arial" w:hAnsi="Arial"/>
                <w:sz w:val="20"/>
                <w:szCs w:val="20"/>
                <w:b w:val="1"/>
                <w:bCs w:val="1"/>
                <w:color w:val="auto"/>
                <w:w w:val="86"/>
              </w:rPr>
              <w:t>Balance Sheet</w:t>
            </w:r>
          </w:p>
        </w:tc>
        <w:tc>
          <w:tcPr>
            <w:tcW w:w="80" w:type="dxa"/>
            <w:vAlign w:val="bottom"/>
          </w:tcPr>
          <w:p>
            <w:pPr>
              <w:spacing w:after="0"/>
              <w:rPr>
                <w:sz w:val="22"/>
                <w:szCs w:val="22"/>
                <w:color w:val="auto"/>
              </w:rPr>
            </w:pPr>
          </w:p>
        </w:tc>
        <w:tc>
          <w:tcPr>
            <w:tcW w:w="1120" w:type="dxa"/>
            <w:vAlign w:val="bottom"/>
            <w:gridSpan w:val="3"/>
          </w:tcPr>
          <w:p>
            <w:pPr>
              <w:jc w:val="center"/>
              <w:ind w:right="80"/>
              <w:spacing w:after="0"/>
              <w:rPr>
                <w:sz w:val="20"/>
                <w:szCs w:val="20"/>
                <w:color w:val="auto"/>
              </w:rPr>
            </w:pPr>
            <w:r>
              <w:rPr>
                <w:rFonts w:ascii="Arial" w:cs="Arial" w:eastAsia="Arial" w:hAnsi="Arial"/>
                <w:sz w:val="20"/>
                <w:szCs w:val="20"/>
                <w:b w:val="1"/>
                <w:bCs w:val="1"/>
                <w:color w:val="auto"/>
                <w:w w:val="86"/>
              </w:rPr>
              <w:t>December</w:t>
            </w:r>
          </w:p>
        </w:tc>
        <w:tc>
          <w:tcPr>
            <w:tcW w:w="16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gridSpan w:val="8"/>
          </w:tcPr>
          <w:p>
            <w:pPr>
              <w:jc w:val="center"/>
              <w:ind w:right="62"/>
              <w:spacing w:after="0"/>
              <w:rPr>
                <w:sz w:val="20"/>
                <w:szCs w:val="20"/>
                <w:color w:val="auto"/>
              </w:rPr>
            </w:pPr>
            <w:r>
              <w:rPr>
                <w:rFonts w:ascii="Arial" w:cs="Arial" w:eastAsia="Arial" w:hAnsi="Arial"/>
                <w:sz w:val="20"/>
                <w:szCs w:val="20"/>
                <w:b w:val="1"/>
                <w:bCs w:val="1"/>
                <w:color w:val="auto"/>
                <w:w w:val="87"/>
              </w:rPr>
              <w:t>Using Inputs Considered as:</w:t>
            </w:r>
          </w:p>
        </w:tc>
        <w:tc>
          <w:tcPr>
            <w:tcW w:w="0" w:type="dxa"/>
            <w:vAlign w:val="bottom"/>
          </w:tcPr>
          <w:p>
            <w:pPr>
              <w:spacing w:after="0"/>
              <w:rPr>
                <w:sz w:val="1"/>
                <w:szCs w:val="1"/>
                <w:color w:val="auto"/>
              </w:rPr>
            </w:pPr>
          </w:p>
        </w:tc>
      </w:tr>
      <w:tr>
        <w:trPr>
          <w:trHeight w:val="259"/>
        </w:trPr>
        <w:tc>
          <w:tcPr>
            <w:tcW w:w="4220" w:type="dxa"/>
            <w:vAlign w:val="bottom"/>
          </w:tcPr>
          <w:p>
            <w:pPr>
              <w:spacing w:after="0"/>
              <w:rPr>
                <w:sz w:val="22"/>
                <w:szCs w:val="22"/>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Location</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62"/>
              <w:spacing w:after="0"/>
              <w:rPr>
                <w:sz w:val="20"/>
                <w:szCs w:val="20"/>
                <w:color w:val="auto"/>
              </w:rPr>
            </w:pPr>
            <w:r>
              <w:rPr>
                <w:rFonts w:ascii="Arial" w:cs="Arial" w:eastAsia="Arial" w:hAnsi="Arial"/>
                <w:sz w:val="20"/>
                <w:szCs w:val="20"/>
                <w:b w:val="1"/>
                <w:bCs w:val="1"/>
                <w:color w:val="auto"/>
                <w:w w:val="87"/>
              </w:rPr>
              <w:t>31, 2024</w:t>
            </w:r>
          </w:p>
        </w:tc>
        <w:tc>
          <w:tcPr>
            <w:tcW w:w="80" w:type="dxa"/>
            <w:vAlign w:val="bottom"/>
          </w:tcPr>
          <w:p>
            <w:pPr>
              <w:spacing w:after="0"/>
              <w:rPr>
                <w:sz w:val="22"/>
                <w:szCs w:val="22"/>
                <w:color w:val="auto"/>
              </w:rPr>
            </w:pPr>
          </w:p>
        </w:tc>
        <w:tc>
          <w:tcPr>
            <w:tcW w:w="86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20"/>
                <w:szCs w:val="20"/>
                <w:b w:val="1"/>
                <w:bCs w:val="1"/>
                <w:color w:val="auto"/>
              </w:rPr>
              <w:t>Level 1</w:t>
            </w: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88"/>
              </w:rPr>
              <w:t>Level 2</w:t>
            </w:r>
          </w:p>
        </w:tc>
        <w:tc>
          <w:tcPr>
            <w:tcW w:w="80" w:type="dxa"/>
            <w:vAlign w:val="bottom"/>
          </w:tcPr>
          <w:p>
            <w:pPr>
              <w:spacing w:after="0"/>
              <w:rPr>
                <w:sz w:val="22"/>
                <w:szCs w:val="22"/>
                <w:color w:val="auto"/>
              </w:rPr>
            </w:pPr>
          </w:p>
        </w:tc>
        <w:tc>
          <w:tcPr>
            <w:tcW w:w="86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20"/>
                <w:szCs w:val="20"/>
                <w:b w:val="1"/>
                <w:bCs w:val="1"/>
                <w:color w:val="auto"/>
              </w:rPr>
              <w:t>Level 3</w:t>
            </w:r>
          </w:p>
        </w:tc>
        <w:tc>
          <w:tcPr>
            <w:tcW w:w="0" w:type="dxa"/>
            <w:vAlign w:val="bottom"/>
          </w:tcPr>
          <w:p>
            <w:pPr>
              <w:spacing w:after="0"/>
              <w:rPr>
                <w:sz w:val="1"/>
                <w:szCs w:val="1"/>
                <w:color w:val="auto"/>
              </w:rPr>
            </w:pPr>
          </w:p>
        </w:tc>
      </w:tr>
      <w:tr>
        <w:trPr>
          <w:trHeight w:val="263"/>
        </w:trPr>
        <w:tc>
          <w:tcPr>
            <w:tcW w:w="4220" w:type="dxa"/>
            <w:vAlign w:val="bottom"/>
          </w:tcPr>
          <w:p>
            <w:pPr>
              <w:ind w:left="40"/>
              <w:spacing w:after="0"/>
              <w:rPr>
                <w:sz w:val="20"/>
                <w:szCs w:val="20"/>
                <w:color w:val="auto"/>
              </w:rPr>
            </w:pPr>
            <w:r>
              <w:rPr>
                <w:rFonts w:ascii="Arial" w:cs="Arial" w:eastAsia="Arial" w:hAnsi="Arial"/>
                <w:sz w:val="20"/>
                <w:szCs w:val="20"/>
                <w:b w:val="1"/>
                <w:bCs w:val="1"/>
                <w:color w:val="auto"/>
              </w:rPr>
              <w:t>Assets</w:t>
            </w:r>
          </w:p>
        </w:tc>
        <w:tc>
          <w:tcPr>
            <w:tcW w:w="1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4220" w:type="dxa"/>
            <w:vAlign w:val="bottom"/>
            <w:shd w:val="clear" w:color="auto" w:fill="E6E6E6"/>
          </w:tcPr>
          <w:p>
            <w:pPr>
              <w:ind w:left="160"/>
              <w:spacing w:after="0" w:line="193" w:lineRule="exact"/>
              <w:rPr>
                <w:sz w:val="20"/>
                <w:szCs w:val="20"/>
                <w:color w:val="auto"/>
              </w:rPr>
            </w:pPr>
            <w:r>
              <w:rPr>
                <w:rFonts w:ascii="Arial" w:cs="Arial" w:eastAsia="Arial" w:hAnsi="Arial"/>
                <w:sz w:val="20"/>
                <w:szCs w:val="20"/>
                <w:color w:val="auto"/>
                <w:w w:val="93"/>
              </w:rPr>
              <w:t>Derivative assets - freestanding instruments (FX)</w:t>
            </w:r>
          </w:p>
        </w:tc>
        <w:tc>
          <w:tcPr>
            <w:tcW w:w="1880" w:type="dxa"/>
            <w:vAlign w:val="bottom"/>
            <w:shd w:val="clear" w:color="auto" w:fill="E6E6E6"/>
          </w:tcPr>
          <w:p>
            <w:pPr>
              <w:ind w:left="60"/>
              <w:spacing w:after="0" w:line="193" w:lineRule="exact"/>
              <w:rPr>
                <w:sz w:val="20"/>
                <w:szCs w:val="20"/>
                <w:color w:val="auto"/>
              </w:rPr>
            </w:pPr>
            <w:r>
              <w:rPr>
                <w:rFonts w:ascii="Arial" w:cs="Arial" w:eastAsia="Arial" w:hAnsi="Arial"/>
                <w:sz w:val="20"/>
                <w:szCs w:val="20"/>
                <w:color w:val="auto"/>
                <w:w w:val="90"/>
              </w:rPr>
              <w:t>Prepaid expenses and</w:t>
            </w:r>
          </w:p>
        </w:tc>
        <w:tc>
          <w:tcPr>
            <w:tcW w:w="240" w:type="dxa"/>
            <w:vAlign w:val="bottom"/>
            <w:gridSpan w:val="2"/>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8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738</w:t>
            </w:r>
          </w:p>
        </w:tc>
        <w:tc>
          <w:tcPr>
            <w:tcW w:w="80" w:type="dxa"/>
            <w:vAlign w:val="bottom"/>
            <w:shd w:val="clear" w:color="auto" w:fill="E6E6E6"/>
          </w:tcPr>
          <w:p>
            <w:pPr>
              <w:spacing w:after="0"/>
              <w:rPr>
                <w:sz w:val="16"/>
                <w:szCs w:val="16"/>
                <w:color w:val="auto"/>
              </w:rPr>
            </w:pPr>
          </w:p>
        </w:tc>
        <w:tc>
          <w:tcPr>
            <w:tcW w:w="16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70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320" w:type="dxa"/>
            <w:vAlign w:val="bottom"/>
            <w:gridSpan w:val="3"/>
            <w:vMerge w:val="restart"/>
            <w:shd w:val="clear" w:color="auto" w:fill="E6E6E6"/>
          </w:tcPr>
          <w:p>
            <w:pPr>
              <w:jc w:val="right"/>
              <w:ind w:right="2"/>
              <w:spacing w:after="0"/>
              <w:rPr>
                <w:sz w:val="20"/>
                <w:szCs w:val="20"/>
                <w:color w:val="auto"/>
              </w:rPr>
            </w:pPr>
            <w:r>
              <w:rPr>
                <w:rFonts w:ascii="Arial" w:cs="Arial" w:eastAsia="Arial" w:hAnsi="Arial"/>
                <w:sz w:val="20"/>
                <w:szCs w:val="20"/>
                <w:color w:val="auto"/>
              </w:rPr>
              <w:t>$</w:t>
            </w:r>
          </w:p>
        </w:tc>
        <w:tc>
          <w:tcPr>
            <w:tcW w:w="62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738</w:t>
            </w:r>
          </w:p>
        </w:tc>
        <w:tc>
          <w:tcPr>
            <w:tcW w:w="240" w:type="dxa"/>
            <w:vAlign w:val="bottom"/>
            <w:gridSpan w:val="2"/>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70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8"/>
        </w:trPr>
        <w:tc>
          <w:tcPr>
            <w:tcW w:w="4220" w:type="dxa"/>
            <w:vAlign w:val="bottom"/>
            <w:shd w:val="clear" w:color="auto" w:fill="E6E6E6"/>
          </w:tcPr>
          <w:p>
            <w:pPr>
              <w:spacing w:after="0"/>
              <w:rPr>
                <w:sz w:val="23"/>
                <w:szCs w:val="23"/>
                <w:color w:val="auto"/>
              </w:rPr>
            </w:pPr>
          </w:p>
        </w:tc>
        <w:tc>
          <w:tcPr>
            <w:tcW w:w="1880" w:type="dxa"/>
            <w:vAlign w:val="bottom"/>
            <w:shd w:val="clear" w:color="auto" w:fill="E6E6E6"/>
          </w:tcPr>
          <w:p>
            <w:pPr>
              <w:ind w:left="60"/>
              <w:spacing w:after="0"/>
              <w:rPr>
                <w:sz w:val="20"/>
                <w:szCs w:val="20"/>
                <w:color w:val="auto"/>
              </w:rPr>
            </w:pPr>
            <w:r>
              <w:rPr>
                <w:rFonts w:ascii="Arial" w:cs="Arial" w:eastAsia="Arial" w:hAnsi="Arial"/>
                <w:sz w:val="20"/>
                <w:szCs w:val="20"/>
                <w:color w:val="auto"/>
              </w:rPr>
              <w:t>other current assets</w:t>
            </w:r>
          </w:p>
        </w:tc>
        <w:tc>
          <w:tcPr>
            <w:tcW w:w="240" w:type="dxa"/>
            <w:vAlign w:val="bottom"/>
            <w:gridSpan w:val="2"/>
            <w:vMerge w:val="continue"/>
            <w:shd w:val="clear" w:color="auto" w:fill="E6E6E6"/>
          </w:tcPr>
          <w:p>
            <w:pPr>
              <w:spacing w:after="0"/>
              <w:rPr>
                <w:sz w:val="23"/>
                <w:szCs w:val="23"/>
                <w:color w:val="auto"/>
              </w:rPr>
            </w:pPr>
          </w:p>
        </w:tc>
        <w:tc>
          <w:tcPr>
            <w:tcW w:w="88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160" w:type="dxa"/>
            <w:vAlign w:val="bottom"/>
            <w:vMerge w:val="continue"/>
            <w:shd w:val="clear" w:color="auto" w:fill="E6E6E6"/>
          </w:tcPr>
          <w:p>
            <w:pPr>
              <w:spacing w:after="0"/>
              <w:rPr>
                <w:sz w:val="23"/>
                <w:szCs w:val="23"/>
                <w:color w:val="auto"/>
              </w:rPr>
            </w:pPr>
          </w:p>
        </w:tc>
        <w:tc>
          <w:tcPr>
            <w:tcW w:w="700" w:type="dxa"/>
            <w:vAlign w:val="bottom"/>
            <w:vMerge w:val="continue"/>
            <w:shd w:val="clear" w:color="auto" w:fill="E6E6E6"/>
          </w:tcPr>
          <w:p>
            <w:pPr>
              <w:spacing w:after="0"/>
              <w:rPr>
                <w:sz w:val="23"/>
                <w:szCs w:val="23"/>
                <w:color w:val="auto"/>
              </w:rPr>
            </w:pPr>
          </w:p>
        </w:tc>
        <w:tc>
          <w:tcPr>
            <w:tcW w:w="320" w:type="dxa"/>
            <w:vAlign w:val="bottom"/>
            <w:gridSpan w:val="3"/>
            <w:vMerge w:val="continue"/>
            <w:shd w:val="clear" w:color="auto" w:fill="E6E6E6"/>
          </w:tcPr>
          <w:p>
            <w:pPr>
              <w:spacing w:after="0"/>
              <w:rPr>
                <w:sz w:val="23"/>
                <w:szCs w:val="23"/>
                <w:color w:val="auto"/>
              </w:rPr>
            </w:pPr>
          </w:p>
        </w:tc>
        <w:tc>
          <w:tcPr>
            <w:tcW w:w="620" w:type="dxa"/>
            <w:vAlign w:val="bottom"/>
            <w:vMerge w:val="continue"/>
            <w:shd w:val="clear" w:color="auto" w:fill="E6E6E6"/>
          </w:tcPr>
          <w:p>
            <w:pPr>
              <w:spacing w:after="0"/>
              <w:rPr>
                <w:sz w:val="23"/>
                <w:szCs w:val="23"/>
                <w:color w:val="auto"/>
              </w:rPr>
            </w:pPr>
          </w:p>
        </w:tc>
        <w:tc>
          <w:tcPr>
            <w:tcW w:w="240" w:type="dxa"/>
            <w:vAlign w:val="bottom"/>
            <w:gridSpan w:val="2"/>
            <w:vMerge w:val="continue"/>
            <w:shd w:val="clear" w:color="auto" w:fill="E6E6E6"/>
          </w:tcPr>
          <w:p>
            <w:pPr>
              <w:spacing w:after="0"/>
              <w:rPr>
                <w:sz w:val="23"/>
                <w:szCs w:val="23"/>
                <w:color w:val="auto"/>
              </w:rPr>
            </w:pPr>
          </w:p>
        </w:tc>
        <w:tc>
          <w:tcPr>
            <w:tcW w:w="700" w:type="dxa"/>
            <w:vAlign w:val="bottom"/>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4220" w:type="dxa"/>
            <w:vAlign w:val="bottom"/>
          </w:tcPr>
          <w:p>
            <w:pPr>
              <w:ind w:left="160"/>
              <w:spacing w:after="0" w:line="188" w:lineRule="exact"/>
              <w:rPr>
                <w:sz w:val="20"/>
                <w:szCs w:val="20"/>
                <w:color w:val="auto"/>
              </w:rPr>
            </w:pPr>
            <w:r>
              <w:rPr>
                <w:rFonts w:ascii="Arial" w:cs="Arial" w:eastAsia="Arial" w:hAnsi="Arial"/>
                <w:sz w:val="20"/>
                <w:szCs w:val="20"/>
                <w:color w:val="auto"/>
                <w:w w:val="94"/>
              </w:rPr>
              <w:t>Derivative assets - capped call derivatives (2025</w:t>
            </w:r>
          </w:p>
        </w:tc>
        <w:tc>
          <w:tcPr>
            <w:tcW w:w="1880" w:type="dxa"/>
            <w:vAlign w:val="bottom"/>
          </w:tcPr>
          <w:p>
            <w:pPr>
              <w:ind w:left="60"/>
              <w:spacing w:after="0" w:line="188" w:lineRule="exact"/>
              <w:rPr>
                <w:sz w:val="20"/>
                <w:szCs w:val="20"/>
                <w:color w:val="auto"/>
              </w:rPr>
            </w:pPr>
            <w:r>
              <w:rPr>
                <w:rFonts w:ascii="Arial" w:cs="Arial" w:eastAsia="Arial" w:hAnsi="Arial"/>
                <w:sz w:val="20"/>
                <w:szCs w:val="20"/>
                <w:color w:val="auto"/>
                <w:w w:val="90"/>
              </w:rPr>
              <w:t>Prepaid expenses and</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2,624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20"/>
                <w:szCs w:val="20"/>
                <w:color w:val="auto"/>
              </w:rPr>
              <w:t>2,624</w:t>
            </w:r>
          </w:p>
        </w:tc>
        <w:tc>
          <w:tcPr>
            <w:tcW w:w="0" w:type="dxa"/>
            <w:vAlign w:val="bottom"/>
          </w:tcPr>
          <w:p>
            <w:pPr>
              <w:spacing w:after="0"/>
              <w:rPr>
                <w:sz w:val="1"/>
                <w:szCs w:val="1"/>
                <w:color w:val="auto"/>
              </w:rPr>
            </w:pPr>
          </w:p>
        </w:tc>
      </w:tr>
      <w:tr>
        <w:trPr>
          <w:trHeight w:val="262"/>
        </w:trPr>
        <w:tc>
          <w:tcPr>
            <w:tcW w:w="4220" w:type="dxa"/>
            <w:vAlign w:val="bottom"/>
          </w:tcPr>
          <w:p>
            <w:pPr>
              <w:ind w:left="160"/>
              <w:spacing w:after="0"/>
              <w:rPr>
                <w:sz w:val="20"/>
                <w:szCs w:val="20"/>
                <w:color w:val="auto"/>
              </w:rPr>
            </w:pPr>
            <w:r>
              <w:rPr>
                <w:rFonts w:ascii="Arial" w:cs="Arial" w:eastAsia="Arial" w:hAnsi="Arial"/>
                <w:sz w:val="20"/>
                <w:szCs w:val="20"/>
                <w:color w:val="auto"/>
              </w:rPr>
              <w:t>Notes)</w:t>
            </w:r>
          </w:p>
        </w:tc>
        <w:tc>
          <w:tcPr>
            <w:tcW w:w="1880" w:type="dxa"/>
            <w:vAlign w:val="bottom"/>
          </w:tcPr>
          <w:p>
            <w:pPr>
              <w:ind w:left="60"/>
              <w:spacing w:after="0"/>
              <w:rPr>
                <w:sz w:val="20"/>
                <w:szCs w:val="20"/>
                <w:color w:val="auto"/>
              </w:rPr>
            </w:pPr>
            <w:r>
              <w:rPr>
                <w:rFonts w:ascii="Arial" w:cs="Arial" w:eastAsia="Arial" w:hAnsi="Arial"/>
                <w:sz w:val="20"/>
                <w:szCs w:val="20"/>
                <w:color w:val="auto"/>
              </w:rPr>
              <w:t>other current assets</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4220" w:type="dxa"/>
            <w:vAlign w:val="bottom"/>
            <w:shd w:val="clear" w:color="auto" w:fill="E6E6E6"/>
          </w:tcPr>
          <w:p>
            <w:pPr>
              <w:ind w:left="160"/>
              <w:spacing w:after="0" w:line="193" w:lineRule="exact"/>
              <w:rPr>
                <w:sz w:val="20"/>
                <w:szCs w:val="20"/>
                <w:color w:val="auto"/>
              </w:rPr>
            </w:pPr>
            <w:r>
              <w:rPr>
                <w:rFonts w:ascii="Arial" w:cs="Arial" w:eastAsia="Arial" w:hAnsi="Arial"/>
                <w:sz w:val="20"/>
                <w:szCs w:val="20"/>
                <w:color w:val="auto"/>
                <w:w w:val="94"/>
              </w:rPr>
              <w:t>Derivative assets - capped call derivatives (2029</w:t>
            </w:r>
          </w:p>
        </w:tc>
        <w:tc>
          <w:tcPr>
            <w:tcW w:w="1880" w:type="dxa"/>
            <w:vAlign w:val="bottom"/>
            <w:shd w:val="clear" w:color="auto" w:fill="E6E6E6"/>
          </w:tcPr>
          <w:p>
            <w:pPr>
              <w:ind w:left="60"/>
              <w:spacing w:after="0" w:line="193" w:lineRule="exact"/>
              <w:rPr>
                <w:sz w:val="20"/>
                <w:szCs w:val="20"/>
                <w:color w:val="auto"/>
              </w:rPr>
            </w:pPr>
            <w:r>
              <w:rPr>
                <w:rFonts w:ascii="Arial" w:cs="Arial" w:eastAsia="Arial" w:hAnsi="Arial"/>
                <w:sz w:val="20"/>
                <w:szCs w:val="20"/>
                <w:color w:val="auto"/>
                <w:w w:val="98"/>
              </w:rPr>
              <w:t>Long-term derivative</w:t>
            </w:r>
          </w:p>
        </w:tc>
        <w:tc>
          <w:tcPr>
            <w:tcW w:w="80" w:type="dxa"/>
            <w:vAlign w:val="bottom"/>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88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23,735</w:t>
            </w:r>
          </w:p>
        </w:tc>
        <w:tc>
          <w:tcPr>
            <w:tcW w:w="80" w:type="dxa"/>
            <w:vAlign w:val="bottom"/>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70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20" w:type="dxa"/>
            <w:vAlign w:val="bottom"/>
            <w:shd w:val="clear" w:color="auto" w:fill="E6E6E6"/>
          </w:tcPr>
          <w:p>
            <w:pPr>
              <w:spacing w:after="0"/>
              <w:rPr>
                <w:sz w:val="16"/>
                <w:szCs w:val="16"/>
                <w:color w:val="auto"/>
              </w:rPr>
            </w:pPr>
          </w:p>
        </w:tc>
        <w:tc>
          <w:tcPr>
            <w:tcW w:w="62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70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w w:val="98"/>
              </w:rPr>
              <w:t>23,735</w:t>
            </w:r>
          </w:p>
        </w:tc>
        <w:tc>
          <w:tcPr>
            <w:tcW w:w="0" w:type="dxa"/>
            <w:vAlign w:val="bottom"/>
          </w:tcPr>
          <w:p>
            <w:pPr>
              <w:spacing w:after="0"/>
              <w:rPr>
                <w:sz w:val="1"/>
                <w:szCs w:val="1"/>
                <w:color w:val="auto"/>
              </w:rPr>
            </w:pPr>
          </w:p>
        </w:tc>
      </w:tr>
      <w:tr>
        <w:trPr>
          <w:trHeight w:val="268"/>
        </w:trPr>
        <w:tc>
          <w:tcPr>
            <w:tcW w:w="4220" w:type="dxa"/>
            <w:vAlign w:val="bottom"/>
            <w:shd w:val="clear" w:color="auto" w:fill="E6E6E6"/>
          </w:tcPr>
          <w:p>
            <w:pPr>
              <w:ind w:left="160"/>
              <w:spacing w:after="0"/>
              <w:rPr>
                <w:sz w:val="20"/>
                <w:szCs w:val="20"/>
                <w:color w:val="auto"/>
              </w:rPr>
            </w:pPr>
            <w:r>
              <w:rPr>
                <w:rFonts w:ascii="Arial" w:cs="Arial" w:eastAsia="Arial" w:hAnsi="Arial"/>
                <w:sz w:val="20"/>
                <w:szCs w:val="20"/>
                <w:color w:val="auto"/>
              </w:rPr>
              <w:t>Notes)</w:t>
            </w:r>
          </w:p>
        </w:tc>
        <w:tc>
          <w:tcPr>
            <w:tcW w:w="1880" w:type="dxa"/>
            <w:vAlign w:val="bottom"/>
            <w:shd w:val="clear" w:color="auto" w:fill="E6E6E6"/>
          </w:tcPr>
          <w:p>
            <w:pPr>
              <w:ind w:left="60"/>
              <w:spacing w:after="0"/>
              <w:rPr>
                <w:sz w:val="20"/>
                <w:szCs w:val="20"/>
                <w:color w:val="auto"/>
              </w:rPr>
            </w:pPr>
            <w:r>
              <w:rPr>
                <w:rFonts w:ascii="Arial" w:cs="Arial" w:eastAsia="Arial" w:hAnsi="Arial"/>
                <w:sz w:val="20"/>
                <w:szCs w:val="20"/>
                <w:color w:val="auto"/>
              </w:rPr>
              <w:t>assets</w:t>
            </w:r>
          </w:p>
        </w:tc>
        <w:tc>
          <w:tcPr>
            <w:tcW w:w="80" w:type="dxa"/>
            <w:vAlign w:val="bottom"/>
            <w:shd w:val="clear" w:color="auto" w:fill="E6E6E6"/>
          </w:tcPr>
          <w:p>
            <w:pPr>
              <w:spacing w:after="0"/>
              <w:rPr>
                <w:sz w:val="23"/>
                <w:szCs w:val="23"/>
                <w:color w:val="auto"/>
              </w:rPr>
            </w:pPr>
          </w:p>
        </w:tc>
        <w:tc>
          <w:tcPr>
            <w:tcW w:w="160" w:type="dxa"/>
            <w:vAlign w:val="bottom"/>
            <w:shd w:val="clear" w:color="auto" w:fill="E6E6E6"/>
          </w:tcPr>
          <w:p>
            <w:pPr>
              <w:spacing w:after="0"/>
              <w:rPr>
                <w:sz w:val="23"/>
                <w:szCs w:val="23"/>
                <w:color w:val="auto"/>
              </w:rPr>
            </w:pPr>
          </w:p>
        </w:tc>
        <w:tc>
          <w:tcPr>
            <w:tcW w:w="88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160" w:type="dxa"/>
            <w:vAlign w:val="bottom"/>
            <w:shd w:val="clear" w:color="auto" w:fill="E6E6E6"/>
          </w:tcPr>
          <w:p>
            <w:pPr>
              <w:spacing w:after="0"/>
              <w:rPr>
                <w:sz w:val="23"/>
                <w:szCs w:val="23"/>
                <w:color w:val="auto"/>
              </w:rPr>
            </w:pPr>
          </w:p>
        </w:tc>
        <w:tc>
          <w:tcPr>
            <w:tcW w:w="70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20" w:type="dxa"/>
            <w:vAlign w:val="bottom"/>
            <w:shd w:val="clear" w:color="auto" w:fill="E6E6E6"/>
          </w:tcPr>
          <w:p>
            <w:pPr>
              <w:spacing w:after="0"/>
              <w:rPr>
                <w:sz w:val="23"/>
                <w:szCs w:val="23"/>
                <w:color w:val="auto"/>
              </w:rPr>
            </w:pPr>
          </w:p>
        </w:tc>
        <w:tc>
          <w:tcPr>
            <w:tcW w:w="62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160" w:type="dxa"/>
            <w:vAlign w:val="bottom"/>
            <w:shd w:val="clear" w:color="auto" w:fill="E6E6E6"/>
          </w:tcPr>
          <w:p>
            <w:pPr>
              <w:spacing w:after="0"/>
              <w:rPr>
                <w:sz w:val="23"/>
                <w:szCs w:val="23"/>
                <w:color w:val="auto"/>
              </w:rPr>
            </w:pPr>
          </w:p>
        </w:tc>
        <w:tc>
          <w:tcPr>
            <w:tcW w:w="700" w:type="dxa"/>
            <w:vAlign w:val="bottom"/>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4220" w:type="dxa"/>
            <w:vAlign w:val="bottom"/>
            <w:tcBorders>
              <w:bottom w:val="single" w:sz="8" w:color="E6E6E6"/>
            </w:tcBorders>
          </w:tcPr>
          <w:p>
            <w:pPr>
              <w:ind w:left="160"/>
              <w:spacing w:after="0"/>
              <w:rPr>
                <w:sz w:val="20"/>
                <w:szCs w:val="20"/>
                <w:color w:val="auto"/>
              </w:rPr>
            </w:pPr>
            <w:r>
              <w:rPr>
                <w:rFonts w:ascii="Arial" w:cs="Arial" w:eastAsia="Arial" w:hAnsi="Arial"/>
                <w:sz w:val="20"/>
                <w:szCs w:val="20"/>
                <w:color w:val="auto"/>
                <w:w w:val="98"/>
              </w:rPr>
              <w:t>Investment with readily determinable fair value</w:t>
            </w:r>
          </w:p>
        </w:tc>
        <w:tc>
          <w:tcPr>
            <w:tcW w:w="1880" w:type="dxa"/>
            <w:vAlign w:val="bottom"/>
            <w:tcBorders>
              <w:bottom w:val="single" w:sz="8" w:color="E6E6E6"/>
            </w:tcBorders>
          </w:tcPr>
          <w:p>
            <w:pPr>
              <w:ind w:left="60"/>
              <w:spacing w:after="0"/>
              <w:rPr>
                <w:sz w:val="20"/>
                <w:szCs w:val="20"/>
                <w:color w:val="auto"/>
              </w:rPr>
            </w:pPr>
            <w:r>
              <w:rPr>
                <w:rFonts w:ascii="Arial" w:cs="Arial" w:eastAsia="Arial" w:hAnsi="Arial"/>
                <w:sz w:val="20"/>
                <w:szCs w:val="20"/>
                <w:color w:val="auto"/>
              </w:rPr>
              <w:t>Investments</w:t>
            </w:r>
          </w:p>
        </w:tc>
        <w:tc>
          <w:tcPr>
            <w:tcW w:w="80" w:type="dxa"/>
            <w:vAlign w:val="bottom"/>
            <w:tcBorders>
              <w:bottom w:val="single" w:sz="8" w:color="E6E6E6"/>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10,144</w:t>
            </w:r>
          </w:p>
        </w:tc>
        <w:tc>
          <w:tcPr>
            <w:tcW w:w="80" w:type="dxa"/>
            <w:vAlign w:val="bottom"/>
            <w:tcBorders>
              <w:bottom w:val="single" w:sz="8" w:color="E6E6E6"/>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8"/>
              </w:rPr>
              <w:t>10,144</w:t>
            </w:r>
          </w:p>
        </w:tc>
        <w:tc>
          <w:tcPr>
            <w:tcW w:w="80" w:type="dxa"/>
            <w:vAlign w:val="bottom"/>
            <w:tcBorders>
              <w:bottom w:val="single" w:sz="8" w:color="E6E6E6"/>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9"/>
        </w:trPr>
        <w:tc>
          <w:tcPr>
            <w:tcW w:w="4220" w:type="dxa"/>
            <w:vAlign w:val="bottom"/>
            <w:shd w:val="clear" w:color="auto" w:fill="E6E6E6"/>
          </w:tcPr>
          <w:p>
            <w:pPr>
              <w:spacing w:after="0"/>
              <w:rPr>
                <w:sz w:val="24"/>
                <w:szCs w:val="24"/>
                <w:color w:val="auto"/>
              </w:rPr>
            </w:pPr>
          </w:p>
        </w:tc>
        <w:tc>
          <w:tcPr>
            <w:tcW w:w="1880" w:type="dxa"/>
            <w:vAlign w:val="bottom"/>
            <w:shd w:val="clear" w:color="auto" w:fill="E6E6E6"/>
          </w:tcPr>
          <w:p>
            <w:pPr>
              <w:spacing w:after="0"/>
              <w:rPr>
                <w:sz w:val="24"/>
                <w:szCs w:val="24"/>
                <w:color w:val="auto"/>
              </w:rPr>
            </w:pPr>
          </w:p>
        </w:tc>
        <w:tc>
          <w:tcPr>
            <w:tcW w:w="24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37,241</w:t>
            </w:r>
          </w:p>
        </w:tc>
        <w:tc>
          <w:tcPr>
            <w:tcW w:w="80" w:type="dxa"/>
            <w:vAlign w:val="bottom"/>
            <w:shd w:val="clear" w:color="auto" w:fill="E6E6E6"/>
          </w:tcPr>
          <w:p>
            <w:pPr>
              <w:spacing w:after="0"/>
              <w:rPr>
                <w:sz w:val="24"/>
                <w:szCs w:val="24"/>
                <w:color w:val="auto"/>
              </w:rPr>
            </w:pPr>
          </w:p>
        </w:tc>
        <w:tc>
          <w:tcPr>
            <w:tcW w:w="1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700" w:type="dxa"/>
            <w:vAlign w:val="bottom"/>
            <w:shd w:val="clear" w:color="auto" w:fill="E6E6E6"/>
          </w:tcPr>
          <w:p>
            <w:pPr>
              <w:jc w:val="right"/>
              <w:spacing w:after="0"/>
              <w:rPr>
                <w:sz w:val="20"/>
                <w:szCs w:val="20"/>
                <w:color w:val="auto"/>
              </w:rPr>
            </w:pPr>
            <w:r>
              <w:rPr>
                <w:rFonts w:ascii="Arial" w:cs="Arial" w:eastAsia="Arial" w:hAnsi="Arial"/>
                <w:sz w:val="20"/>
                <w:szCs w:val="20"/>
                <w:color w:val="auto"/>
                <w:w w:val="98"/>
              </w:rPr>
              <w:t>10,144</w:t>
            </w:r>
          </w:p>
        </w:tc>
        <w:tc>
          <w:tcPr>
            <w:tcW w:w="320" w:type="dxa"/>
            <w:vAlign w:val="bottom"/>
            <w:gridSpan w:val="3"/>
            <w:shd w:val="clear" w:color="auto" w:fill="E6E6E6"/>
          </w:tcPr>
          <w:p>
            <w:pPr>
              <w:jc w:val="right"/>
              <w:ind w:right="2"/>
              <w:spacing w:after="0"/>
              <w:rPr>
                <w:sz w:val="20"/>
                <w:szCs w:val="20"/>
                <w:color w:val="auto"/>
              </w:rPr>
            </w:pPr>
            <w:r>
              <w:rPr>
                <w:rFonts w:ascii="Arial" w:cs="Arial" w:eastAsia="Arial" w:hAnsi="Arial"/>
                <w:sz w:val="20"/>
                <w:szCs w:val="20"/>
                <w:color w:val="auto"/>
              </w:rPr>
              <w:t>$</w:t>
            </w:r>
          </w:p>
        </w:tc>
        <w:tc>
          <w:tcPr>
            <w:tcW w:w="6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738</w:t>
            </w:r>
          </w:p>
        </w:tc>
        <w:tc>
          <w:tcPr>
            <w:tcW w:w="24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700" w:type="dxa"/>
            <w:vAlign w:val="bottom"/>
            <w:shd w:val="clear" w:color="auto" w:fill="E6E6E6"/>
          </w:tcPr>
          <w:p>
            <w:pPr>
              <w:jc w:val="right"/>
              <w:spacing w:after="0"/>
              <w:rPr>
                <w:sz w:val="20"/>
                <w:szCs w:val="20"/>
                <w:color w:val="auto"/>
              </w:rPr>
            </w:pPr>
            <w:r>
              <w:rPr>
                <w:rFonts w:ascii="Arial" w:cs="Arial" w:eastAsia="Arial" w:hAnsi="Arial"/>
                <w:sz w:val="20"/>
                <w:szCs w:val="20"/>
                <w:color w:val="auto"/>
                <w:w w:val="98"/>
              </w:rPr>
              <w:t>26,359</w:t>
            </w:r>
          </w:p>
        </w:tc>
        <w:tc>
          <w:tcPr>
            <w:tcW w:w="0" w:type="dxa"/>
            <w:vAlign w:val="bottom"/>
          </w:tcPr>
          <w:p>
            <w:pPr>
              <w:spacing w:after="0"/>
              <w:rPr>
                <w:sz w:val="1"/>
                <w:szCs w:val="1"/>
                <w:color w:val="auto"/>
              </w:rPr>
            </w:pPr>
          </w:p>
        </w:tc>
      </w:tr>
      <w:tr>
        <w:trPr>
          <w:trHeight w:val="279"/>
        </w:trPr>
        <w:tc>
          <w:tcPr>
            <w:tcW w:w="4220" w:type="dxa"/>
            <w:vAlign w:val="bottom"/>
            <w:tcBorders>
              <w:top w:val="single" w:sz="8" w:color="E6E6E6"/>
            </w:tcBorders>
          </w:tcPr>
          <w:p>
            <w:pPr>
              <w:spacing w:after="0"/>
              <w:rPr>
                <w:sz w:val="24"/>
                <w:szCs w:val="24"/>
                <w:color w:val="auto"/>
              </w:rPr>
            </w:pPr>
          </w:p>
        </w:tc>
        <w:tc>
          <w:tcPr>
            <w:tcW w:w="1880" w:type="dxa"/>
            <w:vAlign w:val="bottom"/>
            <w:tcBorders>
              <w:top w:val="single" w:sz="8" w:color="E6E6E6"/>
            </w:tcBorders>
          </w:tcPr>
          <w:p>
            <w:pPr>
              <w:spacing w:after="0"/>
              <w:rPr>
                <w:sz w:val="24"/>
                <w:szCs w:val="24"/>
                <w:color w:val="auto"/>
              </w:rPr>
            </w:pPr>
          </w:p>
        </w:tc>
        <w:tc>
          <w:tcPr>
            <w:tcW w:w="80" w:type="dxa"/>
            <w:vAlign w:val="bottom"/>
            <w:tcBorders>
              <w:top w:val="single" w:sz="8" w:color="E6E6E6"/>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0" w:type="dxa"/>
            <w:vAlign w:val="bottom"/>
            <w:tcBorders>
              <w:top w:val="single" w:sz="8" w:color="E6E6E6"/>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Borders>
              <w:top w:val="single" w:sz="8" w:color="E6E6E6"/>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80" w:type="dxa"/>
            <w:vAlign w:val="bottom"/>
            <w:tcBorders>
              <w:top w:val="single" w:sz="8" w:color="E6E6E6"/>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220" w:type="dxa"/>
            <w:vAlign w:val="bottom"/>
            <w:shd w:val="clear" w:color="auto" w:fill="E6E6E6"/>
          </w:tcPr>
          <w:p>
            <w:pPr>
              <w:ind w:left="40"/>
              <w:spacing w:after="0"/>
              <w:rPr>
                <w:sz w:val="20"/>
                <w:szCs w:val="20"/>
                <w:color w:val="auto"/>
              </w:rPr>
            </w:pPr>
            <w:r>
              <w:rPr>
                <w:rFonts w:ascii="Arial" w:cs="Arial" w:eastAsia="Arial" w:hAnsi="Arial"/>
                <w:sz w:val="20"/>
                <w:szCs w:val="20"/>
                <w:b w:val="1"/>
                <w:bCs w:val="1"/>
                <w:color w:val="auto"/>
              </w:rPr>
              <w:t>Liabilities</w:t>
            </w:r>
          </w:p>
        </w:tc>
        <w:tc>
          <w:tcPr>
            <w:tcW w:w="188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88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70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6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70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220" w:type="dxa"/>
            <w:vAlign w:val="bottom"/>
          </w:tcPr>
          <w:p>
            <w:pPr>
              <w:ind w:left="180"/>
              <w:spacing w:after="0" w:line="188" w:lineRule="exact"/>
              <w:rPr>
                <w:sz w:val="20"/>
                <w:szCs w:val="20"/>
                <w:color w:val="auto"/>
              </w:rPr>
            </w:pPr>
            <w:r>
              <w:rPr>
                <w:rFonts w:ascii="Arial" w:cs="Arial" w:eastAsia="Arial" w:hAnsi="Arial"/>
                <w:sz w:val="20"/>
                <w:szCs w:val="20"/>
                <w:color w:val="auto"/>
                <w:w w:val="93"/>
              </w:rPr>
              <w:t>Derivative liabilities - embedded derivative (2025</w:t>
            </w:r>
          </w:p>
        </w:tc>
        <w:tc>
          <w:tcPr>
            <w:tcW w:w="1880" w:type="dxa"/>
            <w:vAlign w:val="bottom"/>
          </w:tcPr>
          <w:p>
            <w:pPr>
              <w:ind w:left="60"/>
              <w:spacing w:after="0" w:line="188" w:lineRule="exact"/>
              <w:rPr>
                <w:sz w:val="20"/>
                <w:szCs w:val="20"/>
                <w:color w:val="auto"/>
              </w:rPr>
            </w:pPr>
            <w:r>
              <w:rPr>
                <w:rFonts w:ascii="Arial" w:cs="Arial" w:eastAsia="Arial" w:hAnsi="Arial"/>
                <w:sz w:val="20"/>
                <w:szCs w:val="20"/>
                <w:color w:val="auto"/>
                <w:w w:val="93"/>
              </w:rPr>
              <w:t>Accrued liabilities and</w:t>
            </w:r>
          </w:p>
        </w:tc>
        <w:tc>
          <w:tcPr>
            <w:tcW w:w="24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2,915</w:t>
            </w:r>
          </w:p>
        </w:tc>
        <w:tc>
          <w:tcPr>
            <w:tcW w:w="8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7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320" w:type="dxa"/>
            <w:vAlign w:val="bottom"/>
            <w:gridSpan w:val="3"/>
            <w:vMerge w:val="restart"/>
          </w:tcPr>
          <w:p>
            <w:pPr>
              <w:jc w:val="right"/>
              <w:ind w:right="2"/>
              <w:spacing w:after="0"/>
              <w:rPr>
                <w:sz w:val="20"/>
                <w:szCs w:val="20"/>
                <w:color w:val="auto"/>
              </w:rPr>
            </w:pPr>
            <w:r>
              <w:rPr>
                <w:rFonts w:ascii="Arial" w:cs="Arial" w:eastAsia="Arial" w:hAnsi="Arial"/>
                <w:sz w:val="20"/>
                <w:szCs w:val="20"/>
                <w:color w:val="auto"/>
              </w:rPr>
              <w:t>$</w:t>
            </w:r>
          </w:p>
        </w:tc>
        <w:tc>
          <w:tcPr>
            <w:tcW w:w="6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24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700" w:type="dxa"/>
            <w:vAlign w:val="bottom"/>
            <w:vMerge w:val="restart"/>
          </w:tcPr>
          <w:p>
            <w:pPr>
              <w:jc w:val="right"/>
              <w:spacing w:after="0"/>
              <w:rPr>
                <w:sz w:val="20"/>
                <w:szCs w:val="20"/>
                <w:color w:val="auto"/>
              </w:rPr>
            </w:pPr>
            <w:r>
              <w:rPr>
                <w:rFonts w:ascii="Arial" w:cs="Arial" w:eastAsia="Arial" w:hAnsi="Arial"/>
                <w:sz w:val="20"/>
                <w:szCs w:val="20"/>
                <w:color w:val="auto"/>
              </w:rPr>
              <w:t>2,915</w:t>
            </w:r>
          </w:p>
        </w:tc>
        <w:tc>
          <w:tcPr>
            <w:tcW w:w="0" w:type="dxa"/>
            <w:vAlign w:val="bottom"/>
          </w:tcPr>
          <w:p>
            <w:pPr>
              <w:spacing w:after="0"/>
              <w:rPr>
                <w:sz w:val="1"/>
                <w:szCs w:val="1"/>
                <w:color w:val="auto"/>
              </w:rPr>
            </w:pPr>
          </w:p>
        </w:tc>
      </w:tr>
      <w:tr>
        <w:trPr>
          <w:trHeight w:val="262"/>
        </w:trPr>
        <w:tc>
          <w:tcPr>
            <w:tcW w:w="4220" w:type="dxa"/>
            <w:vAlign w:val="bottom"/>
          </w:tcPr>
          <w:p>
            <w:pPr>
              <w:ind w:left="180"/>
              <w:spacing w:after="0"/>
              <w:rPr>
                <w:sz w:val="20"/>
                <w:szCs w:val="20"/>
                <w:color w:val="auto"/>
              </w:rPr>
            </w:pPr>
            <w:r>
              <w:rPr>
                <w:rFonts w:ascii="Arial" w:cs="Arial" w:eastAsia="Arial" w:hAnsi="Arial"/>
                <w:sz w:val="20"/>
                <w:szCs w:val="20"/>
                <w:color w:val="auto"/>
              </w:rPr>
              <w:t>Notes)</w:t>
            </w:r>
          </w:p>
        </w:tc>
        <w:tc>
          <w:tcPr>
            <w:tcW w:w="1880" w:type="dxa"/>
            <w:vAlign w:val="bottom"/>
          </w:tcPr>
          <w:p>
            <w:pPr>
              <w:ind w:left="60"/>
              <w:spacing w:after="0"/>
              <w:rPr>
                <w:sz w:val="20"/>
                <w:szCs w:val="20"/>
                <w:color w:val="auto"/>
              </w:rPr>
            </w:pPr>
            <w:r>
              <w:rPr>
                <w:rFonts w:ascii="Arial" w:cs="Arial" w:eastAsia="Arial" w:hAnsi="Arial"/>
                <w:sz w:val="20"/>
                <w:szCs w:val="20"/>
                <w:color w:val="auto"/>
              </w:rPr>
              <w:t>other</w:t>
            </w:r>
          </w:p>
        </w:tc>
        <w:tc>
          <w:tcPr>
            <w:tcW w:w="240" w:type="dxa"/>
            <w:vAlign w:val="bottom"/>
            <w:gridSpan w:val="2"/>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vMerge w:val="continue"/>
          </w:tcPr>
          <w:p>
            <w:pPr>
              <w:spacing w:after="0"/>
              <w:rPr>
                <w:sz w:val="22"/>
                <w:szCs w:val="22"/>
                <w:color w:val="auto"/>
              </w:rPr>
            </w:pPr>
          </w:p>
        </w:tc>
        <w:tc>
          <w:tcPr>
            <w:tcW w:w="700" w:type="dxa"/>
            <w:vAlign w:val="bottom"/>
            <w:vMerge w:val="continue"/>
          </w:tcPr>
          <w:p>
            <w:pPr>
              <w:spacing w:after="0"/>
              <w:rPr>
                <w:sz w:val="22"/>
                <w:szCs w:val="22"/>
                <w:color w:val="auto"/>
              </w:rPr>
            </w:pPr>
          </w:p>
        </w:tc>
        <w:tc>
          <w:tcPr>
            <w:tcW w:w="320" w:type="dxa"/>
            <w:vAlign w:val="bottom"/>
            <w:gridSpan w:val="3"/>
            <w:vMerge w:val="continue"/>
          </w:tcPr>
          <w:p>
            <w:pPr>
              <w:spacing w:after="0"/>
              <w:rPr>
                <w:sz w:val="22"/>
                <w:szCs w:val="22"/>
                <w:color w:val="auto"/>
              </w:rPr>
            </w:pPr>
          </w:p>
        </w:tc>
        <w:tc>
          <w:tcPr>
            <w:tcW w:w="62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7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4220" w:type="dxa"/>
            <w:vAlign w:val="bottom"/>
            <w:shd w:val="clear" w:color="auto" w:fill="E6E6E6"/>
          </w:tcPr>
          <w:p>
            <w:pPr>
              <w:ind w:left="180"/>
              <w:spacing w:after="0" w:line="193" w:lineRule="exact"/>
              <w:rPr>
                <w:sz w:val="20"/>
                <w:szCs w:val="20"/>
                <w:color w:val="auto"/>
              </w:rPr>
            </w:pPr>
            <w:r>
              <w:rPr>
                <w:rFonts w:ascii="Arial" w:cs="Arial" w:eastAsia="Arial" w:hAnsi="Arial"/>
                <w:sz w:val="20"/>
                <w:szCs w:val="20"/>
                <w:color w:val="auto"/>
                <w:w w:val="93"/>
              </w:rPr>
              <w:t>Derivative liabilities - embedded derivative (2029</w:t>
            </w:r>
          </w:p>
        </w:tc>
        <w:tc>
          <w:tcPr>
            <w:tcW w:w="1880" w:type="dxa"/>
            <w:vAlign w:val="bottom"/>
            <w:shd w:val="clear" w:color="auto" w:fill="E6E6E6"/>
          </w:tcPr>
          <w:p>
            <w:pPr>
              <w:ind w:left="60"/>
              <w:spacing w:after="0" w:line="193" w:lineRule="exact"/>
              <w:rPr>
                <w:sz w:val="20"/>
                <w:szCs w:val="20"/>
                <w:color w:val="auto"/>
              </w:rPr>
            </w:pPr>
            <w:r>
              <w:rPr>
                <w:rFonts w:ascii="Arial" w:cs="Arial" w:eastAsia="Arial" w:hAnsi="Arial"/>
                <w:sz w:val="20"/>
                <w:szCs w:val="20"/>
                <w:color w:val="auto"/>
                <w:w w:val="98"/>
              </w:rPr>
              <w:t>Long-term derivative</w:t>
            </w:r>
          </w:p>
        </w:tc>
        <w:tc>
          <w:tcPr>
            <w:tcW w:w="80" w:type="dxa"/>
            <w:vAlign w:val="bottom"/>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88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51,819</w:t>
            </w:r>
          </w:p>
        </w:tc>
        <w:tc>
          <w:tcPr>
            <w:tcW w:w="80" w:type="dxa"/>
            <w:vAlign w:val="bottom"/>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70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20" w:type="dxa"/>
            <w:vAlign w:val="bottom"/>
            <w:shd w:val="clear" w:color="auto" w:fill="E6E6E6"/>
          </w:tcPr>
          <w:p>
            <w:pPr>
              <w:spacing w:after="0"/>
              <w:rPr>
                <w:sz w:val="16"/>
                <w:szCs w:val="16"/>
                <w:color w:val="auto"/>
              </w:rPr>
            </w:pPr>
          </w:p>
        </w:tc>
        <w:tc>
          <w:tcPr>
            <w:tcW w:w="62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70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w w:val="98"/>
              </w:rPr>
              <w:t>51,819</w:t>
            </w:r>
          </w:p>
        </w:tc>
        <w:tc>
          <w:tcPr>
            <w:tcW w:w="0" w:type="dxa"/>
            <w:vAlign w:val="bottom"/>
          </w:tcPr>
          <w:p>
            <w:pPr>
              <w:spacing w:after="0"/>
              <w:rPr>
                <w:sz w:val="1"/>
                <w:szCs w:val="1"/>
                <w:color w:val="auto"/>
              </w:rPr>
            </w:pPr>
          </w:p>
        </w:tc>
      </w:tr>
      <w:tr>
        <w:trPr>
          <w:trHeight w:val="268"/>
        </w:trPr>
        <w:tc>
          <w:tcPr>
            <w:tcW w:w="4220" w:type="dxa"/>
            <w:vAlign w:val="bottom"/>
            <w:shd w:val="clear" w:color="auto" w:fill="E6E6E6"/>
          </w:tcPr>
          <w:p>
            <w:pPr>
              <w:ind w:left="180"/>
              <w:spacing w:after="0"/>
              <w:rPr>
                <w:sz w:val="20"/>
                <w:szCs w:val="20"/>
                <w:color w:val="auto"/>
              </w:rPr>
            </w:pPr>
            <w:r>
              <w:rPr>
                <w:rFonts w:ascii="Arial" w:cs="Arial" w:eastAsia="Arial" w:hAnsi="Arial"/>
                <w:sz w:val="20"/>
                <w:szCs w:val="20"/>
                <w:color w:val="auto"/>
              </w:rPr>
              <w:t>Notes)</w:t>
            </w:r>
          </w:p>
        </w:tc>
        <w:tc>
          <w:tcPr>
            <w:tcW w:w="1880" w:type="dxa"/>
            <w:vAlign w:val="bottom"/>
            <w:shd w:val="clear" w:color="auto" w:fill="E6E6E6"/>
          </w:tcPr>
          <w:p>
            <w:pPr>
              <w:ind w:left="60"/>
              <w:spacing w:after="0"/>
              <w:rPr>
                <w:sz w:val="20"/>
                <w:szCs w:val="20"/>
                <w:color w:val="auto"/>
              </w:rPr>
            </w:pPr>
            <w:r>
              <w:rPr>
                <w:rFonts w:ascii="Arial" w:cs="Arial" w:eastAsia="Arial" w:hAnsi="Arial"/>
                <w:sz w:val="20"/>
                <w:szCs w:val="20"/>
                <w:color w:val="auto"/>
              </w:rPr>
              <w:t>liabilities</w:t>
            </w:r>
          </w:p>
        </w:tc>
        <w:tc>
          <w:tcPr>
            <w:tcW w:w="80" w:type="dxa"/>
            <w:vAlign w:val="bottom"/>
            <w:shd w:val="clear" w:color="auto" w:fill="E6E6E6"/>
          </w:tcPr>
          <w:p>
            <w:pPr>
              <w:spacing w:after="0"/>
              <w:rPr>
                <w:sz w:val="23"/>
                <w:szCs w:val="23"/>
                <w:color w:val="auto"/>
              </w:rPr>
            </w:pPr>
          </w:p>
        </w:tc>
        <w:tc>
          <w:tcPr>
            <w:tcW w:w="160" w:type="dxa"/>
            <w:vAlign w:val="bottom"/>
            <w:shd w:val="clear" w:color="auto" w:fill="E6E6E6"/>
          </w:tcPr>
          <w:p>
            <w:pPr>
              <w:spacing w:after="0"/>
              <w:rPr>
                <w:sz w:val="23"/>
                <w:szCs w:val="23"/>
                <w:color w:val="auto"/>
              </w:rPr>
            </w:pPr>
          </w:p>
        </w:tc>
        <w:tc>
          <w:tcPr>
            <w:tcW w:w="88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160" w:type="dxa"/>
            <w:vAlign w:val="bottom"/>
            <w:shd w:val="clear" w:color="auto" w:fill="E6E6E6"/>
          </w:tcPr>
          <w:p>
            <w:pPr>
              <w:spacing w:after="0"/>
              <w:rPr>
                <w:sz w:val="23"/>
                <w:szCs w:val="23"/>
                <w:color w:val="auto"/>
              </w:rPr>
            </w:pPr>
          </w:p>
        </w:tc>
        <w:tc>
          <w:tcPr>
            <w:tcW w:w="70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20" w:type="dxa"/>
            <w:vAlign w:val="bottom"/>
            <w:shd w:val="clear" w:color="auto" w:fill="E6E6E6"/>
          </w:tcPr>
          <w:p>
            <w:pPr>
              <w:spacing w:after="0"/>
              <w:rPr>
                <w:sz w:val="23"/>
                <w:szCs w:val="23"/>
                <w:color w:val="auto"/>
              </w:rPr>
            </w:pPr>
          </w:p>
        </w:tc>
        <w:tc>
          <w:tcPr>
            <w:tcW w:w="62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160" w:type="dxa"/>
            <w:vAlign w:val="bottom"/>
            <w:shd w:val="clear" w:color="auto" w:fill="E6E6E6"/>
          </w:tcPr>
          <w:p>
            <w:pPr>
              <w:spacing w:after="0"/>
              <w:rPr>
                <w:sz w:val="23"/>
                <w:szCs w:val="23"/>
                <w:color w:val="auto"/>
              </w:rPr>
            </w:pPr>
          </w:p>
        </w:tc>
        <w:tc>
          <w:tcPr>
            <w:tcW w:w="700" w:type="dxa"/>
            <w:vAlign w:val="bottom"/>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4220" w:type="dxa"/>
            <w:vAlign w:val="bottom"/>
          </w:tcPr>
          <w:p>
            <w:pPr>
              <w:ind w:left="180"/>
              <w:spacing w:after="0" w:line="188" w:lineRule="exact"/>
              <w:rPr>
                <w:sz w:val="20"/>
                <w:szCs w:val="20"/>
                <w:color w:val="auto"/>
              </w:rPr>
            </w:pPr>
            <w:r>
              <w:rPr>
                <w:rFonts w:ascii="Arial" w:cs="Arial" w:eastAsia="Arial" w:hAnsi="Arial"/>
                <w:sz w:val="20"/>
                <w:szCs w:val="20"/>
                <w:color w:val="auto"/>
              </w:rPr>
              <w:t>Contingent consideration arrangements</w:t>
            </w:r>
          </w:p>
        </w:tc>
        <w:tc>
          <w:tcPr>
            <w:tcW w:w="1880" w:type="dxa"/>
            <w:vAlign w:val="bottom"/>
          </w:tcPr>
          <w:p>
            <w:pPr>
              <w:ind w:left="60"/>
              <w:spacing w:after="0" w:line="188" w:lineRule="exact"/>
              <w:rPr>
                <w:sz w:val="20"/>
                <w:szCs w:val="20"/>
                <w:color w:val="auto"/>
              </w:rPr>
            </w:pPr>
            <w:r>
              <w:rPr>
                <w:rFonts w:ascii="Arial" w:cs="Arial" w:eastAsia="Arial" w:hAnsi="Arial"/>
                <w:sz w:val="20"/>
                <w:szCs w:val="20"/>
                <w:color w:val="auto"/>
              </w:rPr>
              <w:t>Contingent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84,218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20"/>
                <w:szCs w:val="20"/>
                <w:color w:val="auto"/>
                <w:w w:val="98"/>
              </w:rPr>
              <w:t>84,218</w:t>
            </w:r>
          </w:p>
        </w:tc>
        <w:tc>
          <w:tcPr>
            <w:tcW w:w="0" w:type="dxa"/>
            <w:vAlign w:val="bottom"/>
          </w:tcPr>
          <w:p>
            <w:pPr>
              <w:spacing w:after="0"/>
              <w:rPr>
                <w:sz w:val="1"/>
                <w:szCs w:val="1"/>
                <w:color w:val="auto"/>
              </w:rPr>
            </w:pPr>
          </w:p>
        </w:tc>
      </w:tr>
      <w:tr>
        <w:trPr>
          <w:trHeight w:val="258"/>
        </w:trPr>
        <w:tc>
          <w:tcPr>
            <w:tcW w:w="4220" w:type="dxa"/>
            <w:vAlign w:val="bottom"/>
            <w:tcBorders>
              <w:bottom w:val="single" w:sz="8" w:color="E6E6E6"/>
            </w:tcBorders>
          </w:tcPr>
          <w:p>
            <w:pPr>
              <w:spacing w:after="0"/>
              <w:rPr>
                <w:sz w:val="22"/>
                <w:szCs w:val="22"/>
                <w:color w:val="auto"/>
              </w:rPr>
            </w:pPr>
          </w:p>
        </w:tc>
        <w:tc>
          <w:tcPr>
            <w:tcW w:w="1880" w:type="dxa"/>
            <w:vAlign w:val="bottom"/>
            <w:tcBorders>
              <w:bottom w:val="single" w:sz="8" w:color="E6E6E6"/>
            </w:tcBorders>
          </w:tcPr>
          <w:p>
            <w:pPr>
              <w:ind w:left="60"/>
              <w:spacing w:after="0"/>
              <w:rPr>
                <w:sz w:val="20"/>
                <w:szCs w:val="20"/>
                <w:color w:val="auto"/>
              </w:rPr>
            </w:pPr>
            <w:r>
              <w:rPr>
                <w:rFonts w:ascii="Arial" w:cs="Arial" w:eastAsia="Arial" w:hAnsi="Arial"/>
                <w:sz w:val="20"/>
                <w:szCs w:val="20"/>
                <w:color w:val="auto"/>
              </w:rPr>
              <w:t>consideration</w:t>
            </w:r>
          </w:p>
        </w:tc>
        <w:tc>
          <w:tcPr>
            <w:tcW w:w="80" w:type="dxa"/>
            <w:vAlign w:val="bottom"/>
            <w:tcBorders>
              <w:bottom w:val="single" w:sz="8" w:color="E6E6E6"/>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4220" w:type="dxa"/>
            <w:vAlign w:val="bottom"/>
            <w:tcBorders>
              <w:bottom w:val="single" w:sz="8" w:color="E6E6E6"/>
            </w:tcBorders>
            <w:shd w:val="clear" w:color="auto" w:fill="E6E6E6"/>
          </w:tcPr>
          <w:p>
            <w:pPr>
              <w:spacing w:after="0"/>
              <w:rPr>
                <w:sz w:val="24"/>
                <w:szCs w:val="24"/>
                <w:color w:val="auto"/>
              </w:rPr>
            </w:pPr>
          </w:p>
        </w:tc>
        <w:tc>
          <w:tcPr>
            <w:tcW w:w="1880" w:type="dxa"/>
            <w:vAlign w:val="bottom"/>
            <w:tcBorders>
              <w:bottom w:val="single" w:sz="8" w:color="E6E6E6"/>
            </w:tcBorders>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138,952</w:t>
            </w:r>
          </w:p>
        </w:tc>
        <w:tc>
          <w:tcPr>
            <w:tcW w:w="8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7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gridSpan w:val="2"/>
            <w:shd w:val="clear" w:color="auto" w:fill="E6E6E6"/>
          </w:tcPr>
          <w:p>
            <w:pPr>
              <w:jc w:val="right"/>
              <w:ind w:right="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7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w w:val="82"/>
              </w:rPr>
              <w:t>138,952</w:t>
            </w:r>
          </w:p>
        </w:tc>
        <w:tc>
          <w:tcPr>
            <w:tcW w:w="0" w:type="dxa"/>
            <w:vAlign w:val="bottom"/>
          </w:tcPr>
          <w:p>
            <w:pPr>
              <w:spacing w:after="0"/>
              <w:rPr>
                <w:sz w:val="1"/>
                <w:szCs w:val="1"/>
                <w:color w:val="auto"/>
              </w:rPr>
            </w:pPr>
          </w:p>
        </w:tc>
      </w:tr>
      <w:tr>
        <w:trPr>
          <w:trHeight w:val="377"/>
        </w:trPr>
        <w:tc>
          <w:tcPr>
            <w:tcW w:w="4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8"/>
          </w:tcPr>
          <w:p>
            <w:pPr>
              <w:jc w:val="center"/>
              <w:ind w:right="62"/>
              <w:spacing w:after="0"/>
              <w:rPr>
                <w:sz w:val="20"/>
                <w:szCs w:val="20"/>
                <w:color w:val="auto"/>
              </w:rPr>
            </w:pPr>
            <w:r>
              <w:rPr>
                <w:rFonts w:ascii="Arial" w:cs="Arial" w:eastAsia="Arial" w:hAnsi="Arial"/>
                <w:sz w:val="20"/>
                <w:szCs w:val="20"/>
                <w:b w:val="1"/>
                <w:bCs w:val="1"/>
                <w:color w:val="auto"/>
                <w:w w:val="90"/>
              </w:rPr>
              <w:t>Fair Value Measurements</w:t>
            </w:r>
          </w:p>
        </w:tc>
        <w:tc>
          <w:tcPr>
            <w:tcW w:w="0" w:type="dxa"/>
            <w:vAlign w:val="bottom"/>
          </w:tcPr>
          <w:p>
            <w:pPr>
              <w:spacing w:after="0"/>
              <w:rPr>
                <w:sz w:val="1"/>
                <w:szCs w:val="1"/>
                <w:color w:val="auto"/>
              </w:rPr>
            </w:pPr>
          </w:p>
        </w:tc>
      </w:tr>
      <w:tr>
        <w:trPr>
          <w:trHeight w:val="255"/>
        </w:trPr>
        <w:tc>
          <w:tcPr>
            <w:tcW w:w="4220" w:type="dxa"/>
            <w:vAlign w:val="bottom"/>
          </w:tcPr>
          <w:p>
            <w:pPr>
              <w:spacing w:after="0"/>
              <w:rPr>
                <w:sz w:val="22"/>
                <w:szCs w:val="22"/>
                <w:color w:val="auto"/>
              </w:rPr>
            </w:pPr>
          </w:p>
        </w:tc>
        <w:tc>
          <w:tcPr>
            <w:tcW w:w="1880" w:type="dxa"/>
            <w:vAlign w:val="bottom"/>
          </w:tcPr>
          <w:p>
            <w:pPr>
              <w:jc w:val="center"/>
              <w:spacing w:after="0"/>
              <w:rPr>
                <w:sz w:val="20"/>
                <w:szCs w:val="20"/>
                <w:color w:val="auto"/>
              </w:rPr>
            </w:pPr>
            <w:r>
              <w:rPr>
                <w:rFonts w:ascii="Arial" w:cs="Arial" w:eastAsia="Arial" w:hAnsi="Arial"/>
                <w:sz w:val="20"/>
                <w:szCs w:val="20"/>
                <w:b w:val="1"/>
                <w:bCs w:val="1"/>
                <w:color w:val="auto"/>
                <w:w w:val="86"/>
              </w:rPr>
              <w:t>Balance Sheet</w:t>
            </w:r>
          </w:p>
        </w:tc>
        <w:tc>
          <w:tcPr>
            <w:tcW w:w="80" w:type="dxa"/>
            <w:vAlign w:val="bottom"/>
          </w:tcPr>
          <w:p>
            <w:pPr>
              <w:spacing w:after="0"/>
              <w:rPr>
                <w:sz w:val="22"/>
                <w:szCs w:val="22"/>
                <w:color w:val="auto"/>
              </w:rPr>
            </w:pPr>
          </w:p>
        </w:tc>
        <w:tc>
          <w:tcPr>
            <w:tcW w:w="1120" w:type="dxa"/>
            <w:vAlign w:val="bottom"/>
            <w:gridSpan w:val="3"/>
          </w:tcPr>
          <w:p>
            <w:pPr>
              <w:jc w:val="center"/>
              <w:ind w:right="80"/>
              <w:spacing w:after="0"/>
              <w:rPr>
                <w:sz w:val="20"/>
                <w:szCs w:val="20"/>
                <w:color w:val="auto"/>
              </w:rPr>
            </w:pPr>
            <w:r>
              <w:rPr>
                <w:rFonts w:ascii="Arial" w:cs="Arial" w:eastAsia="Arial" w:hAnsi="Arial"/>
                <w:sz w:val="20"/>
                <w:szCs w:val="20"/>
                <w:b w:val="1"/>
                <w:bCs w:val="1"/>
                <w:color w:val="auto"/>
                <w:w w:val="86"/>
              </w:rPr>
              <w:t>December</w:t>
            </w:r>
          </w:p>
        </w:tc>
        <w:tc>
          <w:tcPr>
            <w:tcW w:w="16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gridSpan w:val="8"/>
          </w:tcPr>
          <w:p>
            <w:pPr>
              <w:jc w:val="center"/>
              <w:ind w:right="62"/>
              <w:spacing w:after="0"/>
              <w:rPr>
                <w:sz w:val="20"/>
                <w:szCs w:val="20"/>
                <w:color w:val="auto"/>
              </w:rPr>
            </w:pPr>
            <w:r>
              <w:rPr>
                <w:rFonts w:ascii="Arial" w:cs="Arial" w:eastAsia="Arial" w:hAnsi="Arial"/>
                <w:sz w:val="20"/>
                <w:szCs w:val="20"/>
                <w:b w:val="1"/>
                <w:bCs w:val="1"/>
                <w:color w:val="auto"/>
                <w:w w:val="87"/>
              </w:rPr>
              <w:t>Using Inputs Considered as:</w:t>
            </w:r>
          </w:p>
        </w:tc>
        <w:tc>
          <w:tcPr>
            <w:tcW w:w="0" w:type="dxa"/>
            <w:vAlign w:val="bottom"/>
          </w:tcPr>
          <w:p>
            <w:pPr>
              <w:spacing w:after="0"/>
              <w:rPr>
                <w:sz w:val="1"/>
                <w:szCs w:val="1"/>
                <w:color w:val="auto"/>
              </w:rPr>
            </w:pPr>
          </w:p>
        </w:tc>
      </w:tr>
      <w:tr>
        <w:trPr>
          <w:trHeight w:val="259"/>
        </w:trPr>
        <w:tc>
          <w:tcPr>
            <w:tcW w:w="4220" w:type="dxa"/>
            <w:vAlign w:val="bottom"/>
          </w:tcPr>
          <w:p>
            <w:pPr>
              <w:spacing w:after="0"/>
              <w:rPr>
                <w:sz w:val="22"/>
                <w:szCs w:val="22"/>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Location</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62"/>
              <w:spacing w:after="0"/>
              <w:rPr>
                <w:sz w:val="20"/>
                <w:szCs w:val="20"/>
                <w:color w:val="auto"/>
              </w:rPr>
            </w:pPr>
            <w:r>
              <w:rPr>
                <w:rFonts w:ascii="Arial" w:cs="Arial" w:eastAsia="Arial" w:hAnsi="Arial"/>
                <w:sz w:val="20"/>
                <w:szCs w:val="20"/>
                <w:b w:val="1"/>
                <w:bCs w:val="1"/>
                <w:color w:val="auto"/>
                <w:w w:val="87"/>
              </w:rPr>
              <w:t>31, 2023</w:t>
            </w:r>
          </w:p>
        </w:tc>
        <w:tc>
          <w:tcPr>
            <w:tcW w:w="80" w:type="dxa"/>
            <w:vAlign w:val="bottom"/>
          </w:tcPr>
          <w:p>
            <w:pPr>
              <w:spacing w:after="0"/>
              <w:rPr>
                <w:sz w:val="22"/>
                <w:szCs w:val="22"/>
                <w:color w:val="auto"/>
              </w:rPr>
            </w:pPr>
          </w:p>
        </w:tc>
        <w:tc>
          <w:tcPr>
            <w:tcW w:w="86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20"/>
                <w:szCs w:val="20"/>
                <w:b w:val="1"/>
                <w:bCs w:val="1"/>
                <w:color w:val="auto"/>
              </w:rPr>
              <w:t>Level 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88"/>
              </w:rPr>
              <w:t>Level 2</w:t>
            </w:r>
          </w:p>
        </w:tc>
        <w:tc>
          <w:tcPr>
            <w:tcW w:w="80" w:type="dxa"/>
            <w:vAlign w:val="bottom"/>
          </w:tcPr>
          <w:p>
            <w:pPr>
              <w:spacing w:after="0"/>
              <w:rPr>
                <w:sz w:val="22"/>
                <w:szCs w:val="22"/>
                <w:color w:val="auto"/>
              </w:rPr>
            </w:pPr>
          </w:p>
        </w:tc>
        <w:tc>
          <w:tcPr>
            <w:tcW w:w="86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20"/>
                <w:szCs w:val="20"/>
                <w:b w:val="1"/>
                <w:bCs w:val="1"/>
                <w:color w:val="auto"/>
              </w:rPr>
              <w:t>Level 3</w:t>
            </w:r>
          </w:p>
        </w:tc>
        <w:tc>
          <w:tcPr>
            <w:tcW w:w="0" w:type="dxa"/>
            <w:vAlign w:val="bottom"/>
          </w:tcPr>
          <w:p>
            <w:pPr>
              <w:spacing w:after="0"/>
              <w:rPr>
                <w:sz w:val="1"/>
                <w:szCs w:val="1"/>
                <w:color w:val="auto"/>
              </w:rPr>
            </w:pPr>
          </w:p>
        </w:tc>
      </w:tr>
      <w:tr>
        <w:trPr>
          <w:trHeight w:val="263"/>
        </w:trPr>
        <w:tc>
          <w:tcPr>
            <w:tcW w:w="4220" w:type="dxa"/>
            <w:vAlign w:val="bottom"/>
          </w:tcPr>
          <w:p>
            <w:pPr>
              <w:ind w:left="40"/>
              <w:spacing w:after="0"/>
              <w:rPr>
                <w:sz w:val="20"/>
                <w:szCs w:val="20"/>
                <w:color w:val="auto"/>
              </w:rPr>
            </w:pPr>
            <w:r>
              <w:rPr>
                <w:rFonts w:ascii="Arial" w:cs="Arial" w:eastAsia="Arial" w:hAnsi="Arial"/>
                <w:sz w:val="20"/>
                <w:szCs w:val="20"/>
                <w:b w:val="1"/>
                <w:bCs w:val="1"/>
                <w:color w:val="auto"/>
              </w:rPr>
              <w:t>Assets</w:t>
            </w:r>
          </w:p>
        </w:tc>
        <w:tc>
          <w:tcPr>
            <w:tcW w:w="1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4220" w:type="dxa"/>
            <w:vAlign w:val="bottom"/>
            <w:shd w:val="clear" w:color="auto" w:fill="E6E6E6"/>
          </w:tcPr>
          <w:p>
            <w:pPr>
              <w:ind w:left="160"/>
              <w:spacing w:after="0" w:line="194" w:lineRule="exact"/>
              <w:rPr>
                <w:sz w:val="20"/>
                <w:szCs w:val="20"/>
                <w:color w:val="auto"/>
              </w:rPr>
            </w:pPr>
            <w:r>
              <w:rPr>
                <w:rFonts w:ascii="Arial" w:cs="Arial" w:eastAsia="Arial" w:hAnsi="Arial"/>
                <w:sz w:val="20"/>
                <w:szCs w:val="20"/>
                <w:color w:val="auto"/>
                <w:w w:val="94"/>
              </w:rPr>
              <w:t>Derivative assets - capped call derivatives (2025</w:t>
            </w:r>
          </w:p>
        </w:tc>
        <w:tc>
          <w:tcPr>
            <w:tcW w:w="1880" w:type="dxa"/>
            <w:vAlign w:val="bottom"/>
            <w:shd w:val="clear" w:color="auto" w:fill="E6E6E6"/>
          </w:tcPr>
          <w:p>
            <w:pPr>
              <w:ind w:left="60"/>
              <w:spacing w:after="0" w:line="194" w:lineRule="exact"/>
              <w:rPr>
                <w:sz w:val="20"/>
                <w:szCs w:val="20"/>
                <w:color w:val="auto"/>
              </w:rPr>
            </w:pPr>
            <w:r>
              <w:rPr>
                <w:rFonts w:ascii="Arial" w:cs="Arial" w:eastAsia="Arial" w:hAnsi="Arial"/>
                <w:sz w:val="20"/>
                <w:szCs w:val="20"/>
                <w:color w:val="auto"/>
                <w:w w:val="98"/>
              </w:rPr>
              <w:t>Long-term derivative</w:t>
            </w:r>
          </w:p>
        </w:tc>
        <w:tc>
          <w:tcPr>
            <w:tcW w:w="240" w:type="dxa"/>
            <w:vAlign w:val="bottom"/>
            <w:gridSpan w:val="2"/>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8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38,496</w:t>
            </w:r>
          </w:p>
        </w:tc>
        <w:tc>
          <w:tcPr>
            <w:tcW w:w="80" w:type="dxa"/>
            <w:vAlign w:val="bottom"/>
            <w:shd w:val="clear" w:color="auto" w:fill="E6E6E6"/>
          </w:tcPr>
          <w:p>
            <w:pPr>
              <w:spacing w:after="0"/>
              <w:rPr>
                <w:sz w:val="16"/>
                <w:szCs w:val="16"/>
                <w:color w:val="auto"/>
              </w:rPr>
            </w:pPr>
          </w:p>
        </w:tc>
        <w:tc>
          <w:tcPr>
            <w:tcW w:w="16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70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320" w:type="dxa"/>
            <w:vAlign w:val="bottom"/>
            <w:gridSpan w:val="3"/>
            <w:vMerge w:val="restart"/>
            <w:shd w:val="clear" w:color="auto" w:fill="E6E6E6"/>
          </w:tcPr>
          <w:p>
            <w:pPr>
              <w:jc w:val="right"/>
              <w:ind w:right="2"/>
              <w:spacing w:after="0"/>
              <w:rPr>
                <w:sz w:val="20"/>
                <w:szCs w:val="20"/>
                <w:color w:val="auto"/>
              </w:rPr>
            </w:pPr>
            <w:r>
              <w:rPr>
                <w:rFonts w:ascii="Arial" w:cs="Arial" w:eastAsia="Arial" w:hAnsi="Arial"/>
                <w:sz w:val="20"/>
                <w:szCs w:val="20"/>
                <w:color w:val="auto"/>
              </w:rPr>
              <w:t>$</w:t>
            </w:r>
          </w:p>
        </w:tc>
        <w:tc>
          <w:tcPr>
            <w:tcW w:w="62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240" w:type="dxa"/>
            <w:vAlign w:val="bottom"/>
            <w:gridSpan w:val="2"/>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70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w w:val="98"/>
              </w:rPr>
              <w:t>38,496</w:t>
            </w:r>
          </w:p>
        </w:tc>
        <w:tc>
          <w:tcPr>
            <w:tcW w:w="0" w:type="dxa"/>
            <w:vAlign w:val="bottom"/>
          </w:tcPr>
          <w:p>
            <w:pPr>
              <w:spacing w:after="0"/>
              <w:rPr>
                <w:sz w:val="1"/>
                <w:szCs w:val="1"/>
                <w:color w:val="auto"/>
              </w:rPr>
            </w:pPr>
          </w:p>
        </w:tc>
      </w:tr>
      <w:tr>
        <w:trPr>
          <w:trHeight w:val="268"/>
        </w:trPr>
        <w:tc>
          <w:tcPr>
            <w:tcW w:w="4220" w:type="dxa"/>
            <w:vAlign w:val="bottom"/>
            <w:shd w:val="clear" w:color="auto" w:fill="E6E6E6"/>
          </w:tcPr>
          <w:p>
            <w:pPr>
              <w:ind w:left="160"/>
              <w:spacing w:after="0"/>
              <w:rPr>
                <w:sz w:val="20"/>
                <w:szCs w:val="20"/>
                <w:color w:val="auto"/>
              </w:rPr>
            </w:pPr>
            <w:r>
              <w:rPr>
                <w:rFonts w:ascii="Arial" w:cs="Arial" w:eastAsia="Arial" w:hAnsi="Arial"/>
                <w:sz w:val="20"/>
                <w:szCs w:val="20"/>
                <w:color w:val="auto"/>
              </w:rPr>
              <w:t>Notes)</w:t>
            </w:r>
          </w:p>
        </w:tc>
        <w:tc>
          <w:tcPr>
            <w:tcW w:w="1880" w:type="dxa"/>
            <w:vAlign w:val="bottom"/>
            <w:shd w:val="clear" w:color="auto" w:fill="E6E6E6"/>
          </w:tcPr>
          <w:p>
            <w:pPr>
              <w:ind w:left="60"/>
              <w:spacing w:after="0"/>
              <w:rPr>
                <w:sz w:val="20"/>
                <w:szCs w:val="20"/>
                <w:color w:val="auto"/>
              </w:rPr>
            </w:pPr>
            <w:r>
              <w:rPr>
                <w:rFonts w:ascii="Arial" w:cs="Arial" w:eastAsia="Arial" w:hAnsi="Arial"/>
                <w:sz w:val="20"/>
                <w:szCs w:val="20"/>
                <w:color w:val="auto"/>
              </w:rPr>
              <w:t>assets</w:t>
            </w:r>
          </w:p>
        </w:tc>
        <w:tc>
          <w:tcPr>
            <w:tcW w:w="240" w:type="dxa"/>
            <w:vAlign w:val="bottom"/>
            <w:gridSpan w:val="2"/>
            <w:vMerge w:val="continue"/>
            <w:shd w:val="clear" w:color="auto" w:fill="E6E6E6"/>
          </w:tcPr>
          <w:p>
            <w:pPr>
              <w:spacing w:after="0"/>
              <w:rPr>
                <w:sz w:val="23"/>
                <w:szCs w:val="23"/>
                <w:color w:val="auto"/>
              </w:rPr>
            </w:pPr>
          </w:p>
        </w:tc>
        <w:tc>
          <w:tcPr>
            <w:tcW w:w="88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160" w:type="dxa"/>
            <w:vAlign w:val="bottom"/>
            <w:vMerge w:val="continue"/>
            <w:shd w:val="clear" w:color="auto" w:fill="E6E6E6"/>
          </w:tcPr>
          <w:p>
            <w:pPr>
              <w:spacing w:after="0"/>
              <w:rPr>
                <w:sz w:val="23"/>
                <w:szCs w:val="23"/>
                <w:color w:val="auto"/>
              </w:rPr>
            </w:pPr>
          </w:p>
        </w:tc>
        <w:tc>
          <w:tcPr>
            <w:tcW w:w="700" w:type="dxa"/>
            <w:vAlign w:val="bottom"/>
            <w:vMerge w:val="continue"/>
            <w:shd w:val="clear" w:color="auto" w:fill="E6E6E6"/>
          </w:tcPr>
          <w:p>
            <w:pPr>
              <w:spacing w:after="0"/>
              <w:rPr>
                <w:sz w:val="23"/>
                <w:szCs w:val="23"/>
                <w:color w:val="auto"/>
              </w:rPr>
            </w:pPr>
          </w:p>
        </w:tc>
        <w:tc>
          <w:tcPr>
            <w:tcW w:w="320" w:type="dxa"/>
            <w:vAlign w:val="bottom"/>
            <w:gridSpan w:val="3"/>
            <w:vMerge w:val="continue"/>
            <w:shd w:val="clear" w:color="auto" w:fill="E6E6E6"/>
          </w:tcPr>
          <w:p>
            <w:pPr>
              <w:spacing w:after="0"/>
              <w:rPr>
                <w:sz w:val="23"/>
                <w:szCs w:val="23"/>
                <w:color w:val="auto"/>
              </w:rPr>
            </w:pPr>
          </w:p>
        </w:tc>
        <w:tc>
          <w:tcPr>
            <w:tcW w:w="620" w:type="dxa"/>
            <w:vAlign w:val="bottom"/>
            <w:vMerge w:val="continue"/>
            <w:shd w:val="clear" w:color="auto" w:fill="E6E6E6"/>
          </w:tcPr>
          <w:p>
            <w:pPr>
              <w:spacing w:after="0"/>
              <w:rPr>
                <w:sz w:val="23"/>
                <w:szCs w:val="23"/>
                <w:color w:val="auto"/>
              </w:rPr>
            </w:pPr>
          </w:p>
        </w:tc>
        <w:tc>
          <w:tcPr>
            <w:tcW w:w="240" w:type="dxa"/>
            <w:vAlign w:val="bottom"/>
            <w:gridSpan w:val="2"/>
            <w:vMerge w:val="continue"/>
            <w:shd w:val="clear" w:color="auto" w:fill="E6E6E6"/>
          </w:tcPr>
          <w:p>
            <w:pPr>
              <w:spacing w:after="0"/>
              <w:rPr>
                <w:sz w:val="23"/>
                <w:szCs w:val="23"/>
                <w:color w:val="auto"/>
              </w:rPr>
            </w:pPr>
          </w:p>
        </w:tc>
        <w:tc>
          <w:tcPr>
            <w:tcW w:w="700" w:type="dxa"/>
            <w:vAlign w:val="bottom"/>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4220" w:type="dxa"/>
            <w:vAlign w:val="bottom"/>
            <w:tcBorders>
              <w:bottom w:val="single" w:sz="8" w:color="E6E6E6"/>
            </w:tcBorders>
          </w:tcPr>
          <w:p>
            <w:pPr>
              <w:ind w:left="180"/>
              <w:spacing w:after="0"/>
              <w:rPr>
                <w:sz w:val="20"/>
                <w:szCs w:val="20"/>
                <w:color w:val="auto"/>
              </w:rPr>
            </w:pPr>
            <w:r>
              <w:rPr>
                <w:rFonts w:ascii="Arial" w:cs="Arial" w:eastAsia="Arial" w:hAnsi="Arial"/>
                <w:sz w:val="20"/>
                <w:szCs w:val="20"/>
                <w:color w:val="auto"/>
              </w:rPr>
              <w:t>Convertible notes receivable</w:t>
            </w:r>
          </w:p>
        </w:tc>
        <w:tc>
          <w:tcPr>
            <w:tcW w:w="1880" w:type="dxa"/>
            <w:vAlign w:val="bottom"/>
            <w:tcBorders>
              <w:bottom w:val="single" w:sz="8" w:color="E6E6E6"/>
            </w:tcBorders>
          </w:tcPr>
          <w:p>
            <w:pPr>
              <w:ind w:left="60"/>
              <w:spacing w:after="0"/>
              <w:rPr>
                <w:sz w:val="20"/>
                <w:szCs w:val="20"/>
                <w:color w:val="auto"/>
              </w:rPr>
            </w:pPr>
            <w:r>
              <w:rPr>
                <w:rFonts w:ascii="Arial" w:cs="Arial" w:eastAsia="Arial" w:hAnsi="Arial"/>
                <w:sz w:val="20"/>
                <w:szCs w:val="20"/>
                <w:color w:val="auto"/>
              </w:rPr>
              <w:t>Other assets</w:t>
            </w:r>
          </w:p>
        </w:tc>
        <w:tc>
          <w:tcPr>
            <w:tcW w:w="80" w:type="dxa"/>
            <w:vAlign w:val="bottom"/>
            <w:tcBorders>
              <w:bottom w:val="single" w:sz="8" w:color="E6E6E6"/>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275</w:t>
            </w:r>
          </w:p>
        </w:tc>
        <w:tc>
          <w:tcPr>
            <w:tcW w:w="80" w:type="dxa"/>
            <w:vAlign w:val="bottom"/>
            <w:tcBorders>
              <w:bottom w:val="single" w:sz="8" w:color="E6E6E6"/>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tcPr>
          <w:p>
            <w:pPr>
              <w:spacing w:after="0"/>
              <w:rPr>
                <w:sz w:val="23"/>
                <w:szCs w:val="23"/>
                <w:color w:val="auto"/>
              </w:rPr>
            </w:pPr>
          </w:p>
        </w:tc>
        <w:tc>
          <w:tcPr>
            <w:tcW w:w="20" w:type="dxa"/>
            <w:vAlign w:val="bottom"/>
            <w:tcBorders>
              <w:bottom w:val="single" w:sz="8" w:color="E6E6E6"/>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275</w:t>
            </w:r>
          </w:p>
        </w:tc>
        <w:tc>
          <w:tcPr>
            <w:tcW w:w="0" w:type="dxa"/>
            <w:vAlign w:val="bottom"/>
          </w:tcPr>
          <w:p>
            <w:pPr>
              <w:spacing w:after="0"/>
              <w:rPr>
                <w:sz w:val="1"/>
                <w:szCs w:val="1"/>
                <w:color w:val="auto"/>
              </w:rPr>
            </w:pPr>
          </w:p>
        </w:tc>
      </w:tr>
      <w:tr>
        <w:trPr>
          <w:trHeight w:val="279"/>
        </w:trPr>
        <w:tc>
          <w:tcPr>
            <w:tcW w:w="4220" w:type="dxa"/>
            <w:vAlign w:val="bottom"/>
            <w:shd w:val="clear" w:color="auto" w:fill="E6E6E6"/>
          </w:tcPr>
          <w:p>
            <w:pPr>
              <w:spacing w:after="0"/>
              <w:rPr>
                <w:sz w:val="24"/>
                <w:szCs w:val="24"/>
                <w:color w:val="auto"/>
              </w:rPr>
            </w:pPr>
          </w:p>
        </w:tc>
        <w:tc>
          <w:tcPr>
            <w:tcW w:w="1880" w:type="dxa"/>
            <w:vAlign w:val="bottom"/>
            <w:shd w:val="clear" w:color="auto" w:fill="E6E6E6"/>
          </w:tcPr>
          <w:p>
            <w:pPr>
              <w:spacing w:after="0"/>
              <w:rPr>
                <w:sz w:val="24"/>
                <w:szCs w:val="24"/>
                <w:color w:val="auto"/>
              </w:rPr>
            </w:pPr>
          </w:p>
        </w:tc>
        <w:tc>
          <w:tcPr>
            <w:tcW w:w="24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38,771</w:t>
            </w:r>
          </w:p>
        </w:tc>
        <w:tc>
          <w:tcPr>
            <w:tcW w:w="80" w:type="dxa"/>
            <w:vAlign w:val="bottom"/>
            <w:shd w:val="clear" w:color="auto" w:fill="E6E6E6"/>
          </w:tcPr>
          <w:p>
            <w:pPr>
              <w:spacing w:after="0"/>
              <w:rPr>
                <w:sz w:val="24"/>
                <w:szCs w:val="24"/>
                <w:color w:val="auto"/>
              </w:rPr>
            </w:pPr>
          </w:p>
        </w:tc>
        <w:tc>
          <w:tcPr>
            <w:tcW w:w="1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7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320" w:type="dxa"/>
            <w:vAlign w:val="bottom"/>
            <w:gridSpan w:val="3"/>
            <w:shd w:val="clear" w:color="auto" w:fill="E6E6E6"/>
          </w:tcPr>
          <w:p>
            <w:pPr>
              <w:jc w:val="right"/>
              <w:ind w:right="2"/>
              <w:spacing w:after="0"/>
              <w:rPr>
                <w:sz w:val="20"/>
                <w:szCs w:val="20"/>
                <w:color w:val="auto"/>
              </w:rPr>
            </w:pPr>
            <w:r>
              <w:rPr>
                <w:rFonts w:ascii="Arial" w:cs="Arial" w:eastAsia="Arial" w:hAnsi="Arial"/>
                <w:sz w:val="20"/>
                <w:szCs w:val="20"/>
                <w:color w:val="auto"/>
              </w:rPr>
              <w:t>$</w:t>
            </w:r>
          </w:p>
        </w:tc>
        <w:tc>
          <w:tcPr>
            <w:tcW w:w="6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24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700" w:type="dxa"/>
            <w:vAlign w:val="bottom"/>
            <w:shd w:val="clear" w:color="auto" w:fill="E6E6E6"/>
          </w:tcPr>
          <w:p>
            <w:pPr>
              <w:jc w:val="right"/>
              <w:spacing w:after="0"/>
              <w:rPr>
                <w:sz w:val="20"/>
                <w:szCs w:val="20"/>
                <w:color w:val="auto"/>
              </w:rPr>
            </w:pPr>
            <w:r>
              <w:rPr>
                <w:rFonts w:ascii="Arial" w:cs="Arial" w:eastAsia="Arial" w:hAnsi="Arial"/>
                <w:sz w:val="20"/>
                <w:szCs w:val="20"/>
                <w:color w:val="auto"/>
                <w:w w:val="98"/>
              </w:rPr>
              <w:t>38,771</w:t>
            </w:r>
          </w:p>
        </w:tc>
        <w:tc>
          <w:tcPr>
            <w:tcW w:w="0" w:type="dxa"/>
            <w:vAlign w:val="bottom"/>
          </w:tcPr>
          <w:p>
            <w:pPr>
              <w:spacing w:after="0"/>
              <w:rPr>
                <w:sz w:val="1"/>
                <w:szCs w:val="1"/>
                <w:color w:val="auto"/>
              </w:rPr>
            </w:pPr>
          </w:p>
        </w:tc>
      </w:tr>
      <w:tr>
        <w:trPr>
          <w:trHeight w:val="279"/>
        </w:trPr>
        <w:tc>
          <w:tcPr>
            <w:tcW w:w="4220" w:type="dxa"/>
            <w:vAlign w:val="bottom"/>
            <w:tcBorders>
              <w:top w:val="single" w:sz="8" w:color="E6E6E6"/>
            </w:tcBorders>
          </w:tcPr>
          <w:p>
            <w:pPr>
              <w:spacing w:after="0"/>
              <w:rPr>
                <w:sz w:val="24"/>
                <w:szCs w:val="24"/>
                <w:color w:val="auto"/>
              </w:rPr>
            </w:pPr>
          </w:p>
        </w:tc>
        <w:tc>
          <w:tcPr>
            <w:tcW w:w="1880" w:type="dxa"/>
            <w:vAlign w:val="bottom"/>
            <w:tcBorders>
              <w:top w:val="single" w:sz="8" w:color="E6E6E6"/>
            </w:tcBorders>
          </w:tcPr>
          <w:p>
            <w:pPr>
              <w:spacing w:after="0"/>
              <w:rPr>
                <w:sz w:val="24"/>
                <w:szCs w:val="24"/>
                <w:color w:val="auto"/>
              </w:rPr>
            </w:pPr>
          </w:p>
        </w:tc>
        <w:tc>
          <w:tcPr>
            <w:tcW w:w="80" w:type="dxa"/>
            <w:vAlign w:val="bottom"/>
            <w:tcBorders>
              <w:top w:val="single" w:sz="8" w:color="E6E6E6"/>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0" w:type="dxa"/>
            <w:vAlign w:val="bottom"/>
            <w:tcBorders>
              <w:top w:val="single" w:sz="8" w:color="E6E6E6"/>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Borders>
              <w:top w:val="single" w:sz="8" w:color="E6E6E6"/>
            </w:tcBorders>
          </w:tcPr>
          <w:p>
            <w:pPr>
              <w:spacing w:after="0"/>
              <w:rPr>
                <w:sz w:val="24"/>
                <w:szCs w:val="24"/>
                <w:color w:val="auto"/>
              </w:rPr>
            </w:pPr>
          </w:p>
        </w:tc>
        <w:tc>
          <w:tcPr>
            <w:tcW w:w="20" w:type="dxa"/>
            <w:vAlign w:val="bottom"/>
            <w:tcBorders>
              <w:top w:val="single" w:sz="8" w:color="E6E6E6"/>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80" w:type="dxa"/>
            <w:vAlign w:val="bottom"/>
            <w:tcBorders>
              <w:top w:val="single" w:sz="8" w:color="E6E6E6"/>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220" w:type="dxa"/>
            <w:vAlign w:val="bottom"/>
            <w:shd w:val="clear" w:color="auto" w:fill="E6E6E6"/>
          </w:tcPr>
          <w:p>
            <w:pPr>
              <w:ind w:left="40"/>
              <w:spacing w:after="0"/>
              <w:rPr>
                <w:sz w:val="20"/>
                <w:szCs w:val="20"/>
                <w:color w:val="auto"/>
              </w:rPr>
            </w:pPr>
            <w:r>
              <w:rPr>
                <w:rFonts w:ascii="Arial" w:cs="Arial" w:eastAsia="Arial" w:hAnsi="Arial"/>
                <w:sz w:val="20"/>
                <w:szCs w:val="20"/>
                <w:b w:val="1"/>
                <w:bCs w:val="1"/>
                <w:color w:val="auto"/>
              </w:rPr>
              <w:t>Liabilities</w:t>
            </w:r>
          </w:p>
        </w:tc>
        <w:tc>
          <w:tcPr>
            <w:tcW w:w="188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88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70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6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70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220" w:type="dxa"/>
            <w:vAlign w:val="bottom"/>
          </w:tcPr>
          <w:p>
            <w:pPr>
              <w:ind w:left="180"/>
              <w:spacing w:after="0" w:line="188" w:lineRule="exact"/>
              <w:rPr>
                <w:sz w:val="20"/>
                <w:szCs w:val="20"/>
                <w:color w:val="auto"/>
              </w:rPr>
            </w:pPr>
            <w:r>
              <w:rPr>
                <w:rFonts w:ascii="Arial" w:cs="Arial" w:eastAsia="Arial" w:hAnsi="Arial"/>
                <w:sz w:val="20"/>
                <w:szCs w:val="20"/>
                <w:color w:val="auto"/>
                <w:w w:val="98"/>
              </w:rPr>
              <w:t>Derivative liabilities - freestanding instruments</w:t>
            </w:r>
          </w:p>
        </w:tc>
        <w:tc>
          <w:tcPr>
            <w:tcW w:w="1880" w:type="dxa"/>
            <w:vAlign w:val="bottom"/>
          </w:tcPr>
          <w:p>
            <w:pPr>
              <w:ind w:left="60"/>
              <w:spacing w:after="0" w:line="188" w:lineRule="exact"/>
              <w:rPr>
                <w:sz w:val="20"/>
                <w:szCs w:val="20"/>
                <w:color w:val="auto"/>
              </w:rPr>
            </w:pPr>
            <w:r>
              <w:rPr>
                <w:rFonts w:ascii="Arial" w:cs="Arial" w:eastAsia="Arial" w:hAnsi="Arial"/>
                <w:sz w:val="20"/>
                <w:szCs w:val="20"/>
                <w:color w:val="auto"/>
                <w:w w:val="93"/>
              </w:rPr>
              <w:t>Accrued liabilities and</w:t>
            </w:r>
          </w:p>
        </w:tc>
        <w:tc>
          <w:tcPr>
            <w:tcW w:w="24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3,883</w:t>
            </w:r>
          </w:p>
        </w:tc>
        <w:tc>
          <w:tcPr>
            <w:tcW w:w="8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7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320" w:type="dxa"/>
            <w:vAlign w:val="bottom"/>
            <w:gridSpan w:val="3"/>
            <w:vMerge w:val="restart"/>
          </w:tcPr>
          <w:p>
            <w:pPr>
              <w:jc w:val="right"/>
              <w:ind w:right="2"/>
              <w:spacing w:after="0"/>
              <w:rPr>
                <w:sz w:val="20"/>
                <w:szCs w:val="20"/>
                <w:color w:val="auto"/>
              </w:rPr>
            </w:pPr>
            <w:r>
              <w:rPr>
                <w:rFonts w:ascii="Arial" w:cs="Arial" w:eastAsia="Arial" w:hAnsi="Arial"/>
                <w:sz w:val="20"/>
                <w:szCs w:val="20"/>
                <w:color w:val="auto"/>
              </w:rPr>
              <w:t>$</w:t>
            </w:r>
          </w:p>
        </w:tc>
        <w:tc>
          <w:tcPr>
            <w:tcW w:w="620" w:type="dxa"/>
            <w:vAlign w:val="bottom"/>
            <w:vMerge w:val="restart"/>
          </w:tcPr>
          <w:p>
            <w:pPr>
              <w:jc w:val="right"/>
              <w:spacing w:after="0"/>
              <w:rPr>
                <w:sz w:val="20"/>
                <w:szCs w:val="20"/>
                <w:color w:val="auto"/>
              </w:rPr>
            </w:pPr>
            <w:r>
              <w:rPr>
                <w:rFonts w:ascii="Arial" w:cs="Arial" w:eastAsia="Arial" w:hAnsi="Arial"/>
                <w:sz w:val="20"/>
                <w:szCs w:val="20"/>
                <w:color w:val="auto"/>
              </w:rPr>
              <w:t>3,883</w:t>
            </w:r>
          </w:p>
        </w:tc>
        <w:tc>
          <w:tcPr>
            <w:tcW w:w="24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7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2"/>
        </w:trPr>
        <w:tc>
          <w:tcPr>
            <w:tcW w:w="4220" w:type="dxa"/>
            <w:vAlign w:val="bottom"/>
          </w:tcPr>
          <w:p>
            <w:pPr>
              <w:ind w:left="180"/>
              <w:spacing w:after="0"/>
              <w:rPr>
                <w:sz w:val="20"/>
                <w:szCs w:val="20"/>
                <w:color w:val="auto"/>
              </w:rPr>
            </w:pPr>
            <w:r>
              <w:rPr>
                <w:rFonts w:ascii="Arial" w:cs="Arial" w:eastAsia="Arial" w:hAnsi="Arial"/>
                <w:sz w:val="20"/>
                <w:szCs w:val="20"/>
                <w:color w:val="auto"/>
              </w:rPr>
              <w:t>(FX)</w:t>
            </w:r>
          </w:p>
        </w:tc>
        <w:tc>
          <w:tcPr>
            <w:tcW w:w="1880" w:type="dxa"/>
            <w:vAlign w:val="bottom"/>
          </w:tcPr>
          <w:p>
            <w:pPr>
              <w:ind w:left="60"/>
              <w:spacing w:after="0"/>
              <w:rPr>
                <w:sz w:val="20"/>
                <w:szCs w:val="20"/>
                <w:color w:val="auto"/>
              </w:rPr>
            </w:pPr>
            <w:r>
              <w:rPr>
                <w:rFonts w:ascii="Arial" w:cs="Arial" w:eastAsia="Arial" w:hAnsi="Arial"/>
                <w:sz w:val="20"/>
                <w:szCs w:val="20"/>
                <w:color w:val="auto"/>
              </w:rPr>
              <w:t>other</w:t>
            </w:r>
          </w:p>
        </w:tc>
        <w:tc>
          <w:tcPr>
            <w:tcW w:w="240" w:type="dxa"/>
            <w:vAlign w:val="bottom"/>
            <w:gridSpan w:val="2"/>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vMerge w:val="continue"/>
          </w:tcPr>
          <w:p>
            <w:pPr>
              <w:spacing w:after="0"/>
              <w:rPr>
                <w:sz w:val="22"/>
                <w:szCs w:val="22"/>
                <w:color w:val="auto"/>
              </w:rPr>
            </w:pPr>
          </w:p>
        </w:tc>
        <w:tc>
          <w:tcPr>
            <w:tcW w:w="700" w:type="dxa"/>
            <w:vAlign w:val="bottom"/>
            <w:vMerge w:val="continue"/>
          </w:tcPr>
          <w:p>
            <w:pPr>
              <w:spacing w:after="0"/>
              <w:rPr>
                <w:sz w:val="22"/>
                <w:szCs w:val="22"/>
                <w:color w:val="auto"/>
              </w:rPr>
            </w:pPr>
          </w:p>
        </w:tc>
        <w:tc>
          <w:tcPr>
            <w:tcW w:w="320" w:type="dxa"/>
            <w:vAlign w:val="bottom"/>
            <w:gridSpan w:val="3"/>
            <w:vMerge w:val="continue"/>
          </w:tcPr>
          <w:p>
            <w:pPr>
              <w:spacing w:after="0"/>
              <w:rPr>
                <w:sz w:val="22"/>
                <w:szCs w:val="22"/>
                <w:color w:val="auto"/>
              </w:rPr>
            </w:pPr>
          </w:p>
        </w:tc>
        <w:tc>
          <w:tcPr>
            <w:tcW w:w="62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7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4220" w:type="dxa"/>
            <w:vAlign w:val="bottom"/>
            <w:shd w:val="clear" w:color="auto" w:fill="E6E6E6"/>
          </w:tcPr>
          <w:p>
            <w:pPr>
              <w:ind w:left="180"/>
              <w:spacing w:after="0" w:line="193" w:lineRule="exact"/>
              <w:rPr>
                <w:sz w:val="20"/>
                <w:szCs w:val="20"/>
                <w:color w:val="auto"/>
              </w:rPr>
            </w:pPr>
            <w:r>
              <w:rPr>
                <w:rFonts w:ascii="Arial" w:cs="Arial" w:eastAsia="Arial" w:hAnsi="Arial"/>
                <w:sz w:val="20"/>
                <w:szCs w:val="20"/>
                <w:color w:val="auto"/>
                <w:w w:val="93"/>
              </w:rPr>
              <w:t>Derivative liabilities - embedded derivative (2025</w:t>
            </w:r>
          </w:p>
        </w:tc>
        <w:tc>
          <w:tcPr>
            <w:tcW w:w="1880" w:type="dxa"/>
            <w:vAlign w:val="bottom"/>
            <w:shd w:val="clear" w:color="auto" w:fill="E6E6E6"/>
          </w:tcPr>
          <w:p>
            <w:pPr>
              <w:ind w:left="60"/>
              <w:spacing w:after="0" w:line="193" w:lineRule="exact"/>
              <w:rPr>
                <w:sz w:val="20"/>
                <w:szCs w:val="20"/>
                <w:color w:val="auto"/>
              </w:rPr>
            </w:pPr>
            <w:r>
              <w:rPr>
                <w:rFonts w:ascii="Arial" w:cs="Arial" w:eastAsia="Arial" w:hAnsi="Arial"/>
                <w:sz w:val="20"/>
                <w:szCs w:val="20"/>
                <w:color w:val="auto"/>
                <w:w w:val="98"/>
              </w:rPr>
              <w:t>Long-term derivative</w:t>
            </w:r>
          </w:p>
        </w:tc>
        <w:tc>
          <w:tcPr>
            <w:tcW w:w="80" w:type="dxa"/>
            <w:vAlign w:val="bottom"/>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88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45,569</w:t>
            </w:r>
          </w:p>
        </w:tc>
        <w:tc>
          <w:tcPr>
            <w:tcW w:w="80" w:type="dxa"/>
            <w:vAlign w:val="bottom"/>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70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20" w:type="dxa"/>
            <w:vAlign w:val="bottom"/>
            <w:shd w:val="clear" w:color="auto" w:fill="E6E6E6"/>
          </w:tcPr>
          <w:p>
            <w:pPr>
              <w:spacing w:after="0"/>
              <w:rPr>
                <w:sz w:val="16"/>
                <w:szCs w:val="16"/>
                <w:color w:val="auto"/>
              </w:rPr>
            </w:pPr>
          </w:p>
        </w:tc>
        <w:tc>
          <w:tcPr>
            <w:tcW w:w="62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70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w w:val="98"/>
              </w:rPr>
              <w:t>45,569</w:t>
            </w:r>
          </w:p>
        </w:tc>
        <w:tc>
          <w:tcPr>
            <w:tcW w:w="0" w:type="dxa"/>
            <w:vAlign w:val="bottom"/>
          </w:tcPr>
          <w:p>
            <w:pPr>
              <w:spacing w:after="0"/>
              <w:rPr>
                <w:sz w:val="1"/>
                <w:szCs w:val="1"/>
                <w:color w:val="auto"/>
              </w:rPr>
            </w:pPr>
          </w:p>
        </w:tc>
      </w:tr>
      <w:tr>
        <w:trPr>
          <w:trHeight w:val="268"/>
        </w:trPr>
        <w:tc>
          <w:tcPr>
            <w:tcW w:w="4220" w:type="dxa"/>
            <w:vAlign w:val="bottom"/>
            <w:shd w:val="clear" w:color="auto" w:fill="E6E6E6"/>
          </w:tcPr>
          <w:p>
            <w:pPr>
              <w:ind w:left="180"/>
              <w:spacing w:after="0"/>
              <w:rPr>
                <w:sz w:val="20"/>
                <w:szCs w:val="20"/>
                <w:color w:val="auto"/>
              </w:rPr>
            </w:pPr>
            <w:r>
              <w:rPr>
                <w:rFonts w:ascii="Arial" w:cs="Arial" w:eastAsia="Arial" w:hAnsi="Arial"/>
                <w:sz w:val="20"/>
                <w:szCs w:val="20"/>
                <w:color w:val="auto"/>
              </w:rPr>
              <w:t>Notes)</w:t>
            </w:r>
          </w:p>
        </w:tc>
        <w:tc>
          <w:tcPr>
            <w:tcW w:w="1880" w:type="dxa"/>
            <w:vAlign w:val="bottom"/>
            <w:shd w:val="clear" w:color="auto" w:fill="E6E6E6"/>
          </w:tcPr>
          <w:p>
            <w:pPr>
              <w:ind w:left="60"/>
              <w:spacing w:after="0"/>
              <w:rPr>
                <w:sz w:val="20"/>
                <w:szCs w:val="20"/>
                <w:color w:val="auto"/>
              </w:rPr>
            </w:pPr>
            <w:r>
              <w:rPr>
                <w:rFonts w:ascii="Arial" w:cs="Arial" w:eastAsia="Arial" w:hAnsi="Arial"/>
                <w:sz w:val="20"/>
                <w:szCs w:val="20"/>
                <w:color w:val="auto"/>
              </w:rPr>
              <w:t>liabilities</w:t>
            </w:r>
          </w:p>
        </w:tc>
        <w:tc>
          <w:tcPr>
            <w:tcW w:w="80" w:type="dxa"/>
            <w:vAlign w:val="bottom"/>
            <w:shd w:val="clear" w:color="auto" w:fill="E6E6E6"/>
          </w:tcPr>
          <w:p>
            <w:pPr>
              <w:spacing w:after="0"/>
              <w:rPr>
                <w:sz w:val="23"/>
                <w:szCs w:val="23"/>
                <w:color w:val="auto"/>
              </w:rPr>
            </w:pPr>
          </w:p>
        </w:tc>
        <w:tc>
          <w:tcPr>
            <w:tcW w:w="160" w:type="dxa"/>
            <w:vAlign w:val="bottom"/>
            <w:shd w:val="clear" w:color="auto" w:fill="E6E6E6"/>
          </w:tcPr>
          <w:p>
            <w:pPr>
              <w:spacing w:after="0"/>
              <w:rPr>
                <w:sz w:val="23"/>
                <w:szCs w:val="23"/>
                <w:color w:val="auto"/>
              </w:rPr>
            </w:pPr>
          </w:p>
        </w:tc>
        <w:tc>
          <w:tcPr>
            <w:tcW w:w="88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160" w:type="dxa"/>
            <w:vAlign w:val="bottom"/>
            <w:shd w:val="clear" w:color="auto" w:fill="E6E6E6"/>
          </w:tcPr>
          <w:p>
            <w:pPr>
              <w:spacing w:after="0"/>
              <w:rPr>
                <w:sz w:val="23"/>
                <w:szCs w:val="23"/>
                <w:color w:val="auto"/>
              </w:rPr>
            </w:pPr>
          </w:p>
        </w:tc>
        <w:tc>
          <w:tcPr>
            <w:tcW w:w="70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20" w:type="dxa"/>
            <w:vAlign w:val="bottom"/>
            <w:shd w:val="clear" w:color="auto" w:fill="E6E6E6"/>
          </w:tcPr>
          <w:p>
            <w:pPr>
              <w:spacing w:after="0"/>
              <w:rPr>
                <w:sz w:val="23"/>
                <w:szCs w:val="23"/>
                <w:color w:val="auto"/>
              </w:rPr>
            </w:pPr>
          </w:p>
        </w:tc>
        <w:tc>
          <w:tcPr>
            <w:tcW w:w="62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160" w:type="dxa"/>
            <w:vAlign w:val="bottom"/>
            <w:shd w:val="clear" w:color="auto" w:fill="E6E6E6"/>
          </w:tcPr>
          <w:p>
            <w:pPr>
              <w:spacing w:after="0"/>
              <w:rPr>
                <w:sz w:val="23"/>
                <w:szCs w:val="23"/>
                <w:color w:val="auto"/>
              </w:rPr>
            </w:pPr>
          </w:p>
        </w:tc>
        <w:tc>
          <w:tcPr>
            <w:tcW w:w="700" w:type="dxa"/>
            <w:vAlign w:val="bottom"/>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4220" w:type="dxa"/>
            <w:vAlign w:val="bottom"/>
          </w:tcPr>
          <w:p>
            <w:pPr>
              <w:ind w:left="180"/>
              <w:spacing w:after="0" w:line="188" w:lineRule="exact"/>
              <w:rPr>
                <w:sz w:val="20"/>
                <w:szCs w:val="20"/>
                <w:color w:val="auto"/>
              </w:rPr>
            </w:pPr>
            <w:r>
              <w:rPr>
                <w:rFonts w:ascii="Arial" w:cs="Arial" w:eastAsia="Arial" w:hAnsi="Arial"/>
                <w:sz w:val="20"/>
                <w:szCs w:val="20"/>
                <w:color w:val="auto"/>
              </w:rPr>
              <w:t>Contingent consideration arrangement</w:t>
            </w:r>
          </w:p>
        </w:tc>
        <w:tc>
          <w:tcPr>
            <w:tcW w:w="1880" w:type="dxa"/>
            <w:vAlign w:val="bottom"/>
          </w:tcPr>
          <w:p>
            <w:pPr>
              <w:ind w:left="60"/>
              <w:spacing w:after="0" w:line="188" w:lineRule="exact"/>
              <w:rPr>
                <w:sz w:val="20"/>
                <w:szCs w:val="20"/>
                <w:color w:val="auto"/>
              </w:rPr>
            </w:pPr>
            <w:r>
              <w:rPr>
                <w:rFonts w:ascii="Arial" w:cs="Arial" w:eastAsia="Arial" w:hAnsi="Arial"/>
                <w:sz w:val="20"/>
                <w:szCs w:val="20"/>
                <w:color w:val="auto"/>
              </w:rPr>
              <w:t>Contingent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80,902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20"/>
                <w:szCs w:val="20"/>
                <w:color w:val="auto"/>
                <w:w w:val="98"/>
              </w:rPr>
              <w:t>80,902</w:t>
            </w:r>
          </w:p>
        </w:tc>
        <w:tc>
          <w:tcPr>
            <w:tcW w:w="0" w:type="dxa"/>
            <w:vAlign w:val="bottom"/>
          </w:tcPr>
          <w:p>
            <w:pPr>
              <w:spacing w:after="0"/>
              <w:rPr>
                <w:sz w:val="1"/>
                <w:szCs w:val="1"/>
                <w:color w:val="auto"/>
              </w:rPr>
            </w:pPr>
          </w:p>
        </w:tc>
      </w:tr>
      <w:tr>
        <w:trPr>
          <w:trHeight w:val="262"/>
        </w:trPr>
        <w:tc>
          <w:tcPr>
            <w:tcW w:w="4220" w:type="dxa"/>
            <w:vAlign w:val="bottom"/>
          </w:tcPr>
          <w:p>
            <w:pPr>
              <w:spacing w:after="0"/>
              <w:rPr>
                <w:sz w:val="22"/>
                <w:szCs w:val="22"/>
                <w:color w:val="auto"/>
              </w:rPr>
            </w:pPr>
          </w:p>
        </w:tc>
        <w:tc>
          <w:tcPr>
            <w:tcW w:w="1880" w:type="dxa"/>
            <w:vAlign w:val="bottom"/>
          </w:tcPr>
          <w:p>
            <w:pPr>
              <w:ind w:left="60"/>
              <w:spacing w:after="0"/>
              <w:rPr>
                <w:sz w:val="20"/>
                <w:szCs w:val="20"/>
                <w:color w:val="auto"/>
              </w:rPr>
            </w:pPr>
            <w:r>
              <w:rPr>
                <w:rFonts w:ascii="Arial" w:cs="Arial" w:eastAsia="Arial" w:hAnsi="Arial"/>
                <w:sz w:val="20"/>
                <w:szCs w:val="20"/>
                <w:color w:val="auto"/>
              </w:rPr>
              <w:t>consideration</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4220" w:type="dxa"/>
            <w:vAlign w:val="bottom"/>
            <w:shd w:val="clear" w:color="auto" w:fill="E6E6E6"/>
          </w:tcPr>
          <w:p>
            <w:pPr>
              <w:ind w:left="180"/>
              <w:spacing w:after="0" w:line="193" w:lineRule="exact"/>
              <w:rPr>
                <w:sz w:val="20"/>
                <w:szCs w:val="20"/>
                <w:color w:val="auto"/>
              </w:rPr>
            </w:pPr>
            <w:r>
              <w:rPr>
                <w:rFonts w:ascii="Arial" w:cs="Arial" w:eastAsia="Arial" w:hAnsi="Arial"/>
                <w:sz w:val="20"/>
                <w:szCs w:val="20"/>
                <w:color w:val="auto"/>
              </w:rPr>
              <w:t>Contingent consideration arrangement</w:t>
            </w:r>
          </w:p>
        </w:tc>
        <w:tc>
          <w:tcPr>
            <w:tcW w:w="1880" w:type="dxa"/>
            <w:vAlign w:val="bottom"/>
            <w:shd w:val="clear" w:color="auto" w:fill="E6E6E6"/>
          </w:tcPr>
          <w:p>
            <w:pPr>
              <w:ind w:left="60"/>
              <w:spacing w:after="0" w:line="193" w:lineRule="exact"/>
              <w:rPr>
                <w:sz w:val="20"/>
                <w:szCs w:val="20"/>
                <w:color w:val="auto"/>
              </w:rPr>
            </w:pPr>
            <w:r>
              <w:rPr>
                <w:rFonts w:ascii="Arial" w:cs="Arial" w:eastAsia="Arial" w:hAnsi="Arial"/>
                <w:sz w:val="20"/>
                <w:szCs w:val="20"/>
                <w:color w:val="auto"/>
                <w:w w:val="93"/>
              </w:rPr>
              <w:t>Accrued liabilities and</w:t>
            </w:r>
          </w:p>
        </w:tc>
        <w:tc>
          <w:tcPr>
            <w:tcW w:w="80" w:type="dxa"/>
            <w:vAlign w:val="bottom"/>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88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13,750</w:t>
            </w:r>
          </w:p>
        </w:tc>
        <w:tc>
          <w:tcPr>
            <w:tcW w:w="80" w:type="dxa"/>
            <w:vAlign w:val="bottom"/>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70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20" w:type="dxa"/>
            <w:vAlign w:val="bottom"/>
            <w:shd w:val="clear" w:color="auto" w:fill="E6E6E6"/>
          </w:tcPr>
          <w:p>
            <w:pPr>
              <w:spacing w:after="0"/>
              <w:rPr>
                <w:sz w:val="16"/>
                <w:szCs w:val="16"/>
                <w:color w:val="auto"/>
              </w:rPr>
            </w:pPr>
          </w:p>
        </w:tc>
        <w:tc>
          <w:tcPr>
            <w:tcW w:w="62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70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w w:val="98"/>
              </w:rPr>
              <w:t>13,750</w:t>
            </w:r>
          </w:p>
        </w:tc>
        <w:tc>
          <w:tcPr>
            <w:tcW w:w="0" w:type="dxa"/>
            <w:vAlign w:val="bottom"/>
          </w:tcPr>
          <w:p>
            <w:pPr>
              <w:spacing w:after="0"/>
              <w:rPr>
                <w:sz w:val="1"/>
                <w:szCs w:val="1"/>
                <w:color w:val="auto"/>
              </w:rPr>
            </w:pPr>
          </w:p>
        </w:tc>
      </w:tr>
      <w:tr>
        <w:trPr>
          <w:trHeight w:val="258"/>
        </w:trPr>
        <w:tc>
          <w:tcPr>
            <w:tcW w:w="4220" w:type="dxa"/>
            <w:vAlign w:val="bottom"/>
            <w:tcBorders>
              <w:bottom w:val="single" w:sz="8" w:color="E6E6E6"/>
            </w:tcBorders>
            <w:shd w:val="clear" w:color="auto" w:fill="E6E6E6"/>
          </w:tcPr>
          <w:p>
            <w:pPr>
              <w:spacing w:after="0"/>
              <w:rPr>
                <w:sz w:val="22"/>
                <w:szCs w:val="22"/>
                <w:color w:val="auto"/>
              </w:rPr>
            </w:pPr>
          </w:p>
        </w:tc>
        <w:tc>
          <w:tcPr>
            <w:tcW w:w="18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other</w:t>
            </w:r>
          </w:p>
        </w:tc>
        <w:tc>
          <w:tcPr>
            <w:tcW w:w="80" w:type="dxa"/>
            <w:vAlign w:val="bottom"/>
            <w:tcBorders>
              <w:bottom w:val="single" w:sz="8" w:color="E6E6E6"/>
            </w:tcBorders>
            <w:shd w:val="clear" w:color="auto" w:fill="E6E6E6"/>
          </w:tcPr>
          <w:p>
            <w:pPr>
              <w:spacing w:after="0"/>
              <w:rPr>
                <w:sz w:val="22"/>
                <w:szCs w:val="22"/>
                <w:color w:val="auto"/>
              </w:rPr>
            </w:pPr>
          </w:p>
        </w:tc>
        <w:tc>
          <w:tcPr>
            <w:tcW w:w="160" w:type="dxa"/>
            <w:vAlign w:val="bottom"/>
            <w:tcBorders>
              <w:bottom w:val="single" w:sz="8" w:color="auto"/>
            </w:tcBorders>
            <w:shd w:val="clear" w:color="auto" w:fill="E6E6E6"/>
          </w:tcPr>
          <w:p>
            <w:pPr>
              <w:spacing w:after="0"/>
              <w:rPr>
                <w:sz w:val="22"/>
                <w:szCs w:val="22"/>
                <w:color w:val="auto"/>
              </w:rPr>
            </w:pPr>
          </w:p>
        </w:tc>
        <w:tc>
          <w:tcPr>
            <w:tcW w:w="880" w:type="dxa"/>
            <w:vAlign w:val="bottom"/>
            <w:tcBorders>
              <w:bottom w:val="single" w:sz="8" w:color="auto"/>
            </w:tcBorders>
            <w:vMerge w:val="continue"/>
            <w:shd w:val="clear" w:color="auto" w:fill="E6E6E6"/>
          </w:tcPr>
          <w:p>
            <w:pPr>
              <w:spacing w:after="0"/>
              <w:rPr>
                <w:sz w:val="22"/>
                <w:szCs w:val="22"/>
                <w:color w:val="auto"/>
              </w:rPr>
            </w:pPr>
          </w:p>
        </w:tc>
        <w:tc>
          <w:tcPr>
            <w:tcW w:w="80" w:type="dxa"/>
            <w:vAlign w:val="bottom"/>
            <w:tcBorders>
              <w:bottom w:val="single" w:sz="8" w:color="E6E6E6"/>
            </w:tcBorders>
            <w:shd w:val="clear" w:color="auto" w:fill="E6E6E6"/>
          </w:tcPr>
          <w:p>
            <w:pPr>
              <w:spacing w:after="0"/>
              <w:rPr>
                <w:sz w:val="22"/>
                <w:szCs w:val="22"/>
                <w:color w:val="auto"/>
              </w:rPr>
            </w:pPr>
          </w:p>
        </w:tc>
        <w:tc>
          <w:tcPr>
            <w:tcW w:w="160" w:type="dxa"/>
            <w:vAlign w:val="bottom"/>
            <w:tcBorders>
              <w:bottom w:val="single" w:sz="8" w:color="auto"/>
            </w:tcBorders>
            <w:shd w:val="clear" w:color="auto" w:fill="E6E6E6"/>
          </w:tcPr>
          <w:p>
            <w:pPr>
              <w:spacing w:after="0"/>
              <w:rPr>
                <w:sz w:val="22"/>
                <w:szCs w:val="22"/>
                <w:color w:val="auto"/>
              </w:rPr>
            </w:pPr>
          </w:p>
        </w:tc>
        <w:tc>
          <w:tcPr>
            <w:tcW w:w="700" w:type="dxa"/>
            <w:vAlign w:val="bottom"/>
            <w:tcBorders>
              <w:bottom w:val="single" w:sz="8" w:color="auto"/>
            </w:tcBorders>
            <w:vMerge w:val="continue"/>
            <w:shd w:val="clear" w:color="auto" w:fill="E6E6E6"/>
          </w:tcPr>
          <w:p>
            <w:pPr>
              <w:spacing w:after="0"/>
              <w:rPr>
                <w:sz w:val="22"/>
                <w:szCs w:val="22"/>
                <w:color w:val="auto"/>
              </w:rPr>
            </w:pPr>
          </w:p>
        </w:tc>
        <w:tc>
          <w:tcPr>
            <w:tcW w:w="8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220" w:type="dxa"/>
            <w:vAlign w:val="bottom"/>
            <w:tcBorders>
              <w:bottom w:val="single" w:sz="8" w:color="auto"/>
            </w:tcBorders>
            <w:shd w:val="clear" w:color="auto" w:fill="E6E6E6"/>
          </w:tcPr>
          <w:p>
            <w:pPr>
              <w:spacing w:after="0"/>
              <w:rPr>
                <w:sz w:val="22"/>
                <w:szCs w:val="22"/>
                <w:color w:val="auto"/>
              </w:rPr>
            </w:pPr>
          </w:p>
        </w:tc>
        <w:tc>
          <w:tcPr>
            <w:tcW w:w="620" w:type="dxa"/>
            <w:vAlign w:val="bottom"/>
            <w:tcBorders>
              <w:bottom w:val="single" w:sz="8" w:color="auto"/>
            </w:tcBorders>
            <w:vMerge w:val="continue"/>
            <w:shd w:val="clear" w:color="auto" w:fill="E6E6E6"/>
          </w:tcPr>
          <w:p>
            <w:pPr>
              <w:spacing w:after="0"/>
              <w:rPr>
                <w:sz w:val="22"/>
                <w:szCs w:val="22"/>
                <w:color w:val="auto"/>
              </w:rPr>
            </w:pPr>
          </w:p>
        </w:tc>
        <w:tc>
          <w:tcPr>
            <w:tcW w:w="80" w:type="dxa"/>
            <w:vAlign w:val="bottom"/>
            <w:tcBorders>
              <w:bottom w:val="single" w:sz="8" w:color="E6E6E6"/>
            </w:tcBorders>
            <w:shd w:val="clear" w:color="auto" w:fill="E6E6E6"/>
          </w:tcPr>
          <w:p>
            <w:pPr>
              <w:spacing w:after="0"/>
              <w:rPr>
                <w:sz w:val="22"/>
                <w:szCs w:val="22"/>
                <w:color w:val="auto"/>
              </w:rPr>
            </w:pPr>
          </w:p>
        </w:tc>
        <w:tc>
          <w:tcPr>
            <w:tcW w:w="160" w:type="dxa"/>
            <w:vAlign w:val="bottom"/>
            <w:tcBorders>
              <w:bottom w:val="single" w:sz="8" w:color="auto"/>
            </w:tcBorders>
            <w:shd w:val="clear" w:color="auto" w:fill="E6E6E6"/>
          </w:tcPr>
          <w:p>
            <w:pPr>
              <w:spacing w:after="0"/>
              <w:rPr>
                <w:sz w:val="22"/>
                <w:szCs w:val="22"/>
                <w:color w:val="auto"/>
              </w:rPr>
            </w:pPr>
          </w:p>
        </w:tc>
        <w:tc>
          <w:tcPr>
            <w:tcW w:w="700" w:type="dxa"/>
            <w:vAlign w:val="bottom"/>
            <w:tcBorders>
              <w:bottom w:val="single" w:sz="8" w:color="auto"/>
            </w:tcBorders>
            <w:vMerge w:val="continue"/>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42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144,104</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320" w:type="dxa"/>
            <w:vAlign w:val="bottom"/>
            <w:gridSpan w:val="3"/>
          </w:tcPr>
          <w:p>
            <w:pPr>
              <w:jc w:val="right"/>
              <w:ind w:right="2"/>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3,883</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w w:val="82"/>
              </w:rPr>
              <w:t>140,221</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3912235</wp:posOffset>
            </wp:positionH>
            <wp:positionV relativeFrom="paragraph">
              <wp:posOffset>-4759960</wp:posOffset>
            </wp:positionV>
            <wp:extent cx="2480310"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24">
                      <a:extLst>
                        <a:ext uri="{28A0092B-C50C-407E-A947-70E740481C1C}"/>
                      </a:extLst>
                    </a:blip>
                    <a:srcRect/>
                    <a:stretch>
                      <a:fillRect/>
                    </a:stretch>
                  </pic:blipFill>
                  <pic:spPr bwMode="auto">
                    <a:xfrm>
                      <a:off x="0" y="0"/>
                      <a:ext cx="2480310" cy="25400"/>
                    </a:xfrm>
                    <a:prstGeom prst="rect">
                      <a:avLst/>
                    </a:prstGeom>
                    <a:noFill/>
                  </pic:spPr>
                </pic:pic>
              </a:graphicData>
            </a:graphic>
          </wp:anchor>
        </w:drawing>
        <w:drawing>
          <wp:anchor simplePos="0" relativeHeight="251657728" behindDoc="1" locked="0" layoutInCell="0" allowOverlap="1">
            <wp:simplePos x="0" y="0"/>
            <wp:positionH relativeFrom="column">
              <wp:posOffset>3912235</wp:posOffset>
            </wp:positionH>
            <wp:positionV relativeFrom="paragraph">
              <wp:posOffset>-4595495</wp:posOffset>
            </wp:positionV>
            <wp:extent cx="2480310" cy="501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25">
                      <a:extLst>
                        <a:ext uri="{28A0092B-C50C-407E-A947-70E740481C1C}"/>
                      </a:extLst>
                    </a:blip>
                    <a:srcRect/>
                    <a:stretch>
                      <a:fillRect/>
                    </a:stretch>
                  </pic:blipFill>
                  <pic:spPr bwMode="auto">
                    <a:xfrm>
                      <a:off x="0" y="0"/>
                      <a:ext cx="2480310" cy="50165"/>
                    </a:xfrm>
                    <a:prstGeom prst="rect">
                      <a:avLst/>
                    </a:prstGeom>
                    <a:noFill/>
                  </pic:spPr>
                </pic:pic>
              </a:graphicData>
            </a:graphic>
          </wp:anchor>
        </w:drawing>
        <w:drawing>
          <wp:anchor simplePos="0" relativeHeight="251657728" behindDoc="1" locked="0" layoutInCell="0" allowOverlap="1">
            <wp:simplePos x="0" y="0"/>
            <wp:positionH relativeFrom="column">
              <wp:posOffset>3912235</wp:posOffset>
            </wp:positionH>
            <wp:positionV relativeFrom="paragraph">
              <wp:posOffset>-3341370</wp:posOffset>
            </wp:positionV>
            <wp:extent cx="2480310"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26">
                      <a:extLst>
                        <a:ext uri="{28A0092B-C50C-407E-A947-70E740481C1C}"/>
                      </a:extLst>
                    </a:blip>
                    <a:srcRect/>
                    <a:stretch>
                      <a:fillRect/>
                    </a:stretch>
                  </pic:blipFill>
                  <pic:spPr bwMode="auto">
                    <a:xfrm>
                      <a:off x="0" y="0"/>
                      <a:ext cx="2480310" cy="25400"/>
                    </a:xfrm>
                    <a:prstGeom prst="rect">
                      <a:avLst/>
                    </a:prstGeom>
                    <a:noFill/>
                  </pic:spPr>
                </pic:pic>
              </a:graphicData>
            </a:graphic>
          </wp:anchor>
        </w:drawing>
        <w:drawing>
          <wp:anchor simplePos="0" relativeHeight="251657728" behindDoc="1" locked="0" layoutInCell="0" allowOverlap="1">
            <wp:simplePos x="0" y="0"/>
            <wp:positionH relativeFrom="column">
              <wp:posOffset>3912235</wp:posOffset>
            </wp:positionH>
            <wp:positionV relativeFrom="paragraph">
              <wp:posOffset>-3176270</wp:posOffset>
            </wp:positionV>
            <wp:extent cx="2480310" cy="501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27">
                      <a:extLst>
                        <a:ext uri="{28A0092B-C50C-407E-A947-70E740481C1C}"/>
                      </a:extLst>
                    </a:blip>
                    <a:srcRect/>
                    <a:stretch>
                      <a:fillRect/>
                    </a:stretch>
                  </pic:blipFill>
                  <pic:spPr bwMode="auto">
                    <a:xfrm>
                      <a:off x="0" y="0"/>
                      <a:ext cx="2480310" cy="50165"/>
                    </a:xfrm>
                    <a:prstGeom prst="rect">
                      <a:avLst/>
                    </a:prstGeom>
                    <a:noFill/>
                  </pic:spPr>
                </pic:pic>
              </a:graphicData>
            </a:graphic>
          </wp:anchor>
        </w:drawing>
        <w:drawing>
          <wp:anchor simplePos="0" relativeHeight="251657728" behindDoc="1" locked="0" layoutInCell="0" allowOverlap="1">
            <wp:simplePos x="0" y="0"/>
            <wp:positionH relativeFrom="column">
              <wp:posOffset>3912235</wp:posOffset>
            </wp:positionH>
            <wp:positionV relativeFrom="paragraph">
              <wp:posOffset>-1916430</wp:posOffset>
            </wp:positionV>
            <wp:extent cx="2480310"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28">
                      <a:extLst>
                        <a:ext uri="{28A0092B-C50C-407E-A947-70E740481C1C}"/>
                      </a:extLst>
                    </a:blip>
                    <a:srcRect/>
                    <a:stretch>
                      <a:fillRect/>
                    </a:stretch>
                  </pic:blipFill>
                  <pic:spPr bwMode="auto">
                    <a:xfrm>
                      <a:off x="0" y="0"/>
                      <a:ext cx="2480310" cy="25400"/>
                    </a:xfrm>
                    <a:prstGeom prst="rect">
                      <a:avLst/>
                    </a:prstGeom>
                    <a:noFill/>
                  </pic:spPr>
                </pic:pic>
              </a:graphicData>
            </a:graphic>
          </wp:anchor>
        </w:drawing>
        <w:drawing>
          <wp:anchor simplePos="0" relativeHeight="251657728" behindDoc="1" locked="0" layoutInCell="0" allowOverlap="1">
            <wp:simplePos x="0" y="0"/>
            <wp:positionH relativeFrom="column">
              <wp:posOffset>3912235</wp:posOffset>
            </wp:positionH>
            <wp:positionV relativeFrom="paragraph">
              <wp:posOffset>-1751330</wp:posOffset>
            </wp:positionV>
            <wp:extent cx="2480310" cy="501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29">
                      <a:extLst>
                        <a:ext uri="{28A0092B-C50C-407E-A947-70E740481C1C}"/>
                      </a:extLst>
                    </a:blip>
                    <a:srcRect/>
                    <a:stretch>
                      <a:fillRect/>
                    </a:stretch>
                  </pic:blipFill>
                  <pic:spPr bwMode="auto">
                    <a:xfrm>
                      <a:off x="0" y="0"/>
                      <a:ext cx="2480310" cy="50165"/>
                    </a:xfrm>
                    <a:prstGeom prst="rect">
                      <a:avLst/>
                    </a:prstGeom>
                    <a:noFill/>
                  </pic:spPr>
                </pic:pic>
              </a:graphicData>
            </a:graphic>
          </wp:anchor>
        </w:drawing>
        <w:drawing>
          <wp:anchor simplePos="0" relativeHeight="251657728" behindDoc="1" locked="0" layoutInCell="0" allowOverlap="1">
            <wp:simplePos x="0" y="0"/>
            <wp:positionH relativeFrom="column">
              <wp:posOffset>3912235</wp:posOffset>
            </wp:positionH>
            <wp:positionV relativeFrom="paragraph">
              <wp:posOffset>-208280</wp:posOffset>
            </wp:positionV>
            <wp:extent cx="2480310"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30">
                      <a:extLst>
                        <a:ext uri="{28A0092B-C50C-407E-A947-70E740481C1C}"/>
                      </a:extLst>
                    </a:blip>
                    <a:srcRect/>
                    <a:stretch>
                      <a:fillRect/>
                    </a:stretch>
                  </pic:blipFill>
                  <pic:spPr bwMode="auto">
                    <a:xfrm>
                      <a:off x="0" y="0"/>
                      <a:ext cx="2480310" cy="25400"/>
                    </a:xfrm>
                    <a:prstGeom prst="rect">
                      <a:avLst/>
                    </a:prstGeom>
                    <a:noFill/>
                  </pic:spPr>
                </pic:pic>
              </a:graphicData>
            </a:graphic>
          </wp:anchor>
        </w:drawing>
      </w:r>
    </w:p>
    <w:p>
      <w:pPr>
        <w:sectPr>
          <w:pgSz w:w="11880" w:h="15480" w:orient="portrait"/>
          <w:cols w:equalWidth="0" w:num="1">
            <w:col w:w="10040"/>
          </w:cols>
          <w:pgMar w:left="920" w:top="65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ectPr>
          <w:pgSz w:w="11880" w:h="15480" w:orient="portrait"/>
          <w:cols w:equalWidth="0" w:num="1">
            <w:col w:w="10040"/>
          </w:cols>
          <w:pgMar w:left="920" w:top="658" w:right="920" w:bottom="0" w:gutter="0" w:footer="0" w:header="0"/>
          <w:type w:val="continuous"/>
        </w:sectPr>
      </w:pPr>
    </w:p>
    <w:bookmarkStart w:id="81" w:name="page82"/>
    <w:bookmarkEnd w:id="81"/>
    <w:p>
      <w:pPr>
        <w:spacing w:after="0"/>
        <w:rPr>
          <w:sz w:val="20"/>
          <w:szCs w:val="20"/>
          <w:color w:val="auto"/>
        </w:rPr>
      </w:pPr>
      <w:r>
        <w:rPr>
          <w:rFonts w:ascii="Arial" w:cs="Arial" w:eastAsia="Arial" w:hAnsi="Arial"/>
          <w:sz w:val="22"/>
          <w:szCs w:val="22"/>
          <w:color w:val="auto"/>
        </w:rPr>
        <w:t>Reconciliation of Level 3 Assets and Liabilities</w:t>
      </w:r>
    </w:p>
    <w:p>
      <w:pPr>
        <w:spacing w:after="0" w:line="140" w:lineRule="exact"/>
        <w:rPr>
          <w:sz w:val="20"/>
          <w:szCs w:val="20"/>
          <w:color w:val="auto"/>
        </w:rPr>
      </w:pPr>
    </w:p>
    <w:p>
      <w:pPr>
        <w:ind w:right="20"/>
        <w:spacing w:after="0" w:line="284" w:lineRule="auto"/>
        <w:rPr>
          <w:sz w:val="20"/>
          <w:szCs w:val="20"/>
          <w:color w:val="auto"/>
        </w:rPr>
      </w:pPr>
      <w:r>
        <w:rPr>
          <w:rFonts w:ascii="Arial" w:cs="Arial" w:eastAsia="Arial" w:hAnsi="Arial"/>
          <w:sz w:val="20"/>
          <w:szCs w:val="20"/>
          <w:color w:val="auto"/>
        </w:rPr>
        <w:t>The following tables present reconciliations of recurring fair value measurements that use significant unobservable inputs (Level 3) (in thousands):</w:t>
      </w:r>
    </w:p>
    <w:tbl>
      <w:tblPr>
        <w:tblLayout w:type="fixed"/>
        <w:tblInd w:w="0" w:type="dxa"/>
        <w:tblCellMar>
          <w:top w:w="0" w:type="dxa"/>
          <w:left w:w="0" w:type="dxa"/>
          <w:bottom w:w="0" w:type="dxa"/>
          <w:right w:w="0" w:type="dxa"/>
        </w:tblCellMar>
      </w:tblPr>
      <w:tr>
        <w:trPr>
          <w:trHeight w:val="205"/>
        </w:trPr>
        <w:tc>
          <w:tcPr>
            <w:tcW w:w="2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ind w:right="82"/>
              <w:spacing w:after="0" w:line="206" w:lineRule="exact"/>
              <w:rPr>
                <w:sz w:val="20"/>
                <w:szCs w:val="20"/>
                <w:color w:val="auto"/>
              </w:rPr>
            </w:pPr>
            <w:r>
              <w:rPr>
                <w:rFonts w:ascii="Arial" w:cs="Arial" w:eastAsia="Arial" w:hAnsi="Arial"/>
                <w:sz w:val="20"/>
                <w:szCs w:val="20"/>
                <w:b w:val="1"/>
                <w:bCs w:val="1"/>
                <w:color w:val="auto"/>
                <w:w w:val="89"/>
              </w:rPr>
              <w:t>Capped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center"/>
              <w:ind w:right="82"/>
              <w:spacing w:after="0" w:line="206" w:lineRule="exact"/>
              <w:rPr>
                <w:sz w:val="20"/>
                <w:szCs w:val="20"/>
                <w:color w:val="auto"/>
              </w:rPr>
            </w:pPr>
            <w:r>
              <w:rPr>
                <w:rFonts w:ascii="Arial" w:cs="Arial" w:eastAsia="Arial" w:hAnsi="Arial"/>
                <w:sz w:val="20"/>
                <w:szCs w:val="20"/>
                <w:b w:val="1"/>
                <w:bCs w:val="1"/>
                <w:color w:val="auto"/>
                <w:w w:val="89"/>
              </w:rPr>
              <w:t>Capped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ind w:right="82"/>
              <w:spacing w:after="0" w:line="196" w:lineRule="exact"/>
              <w:rPr>
                <w:sz w:val="20"/>
                <w:szCs w:val="20"/>
                <w:color w:val="auto"/>
              </w:rPr>
            </w:pPr>
            <w:r>
              <w:rPr>
                <w:rFonts w:ascii="Arial" w:cs="Arial" w:eastAsia="Arial" w:hAnsi="Arial"/>
                <w:sz w:val="20"/>
                <w:szCs w:val="20"/>
                <w:b w:val="1"/>
                <w:bCs w:val="1"/>
                <w:color w:val="auto"/>
                <w:w w:val="92"/>
              </w:rPr>
              <w:t>Call</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center"/>
              <w:ind w:right="82"/>
              <w:spacing w:after="0" w:line="196" w:lineRule="exact"/>
              <w:rPr>
                <w:sz w:val="20"/>
                <w:szCs w:val="20"/>
                <w:color w:val="auto"/>
              </w:rPr>
            </w:pPr>
            <w:r>
              <w:rPr>
                <w:rFonts w:ascii="Arial" w:cs="Arial" w:eastAsia="Arial" w:hAnsi="Arial"/>
                <w:sz w:val="20"/>
                <w:szCs w:val="20"/>
                <w:b w:val="1"/>
                <w:bCs w:val="1"/>
                <w:color w:val="auto"/>
                <w:w w:val="92"/>
              </w:rPr>
              <w:t>Call</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vMerge w:val="restart"/>
          </w:tcPr>
          <w:p>
            <w:pPr>
              <w:jc w:val="center"/>
              <w:ind w:right="62"/>
              <w:spacing w:after="0"/>
              <w:rPr>
                <w:sz w:val="20"/>
                <w:szCs w:val="20"/>
                <w:color w:val="auto"/>
              </w:rPr>
            </w:pPr>
            <w:r>
              <w:rPr>
                <w:rFonts w:ascii="Arial" w:cs="Arial" w:eastAsia="Arial" w:hAnsi="Arial"/>
                <w:sz w:val="20"/>
                <w:szCs w:val="20"/>
                <w:b w:val="1"/>
                <w:bCs w:val="1"/>
                <w:color w:val="auto"/>
                <w:w w:val="87"/>
              </w:rPr>
              <w:t>Embedded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vMerge w:val="restart"/>
          </w:tcPr>
          <w:p>
            <w:pPr>
              <w:jc w:val="center"/>
              <w:ind w:right="62"/>
              <w:spacing w:after="0"/>
              <w:rPr>
                <w:sz w:val="20"/>
                <w:szCs w:val="20"/>
                <w:color w:val="auto"/>
              </w:rPr>
            </w:pPr>
            <w:r>
              <w:rPr>
                <w:rFonts w:ascii="Arial" w:cs="Arial" w:eastAsia="Arial" w:hAnsi="Arial"/>
                <w:sz w:val="20"/>
                <w:szCs w:val="20"/>
                <w:b w:val="1"/>
                <w:bCs w:val="1"/>
                <w:color w:val="auto"/>
                <w:w w:val="87"/>
              </w:rPr>
              <w:t>Embedded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vMerge w:val="restart"/>
          </w:tcPr>
          <w:p>
            <w:pPr>
              <w:jc w:val="center"/>
              <w:ind w:right="42"/>
              <w:spacing w:after="0"/>
              <w:rPr>
                <w:sz w:val="20"/>
                <w:szCs w:val="20"/>
                <w:color w:val="auto"/>
              </w:rPr>
            </w:pPr>
            <w:r>
              <w:rPr>
                <w:rFonts w:ascii="Arial" w:cs="Arial" w:eastAsia="Arial" w:hAnsi="Arial"/>
                <w:sz w:val="20"/>
                <w:szCs w:val="20"/>
                <w:b w:val="1"/>
                <w:bCs w:val="1"/>
                <w:color w:val="auto"/>
                <w:w w:val="89"/>
              </w:rPr>
              <w:t>Contingent</w:t>
            </w:r>
          </w:p>
        </w:tc>
        <w:tc>
          <w:tcPr>
            <w:tcW w:w="0" w:type="dxa"/>
            <w:vAlign w:val="bottom"/>
          </w:tcPr>
          <w:p>
            <w:pPr>
              <w:spacing w:after="0"/>
              <w:rPr>
                <w:sz w:val="1"/>
                <w:szCs w:val="1"/>
                <w:color w:val="auto"/>
              </w:rPr>
            </w:pPr>
          </w:p>
        </w:tc>
      </w:tr>
      <w:tr>
        <w:trPr>
          <w:trHeight w:val="196"/>
        </w:trPr>
        <w:tc>
          <w:tcPr>
            <w:tcW w:w="2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gridSpan w:val="2"/>
          </w:tcPr>
          <w:p>
            <w:pPr>
              <w:jc w:val="center"/>
              <w:spacing w:after="0" w:line="196" w:lineRule="exact"/>
              <w:rPr>
                <w:sz w:val="20"/>
                <w:szCs w:val="20"/>
                <w:color w:val="auto"/>
              </w:rPr>
            </w:pPr>
            <w:r>
              <w:rPr>
                <w:rFonts w:ascii="Arial" w:cs="Arial" w:eastAsia="Arial" w:hAnsi="Arial"/>
                <w:sz w:val="20"/>
                <w:szCs w:val="20"/>
                <w:b w:val="1"/>
                <w:bCs w:val="1"/>
                <w:color w:val="auto"/>
                <w:w w:val="89"/>
              </w:rPr>
              <w:t>Derivative</w:t>
            </w:r>
          </w:p>
        </w:tc>
        <w:tc>
          <w:tcPr>
            <w:tcW w:w="80" w:type="dxa"/>
            <w:vAlign w:val="bottom"/>
          </w:tcPr>
          <w:p>
            <w:pPr>
              <w:spacing w:after="0"/>
              <w:rPr>
                <w:sz w:val="17"/>
                <w:szCs w:val="17"/>
                <w:color w:val="auto"/>
              </w:rPr>
            </w:pPr>
          </w:p>
        </w:tc>
        <w:tc>
          <w:tcPr>
            <w:tcW w:w="1100" w:type="dxa"/>
            <w:vAlign w:val="bottom"/>
            <w:gridSpan w:val="2"/>
          </w:tcPr>
          <w:p>
            <w:pPr>
              <w:jc w:val="center"/>
              <w:spacing w:after="0" w:line="196" w:lineRule="exact"/>
              <w:rPr>
                <w:sz w:val="20"/>
                <w:szCs w:val="20"/>
                <w:color w:val="auto"/>
              </w:rPr>
            </w:pPr>
            <w:r>
              <w:rPr>
                <w:rFonts w:ascii="Arial" w:cs="Arial" w:eastAsia="Arial" w:hAnsi="Arial"/>
                <w:sz w:val="20"/>
                <w:szCs w:val="20"/>
                <w:b w:val="1"/>
                <w:bCs w:val="1"/>
                <w:color w:val="auto"/>
                <w:w w:val="89"/>
              </w:rPr>
              <w:t>Derivative</w:t>
            </w:r>
          </w:p>
        </w:tc>
        <w:tc>
          <w:tcPr>
            <w:tcW w:w="80" w:type="dxa"/>
            <w:vAlign w:val="bottom"/>
          </w:tcPr>
          <w:p>
            <w:pPr>
              <w:spacing w:after="0"/>
              <w:rPr>
                <w:sz w:val="17"/>
                <w:szCs w:val="17"/>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20"/>
                <w:szCs w:val="20"/>
                <w:b w:val="1"/>
                <w:bCs w:val="1"/>
                <w:color w:val="auto"/>
                <w:w w:val="90"/>
              </w:rPr>
              <w:t>Convertible</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ind w:right="62"/>
              <w:spacing w:after="0" w:line="196" w:lineRule="exact"/>
              <w:rPr>
                <w:sz w:val="20"/>
                <w:szCs w:val="20"/>
                <w:color w:val="auto"/>
              </w:rPr>
            </w:pPr>
            <w:r>
              <w:rPr>
                <w:rFonts w:ascii="Arial" w:cs="Arial" w:eastAsia="Arial" w:hAnsi="Arial"/>
                <w:sz w:val="20"/>
                <w:szCs w:val="20"/>
                <w:b w:val="1"/>
                <w:bCs w:val="1"/>
                <w:color w:val="auto"/>
                <w:w w:val="79"/>
              </w:rPr>
              <w:t>Assets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center"/>
              <w:ind w:right="82"/>
              <w:spacing w:after="0" w:line="196" w:lineRule="exact"/>
              <w:rPr>
                <w:sz w:val="20"/>
                <w:szCs w:val="20"/>
                <w:color w:val="auto"/>
              </w:rPr>
            </w:pPr>
            <w:r>
              <w:rPr>
                <w:rFonts w:ascii="Arial" w:cs="Arial" w:eastAsia="Arial" w:hAnsi="Arial"/>
                <w:sz w:val="20"/>
                <w:szCs w:val="20"/>
                <w:b w:val="1"/>
                <w:bCs w:val="1"/>
                <w:color w:val="auto"/>
                <w:w w:val="82"/>
              </w:rPr>
              <w:t>Assets</w:t>
            </w:r>
          </w:p>
        </w:tc>
        <w:tc>
          <w:tcPr>
            <w:tcW w:w="8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42"/>
              <w:spacing w:after="0" w:line="196" w:lineRule="exact"/>
              <w:rPr>
                <w:sz w:val="20"/>
                <w:szCs w:val="20"/>
                <w:color w:val="auto"/>
              </w:rPr>
            </w:pPr>
            <w:r>
              <w:rPr>
                <w:rFonts w:ascii="Arial" w:cs="Arial" w:eastAsia="Arial" w:hAnsi="Arial"/>
                <w:sz w:val="20"/>
                <w:szCs w:val="20"/>
                <w:b w:val="1"/>
                <w:bCs w:val="1"/>
                <w:color w:val="auto"/>
                <w:w w:val="92"/>
              </w:rPr>
              <w:t>Derivative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62"/>
              <w:spacing w:after="0" w:line="196" w:lineRule="exact"/>
              <w:rPr>
                <w:sz w:val="20"/>
                <w:szCs w:val="20"/>
                <w:color w:val="auto"/>
              </w:rPr>
            </w:pPr>
            <w:r>
              <w:rPr>
                <w:rFonts w:ascii="Arial" w:cs="Arial" w:eastAsia="Arial" w:hAnsi="Arial"/>
                <w:sz w:val="20"/>
                <w:szCs w:val="20"/>
                <w:b w:val="1"/>
                <w:bCs w:val="1"/>
                <w:color w:val="auto"/>
                <w:w w:val="89"/>
              </w:rPr>
              <w:t>Derivative</w:t>
            </w:r>
          </w:p>
        </w:tc>
        <w:tc>
          <w:tcPr>
            <w:tcW w:w="80" w:type="dxa"/>
            <w:vAlign w:val="bottom"/>
          </w:tcPr>
          <w:p>
            <w:pPr>
              <w:spacing w:after="0"/>
              <w:rPr>
                <w:sz w:val="17"/>
                <w:szCs w:val="17"/>
                <w:color w:val="auto"/>
              </w:rPr>
            </w:pPr>
          </w:p>
        </w:tc>
        <w:tc>
          <w:tcPr>
            <w:tcW w:w="1340" w:type="dxa"/>
            <w:vAlign w:val="bottom"/>
            <w:gridSpan w:val="2"/>
          </w:tcPr>
          <w:p>
            <w:pPr>
              <w:jc w:val="center"/>
              <w:spacing w:after="0" w:line="196" w:lineRule="exact"/>
              <w:rPr>
                <w:sz w:val="20"/>
                <w:szCs w:val="20"/>
                <w:color w:val="auto"/>
              </w:rPr>
            </w:pPr>
            <w:r>
              <w:rPr>
                <w:rFonts w:ascii="Arial" w:cs="Arial" w:eastAsia="Arial" w:hAnsi="Arial"/>
                <w:sz w:val="20"/>
                <w:szCs w:val="20"/>
                <w:b w:val="1"/>
                <w:bCs w:val="1"/>
                <w:color w:val="auto"/>
                <w:w w:val="87"/>
              </w:rPr>
              <w:t>Consideration</w:t>
            </w:r>
          </w:p>
        </w:tc>
        <w:tc>
          <w:tcPr>
            <w:tcW w:w="0" w:type="dxa"/>
            <w:vAlign w:val="bottom"/>
          </w:tcPr>
          <w:p>
            <w:pPr>
              <w:spacing w:after="0"/>
              <w:rPr>
                <w:sz w:val="1"/>
                <w:szCs w:val="1"/>
                <w:color w:val="auto"/>
              </w:rPr>
            </w:pPr>
          </w:p>
        </w:tc>
      </w:tr>
      <w:tr>
        <w:trPr>
          <w:trHeight w:val="196"/>
        </w:trPr>
        <w:tc>
          <w:tcPr>
            <w:tcW w:w="2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ind w:right="82"/>
              <w:spacing w:after="0" w:line="196" w:lineRule="exact"/>
              <w:rPr>
                <w:sz w:val="20"/>
                <w:szCs w:val="20"/>
                <w:color w:val="auto"/>
              </w:rPr>
            </w:pPr>
            <w:r>
              <w:rPr>
                <w:rFonts w:ascii="Arial" w:cs="Arial" w:eastAsia="Arial" w:hAnsi="Arial"/>
                <w:sz w:val="20"/>
                <w:szCs w:val="20"/>
                <w:b w:val="1"/>
                <w:bCs w:val="1"/>
                <w:color w:val="auto"/>
                <w:w w:val="89"/>
              </w:rPr>
              <w:t>(2025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center"/>
              <w:ind w:right="82"/>
              <w:spacing w:after="0" w:line="196" w:lineRule="exact"/>
              <w:rPr>
                <w:sz w:val="20"/>
                <w:szCs w:val="20"/>
                <w:color w:val="auto"/>
              </w:rPr>
            </w:pPr>
            <w:r>
              <w:rPr>
                <w:rFonts w:ascii="Arial" w:cs="Arial" w:eastAsia="Arial" w:hAnsi="Arial"/>
                <w:sz w:val="20"/>
                <w:szCs w:val="20"/>
                <w:b w:val="1"/>
                <w:bCs w:val="1"/>
                <w:color w:val="auto"/>
                <w:w w:val="89"/>
              </w:rPr>
              <w:t>(2029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center"/>
              <w:ind w:right="42"/>
              <w:spacing w:after="0" w:line="196" w:lineRule="exact"/>
              <w:rPr>
                <w:sz w:val="20"/>
                <w:szCs w:val="20"/>
                <w:color w:val="auto"/>
              </w:rPr>
            </w:pPr>
            <w:r>
              <w:rPr>
                <w:rFonts w:ascii="Arial" w:cs="Arial" w:eastAsia="Arial" w:hAnsi="Arial"/>
                <w:sz w:val="20"/>
                <w:szCs w:val="20"/>
                <w:b w:val="1"/>
                <w:bCs w:val="1"/>
                <w:color w:val="auto"/>
                <w:w w:val="82"/>
              </w:rPr>
              <w:t>Notes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42"/>
              <w:spacing w:after="0" w:line="196" w:lineRule="exact"/>
              <w:rPr>
                <w:sz w:val="20"/>
                <w:szCs w:val="20"/>
                <w:color w:val="auto"/>
              </w:rPr>
            </w:pPr>
            <w:r>
              <w:rPr>
                <w:rFonts w:ascii="Arial" w:cs="Arial" w:eastAsia="Arial" w:hAnsi="Arial"/>
                <w:sz w:val="20"/>
                <w:szCs w:val="20"/>
                <w:b w:val="1"/>
                <w:bCs w:val="1"/>
                <w:color w:val="auto"/>
                <w:w w:val="95"/>
              </w:rPr>
              <w:t>Liability</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42"/>
              <w:spacing w:after="0" w:line="196" w:lineRule="exact"/>
              <w:rPr>
                <w:sz w:val="20"/>
                <w:szCs w:val="20"/>
                <w:color w:val="auto"/>
              </w:rPr>
            </w:pPr>
            <w:r>
              <w:rPr>
                <w:rFonts w:ascii="Arial" w:cs="Arial" w:eastAsia="Arial" w:hAnsi="Arial"/>
                <w:sz w:val="20"/>
                <w:szCs w:val="20"/>
                <w:b w:val="1"/>
                <w:bCs w:val="1"/>
                <w:color w:val="auto"/>
                <w:w w:val="95"/>
              </w:rPr>
              <w:t>Liability</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center"/>
              <w:ind w:right="42"/>
              <w:spacing w:after="0" w:line="196" w:lineRule="exact"/>
              <w:rPr>
                <w:sz w:val="20"/>
                <w:szCs w:val="20"/>
                <w:color w:val="auto"/>
              </w:rPr>
            </w:pPr>
            <w:r>
              <w:rPr>
                <w:rFonts w:ascii="Arial" w:cs="Arial" w:eastAsia="Arial" w:hAnsi="Arial"/>
                <w:sz w:val="20"/>
                <w:szCs w:val="20"/>
                <w:b w:val="1"/>
                <w:bCs w:val="1"/>
                <w:color w:val="auto"/>
                <w:w w:val="92"/>
              </w:rPr>
              <w:t>Liability</w:t>
            </w:r>
          </w:p>
        </w:tc>
        <w:tc>
          <w:tcPr>
            <w:tcW w:w="0" w:type="dxa"/>
            <w:vAlign w:val="bottom"/>
          </w:tcPr>
          <w:p>
            <w:pPr>
              <w:spacing w:after="0"/>
              <w:rPr>
                <w:sz w:val="1"/>
                <w:szCs w:val="1"/>
                <w:color w:val="auto"/>
              </w:rPr>
            </w:pPr>
          </w:p>
        </w:tc>
      </w:tr>
      <w:tr>
        <w:trPr>
          <w:trHeight w:val="258"/>
        </w:trPr>
        <w:tc>
          <w:tcPr>
            <w:tcW w:w="246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center"/>
              <w:ind w:right="82"/>
              <w:spacing w:after="0"/>
              <w:rPr>
                <w:sz w:val="20"/>
                <w:szCs w:val="20"/>
                <w:color w:val="auto"/>
              </w:rPr>
            </w:pPr>
            <w:r>
              <w:rPr>
                <w:rFonts w:ascii="Arial" w:cs="Arial" w:eastAsia="Arial" w:hAnsi="Arial"/>
                <w:sz w:val="20"/>
                <w:szCs w:val="20"/>
                <w:b w:val="1"/>
                <w:bCs w:val="1"/>
                <w:color w:val="auto"/>
                <w:w w:val="86"/>
              </w:rPr>
              <w:t>Notes)</w:t>
            </w:r>
          </w:p>
        </w:tc>
        <w:tc>
          <w:tcPr>
            <w:tcW w:w="80" w:type="dxa"/>
            <w:vAlign w:val="bottom"/>
            <w:tcBorders>
              <w:bottom w:val="single" w:sz="8" w:color="E6E6E6"/>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center"/>
              <w:ind w:right="82"/>
              <w:spacing w:after="0"/>
              <w:rPr>
                <w:sz w:val="20"/>
                <w:szCs w:val="20"/>
                <w:color w:val="auto"/>
              </w:rPr>
            </w:pPr>
            <w:r>
              <w:rPr>
                <w:rFonts w:ascii="Arial" w:cs="Arial" w:eastAsia="Arial" w:hAnsi="Arial"/>
                <w:sz w:val="20"/>
                <w:szCs w:val="20"/>
                <w:b w:val="1"/>
                <w:bCs w:val="1"/>
                <w:color w:val="auto"/>
                <w:w w:val="86"/>
              </w:rPr>
              <w:t>Notes)</w:t>
            </w:r>
          </w:p>
        </w:tc>
        <w:tc>
          <w:tcPr>
            <w:tcW w:w="80" w:type="dxa"/>
            <w:vAlign w:val="bottom"/>
            <w:tcBorders>
              <w:bottom w:val="single" w:sz="8" w:color="E6E6E6"/>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42"/>
              <w:spacing w:after="0"/>
              <w:rPr>
                <w:sz w:val="20"/>
                <w:szCs w:val="20"/>
                <w:color w:val="auto"/>
              </w:rPr>
            </w:pPr>
            <w:r>
              <w:rPr>
                <w:rFonts w:ascii="Arial" w:cs="Arial" w:eastAsia="Arial" w:hAnsi="Arial"/>
                <w:sz w:val="20"/>
                <w:szCs w:val="20"/>
                <w:b w:val="1"/>
                <w:bCs w:val="1"/>
                <w:color w:val="auto"/>
                <w:w w:val="86"/>
              </w:rPr>
              <w:t>Receivable</w:t>
            </w:r>
          </w:p>
        </w:tc>
        <w:tc>
          <w:tcPr>
            <w:tcW w:w="60" w:type="dxa"/>
            <w:vAlign w:val="bottom"/>
            <w:tcBorders>
              <w:bottom w:val="single" w:sz="8" w:color="E6E6E6"/>
            </w:tcBorders>
          </w:tcPr>
          <w:p>
            <w:pPr>
              <w:spacing w:after="0"/>
              <w:rPr>
                <w:sz w:val="22"/>
                <w:szCs w:val="22"/>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87"/>
              </w:rPr>
              <w:t>(2025 Notes)</w:t>
            </w:r>
          </w:p>
        </w:tc>
        <w:tc>
          <w:tcPr>
            <w:tcW w:w="80" w:type="dxa"/>
            <w:vAlign w:val="bottom"/>
            <w:tcBorders>
              <w:bottom w:val="single" w:sz="8" w:color="E6E6E6"/>
            </w:tcBorders>
          </w:tcPr>
          <w:p>
            <w:pPr>
              <w:spacing w:after="0"/>
              <w:rPr>
                <w:sz w:val="22"/>
                <w:szCs w:val="22"/>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87"/>
              </w:rPr>
              <w:t>(2029 Notes)</w:t>
            </w:r>
          </w:p>
        </w:tc>
        <w:tc>
          <w:tcPr>
            <w:tcW w:w="80" w:type="dxa"/>
            <w:vAlign w:val="bottom"/>
            <w:tcBorders>
              <w:bottom w:val="single" w:sz="8" w:color="E6E6E6"/>
            </w:tcBorders>
          </w:tcPr>
          <w:p>
            <w:pPr>
              <w:spacing w:after="0"/>
              <w:rPr>
                <w:sz w:val="22"/>
                <w:szCs w:val="22"/>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89"/>
              </w:rPr>
              <w:t>Arrangements</w:t>
            </w:r>
          </w:p>
        </w:tc>
        <w:tc>
          <w:tcPr>
            <w:tcW w:w="0" w:type="dxa"/>
            <w:vAlign w:val="bottom"/>
          </w:tcPr>
          <w:p>
            <w:pPr>
              <w:spacing w:after="0"/>
              <w:rPr>
                <w:sz w:val="1"/>
                <w:szCs w:val="1"/>
                <w:color w:val="auto"/>
              </w:rPr>
            </w:pPr>
          </w:p>
        </w:tc>
      </w:tr>
      <w:tr>
        <w:trPr>
          <w:trHeight w:val="269"/>
        </w:trPr>
        <w:tc>
          <w:tcPr>
            <w:tcW w:w="2500" w:type="dxa"/>
            <w:vAlign w:val="bottom"/>
            <w:gridSpan w:val="3"/>
            <w:shd w:val="clear" w:color="auto" w:fill="E6E6E6"/>
          </w:tcPr>
          <w:p>
            <w:pPr>
              <w:ind w:left="40"/>
              <w:spacing w:after="0"/>
              <w:rPr>
                <w:sz w:val="20"/>
                <w:szCs w:val="20"/>
                <w:color w:val="auto"/>
              </w:rPr>
            </w:pPr>
            <w:r>
              <w:rPr>
                <w:rFonts w:ascii="Arial" w:cs="Arial" w:eastAsia="Arial" w:hAnsi="Arial"/>
                <w:sz w:val="20"/>
                <w:szCs w:val="20"/>
                <w:color w:val="auto"/>
              </w:rPr>
              <w:t>As of December 31, 2022</w:t>
            </w:r>
          </w:p>
        </w:tc>
        <w:tc>
          <w:tcPr>
            <w:tcW w:w="140" w:type="dxa"/>
            <w:vAlign w:val="bottom"/>
            <w:shd w:val="clear" w:color="auto" w:fill="E6E6E6"/>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54,393</w:t>
            </w:r>
          </w:p>
        </w:tc>
        <w:tc>
          <w:tcPr>
            <w:tcW w:w="26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285</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85,675</w:t>
            </w:r>
          </w:p>
        </w:tc>
        <w:tc>
          <w:tcPr>
            <w:tcW w:w="24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26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85,292</w:t>
            </w:r>
          </w:p>
        </w:tc>
        <w:tc>
          <w:tcPr>
            <w:tcW w:w="0" w:type="dxa"/>
            <w:vAlign w:val="bottom"/>
          </w:tcPr>
          <w:p>
            <w:pPr>
              <w:spacing w:after="0"/>
              <w:rPr>
                <w:sz w:val="1"/>
                <w:szCs w:val="1"/>
                <w:color w:val="auto"/>
              </w:rPr>
            </w:pPr>
          </w:p>
        </w:tc>
      </w:tr>
      <w:tr>
        <w:trPr>
          <w:trHeight w:val="270"/>
        </w:trPr>
        <w:tc>
          <w:tcPr>
            <w:tcW w:w="2480" w:type="dxa"/>
            <w:vAlign w:val="bottom"/>
            <w:tcBorders>
              <w:bottom w:val="single" w:sz="8" w:color="E6E6E6"/>
            </w:tcBorders>
            <w:gridSpan w:val="2"/>
          </w:tcPr>
          <w:p>
            <w:pPr>
              <w:ind w:left="160"/>
              <w:spacing w:after="0" w:line="269" w:lineRule="exact"/>
              <w:rPr>
                <w:sz w:val="20"/>
                <w:szCs w:val="20"/>
                <w:color w:val="auto"/>
              </w:rPr>
            </w:pPr>
            <w:r>
              <w:rPr>
                <w:rFonts w:ascii="Arial" w:cs="Arial" w:eastAsia="Arial" w:hAnsi="Arial"/>
                <w:sz w:val="20"/>
                <w:szCs w:val="20"/>
                <w:color w:val="auto"/>
                <w:w w:val="96"/>
              </w:rPr>
              <w:t xml:space="preserve">Changes in fair value </w:t>
            </w:r>
            <w:r>
              <w:rPr>
                <w:rFonts w:ascii="Arial" w:cs="Arial" w:eastAsia="Arial" w:hAnsi="Arial"/>
                <w:sz w:val="25"/>
                <w:szCs w:val="25"/>
                <w:color w:val="auto"/>
                <w:w w:val="96"/>
                <w:vertAlign w:val="superscript"/>
              </w:rPr>
              <w:t>(1) (2)</w:t>
            </w: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(15,897)</w:t>
            </w:r>
          </w:p>
        </w:tc>
        <w:tc>
          <w:tcPr>
            <w:tcW w:w="80" w:type="dxa"/>
            <w:vAlign w:val="bottom"/>
            <w:tcBorders>
              <w:bottom w:val="single" w:sz="8" w:color="E6E6E6"/>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w:t>
            </w:r>
          </w:p>
        </w:tc>
        <w:tc>
          <w:tcPr>
            <w:tcW w:w="60" w:type="dxa"/>
            <w:vAlign w:val="bottom"/>
            <w:tcBorders>
              <w:bottom w:val="single" w:sz="8" w:color="E6E6E6"/>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(40,106)</w:t>
            </w:r>
          </w:p>
        </w:tc>
        <w:tc>
          <w:tcPr>
            <w:tcW w:w="80" w:type="dxa"/>
            <w:vAlign w:val="bottom"/>
            <w:tcBorders>
              <w:bottom w:val="single" w:sz="8" w:color="E6E6E6"/>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9,360</w:t>
            </w:r>
          </w:p>
        </w:tc>
        <w:tc>
          <w:tcPr>
            <w:tcW w:w="0" w:type="dxa"/>
            <w:vAlign w:val="bottom"/>
          </w:tcPr>
          <w:p>
            <w:pPr>
              <w:spacing w:after="0"/>
              <w:rPr>
                <w:sz w:val="1"/>
                <w:szCs w:val="1"/>
                <w:color w:val="auto"/>
              </w:rPr>
            </w:pPr>
          </w:p>
        </w:tc>
      </w:tr>
      <w:tr>
        <w:trPr>
          <w:trHeight w:val="269"/>
        </w:trPr>
        <w:tc>
          <w:tcPr>
            <w:tcW w:w="2500" w:type="dxa"/>
            <w:vAlign w:val="bottom"/>
            <w:gridSpan w:val="3"/>
            <w:shd w:val="clear" w:color="auto" w:fill="E6E6E6"/>
          </w:tcPr>
          <w:p>
            <w:pPr>
              <w:ind w:left="40"/>
              <w:spacing w:after="0"/>
              <w:rPr>
                <w:sz w:val="20"/>
                <w:szCs w:val="20"/>
                <w:color w:val="auto"/>
              </w:rPr>
            </w:pPr>
            <w:r>
              <w:rPr>
                <w:rFonts w:ascii="Arial" w:cs="Arial" w:eastAsia="Arial" w:hAnsi="Arial"/>
                <w:sz w:val="20"/>
                <w:szCs w:val="20"/>
                <w:color w:val="auto"/>
              </w:rPr>
              <w:t>As of December 31, 2023</w:t>
            </w:r>
          </w:p>
        </w:tc>
        <w:tc>
          <w:tcPr>
            <w:tcW w:w="140" w:type="dxa"/>
            <w:vAlign w:val="bottom"/>
            <w:shd w:val="clear" w:color="auto" w:fill="E6E6E6"/>
          </w:tcPr>
          <w:p>
            <w:pPr>
              <w:spacing w:after="0"/>
              <w:rPr>
                <w:sz w:val="23"/>
                <w:szCs w:val="23"/>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38,496</w:t>
            </w:r>
          </w:p>
        </w:tc>
        <w:tc>
          <w:tcPr>
            <w:tcW w:w="80" w:type="dxa"/>
            <w:vAlign w:val="bottom"/>
            <w:shd w:val="clear" w:color="auto" w:fill="E6E6E6"/>
          </w:tcPr>
          <w:p>
            <w:pPr>
              <w:spacing w:after="0"/>
              <w:rPr>
                <w:sz w:val="23"/>
                <w:szCs w:val="23"/>
                <w:color w:val="auto"/>
              </w:rPr>
            </w:pPr>
          </w:p>
        </w:tc>
        <w:tc>
          <w:tcPr>
            <w:tcW w:w="180" w:type="dxa"/>
            <w:vAlign w:val="bottom"/>
            <w:shd w:val="clear" w:color="auto" w:fill="E6E6E6"/>
          </w:tcPr>
          <w:p>
            <w:pPr>
              <w:spacing w:after="0"/>
              <w:rPr>
                <w:sz w:val="23"/>
                <w:szCs w:val="23"/>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3"/>
                <w:szCs w:val="23"/>
                <w:color w:val="auto"/>
              </w:rPr>
            </w:pPr>
          </w:p>
        </w:tc>
        <w:tc>
          <w:tcPr>
            <w:tcW w:w="140" w:type="dxa"/>
            <w:vAlign w:val="bottom"/>
            <w:shd w:val="clear" w:color="auto" w:fill="E6E6E6"/>
          </w:tcPr>
          <w:p>
            <w:pPr>
              <w:spacing w:after="0"/>
              <w:rPr>
                <w:sz w:val="23"/>
                <w:szCs w:val="23"/>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275</w:t>
            </w:r>
          </w:p>
        </w:tc>
        <w:tc>
          <w:tcPr>
            <w:tcW w:w="60" w:type="dxa"/>
            <w:vAlign w:val="bottom"/>
            <w:shd w:val="clear" w:color="auto" w:fill="E6E6E6"/>
          </w:tcPr>
          <w:p>
            <w:pPr>
              <w:spacing w:after="0"/>
              <w:rPr>
                <w:sz w:val="23"/>
                <w:szCs w:val="23"/>
                <w:color w:val="auto"/>
              </w:rPr>
            </w:pPr>
          </w:p>
        </w:tc>
        <w:tc>
          <w:tcPr>
            <w:tcW w:w="160" w:type="dxa"/>
            <w:vAlign w:val="bottom"/>
            <w:shd w:val="clear" w:color="auto" w:fill="E6E6E6"/>
          </w:tcPr>
          <w:p>
            <w:pPr>
              <w:spacing w:after="0"/>
              <w:rPr>
                <w:sz w:val="23"/>
                <w:szCs w:val="23"/>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45,569</w:t>
            </w:r>
          </w:p>
        </w:tc>
        <w:tc>
          <w:tcPr>
            <w:tcW w:w="80" w:type="dxa"/>
            <w:vAlign w:val="bottom"/>
            <w:shd w:val="clear" w:color="auto" w:fill="E6E6E6"/>
          </w:tcPr>
          <w:p>
            <w:pPr>
              <w:spacing w:after="0"/>
              <w:rPr>
                <w:sz w:val="23"/>
                <w:szCs w:val="23"/>
                <w:color w:val="auto"/>
              </w:rPr>
            </w:pPr>
          </w:p>
        </w:tc>
        <w:tc>
          <w:tcPr>
            <w:tcW w:w="160" w:type="dxa"/>
            <w:vAlign w:val="bottom"/>
            <w:shd w:val="clear" w:color="auto" w:fill="E6E6E6"/>
          </w:tcPr>
          <w:p>
            <w:pPr>
              <w:spacing w:after="0"/>
              <w:rPr>
                <w:sz w:val="23"/>
                <w:szCs w:val="23"/>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3"/>
                <w:szCs w:val="23"/>
                <w:color w:val="auto"/>
              </w:rPr>
            </w:pPr>
          </w:p>
        </w:tc>
        <w:tc>
          <w:tcPr>
            <w:tcW w:w="180" w:type="dxa"/>
            <w:vAlign w:val="bottom"/>
            <w:shd w:val="clear" w:color="auto" w:fill="E6E6E6"/>
          </w:tcPr>
          <w:p>
            <w:pPr>
              <w:spacing w:after="0"/>
              <w:rPr>
                <w:sz w:val="23"/>
                <w:szCs w:val="23"/>
                <w:color w:val="auto"/>
              </w:rPr>
            </w:pPr>
          </w:p>
        </w:tc>
        <w:tc>
          <w:tcPr>
            <w:tcW w:w="11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94,652</w:t>
            </w:r>
          </w:p>
        </w:tc>
        <w:tc>
          <w:tcPr>
            <w:tcW w:w="0" w:type="dxa"/>
            <w:vAlign w:val="bottom"/>
          </w:tcPr>
          <w:p>
            <w:pPr>
              <w:spacing w:after="0"/>
              <w:rPr>
                <w:sz w:val="1"/>
                <w:szCs w:val="1"/>
                <w:color w:val="auto"/>
              </w:rPr>
            </w:pPr>
          </w:p>
        </w:tc>
      </w:tr>
      <w:tr>
        <w:trPr>
          <w:trHeight w:val="274"/>
        </w:trPr>
        <w:tc>
          <w:tcPr>
            <w:tcW w:w="2500" w:type="dxa"/>
            <w:vAlign w:val="bottom"/>
            <w:gridSpan w:val="3"/>
          </w:tcPr>
          <w:p>
            <w:pPr>
              <w:ind w:left="160"/>
              <w:spacing w:after="0"/>
              <w:rPr>
                <w:sz w:val="20"/>
                <w:szCs w:val="20"/>
                <w:color w:val="auto"/>
              </w:rPr>
            </w:pPr>
            <w:r>
              <w:rPr>
                <w:rFonts w:ascii="Arial" w:cs="Arial" w:eastAsia="Arial" w:hAnsi="Arial"/>
                <w:sz w:val="20"/>
                <w:szCs w:val="20"/>
                <w:color w:val="auto"/>
              </w:rPr>
              <w:t>Additions</w:t>
            </w:r>
          </w:p>
        </w:tc>
        <w:tc>
          <w:tcPr>
            <w:tcW w:w="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31,637</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87,457</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5"/>
        </w:trPr>
        <w:tc>
          <w:tcPr>
            <w:tcW w:w="2500" w:type="dxa"/>
            <w:vAlign w:val="bottom"/>
            <w:gridSpan w:val="3"/>
            <w:shd w:val="clear" w:color="auto" w:fill="E6E6E6"/>
          </w:tcPr>
          <w:p>
            <w:pPr>
              <w:ind w:left="160"/>
              <w:spacing w:after="0"/>
              <w:rPr>
                <w:sz w:val="20"/>
                <w:szCs w:val="20"/>
                <w:color w:val="auto"/>
              </w:rPr>
            </w:pPr>
            <w:r>
              <w:rPr>
                <w:rFonts w:ascii="Arial" w:cs="Arial" w:eastAsia="Arial" w:hAnsi="Arial"/>
                <w:sz w:val="20"/>
                <w:szCs w:val="20"/>
                <w:color w:val="auto"/>
              </w:rPr>
              <w:t>Cash receipt</w:t>
            </w:r>
          </w:p>
        </w:tc>
        <w:tc>
          <w:tcPr>
            <w:tcW w:w="14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(22,524)</w:t>
            </w:r>
          </w:p>
        </w:tc>
        <w:tc>
          <w:tcPr>
            <w:tcW w:w="8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1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4"/>
        </w:trPr>
        <w:tc>
          <w:tcPr>
            <w:tcW w:w="2500" w:type="dxa"/>
            <w:vAlign w:val="bottom"/>
            <w:gridSpan w:val="3"/>
          </w:tcPr>
          <w:p>
            <w:pPr>
              <w:ind w:left="160"/>
              <w:spacing w:after="0"/>
              <w:rPr>
                <w:sz w:val="20"/>
                <w:szCs w:val="20"/>
                <w:color w:val="auto"/>
              </w:rPr>
            </w:pPr>
            <w:r>
              <w:rPr>
                <w:rFonts w:ascii="Arial" w:cs="Arial" w:eastAsia="Arial" w:hAnsi="Arial"/>
                <w:sz w:val="20"/>
                <w:szCs w:val="20"/>
                <w:color w:val="auto"/>
              </w:rPr>
              <w:t>Payment</w:t>
            </w:r>
          </w:p>
        </w:tc>
        <w:tc>
          <w:tcPr>
            <w:tcW w:w="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(36,915)</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(13,750)</w:t>
            </w:r>
          </w:p>
        </w:tc>
        <w:tc>
          <w:tcPr>
            <w:tcW w:w="0" w:type="dxa"/>
            <w:vAlign w:val="bottom"/>
          </w:tcPr>
          <w:p>
            <w:pPr>
              <w:spacing w:after="0"/>
              <w:rPr>
                <w:sz w:val="1"/>
                <w:szCs w:val="1"/>
                <w:color w:val="auto"/>
              </w:rPr>
            </w:pPr>
          </w:p>
        </w:tc>
      </w:tr>
      <w:tr>
        <w:trPr>
          <w:trHeight w:val="275"/>
        </w:trPr>
        <w:tc>
          <w:tcPr>
            <w:tcW w:w="2480" w:type="dxa"/>
            <w:vAlign w:val="bottom"/>
            <w:tcBorders>
              <w:bottom w:val="single" w:sz="8" w:color="E6E6E6"/>
            </w:tcBorders>
            <w:gridSpan w:val="2"/>
            <w:shd w:val="clear" w:color="auto" w:fill="E6E6E6"/>
          </w:tcPr>
          <w:p>
            <w:pPr>
              <w:ind w:left="160"/>
              <w:spacing w:after="0" w:line="275" w:lineRule="exact"/>
              <w:rPr>
                <w:sz w:val="20"/>
                <w:szCs w:val="20"/>
                <w:color w:val="auto"/>
              </w:rPr>
            </w:pPr>
            <w:r>
              <w:rPr>
                <w:rFonts w:ascii="Arial" w:cs="Arial" w:eastAsia="Arial" w:hAnsi="Arial"/>
                <w:sz w:val="20"/>
                <w:szCs w:val="20"/>
                <w:color w:val="auto"/>
                <w:w w:val="96"/>
              </w:rPr>
              <w:t xml:space="preserve">Changes in fair value </w:t>
            </w:r>
            <w:r>
              <w:rPr>
                <w:rFonts w:ascii="Arial" w:cs="Arial" w:eastAsia="Arial" w:hAnsi="Arial"/>
                <w:sz w:val="25"/>
                <w:szCs w:val="25"/>
                <w:color w:val="auto"/>
                <w:w w:val="96"/>
                <w:vertAlign w:val="superscript"/>
              </w:rPr>
              <w:t>(1) (2)</w:t>
            </w:r>
          </w:p>
        </w:tc>
        <w:tc>
          <w:tcPr>
            <w:tcW w:w="20" w:type="dxa"/>
            <w:vAlign w:val="bottom"/>
            <w:tcBorders>
              <w:bottom w:val="single" w:sz="8" w:color="auto"/>
            </w:tcBorders>
            <w:shd w:val="clear" w:color="auto" w:fill="E6E6E6"/>
          </w:tcPr>
          <w:p>
            <w:pPr>
              <w:spacing w:after="0"/>
              <w:rPr>
                <w:sz w:val="23"/>
                <w:szCs w:val="23"/>
                <w:color w:val="auto"/>
              </w:rPr>
            </w:pPr>
          </w:p>
        </w:tc>
        <w:tc>
          <w:tcPr>
            <w:tcW w:w="140" w:type="dxa"/>
            <w:vAlign w:val="bottom"/>
            <w:tcBorders>
              <w:bottom w:val="single" w:sz="8" w:color="auto"/>
            </w:tcBorders>
            <w:shd w:val="clear" w:color="auto" w:fill="E6E6E6"/>
          </w:tcPr>
          <w:p>
            <w:pPr>
              <w:spacing w:after="0"/>
              <w:rPr>
                <w:sz w:val="23"/>
                <w:szCs w:val="23"/>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(13,348)</w:t>
            </w:r>
          </w:p>
        </w:tc>
        <w:tc>
          <w:tcPr>
            <w:tcW w:w="80" w:type="dxa"/>
            <w:vAlign w:val="bottom"/>
            <w:tcBorders>
              <w:bottom w:val="single" w:sz="8" w:color="E6E6E6"/>
            </w:tcBorders>
            <w:shd w:val="clear" w:color="auto" w:fill="E6E6E6"/>
          </w:tcPr>
          <w:p>
            <w:pPr>
              <w:spacing w:after="0"/>
              <w:rPr>
                <w:sz w:val="23"/>
                <w:szCs w:val="23"/>
                <w:color w:val="auto"/>
              </w:rPr>
            </w:pPr>
          </w:p>
        </w:tc>
        <w:tc>
          <w:tcPr>
            <w:tcW w:w="180" w:type="dxa"/>
            <w:vAlign w:val="bottom"/>
            <w:tcBorders>
              <w:bottom w:val="single" w:sz="8" w:color="auto"/>
            </w:tcBorders>
            <w:shd w:val="clear" w:color="auto" w:fill="E6E6E6"/>
          </w:tcPr>
          <w:p>
            <w:pPr>
              <w:spacing w:after="0"/>
              <w:rPr>
                <w:sz w:val="23"/>
                <w:szCs w:val="23"/>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(7,902)</w:t>
            </w:r>
          </w:p>
        </w:tc>
        <w:tc>
          <w:tcPr>
            <w:tcW w:w="80" w:type="dxa"/>
            <w:vAlign w:val="bottom"/>
            <w:tcBorders>
              <w:bottom w:val="single" w:sz="8" w:color="E6E6E6"/>
            </w:tcBorders>
            <w:shd w:val="clear" w:color="auto" w:fill="E6E6E6"/>
          </w:tcPr>
          <w:p>
            <w:pPr>
              <w:spacing w:after="0"/>
              <w:rPr>
                <w:sz w:val="23"/>
                <w:szCs w:val="23"/>
                <w:color w:val="auto"/>
              </w:rPr>
            </w:pPr>
          </w:p>
        </w:tc>
        <w:tc>
          <w:tcPr>
            <w:tcW w:w="140" w:type="dxa"/>
            <w:vAlign w:val="bottom"/>
            <w:tcBorders>
              <w:bottom w:val="single" w:sz="8" w:color="auto"/>
            </w:tcBorders>
            <w:shd w:val="clear" w:color="auto" w:fill="E6E6E6"/>
          </w:tcPr>
          <w:p>
            <w:pPr>
              <w:spacing w:after="0"/>
              <w:rPr>
                <w:sz w:val="23"/>
                <w:szCs w:val="23"/>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(275)</w:t>
            </w:r>
          </w:p>
        </w:tc>
        <w:tc>
          <w:tcPr>
            <w:tcW w:w="60" w:type="dxa"/>
            <w:vAlign w:val="bottom"/>
            <w:tcBorders>
              <w:bottom w:val="single" w:sz="8" w:color="E6E6E6"/>
            </w:tcBorders>
            <w:shd w:val="clear" w:color="auto" w:fill="E6E6E6"/>
          </w:tcPr>
          <w:p>
            <w:pPr>
              <w:spacing w:after="0"/>
              <w:rPr>
                <w:sz w:val="23"/>
                <w:szCs w:val="23"/>
                <w:color w:val="auto"/>
              </w:rPr>
            </w:pPr>
          </w:p>
        </w:tc>
        <w:tc>
          <w:tcPr>
            <w:tcW w:w="160" w:type="dxa"/>
            <w:vAlign w:val="bottom"/>
            <w:tcBorders>
              <w:bottom w:val="single" w:sz="8" w:color="auto"/>
            </w:tcBorders>
            <w:shd w:val="clear" w:color="auto" w:fill="E6E6E6"/>
          </w:tcPr>
          <w:p>
            <w:pPr>
              <w:spacing w:after="0"/>
              <w:rPr>
                <w:sz w:val="23"/>
                <w:szCs w:val="23"/>
                <w:color w:val="auto"/>
              </w:rPr>
            </w:pPr>
          </w:p>
        </w:tc>
        <w:tc>
          <w:tcPr>
            <w:tcW w:w="10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(5,739)</w:t>
            </w:r>
          </w:p>
        </w:tc>
        <w:tc>
          <w:tcPr>
            <w:tcW w:w="80" w:type="dxa"/>
            <w:vAlign w:val="bottom"/>
            <w:tcBorders>
              <w:bottom w:val="single" w:sz="8" w:color="E6E6E6"/>
            </w:tcBorders>
            <w:shd w:val="clear" w:color="auto" w:fill="E6E6E6"/>
          </w:tcPr>
          <w:p>
            <w:pPr>
              <w:spacing w:after="0"/>
              <w:rPr>
                <w:sz w:val="23"/>
                <w:szCs w:val="23"/>
                <w:color w:val="auto"/>
              </w:rPr>
            </w:pPr>
          </w:p>
        </w:tc>
        <w:tc>
          <w:tcPr>
            <w:tcW w:w="160" w:type="dxa"/>
            <w:vAlign w:val="bottom"/>
            <w:tcBorders>
              <w:bottom w:val="single" w:sz="8" w:color="auto"/>
            </w:tcBorders>
            <w:shd w:val="clear" w:color="auto" w:fill="E6E6E6"/>
          </w:tcPr>
          <w:p>
            <w:pPr>
              <w:spacing w:after="0"/>
              <w:rPr>
                <w:sz w:val="23"/>
                <w:szCs w:val="23"/>
                <w:color w:val="auto"/>
              </w:rPr>
            </w:pPr>
          </w:p>
        </w:tc>
        <w:tc>
          <w:tcPr>
            <w:tcW w:w="10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(35,638)</w:t>
            </w:r>
          </w:p>
        </w:tc>
        <w:tc>
          <w:tcPr>
            <w:tcW w:w="80" w:type="dxa"/>
            <w:vAlign w:val="bottom"/>
            <w:tcBorders>
              <w:bottom w:val="single" w:sz="8" w:color="E6E6E6"/>
            </w:tcBorders>
            <w:shd w:val="clear" w:color="auto" w:fill="E6E6E6"/>
          </w:tcPr>
          <w:p>
            <w:pPr>
              <w:spacing w:after="0"/>
              <w:rPr>
                <w:sz w:val="23"/>
                <w:szCs w:val="23"/>
                <w:color w:val="auto"/>
              </w:rPr>
            </w:pPr>
          </w:p>
        </w:tc>
        <w:tc>
          <w:tcPr>
            <w:tcW w:w="180" w:type="dxa"/>
            <w:vAlign w:val="bottom"/>
            <w:tcBorders>
              <w:bottom w:val="single" w:sz="8" w:color="auto"/>
            </w:tcBorders>
            <w:shd w:val="clear" w:color="auto" w:fill="E6E6E6"/>
          </w:tcPr>
          <w:p>
            <w:pPr>
              <w:spacing w:after="0"/>
              <w:rPr>
                <w:sz w:val="23"/>
                <w:szCs w:val="23"/>
                <w:color w:val="auto"/>
              </w:rPr>
            </w:pPr>
          </w:p>
        </w:tc>
        <w:tc>
          <w:tcPr>
            <w:tcW w:w="1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3,316</w:t>
            </w:r>
          </w:p>
        </w:tc>
        <w:tc>
          <w:tcPr>
            <w:tcW w:w="0" w:type="dxa"/>
            <w:vAlign w:val="bottom"/>
          </w:tcPr>
          <w:p>
            <w:pPr>
              <w:spacing w:after="0"/>
              <w:rPr>
                <w:sz w:val="1"/>
                <w:szCs w:val="1"/>
                <w:color w:val="auto"/>
              </w:rPr>
            </w:pPr>
          </w:p>
        </w:tc>
      </w:tr>
      <w:tr>
        <w:trPr>
          <w:trHeight w:val="263"/>
        </w:trPr>
        <w:tc>
          <w:tcPr>
            <w:tcW w:w="2500" w:type="dxa"/>
            <w:vAlign w:val="bottom"/>
            <w:gridSpan w:val="3"/>
          </w:tcPr>
          <w:p>
            <w:pPr>
              <w:ind w:left="40"/>
              <w:spacing w:after="0"/>
              <w:rPr>
                <w:sz w:val="20"/>
                <w:szCs w:val="20"/>
                <w:color w:val="auto"/>
              </w:rPr>
            </w:pPr>
            <w:r>
              <w:rPr>
                <w:rFonts w:ascii="Arial" w:cs="Arial" w:eastAsia="Arial" w:hAnsi="Arial"/>
                <w:sz w:val="20"/>
                <w:szCs w:val="20"/>
                <w:color w:val="auto"/>
              </w:rPr>
              <w:t>As of December 31, 2024</w:t>
            </w: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2,624</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23,735</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2,915</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51,819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84,218</w:t>
            </w:r>
          </w:p>
        </w:tc>
        <w:tc>
          <w:tcPr>
            <w:tcW w:w="0" w:type="dxa"/>
            <w:vAlign w:val="bottom"/>
          </w:tcPr>
          <w:p>
            <w:pPr>
              <w:spacing w:after="0"/>
              <w:rPr>
                <w:sz w:val="1"/>
                <w:szCs w:val="1"/>
                <w:color w:val="auto"/>
              </w:rPr>
            </w:pPr>
          </w:p>
        </w:tc>
      </w:tr>
      <w:tr>
        <w:trPr>
          <w:trHeight w:val="194"/>
        </w:trPr>
        <w:tc>
          <w:tcPr>
            <w:tcW w:w="2500" w:type="dxa"/>
            <w:vAlign w:val="bottom"/>
            <w:gridSpan w:val="3"/>
            <w:shd w:val="clear" w:color="auto" w:fill="E6E6E6"/>
          </w:tcPr>
          <w:p>
            <w:pPr>
              <w:ind w:left="40"/>
              <w:spacing w:after="0" w:line="194" w:lineRule="exact"/>
              <w:rPr>
                <w:sz w:val="20"/>
                <w:szCs w:val="20"/>
                <w:color w:val="auto"/>
              </w:rPr>
            </w:pPr>
            <w:r>
              <w:rPr>
                <w:rFonts w:ascii="Arial" w:cs="Arial" w:eastAsia="Arial" w:hAnsi="Arial"/>
                <w:sz w:val="20"/>
                <w:szCs w:val="20"/>
                <w:color w:val="auto"/>
              </w:rPr>
              <w:t>Less current portion at</w:t>
            </w:r>
          </w:p>
        </w:tc>
        <w:tc>
          <w:tcPr>
            <w:tcW w:w="140" w:type="dxa"/>
            <w:vAlign w:val="bottom"/>
            <w:shd w:val="clear" w:color="auto" w:fill="E6E6E6"/>
          </w:tcPr>
          <w:p>
            <w:pPr>
              <w:spacing w:after="0"/>
              <w:rPr>
                <w:sz w:val="16"/>
                <w:szCs w:val="16"/>
                <w:color w:val="auto"/>
              </w:rPr>
            </w:pPr>
          </w:p>
        </w:tc>
        <w:tc>
          <w:tcPr>
            <w:tcW w:w="92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2,624</w:t>
            </w:r>
          </w:p>
        </w:tc>
        <w:tc>
          <w:tcPr>
            <w:tcW w:w="80" w:type="dxa"/>
            <w:vAlign w:val="bottom"/>
            <w:shd w:val="clear" w:color="auto" w:fill="E6E6E6"/>
          </w:tcPr>
          <w:p>
            <w:pPr>
              <w:spacing w:after="0"/>
              <w:rPr>
                <w:sz w:val="16"/>
                <w:szCs w:val="16"/>
                <w:color w:val="auto"/>
              </w:rPr>
            </w:pPr>
          </w:p>
        </w:tc>
        <w:tc>
          <w:tcPr>
            <w:tcW w:w="180" w:type="dxa"/>
            <w:vAlign w:val="bottom"/>
            <w:shd w:val="clear" w:color="auto" w:fill="E6E6E6"/>
          </w:tcPr>
          <w:p>
            <w:pPr>
              <w:spacing w:after="0"/>
              <w:rPr>
                <w:sz w:val="16"/>
                <w:szCs w:val="16"/>
                <w:color w:val="auto"/>
              </w:rPr>
            </w:pPr>
          </w:p>
        </w:tc>
        <w:tc>
          <w:tcPr>
            <w:tcW w:w="92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108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60" w:type="dxa"/>
            <w:vAlign w:val="bottom"/>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106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2,915</w:t>
            </w:r>
          </w:p>
        </w:tc>
        <w:tc>
          <w:tcPr>
            <w:tcW w:w="80" w:type="dxa"/>
            <w:vAlign w:val="bottom"/>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106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16"/>
                <w:szCs w:val="16"/>
                <w:color w:val="auto"/>
              </w:rPr>
            </w:pPr>
          </w:p>
        </w:tc>
        <w:tc>
          <w:tcPr>
            <w:tcW w:w="180" w:type="dxa"/>
            <w:vAlign w:val="bottom"/>
            <w:shd w:val="clear" w:color="auto" w:fill="E6E6E6"/>
          </w:tcPr>
          <w:p>
            <w:pPr>
              <w:spacing w:after="0"/>
              <w:rPr>
                <w:sz w:val="16"/>
                <w:szCs w:val="16"/>
                <w:color w:val="auto"/>
              </w:rPr>
            </w:pPr>
          </w:p>
        </w:tc>
        <w:tc>
          <w:tcPr>
            <w:tcW w:w="116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8"/>
        </w:trPr>
        <w:tc>
          <w:tcPr>
            <w:tcW w:w="2480" w:type="dxa"/>
            <w:vAlign w:val="bottom"/>
            <w:tcBorders>
              <w:bottom w:val="single" w:sz="8" w:color="E6E6E6"/>
            </w:tcBorders>
            <w:gridSpan w:val="2"/>
            <w:shd w:val="clear" w:color="auto" w:fill="E6E6E6"/>
          </w:tcPr>
          <w:p>
            <w:pPr>
              <w:ind w:left="40"/>
              <w:spacing w:after="0"/>
              <w:rPr>
                <w:sz w:val="20"/>
                <w:szCs w:val="20"/>
                <w:color w:val="auto"/>
              </w:rPr>
            </w:pPr>
            <w:r>
              <w:rPr>
                <w:rFonts w:ascii="Arial" w:cs="Arial" w:eastAsia="Arial" w:hAnsi="Arial"/>
                <w:sz w:val="20"/>
                <w:szCs w:val="20"/>
                <w:color w:val="auto"/>
              </w:rPr>
              <w:t>December 31, 2024</w:t>
            </w:r>
          </w:p>
        </w:tc>
        <w:tc>
          <w:tcPr>
            <w:tcW w:w="20" w:type="dxa"/>
            <w:vAlign w:val="bottom"/>
            <w:tcBorders>
              <w:bottom w:val="single" w:sz="8" w:color="auto"/>
            </w:tcBorders>
            <w:shd w:val="clear" w:color="auto" w:fill="E6E6E6"/>
          </w:tcPr>
          <w:p>
            <w:pPr>
              <w:spacing w:after="0"/>
              <w:rPr>
                <w:sz w:val="24"/>
                <w:szCs w:val="24"/>
                <w:color w:val="auto"/>
              </w:rPr>
            </w:pPr>
          </w:p>
        </w:tc>
        <w:tc>
          <w:tcPr>
            <w:tcW w:w="140" w:type="dxa"/>
            <w:vAlign w:val="bottom"/>
            <w:tcBorders>
              <w:bottom w:val="single" w:sz="8" w:color="auto"/>
            </w:tcBorders>
            <w:shd w:val="clear" w:color="auto" w:fill="E6E6E6"/>
          </w:tcPr>
          <w:p>
            <w:pPr>
              <w:spacing w:after="0"/>
              <w:rPr>
                <w:sz w:val="24"/>
                <w:szCs w:val="24"/>
                <w:color w:val="auto"/>
              </w:rPr>
            </w:pPr>
          </w:p>
        </w:tc>
        <w:tc>
          <w:tcPr>
            <w:tcW w:w="920" w:type="dxa"/>
            <w:vAlign w:val="bottom"/>
            <w:tcBorders>
              <w:bottom w:val="single" w:sz="8" w:color="auto"/>
            </w:tcBorders>
            <w:vMerge w:val="continue"/>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920" w:type="dxa"/>
            <w:vAlign w:val="bottom"/>
            <w:tcBorders>
              <w:bottom w:val="single" w:sz="8" w:color="auto"/>
            </w:tcBorders>
            <w:vMerge w:val="continue"/>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14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vMerge w:val="continue"/>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1060" w:type="dxa"/>
            <w:vAlign w:val="bottom"/>
            <w:tcBorders>
              <w:bottom w:val="single" w:sz="8" w:color="auto"/>
            </w:tcBorders>
            <w:vMerge w:val="continue"/>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1060" w:type="dxa"/>
            <w:vAlign w:val="bottom"/>
            <w:tcBorders>
              <w:bottom w:val="single" w:sz="8" w:color="auto"/>
            </w:tcBorders>
            <w:vMerge w:val="continue"/>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1160" w:type="dxa"/>
            <w:vAlign w:val="bottom"/>
            <w:tcBorders>
              <w:bottom w:val="single" w:sz="8" w:color="auto"/>
            </w:tcBorders>
            <w:vMerge w:val="continue"/>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480" w:type="dxa"/>
            <w:vAlign w:val="bottom"/>
            <w:gridSpan w:val="2"/>
          </w:tcPr>
          <w:p>
            <w:pPr>
              <w:ind w:left="40"/>
              <w:spacing w:after="0" w:line="159" w:lineRule="exact"/>
              <w:rPr>
                <w:sz w:val="20"/>
                <w:szCs w:val="20"/>
                <w:color w:val="auto"/>
              </w:rPr>
            </w:pPr>
            <w:r>
              <w:rPr>
                <w:rFonts w:ascii="Arial" w:cs="Arial" w:eastAsia="Arial" w:hAnsi="Arial"/>
                <w:sz w:val="17"/>
                <w:szCs w:val="17"/>
                <w:color w:val="auto"/>
              </w:rPr>
              <w:t>Long-term portion at</w:t>
            </w:r>
          </w:p>
        </w:tc>
        <w:tc>
          <w:tcPr>
            <w:tcW w:w="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26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23,735</w:t>
            </w:r>
          </w:p>
        </w:tc>
        <w:tc>
          <w:tcPr>
            <w:tcW w:w="22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108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22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10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24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1060" w:type="dxa"/>
            <w:vAlign w:val="bottom"/>
            <w:vMerge w:val="restart"/>
          </w:tcPr>
          <w:p>
            <w:pPr>
              <w:jc w:val="right"/>
              <w:spacing w:after="0"/>
              <w:rPr>
                <w:sz w:val="20"/>
                <w:szCs w:val="20"/>
                <w:color w:val="auto"/>
              </w:rPr>
            </w:pPr>
            <w:r>
              <w:rPr>
                <w:rFonts w:ascii="Arial" w:cs="Arial" w:eastAsia="Arial" w:hAnsi="Arial"/>
                <w:sz w:val="20"/>
                <w:szCs w:val="20"/>
                <w:color w:val="auto"/>
              </w:rPr>
              <w:t>51,819</w:t>
            </w:r>
          </w:p>
        </w:tc>
        <w:tc>
          <w:tcPr>
            <w:tcW w:w="26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1160" w:type="dxa"/>
            <w:vAlign w:val="bottom"/>
            <w:vMerge w:val="restart"/>
          </w:tcPr>
          <w:p>
            <w:pPr>
              <w:jc w:val="right"/>
              <w:spacing w:after="0"/>
              <w:rPr>
                <w:sz w:val="20"/>
                <w:szCs w:val="20"/>
                <w:color w:val="auto"/>
              </w:rPr>
            </w:pPr>
            <w:r>
              <w:rPr>
                <w:rFonts w:ascii="Arial" w:cs="Arial" w:eastAsia="Arial" w:hAnsi="Arial"/>
                <w:sz w:val="20"/>
                <w:szCs w:val="20"/>
                <w:color w:val="auto"/>
              </w:rPr>
              <w:t>84,218</w:t>
            </w:r>
          </w:p>
        </w:tc>
        <w:tc>
          <w:tcPr>
            <w:tcW w:w="0" w:type="dxa"/>
            <w:vAlign w:val="bottom"/>
          </w:tcPr>
          <w:p>
            <w:pPr>
              <w:spacing w:after="0"/>
              <w:rPr>
                <w:sz w:val="1"/>
                <w:szCs w:val="1"/>
                <w:color w:val="auto"/>
              </w:rPr>
            </w:pPr>
          </w:p>
        </w:tc>
      </w:tr>
      <w:tr>
        <w:trPr>
          <w:trHeight w:val="238"/>
        </w:trPr>
        <w:tc>
          <w:tcPr>
            <w:tcW w:w="2500" w:type="dxa"/>
            <w:vAlign w:val="bottom"/>
            <w:gridSpan w:val="3"/>
          </w:tcPr>
          <w:p>
            <w:pPr>
              <w:ind w:left="40"/>
              <w:spacing w:after="0"/>
              <w:rPr>
                <w:sz w:val="20"/>
                <w:szCs w:val="20"/>
                <w:color w:val="auto"/>
              </w:rPr>
            </w:pPr>
            <w:r>
              <w:rPr>
                <w:rFonts w:ascii="Arial" w:cs="Arial" w:eastAsia="Arial" w:hAnsi="Arial"/>
                <w:sz w:val="20"/>
                <w:szCs w:val="20"/>
                <w:color w:val="auto"/>
              </w:rPr>
              <w:t>December 31, 2024</w:t>
            </w:r>
          </w:p>
        </w:tc>
        <w:tc>
          <w:tcPr>
            <w:tcW w:w="14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1550670</wp:posOffset>
            </wp:positionH>
            <wp:positionV relativeFrom="paragraph">
              <wp:posOffset>-2028190</wp:posOffset>
            </wp:positionV>
            <wp:extent cx="484187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31">
                      <a:extLst>
                        <a:ext uri="{28A0092B-C50C-407E-A947-70E740481C1C}"/>
                      </a:extLst>
                    </a:blip>
                    <a:srcRect/>
                    <a:stretch>
                      <a:fillRect/>
                    </a:stretch>
                  </pic:blipFill>
                  <pic:spPr bwMode="auto">
                    <a:xfrm>
                      <a:off x="0" y="0"/>
                      <a:ext cx="4841875" cy="25400"/>
                    </a:xfrm>
                    <a:prstGeom prst="rect">
                      <a:avLst/>
                    </a:prstGeom>
                    <a:noFill/>
                  </pic:spPr>
                </pic:pic>
              </a:graphicData>
            </a:graphic>
          </wp:anchor>
        </w:drawing>
        <w:drawing>
          <wp:anchor simplePos="0" relativeHeight="251657728" behindDoc="1" locked="0" layoutInCell="0" allowOverlap="1">
            <wp:simplePos x="0" y="0"/>
            <wp:positionH relativeFrom="column">
              <wp:posOffset>1550670</wp:posOffset>
            </wp:positionH>
            <wp:positionV relativeFrom="paragraph">
              <wp:posOffset>-1673860</wp:posOffset>
            </wp:positionV>
            <wp:extent cx="484187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32">
                      <a:extLst>
                        <a:ext uri="{28A0092B-C50C-407E-A947-70E740481C1C}"/>
                      </a:extLst>
                    </a:blip>
                    <a:srcRect/>
                    <a:stretch>
                      <a:fillRect/>
                    </a:stretch>
                  </pic:blipFill>
                  <pic:spPr bwMode="auto">
                    <a:xfrm>
                      <a:off x="0" y="0"/>
                      <a:ext cx="4841875" cy="25400"/>
                    </a:xfrm>
                    <a:prstGeom prst="rect">
                      <a:avLst/>
                    </a:prstGeom>
                    <a:noFill/>
                  </pic:spPr>
                </pic:pic>
              </a:graphicData>
            </a:graphic>
          </wp:anchor>
        </w:drawing>
        <w:drawing>
          <wp:anchor simplePos="0" relativeHeight="251657728" behindDoc="1" locked="0" layoutInCell="0" allowOverlap="1">
            <wp:simplePos x="0" y="0"/>
            <wp:positionH relativeFrom="column">
              <wp:posOffset>1550670</wp:posOffset>
            </wp:positionH>
            <wp:positionV relativeFrom="paragraph">
              <wp:posOffset>-786765</wp:posOffset>
            </wp:positionV>
            <wp:extent cx="484187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33">
                      <a:extLst>
                        <a:ext uri="{28A0092B-C50C-407E-A947-70E740481C1C}"/>
                      </a:extLst>
                    </a:blip>
                    <a:srcRect/>
                    <a:stretch>
                      <a:fillRect/>
                    </a:stretch>
                  </pic:blipFill>
                  <pic:spPr bwMode="auto">
                    <a:xfrm>
                      <a:off x="0" y="0"/>
                      <a:ext cx="4841875" cy="25400"/>
                    </a:xfrm>
                    <a:prstGeom prst="rect">
                      <a:avLst/>
                    </a:prstGeom>
                    <a:noFill/>
                  </pic:spPr>
                </pic:pic>
              </a:graphicData>
            </a:graphic>
          </wp:anchor>
        </w:drawing>
        <w:drawing>
          <wp:anchor simplePos="0" relativeHeight="251657728" behindDoc="1" locked="0" layoutInCell="0" allowOverlap="1">
            <wp:simplePos x="0" y="0"/>
            <wp:positionH relativeFrom="column">
              <wp:posOffset>1550670</wp:posOffset>
            </wp:positionH>
            <wp:positionV relativeFrom="paragraph">
              <wp:posOffset>-320040</wp:posOffset>
            </wp:positionV>
            <wp:extent cx="484187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34">
                      <a:extLst>
                        <a:ext uri="{28A0092B-C50C-407E-A947-70E740481C1C}"/>
                      </a:extLst>
                    </a:blip>
                    <a:srcRect/>
                    <a:stretch>
                      <a:fillRect/>
                    </a:stretch>
                  </pic:blipFill>
                  <pic:spPr bwMode="auto">
                    <a:xfrm>
                      <a:off x="0" y="0"/>
                      <a:ext cx="4841875" cy="25400"/>
                    </a:xfrm>
                    <a:prstGeom prst="rect">
                      <a:avLst/>
                    </a:prstGeom>
                    <a:noFill/>
                  </pic:spPr>
                </pic:pic>
              </a:graphicData>
            </a:graphic>
          </wp:anchor>
        </w:drawing>
      </w:r>
    </w:p>
    <w:p>
      <w:pPr>
        <w:spacing w:after="0" w:line="111" w:lineRule="exact"/>
        <w:rPr>
          <w:sz w:val="20"/>
          <w:szCs w:val="20"/>
          <w:color w:val="auto"/>
        </w:rPr>
      </w:pPr>
    </w:p>
    <w:p>
      <w:pPr>
        <w:jc w:val="both"/>
        <w:ind w:left="700" w:right="20" w:hanging="355"/>
        <w:spacing w:after="0" w:line="239" w:lineRule="auto"/>
        <w:tabs>
          <w:tab w:leader="none" w:pos="70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During the year ended December 31, 2024, the contingent consideration change in fair value resulted in an increase of $1.3 million recorded to cost of sales and an increase of $2.0 million recorded to R&amp;D. During the year ended December 31, 2023, the contingent consideration change in fair value resulted in an increase of $3.8 million recorded to cost of sales and an increase of $5.6 million recorded to R&amp;D.</w:t>
      </w:r>
    </w:p>
    <w:p>
      <w:pPr>
        <w:jc w:val="both"/>
        <w:ind w:left="700" w:hanging="355"/>
        <w:spacing w:after="0" w:line="275" w:lineRule="auto"/>
        <w:tabs>
          <w:tab w:leader="none" w:pos="700"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Changes in the fair value of the embedded derivative liabilities and capped call derivative assets are recognized in foreign exchange and other income/(expense) in the consolidated statements of income (loss). Refer to “Note 7. Derivatives and Risk Management” for further information on the changes in fair value as it relates to the embedded and capped call derivatives.</w:t>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color w:val="auto"/>
        </w:rPr>
        <w:t>Stock Price Volatility</w:t>
      </w:r>
    </w:p>
    <w:p>
      <w:pPr>
        <w:spacing w:after="0" w:line="140" w:lineRule="exact"/>
        <w:rPr>
          <w:sz w:val="20"/>
          <w:szCs w:val="20"/>
          <w:color w:val="auto"/>
        </w:rPr>
      </w:pPr>
    </w:p>
    <w:p>
      <w:pPr>
        <w:ind w:right="20"/>
        <w:spacing w:after="0" w:line="284" w:lineRule="auto"/>
        <w:rPr>
          <w:sz w:val="20"/>
          <w:szCs w:val="20"/>
          <w:color w:val="auto"/>
        </w:rPr>
      </w:pPr>
      <w:r>
        <w:rPr>
          <w:rFonts w:ascii="Arial" w:cs="Arial" w:eastAsia="Arial" w:hAnsi="Arial"/>
          <w:sz w:val="20"/>
          <w:szCs w:val="20"/>
          <w:color w:val="auto"/>
        </w:rPr>
        <w:t>The following table presents the stock price volatility utilized in determining the fair value of LivaNova’s capped call derivative assets and embedded derivative liabilities: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20"/>
                <w:szCs w:val="20"/>
                <w:b w:val="1"/>
                <w:bCs w:val="1"/>
                <w:color w:val="auto"/>
                <w:w w:val="89"/>
              </w:rPr>
              <w:t>Capped Call</w:t>
            </w:r>
          </w:p>
        </w:tc>
        <w:tc>
          <w:tcPr>
            <w:tcW w:w="8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20"/>
                <w:szCs w:val="20"/>
                <w:b w:val="1"/>
                <w:bCs w:val="1"/>
                <w:color w:val="auto"/>
                <w:w w:val="91"/>
              </w:rPr>
              <w:t>Capped Call</w:t>
            </w:r>
          </w:p>
        </w:tc>
        <w:tc>
          <w:tcPr>
            <w:tcW w:w="10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20"/>
                <w:szCs w:val="20"/>
                <w:b w:val="1"/>
                <w:bCs w:val="1"/>
                <w:color w:val="auto"/>
                <w:w w:val="87"/>
              </w:rPr>
              <w:t>Embedded</w:t>
            </w:r>
          </w:p>
        </w:tc>
        <w:tc>
          <w:tcPr>
            <w:tcW w:w="8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20"/>
                <w:szCs w:val="20"/>
                <w:b w:val="1"/>
                <w:bCs w:val="1"/>
                <w:color w:val="auto"/>
                <w:w w:val="87"/>
              </w:rPr>
              <w:t>Embedded</w:t>
            </w:r>
          </w:p>
        </w:tc>
        <w:tc>
          <w:tcPr>
            <w:tcW w:w="0" w:type="dxa"/>
            <w:vAlign w:val="bottom"/>
          </w:tcPr>
          <w:p>
            <w:pPr>
              <w:spacing w:after="0"/>
              <w:rPr>
                <w:sz w:val="1"/>
                <w:szCs w:val="1"/>
                <w:color w:val="auto"/>
              </w:rPr>
            </w:pPr>
          </w:p>
        </w:tc>
      </w:tr>
      <w:tr>
        <w:trPr>
          <w:trHeight w:val="196"/>
        </w:trPr>
        <w:tc>
          <w:tcPr>
            <w:tcW w:w="2400" w:type="dxa"/>
            <w:vAlign w:val="bottom"/>
            <w:vMerge w:val="restart"/>
          </w:tcPr>
          <w:p>
            <w:pPr>
              <w:ind w:left="200"/>
              <w:spacing w:after="0"/>
              <w:rPr>
                <w:sz w:val="20"/>
                <w:szCs w:val="20"/>
                <w:color w:val="auto"/>
              </w:rPr>
            </w:pPr>
            <w:r>
              <w:rPr>
                <w:rFonts w:ascii="Arial" w:cs="Arial" w:eastAsia="Arial" w:hAnsi="Arial"/>
                <w:sz w:val="20"/>
                <w:szCs w:val="20"/>
                <w:b w:val="1"/>
                <w:bCs w:val="1"/>
                <w:color w:val="auto"/>
                <w:w w:val="97"/>
              </w:rPr>
              <w:t xml:space="preserve">Stock Price Volatility </w:t>
            </w:r>
            <w:r>
              <w:rPr>
                <w:rFonts w:ascii="Arial" w:cs="Arial" w:eastAsia="Arial" w:hAnsi="Arial"/>
                <w:sz w:val="25"/>
                <w:szCs w:val="25"/>
                <w:b w:val="1"/>
                <w:bCs w:val="1"/>
                <w:color w:val="auto"/>
                <w:w w:val="97"/>
                <w:vertAlign w:val="superscript"/>
              </w:rPr>
              <w:t>(1)</w:t>
            </w:r>
          </w:p>
        </w:tc>
        <w:tc>
          <w:tcPr>
            <w:tcW w:w="100" w:type="dxa"/>
            <w:vAlign w:val="bottom"/>
          </w:tcPr>
          <w:p>
            <w:pPr>
              <w:spacing w:after="0"/>
              <w:rPr>
                <w:sz w:val="17"/>
                <w:szCs w:val="17"/>
                <w:color w:val="auto"/>
              </w:rPr>
            </w:pPr>
          </w:p>
        </w:tc>
        <w:tc>
          <w:tcPr>
            <w:tcW w:w="1820" w:type="dxa"/>
            <w:vAlign w:val="bottom"/>
          </w:tcPr>
          <w:p>
            <w:pPr>
              <w:jc w:val="center"/>
              <w:spacing w:after="0" w:line="196" w:lineRule="exact"/>
              <w:rPr>
                <w:sz w:val="20"/>
                <w:szCs w:val="20"/>
                <w:color w:val="auto"/>
              </w:rPr>
            </w:pPr>
            <w:r>
              <w:rPr>
                <w:rFonts w:ascii="Arial" w:cs="Arial" w:eastAsia="Arial" w:hAnsi="Arial"/>
                <w:sz w:val="20"/>
                <w:szCs w:val="20"/>
                <w:b w:val="1"/>
                <w:bCs w:val="1"/>
                <w:color w:val="auto"/>
                <w:w w:val="86"/>
              </w:rPr>
              <w:t>Derivative Assets</w:t>
            </w:r>
          </w:p>
        </w:tc>
        <w:tc>
          <w:tcPr>
            <w:tcW w:w="80" w:type="dxa"/>
            <w:vAlign w:val="bottom"/>
          </w:tcPr>
          <w:p>
            <w:pPr>
              <w:spacing w:after="0"/>
              <w:rPr>
                <w:sz w:val="17"/>
                <w:szCs w:val="17"/>
                <w:color w:val="auto"/>
              </w:rPr>
            </w:pPr>
          </w:p>
        </w:tc>
        <w:tc>
          <w:tcPr>
            <w:tcW w:w="1820" w:type="dxa"/>
            <w:vAlign w:val="bottom"/>
          </w:tcPr>
          <w:p>
            <w:pPr>
              <w:jc w:val="center"/>
              <w:spacing w:after="0" w:line="196" w:lineRule="exact"/>
              <w:rPr>
                <w:sz w:val="20"/>
                <w:szCs w:val="20"/>
                <w:color w:val="auto"/>
              </w:rPr>
            </w:pPr>
            <w:r>
              <w:rPr>
                <w:rFonts w:ascii="Arial" w:cs="Arial" w:eastAsia="Arial" w:hAnsi="Arial"/>
                <w:sz w:val="20"/>
                <w:szCs w:val="20"/>
                <w:b w:val="1"/>
                <w:bCs w:val="1"/>
                <w:color w:val="auto"/>
                <w:w w:val="86"/>
              </w:rPr>
              <w:t>Derivative Assets</w:t>
            </w:r>
          </w:p>
        </w:tc>
        <w:tc>
          <w:tcPr>
            <w:tcW w:w="100" w:type="dxa"/>
            <w:vAlign w:val="bottom"/>
          </w:tcPr>
          <w:p>
            <w:pPr>
              <w:spacing w:after="0"/>
              <w:rPr>
                <w:sz w:val="17"/>
                <w:szCs w:val="17"/>
                <w:color w:val="auto"/>
              </w:rPr>
            </w:pPr>
          </w:p>
        </w:tc>
        <w:tc>
          <w:tcPr>
            <w:tcW w:w="1820" w:type="dxa"/>
            <w:vAlign w:val="bottom"/>
          </w:tcPr>
          <w:p>
            <w:pPr>
              <w:jc w:val="center"/>
              <w:spacing w:after="0" w:line="196" w:lineRule="exact"/>
              <w:rPr>
                <w:sz w:val="20"/>
                <w:szCs w:val="20"/>
                <w:color w:val="auto"/>
              </w:rPr>
            </w:pPr>
            <w:r>
              <w:rPr>
                <w:rFonts w:ascii="Arial" w:cs="Arial" w:eastAsia="Arial" w:hAnsi="Arial"/>
                <w:sz w:val="20"/>
                <w:szCs w:val="20"/>
                <w:b w:val="1"/>
                <w:bCs w:val="1"/>
                <w:color w:val="auto"/>
                <w:w w:val="92"/>
              </w:rPr>
              <w:t>Derivative Liability</w:t>
            </w:r>
          </w:p>
        </w:tc>
        <w:tc>
          <w:tcPr>
            <w:tcW w:w="80" w:type="dxa"/>
            <w:vAlign w:val="bottom"/>
          </w:tcPr>
          <w:p>
            <w:pPr>
              <w:spacing w:after="0"/>
              <w:rPr>
                <w:sz w:val="17"/>
                <w:szCs w:val="17"/>
                <w:color w:val="auto"/>
              </w:rPr>
            </w:pPr>
          </w:p>
        </w:tc>
        <w:tc>
          <w:tcPr>
            <w:tcW w:w="1820" w:type="dxa"/>
            <w:vAlign w:val="bottom"/>
          </w:tcPr>
          <w:p>
            <w:pPr>
              <w:jc w:val="center"/>
              <w:spacing w:after="0" w:line="196" w:lineRule="exact"/>
              <w:rPr>
                <w:sz w:val="20"/>
                <w:szCs w:val="20"/>
                <w:color w:val="auto"/>
              </w:rPr>
            </w:pPr>
            <w:r>
              <w:rPr>
                <w:rFonts w:ascii="Arial" w:cs="Arial" w:eastAsia="Arial" w:hAnsi="Arial"/>
                <w:sz w:val="20"/>
                <w:szCs w:val="20"/>
                <w:b w:val="1"/>
                <w:bCs w:val="1"/>
                <w:color w:val="auto"/>
                <w:w w:val="92"/>
              </w:rPr>
              <w:t>Derivative Liability</w:t>
            </w:r>
          </w:p>
        </w:tc>
        <w:tc>
          <w:tcPr>
            <w:tcW w:w="0" w:type="dxa"/>
            <w:vAlign w:val="bottom"/>
          </w:tcPr>
          <w:p>
            <w:pPr>
              <w:spacing w:after="0"/>
              <w:rPr>
                <w:sz w:val="1"/>
                <w:szCs w:val="1"/>
                <w:color w:val="auto"/>
              </w:rPr>
            </w:pPr>
          </w:p>
        </w:tc>
      </w:tr>
      <w:tr>
        <w:trPr>
          <w:trHeight w:val="258"/>
        </w:trPr>
        <w:tc>
          <w:tcPr>
            <w:tcW w:w="24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E6E6E6"/>
            </w:tcBorders>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7"/>
              </w:rPr>
              <w:t>(2025 Notes)</w:t>
            </w:r>
          </w:p>
        </w:tc>
        <w:tc>
          <w:tcPr>
            <w:tcW w:w="80" w:type="dxa"/>
            <w:vAlign w:val="bottom"/>
            <w:tcBorders>
              <w:bottom w:val="single" w:sz="8" w:color="E6E6E6"/>
            </w:tcBorders>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7"/>
              </w:rPr>
              <w:t>(2029 Notes)</w:t>
            </w:r>
          </w:p>
        </w:tc>
        <w:tc>
          <w:tcPr>
            <w:tcW w:w="100" w:type="dxa"/>
            <w:vAlign w:val="bottom"/>
            <w:tcBorders>
              <w:bottom w:val="single" w:sz="8" w:color="E6E6E6"/>
            </w:tcBorders>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7"/>
              </w:rPr>
              <w:t>(2025 Notes)</w:t>
            </w:r>
          </w:p>
        </w:tc>
        <w:tc>
          <w:tcPr>
            <w:tcW w:w="80" w:type="dxa"/>
            <w:vAlign w:val="bottom"/>
            <w:tcBorders>
              <w:bottom w:val="single" w:sz="8" w:color="E6E6E6"/>
            </w:tcBorders>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7"/>
              </w:rPr>
              <w:t>(2029 Notes)</w:t>
            </w:r>
          </w:p>
        </w:tc>
        <w:tc>
          <w:tcPr>
            <w:tcW w:w="0" w:type="dxa"/>
            <w:vAlign w:val="bottom"/>
          </w:tcPr>
          <w:p>
            <w:pPr>
              <w:spacing w:after="0"/>
              <w:rPr>
                <w:sz w:val="1"/>
                <w:szCs w:val="1"/>
                <w:color w:val="auto"/>
              </w:rPr>
            </w:pPr>
          </w:p>
        </w:tc>
      </w:tr>
      <w:tr>
        <w:trPr>
          <w:trHeight w:val="269"/>
        </w:trPr>
        <w:tc>
          <w:tcPr>
            <w:tcW w:w="2400" w:type="dxa"/>
            <w:vAlign w:val="bottom"/>
            <w:shd w:val="clear" w:color="auto" w:fill="E6E6E6"/>
          </w:tcPr>
          <w:p>
            <w:pPr>
              <w:ind w:left="40"/>
              <w:spacing w:after="0"/>
              <w:rPr>
                <w:sz w:val="20"/>
                <w:szCs w:val="20"/>
                <w:color w:val="auto"/>
              </w:rPr>
            </w:pPr>
            <w:r>
              <w:rPr>
                <w:rFonts w:ascii="Arial" w:cs="Arial" w:eastAsia="Arial" w:hAnsi="Arial"/>
                <w:sz w:val="20"/>
                <w:szCs w:val="20"/>
                <w:color w:val="auto"/>
              </w:rPr>
              <w:t>December 31, 2024</w:t>
            </w:r>
          </w:p>
        </w:tc>
        <w:tc>
          <w:tcPr>
            <w:tcW w:w="100" w:type="dxa"/>
            <w:vAlign w:val="bottom"/>
            <w:shd w:val="clear" w:color="auto" w:fill="E6E6E6"/>
          </w:tcPr>
          <w:p>
            <w:pPr>
              <w:spacing w:after="0"/>
              <w:rPr>
                <w:sz w:val="23"/>
                <w:szCs w:val="23"/>
                <w:color w:val="auto"/>
              </w:rPr>
            </w:pPr>
          </w:p>
        </w:tc>
        <w:tc>
          <w:tcPr>
            <w:tcW w:w="18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37 %</w:t>
            </w:r>
          </w:p>
        </w:tc>
        <w:tc>
          <w:tcPr>
            <w:tcW w:w="80" w:type="dxa"/>
            <w:vAlign w:val="bottom"/>
            <w:shd w:val="clear" w:color="auto" w:fill="E6E6E6"/>
          </w:tcPr>
          <w:p>
            <w:pPr>
              <w:spacing w:after="0"/>
              <w:rPr>
                <w:sz w:val="23"/>
                <w:szCs w:val="23"/>
                <w:color w:val="auto"/>
              </w:rPr>
            </w:pPr>
          </w:p>
        </w:tc>
        <w:tc>
          <w:tcPr>
            <w:tcW w:w="18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35 %</w:t>
            </w:r>
          </w:p>
        </w:tc>
        <w:tc>
          <w:tcPr>
            <w:tcW w:w="100" w:type="dxa"/>
            <w:vAlign w:val="bottom"/>
            <w:shd w:val="clear" w:color="auto" w:fill="E6E6E6"/>
          </w:tcPr>
          <w:p>
            <w:pPr>
              <w:spacing w:after="0"/>
              <w:rPr>
                <w:sz w:val="23"/>
                <w:szCs w:val="23"/>
                <w:color w:val="auto"/>
              </w:rPr>
            </w:pPr>
          </w:p>
        </w:tc>
        <w:tc>
          <w:tcPr>
            <w:tcW w:w="18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37 %</w:t>
            </w:r>
          </w:p>
        </w:tc>
        <w:tc>
          <w:tcPr>
            <w:tcW w:w="80" w:type="dxa"/>
            <w:vAlign w:val="bottom"/>
            <w:shd w:val="clear" w:color="auto" w:fill="E6E6E6"/>
          </w:tcPr>
          <w:p>
            <w:pPr>
              <w:spacing w:after="0"/>
              <w:rPr>
                <w:sz w:val="23"/>
                <w:szCs w:val="23"/>
                <w:color w:val="auto"/>
              </w:rPr>
            </w:pPr>
          </w:p>
        </w:tc>
        <w:tc>
          <w:tcPr>
            <w:tcW w:w="18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35 %</w:t>
            </w:r>
          </w:p>
        </w:tc>
        <w:tc>
          <w:tcPr>
            <w:tcW w:w="0" w:type="dxa"/>
            <w:vAlign w:val="bottom"/>
          </w:tcPr>
          <w:p>
            <w:pPr>
              <w:spacing w:after="0"/>
              <w:rPr>
                <w:sz w:val="1"/>
                <w:szCs w:val="1"/>
                <w:color w:val="auto"/>
              </w:rPr>
            </w:pPr>
          </w:p>
        </w:tc>
      </w:tr>
      <w:tr>
        <w:trPr>
          <w:trHeight w:val="268"/>
        </w:trPr>
        <w:tc>
          <w:tcPr>
            <w:tcW w:w="2400" w:type="dxa"/>
            <w:vAlign w:val="bottom"/>
          </w:tcPr>
          <w:p>
            <w:pPr>
              <w:ind w:left="40"/>
              <w:spacing w:after="0"/>
              <w:rPr>
                <w:sz w:val="20"/>
                <w:szCs w:val="20"/>
                <w:color w:val="auto"/>
              </w:rPr>
            </w:pPr>
            <w:r>
              <w:rPr>
                <w:rFonts w:ascii="Arial" w:cs="Arial" w:eastAsia="Arial" w:hAnsi="Arial"/>
                <w:sz w:val="20"/>
                <w:szCs w:val="20"/>
                <w:color w:val="auto"/>
              </w:rPr>
              <w:t>December 31, 2023</w:t>
            </w:r>
          </w:p>
        </w:tc>
        <w:tc>
          <w:tcPr>
            <w:tcW w:w="1920" w:type="dxa"/>
            <w:vAlign w:val="bottom"/>
            <w:gridSpan w:val="2"/>
          </w:tcPr>
          <w:p>
            <w:pPr>
              <w:jc w:val="right"/>
              <w:spacing w:after="0"/>
              <w:rPr>
                <w:sz w:val="20"/>
                <w:szCs w:val="20"/>
                <w:color w:val="auto"/>
              </w:rPr>
            </w:pPr>
            <w:r>
              <w:rPr>
                <w:rFonts w:ascii="Arial" w:cs="Arial" w:eastAsia="Arial" w:hAnsi="Arial"/>
                <w:sz w:val="20"/>
                <w:szCs w:val="20"/>
                <w:color w:val="auto"/>
              </w:rPr>
              <w:t>38 %</w:t>
            </w:r>
          </w:p>
        </w:tc>
        <w:tc>
          <w:tcPr>
            <w:tcW w:w="8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20"/>
                <w:szCs w:val="20"/>
                <w:color w:val="auto"/>
              </w:rPr>
              <w:t>N/A</w:t>
            </w:r>
          </w:p>
        </w:tc>
        <w:tc>
          <w:tcPr>
            <w:tcW w:w="1920" w:type="dxa"/>
            <w:vAlign w:val="bottom"/>
            <w:gridSpan w:val="2"/>
          </w:tcPr>
          <w:p>
            <w:pPr>
              <w:jc w:val="right"/>
              <w:spacing w:after="0"/>
              <w:rPr>
                <w:sz w:val="20"/>
                <w:szCs w:val="20"/>
                <w:color w:val="auto"/>
              </w:rPr>
            </w:pPr>
            <w:r>
              <w:rPr>
                <w:rFonts w:ascii="Arial" w:cs="Arial" w:eastAsia="Arial" w:hAnsi="Arial"/>
                <w:sz w:val="20"/>
                <w:szCs w:val="20"/>
                <w:color w:val="auto"/>
              </w:rPr>
              <w:t>38 %</w:t>
            </w:r>
          </w:p>
        </w:tc>
        <w:tc>
          <w:tcPr>
            <w:tcW w:w="8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-359410</wp:posOffset>
            </wp:positionV>
            <wp:extent cx="641032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35">
                      <a:extLst>
                        <a:ext uri="{28A0092B-C50C-407E-A947-70E740481C1C}"/>
                      </a:extLst>
                    </a:blip>
                    <a:srcRect/>
                    <a:stretch>
                      <a:fillRect/>
                    </a:stretch>
                  </pic:blipFill>
                  <pic:spPr bwMode="auto">
                    <a:xfrm>
                      <a:off x="0" y="0"/>
                      <a:ext cx="6410325" cy="25400"/>
                    </a:xfrm>
                    <a:prstGeom prst="rect">
                      <a:avLst/>
                    </a:prstGeom>
                    <a:noFill/>
                  </pic:spPr>
                </pic:pic>
              </a:graphicData>
            </a:graphic>
          </wp:anchor>
        </w:drawing>
      </w:r>
    </w:p>
    <w:p>
      <w:pPr>
        <w:spacing w:after="0" w:line="152" w:lineRule="exact"/>
        <w:rPr>
          <w:sz w:val="20"/>
          <w:szCs w:val="20"/>
          <w:color w:val="auto"/>
        </w:rPr>
      </w:pPr>
    </w:p>
    <w:p>
      <w:pPr>
        <w:jc w:val="both"/>
        <w:ind w:left="700" w:hanging="355"/>
        <w:spacing w:after="0" w:line="248" w:lineRule="auto"/>
        <w:tabs>
          <w:tab w:leader="none" w:pos="70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The embedded and capped call derivatives are classified as Level 3 because the Company uses historical volatility and implied volatility from actual options traded to determine expected stock price volatility, an unobservable input that is significant to the valuation. In general, an increase in LivaNova’s stock price or stock price volatility would increase the fair value of the embedded and capped call derivatives, which would result in an increase in net expense. As the remaining time to the expiration of the derivatives decreases, the fair value of the derivatives decreases. The future impact of the derivatives on net income depends on how significant inputs such as stock price, stock price volatility, and time to the expiration of the derivatives change in relation to other inputs.</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color w:val="auto"/>
        </w:rPr>
        <w:t>Contingent Consideration Arrangements</w:t>
      </w:r>
    </w:p>
    <w:p>
      <w:pPr>
        <w:spacing w:after="0" w:line="140" w:lineRule="exact"/>
        <w:rPr>
          <w:sz w:val="20"/>
          <w:szCs w:val="20"/>
          <w:color w:val="auto"/>
        </w:rPr>
      </w:pPr>
    </w:p>
    <w:p>
      <w:pPr>
        <w:ind w:right="20"/>
        <w:spacing w:after="0" w:line="284" w:lineRule="auto"/>
        <w:rPr>
          <w:sz w:val="20"/>
          <w:szCs w:val="20"/>
          <w:color w:val="auto"/>
        </w:rPr>
      </w:pPr>
      <w:r>
        <w:rPr>
          <w:rFonts w:ascii="Arial" w:cs="Arial" w:eastAsia="Arial" w:hAnsi="Arial"/>
          <w:sz w:val="20"/>
          <w:szCs w:val="20"/>
          <w:color w:val="auto"/>
        </w:rPr>
        <w:t>The following table presents the fair value of LivaNova’s Level 3 contingent consideration arrangements by acquisition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0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rPr>
              <w:t>December 31,</w:t>
            </w:r>
          </w:p>
        </w:tc>
        <w:tc>
          <w:tcPr>
            <w:tcW w:w="940" w:type="dxa"/>
            <w:vAlign w:val="bottom"/>
            <w:tcBorders>
              <w:bottom w:val="single" w:sz="8" w:color="auto"/>
            </w:tcBorders>
          </w:tcPr>
          <w:p>
            <w:pPr>
              <w:spacing w:after="0"/>
              <w:rPr>
                <w:sz w:val="22"/>
                <w:szCs w:val="22"/>
                <w:color w:val="auto"/>
              </w:rPr>
            </w:pPr>
          </w:p>
        </w:tc>
      </w:tr>
      <w:tr>
        <w:trPr>
          <w:trHeight w:val="260"/>
        </w:trPr>
        <w:tc>
          <w:tcPr>
            <w:tcW w:w="700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2024</w:t>
            </w:r>
          </w:p>
        </w:tc>
        <w:tc>
          <w:tcPr>
            <w:tcW w:w="80" w:type="dxa"/>
            <w:vAlign w:val="bottom"/>
            <w:tcBorders>
              <w:bottom w:val="single" w:sz="8" w:color="E6E6E6"/>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w w:val="85"/>
              </w:rPr>
              <w:t>2023</w:t>
            </w:r>
          </w:p>
        </w:tc>
      </w:tr>
      <w:tr>
        <w:trPr>
          <w:trHeight w:val="269"/>
        </w:trPr>
        <w:tc>
          <w:tcPr>
            <w:tcW w:w="7000" w:type="dxa"/>
            <w:vAlign w:val="bottom"/>
            <w:shd w:val="clear" w:color="auto" w:fill="E6E6E6"/>
          </w:tcPr>
          <w:p>
            <w:pPr>
              <w:ind w:left="40"/>
              <w:spacing w:after="0"/>
              <w:rPr>
                <w:sz w:val="20"/>
                <w:szCs w:val="20"/>
                <w:color w:val="auto"/>
              </w:rPr>
            </w:pPr>
            <w:r>
              <w:rPr>
                <w:rFonts w:ascii="Arial" w:cs="Arial" w:eastAsia="Arial" w:hAnsi="Arial"/>
                <w:sz w:val="20"/>
                <w:szCs w:val="20"/>
                <w:color w:val="auto"/>
              </w:rPr>
              <w:t>ImThera</w:t>
            </w:r>
          </w:p>
        </w:tc>
        <w:tc>
          <w:tcPr>
            <w:tcW w:w="360" w:type="dxa"/>
            <w:vAlign w:val="bottom"/>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84,218</w:t>
            </w:r>
          </w:p>
        </w:tc>
        <w:tc>
          <w:tcPr>
            <w:tcW w:w="620" w:type="dxa"/>
            <w:vAlign w:val="bottom"/>
            <w:gridSpan w:val="2"/>
            <w:shd w:val="clear" w:color="auto" w:fill="E6E6E6"/>
          </w:tcPr>
          <w:p>
            <w:pPr>
              <w:jc w:val="right"/>
              <w:ind w:right="282"/>
              <w:spacing w:after="0"/>
              <w:rPr>
                <w:sz w:val="20"/>
                <w:szCs w:val="20"/>
                <w:color w:val="auto"/>
              </w:rPr>
            </w:pPr>
            <w:r>
              <w:rPr>
                <w:rFonts w:ascii="Arial" w:cs="Arial" w:eastAsia="Arial" w:hAnsi="Arial"/>
                <w:sz w:val="20"/>
                <w:szCs w:val="20"/>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80,902</w:t>
            </w:r>
          </w:p>
        </w:tc>
      </w:tr>
      <w:tr>
        <w:trPr>
          <w:trHeight w:val="270"/>
        </w:trPr>
        <w:tc>
          <w:tcPr>
            <w:tcW w:w="7000" w:type="dxa"/>
            <w:vAlign w:val="bottom"/>
            <w:tcBorders>
              <w:bottom w:val="single" w:sz="8" w:color="E6E6E6"/>
            </w:tcBorders>
          </w:tcPr>
          <w:p>
            <w:pPr>
              <w:ind w:left="40"/>
              <w:spacing w:after="0" w:line="269" w:lineRule="exact"/>
              <w:rPr>
                <w:sz w:val="20"/>
                <w:szCs w:val="20"/>
                <w:color w:val="auto"/>
              </w:rPr>
            </w:pPr>
            <w:r>
              <w:rPr>
                <w:rFonts w:ascii="Arial" w:cs="Arial" w:eastAsia="Arial" w:hAnsi="Arial"/>
                <w:sz w:val="20"/>
                <w:szCs w:val="20"/>
                <w:color w:val="auto"/>
              </w:rPr>
              <w:t xml:space="preserve">ALung </w:t>
            </w:r>
            <w:r>
              <w:rPr>
                <w:rFonts w:ascii="Arial" w:cs="Arial" w:eastAsia="Arial" w:hAnsi="Arial"/>
                <w:sz w:val="25"/>
                <w:szCs w:val="25"/>
                <w:color w:val="auto"/>
                <w:vertAlign w:val="superscript"/>
              </w:rPr>
              <w:t>(1)</w:t>
            </w: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13,750</w:t>
            </w:r>
          </w:p>
        </w:tc>
      </w:tr>
      <w:tr>
        <w:trPr>
          <w:trHeight w:val="278"/>
        </w:trPr>
        <w:tc>
          <w:tcPr>
            <w:tcW w:w="700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84,218</w:t>
            </w:r>
          </w:p>
        </w:tc>
        <w:tc>
          <w:tcPr>
            <w:tcW w:w="80" w:type="dxa"/>
            <w:vAlign w:val="bottom"/>
            <w:tcBorders>
              <w:bottom w:val="single" w:sz="8" w:color="E6E6E6"/>
            </w:tcBorders>
            <w:shd w:val="clear" w:color="auto" w:fill="E6E6E6"/>
          </w:tcPr>
          <w:p>
            <w:pPr>
              <w:spacing w:after="0"/>
              <w:rPr>
                <w:sz w:val="24"/>
                <w:szCs w:val="24"/>
                <w:color w:val="auto"/>
              </w:rPr>
            </w:pPr>
          </w:p>
        </w:tc>
        <w:tc>
          <w:tcPr>
            <w:tcW w:w="540" w:type="dxa"/>
            <w:vAlign w:val="bottom"/>
            <w:tcBorders>
              <w:bottom w:val="single" w:sz="8" w:color="auto"/>
            </w:tcBorders>
            <w:shd w:val="clear" w:color="auto" w:fill="E6E6E6"/>
          </w:tcPr>
          <w:p>
            <w:pPr>
              <w:jc w:val="right"/>
              <w:ind w:right="282"/>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94,652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4434840</wp:posOffset>
            </wp:positionH>
            <wp:positionV relativeFrom="paragraph">
              <wp:posOffset>-562610</wp:posOffset>
            </wp:positionV>
            <wp:extent cx="195770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36">
                      <a:extLst>
                        <a:ext uri="{28A0092B-C50C-407E-A947-70E740481C1C}"/>
                      </a:extLst>
                    </a:blip>
                    <a:srcRect/>
                    <a:stretch>
                      <a:fillRect/>
                    </a:stretch>
                  </pic:blipFill>
                  <pic:spPr bwMode="auto">
                    <a:xfrm>
                      <a:off x="0" y="0"/>
                      <a:ext cx="1957705" cy="25400"/>
                    </a:xfrm>
                    <a:prstGeom prst="rect">
                      <a:avLst/>
                    </a:prstGeom>
                    <a:noFill/>
                  </pic:spPr>
                </pic:pic>
              </a:graphicData>
            </a:graphic>
          </wp:anchor>
        </w:drawing>
        <w:drawing>
          <wp:anchor simplePos="0" relativeHeight="251657728" behindDoc="1" locked="0" layoutInCell="0" allowOverlap="1">
            <wp:simplePos x="0" y="0"/>
            <wp:positionH relativeFrom="column">
              <wp:posOffset>4434840</wp:posOffset>
            </wp:positionH>
            <wp:positionV relativeFrom="paragraph">
              <wp:posOffset>-208280</wp:posOffset>
            </wp:positionV>
            <wp:extent cx="195770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37">
                      <a:extLst>
                        <a:ext uri="{28A0092B-C50C-407E-A947-70E740481C1C}"/>
                      </a:extLst>
                    </a:blip>
                    <a:srcRect/>
                    <a:stretch>
                      <a:fillRect/>
                    </a:stretch>
                  </pic:blipFill>
                  <pic:spPr bwMode="auto">
                    <a:xfrm>
                      <a:off x="0" y="0"/>
                      <a:ext cx="1957705" cy="25400"/>
                    </a:xfrm>
                    <a:prstGeom prst="rect">
                      <a:avLst/>
                    </a:prstGeom>
                    <a:noFill/>
                  </pic:spPr>
                </pic:pic>
              </a:graphicData>
            </a:graphic>
          </wp:anchor>
        </w:drawing>
        <w:drawing>
          <wp:anchor simplePos="0" relativeHeight="251657728" behindDoc="1" locked="0" layoutInCell="0" allowOverlap="1">
            <wp:simplePos x="0" y="0"/>
            <wp:positionH relativeFrom="column">
              <wp:posOffset>4434840</wp:posOffset>
            </wp:positionH>
            <wp:positionV relativeFrom="paragraph">
              <wp:posOffset>-43180</wp:posOffset>
            </wp:positionV>
            <wp:extent cx="1957705" cy="501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38">
                      <a:extLst>
                        <a:ext uri="{28A0092B-C50C-407E-A947-70E740481C1C}"/>
                      </a:extLst>
                    </a:blip>
                    <a:srcRect/>
                    <a:stretch>
                      <a:fillRect/>
                    </a:stretch>
                  </pic:blipFill>
                  <pic:spPr bwMode="auto">
                    <a:xfrm>
                      <a:off x="0" y="0"/>
                      <a:ext cx="1957705" cy="50165"/>
                    </a:xfrm>
                    <a:prstGeom prst="rect">
                      <a:avLst/>
                    </a:prstGeom>
                    <a:noFill/>
                  </pic:spPr>
                </pic:pic>
              </a:graphicData>
            </a:graphic>
          </wp:anchor>
        </w:drawing>
      </w:r>
    </w:p>
    <w:p>
      <w:pPr>
        <w:sectPr>
          <w:pgSz w:w="11880" w:h="15480" w:orient="portrait"/>
          <w:cols w:equalWidth="0" w:num="1">
            <w:col w:w="10060"/>
          </w:cols>
          <w:pgMar w:left="920" w:top="658" w:right="900" w:bottom="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F-24</w:t>
      </w:r>
    </w:p>
    <w:p>
      <w:pPr>
        <w:sectPr>
          <w:pgSz w:w="11880" w:h="15480" w:orient="portrait"/>
          <w:cols w:equalWidth="0" w:num="1">
            <w:col w:w="10060"/>
          </w:cols>
          <w:pgMar w:left="920" w:top="658" w:right="900" w:bottom="0" w:gutter="0" w:footer="0" w:header="0"/>
          <w:type w:val="continuous"/>
        </w:sectPr>
      </w:pPr>
    </w:p>
    <w:bookmarkStart w:id="82" w:name="page83"/>
    <w:bookmarkEnd w:id="82"/>
    <w:p>
      <w:pPr>
        <w:jc w:val="both"/>
        <w:ind w:left="700" w:hanging="355"/>
        <w:spacing w:after="0" w:line="281" w:lineRule="auto"/>
        <w:tabs>
          <w:tab w:leader="none" w:pos="70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The ALung business combination involved a contingent consideration arrangement composed of potential cash payments upon the achievement of certain sales-based thresholds associated with sales of products. The ALung contingent consideration was subject to a one-time phase-out payment of $13.8 million, in the event that LivaNova were to cease operations of ALung. In January 2024, LivaNova announced the wind down of ACS, including ALung, as part of the 2024 Restructuring Plan, and as a result, the ALung contingent consideration phase-out payment amount of $13.8 million was paid during 2024.</w:t>
      </w:r>
    </w:p>
    <w:p>
      <w:pPr>
        <w:spacing w:after="0" w:line="69" w:lineRule="exact"/>
        <w:rPr>
          <w:sz w:val="20"/>
          <w:szCs w:val="20"/>
          <w:color w:val="auto"/>
        </w:rPr>
      </w:pPr>
    </w:p>
    <w:p>
      <w:pPr>
        <w:jc w:val="both"/>
        <w:ind w:right="20"/>
        <w:spacing w:after="0" w:line="326" w:lineRule="auto"/>
        <w:rPr>
          <w:sz w:val="20"/>
          <w:szCs w:val="20"/>
          <w:color w:val="auto"/>
        </w:rPr>
      </w:pPr>
      <w:r>
        <w:rPr>
          <w:rFonts w:ascii="Arial" w:cs="Arial" w:eastAsia="Arial" w:hAnsi="Arial"/>
          <w:sz w:val="17"/>
          <w:szCs w:val="17"/>
          <w:color w:val="auto"/>
        </w:rPr>
        <w:t>The ImThera business combination involved contingent consideration arrangements comprised of potential cash payments upon the achievement of a certain regulatory milestone and a sales-based earnout associated with sales of products. The sales-based earnouts are valued using projected sales from LivaNova’s internal strategic plan. These arrangements are Level 3 fair value measurements and include the following significant unobservable inputs as of December 31, 2024:</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360" w:type="dxa"/>
            <w:vAlign w:val="bottom"/>
            <w:tcBorders>
              <w:bottom w:val="single" w:sz="8" w:color="auto"/>
            </w:tcBorders>
          </w:tcPr>
          <w:p>
            <w:pPr>
              <w:ind w:left="800"/>
              <w:spacing w:after="0"/>
              <w:rPr>
                <w:sz w:val="20"/>
                <w:szCs w:val="20"/>
                <w:color w:val="auto"/>
              </w:rPr>
            </w:pPr>
            <w:r>
              <w:rPr>
                <w:rFonts w:ascii="Arial" w:cs="Arial" w:eastAsia="Arial" w:hAnsi="Arial"/>
                <w:sz w:val="20"/>
                <w:szCs w:val="20"/>
                <w:b w:val="1"/>
                <w:bCs w:val="1"/>
                <w:color w:val="auto"/>
              </w:rPr>
              <w:t>ImThera Acquisition</w:t>
            </w:r>
          </w:p>
        </w:tc>
        <w:tc>
          <w:tcPr>
            <w:tcW w:w="80" w:type="dxa"/>
            <w:vAlign w:val="bottom"/>
            <w:tcBorders>
              <w:bottom w:val="single" w:sz="8" w:color="E6E6E6"/>
            </w:tcBorders>
          </w:tcPr>
          <w:p>
            <w:pPr>
              <w:spacing w:after="0"/>
              <w:rPr>
                <w:sz w:val="22"/>
                <w:szCs w:val="22"/>
                <w:color w:val="auto"/>
              </w:rPr>
            </w:pPr>
          </w:p>
        </w:tc>
        <w:tc>
          <w:tcPr>
            <w:tcW w:w="2720" w:type="dxa"/>
            <w:vAlign w:val="bottom"/>
            <w:tcBorders>
              <w:bottom w:val="single" w:sz="8" w:color="auto"/>
            </w:tcBorders>
          </w:tcPr>
          <w:p>
            <w:pPr>
              <w:ind w:left="480"/>
              <w:spacing w:after="0"/>
              <w:rPr>
                <w:sz w:val="20"/>
                <w:szCs w:val="20"/>
                <w:color w:val="auto"/>
              </w:rPr>
            </w:pPr>
            <w:r>
              <w:rPr>
                <w:rFonts w:ascii="Arial" w:cs="Arial" w:eastAsia="Arial" w:hAnsi="Arial"/>
                <w:sz w:val="20"/>
                <w:szCs w:val="20"/>
                <w:b w:val="1"/>
                <w:bCs w:val="1"/>
                <w:color w:val="auto"/>
              </w:rPr>
              <w:t>Valuation Technique</w:t>
            </w:r>
          </w:p>
        </w:tc>
        <w:tc>
          <w:tcPr>
            <w:tcW w:w="60" w:type="dxa"/>
            <w:vAlign w:val="bottom"/>
            <w:tcBorders>
              <w:bottom w:val="single" w:sz="8" w:color="E6E6E6"/>
            </w:tcBorders>
          </w:tcPr>
          <w:p>
            <w:pPr>
              <w:spacing w:after="0"/>
              <w:rPr>
                <w:sz w:val="22"/>
                <w:szCs w:val="22"/>
                <w:color w:val="auto"/>
              </w:rPr>
            </w:pPr>
          </w:p>
        </w:tc>
        <w:tc>
          <w:tcPr>
            <w:tcW w:w="3060" w:type="dxa"/>
            <w:vAlign w:val="bottom"/>
            <w:tcBorders>
              <w:bottom w:val="single" w:sz="8" w:color="auto"/>
            </w:tcBorders>
            <w:gridSpan w:val="2"/>
          </w:tcPr>
          <w:p>
            <w:pPr>
              <w:ind w:left="1040"/>
              <w:spacing w:after="0"/>
              <w:rPr>
                <w:sz w:val="20"/>
                <w:szCs w:val="20"/>
                <w:color w:val="auto"/>
              </w:rPr>
            </w:pPr>
            <w:r>
              <w:rPr>
                <w:rFonts w:ascii="Arial" w:cs="Arial" w:eastAsia="Arial" w:hAnsi="Arial"/>
                <w:sz w:val="20"/>
                <w:szCs w:val="20"/>
                <w:b w:val="1"/>
                <w:bCs w:val="1"/>
                <w:color w:val="auto"/>
              </w:rPr>
              <w:t>Unobservable Inputs</w:t>
            </w:r>
          </w:p>
        </w:tc>
        <w:tc>
          <w:tcPr>
            <w:tcW w:w="760" w:type="dxa"/>
            <w:vAlign w:val="bottom"/>
            <w:tcBorders>
              <w:bottom w:val="single" w:sz="8" w:color="auto"/>
            </w:tcBorders>
          </w:tcPr>
          <w:p>
            <w:pPr>
              <w:spacing w:after="0"/>
              <w:rPr>
                <w:sz w:val="22"/>
                <w:szCs w:val="22"/>
                <w:color w:val="auto"/>
              </w:rPr>
            </w:pPr>
          </w:p>
        </w:tc>
      </w:tr>
      <w:tr>
        <w:trPr>
          <w:trHeight w:val="269"/>
        </w:trPr>
        <w:tc>
          <w:tcPr>
            <w:tcW w:w="3360" w:type="dxa"/>
            <w:vAlign w:val="bottom"/>
            <w:shd w:val="clear" w:color="auto" w:fill="E6E6E6"/>
          </w:tcPr>
          <w:p>
            <w:pPr>
              <w:ind w:left="40"/>
              <w:spacing w:after="0"/>
              <w:rPr>
                <w:sz w:val="20"/>
                <w:szCs w:val="20"/>
                <w:color w:val="auto"/>
              </w:rPr>
            </w:pPr>
            <w:r>
              <w:rPr>
                <w:rFonts w:ascii="Arial" w:cs="Arial" w:eastAsia="Arial" w:hAnsi="Arial"/>
                <w:sz w:val="20"/>
                <w:szCs w:val="20"/>
                <w:color w:val="auto"/>
                <w:w w:val="99"/>
              </w:rPr>
              <w:t>Regulatory milestone-based payment</w:t>
            </w:r>
          </w:p>
        </w:tc>
        <w:tc>
          <w:tcPr>
            <w:tcW w:w="80" w:type="dxa"/>
            <w:vAlign w:val="bottom"/>
            <w:shd w:val="clear" w:color="auto" w:fill="E6E6E6"/>
          </w:tcPr>
          <w:p>
            <w:pPr>
              <w:spacing w:after="0"/>
              <w:rPr>
                <w:sz w:val="23"/>
                <w:szCs w:val="23"/>
                <w:color w:val="auto"/>
              </w:rPr>
            </w:pPr>
          </w:p>
        </w:tc>
        <w:tc>
          <w:tcPr>
            <w:tcW w:w="2720" w:type="dxa"/>
            <w:vAlign w:val="bottom"/>
            <w:shd w:val="clear" w:color="auto" w:fill="E6E6E6"/>
          </w:tcPr>
          <w:p>
            <w:pPr>
              <w:ind w:left="40"/>
              <w:spacing w:after="0"/>
              <w:rPr>
                <w:sz w:val="20"/>
                <w:szCs w:val="20"/>
                <w:color w:val="auto"/>
              </w:rPr>
            </w:pPr>
            <w:r>
              <w:rPr>
                <w:rFonts w:ascii="Arial" w:cs="Arial" w:eastAsia="Arial" w:hAnsi="Arial"/>
                <w:sz w:val="20"/>
                <w:szCs w:val="20"/>
                <w:color w:val="auto"/>
              </w:rPr>
              <w:t>Discounted cash flow</w:t>
            </w:r>
          </w:p>
        </w:tc>
        <w:tc>
          <w:tcPr>
            <w:tcW w:w="60" w:type="dxa"/>
            <w:vAlign w:val="bottom"/>
            <w:shd w:val="clear" w:color="auto" w:fill="E6E6E6"/>
          </w:tcPr>
          <w:p>
            <w:pPr>
              <w:spacing w:after="0"/>
              <w:rPr>
                <w:sz w:val="23"/>
                <w:szCs w:val="23"/>
                <w:color w:val="auto"/>
              </w:rPr>
            </w:pPr>
          </w:p>
        </w:tc>
        <w:tc>
          <w:tcPr>
            <w:tcW w:w="2360" w:type="dxa"/>
            <w:vAlign w:val="bottom"/>
            <w:shd w:val="clear" w:color="auto" w:fill="E6E6E6"/>
          </w:tcPr>
          <w:p>
            <w:pPr>
              <w:ind w:left="60"/>
              <w:spacing w:after="0"/>
              <w:rPr>
                <w:sz w:val="20"/>
                <w:szCs w:val="20"/>
                <w:color w:val="auto"/>
              </w:rPr>
            </w:pPr>
            <w:r>
              <w:rPr>
                <w:rFonts w:ascii="Arial" w:cs="Arial" w:eastAsia="Arial" w:hAnsi="Arial"/>
                <w:sz w:val="20"/>
                <w:szCs w:val="20"/>
                <w:color w:val="auto"/>
              </w:rPr>
              <w:t>Discount rate</w:t>
            </w:r>
          </w:p>
        </w:tc>
        <w:tc>
          <w:tcPr>
            <w:tcW w:w="1460" w:type="dxa"/>
            <w:vAlign w:val="bottom"/>
            <w:gridSpan w:val="2"/>
            <w:shd w:val="clear" w:color="auto" w:fill="E6E6E6"/>
          </w:tcPr>
          <w:p>
            <w:pPr>
              <w:jc w:val="center"/>
              <w:ind w:left="2"/>
              <w:spacing w:after="0"/>
              <w:rPr>
                <w:sz w:val="20"/>
                <w:szCs w:val="20"/>
                <w:color w:val="auto"/>
              </w:rPr>
            </w:pPr>
            <w:r>
              <w:rPr>
                <w:rFonts w:ascii="Arial" w:cs="Arial" w:eastAsia="Arial" w:hAnsi="Arial"/>
                <w:sz w:val="20"/>
                <w:szCs w:val="20"/>
                <w:color w:val="auto"/>
                <w:w w:val="87"/>
              </w:rPr>
              <w:t>7.0%</w:t>
            </w:r>
          </w:p>
        </w:tc>
      </w:tr>
      <w:tr>
        <w:trPr>
          <w:trHeight w:val="274"/>
        </w:trPr>
        <w:tc>
          <w:tcPr>
            <w:tcW w:w="3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360" w:type="dxa"/>
            <w:vAlign w:val="bottom"/>
          </w:tcPr>
          <w:p>
            <w:pPr>
              <w:ind w:left="60"/>
              <w:spacing w:after="0"/>
              <w:rPr>
                <w:sz w:val="20"/>
                <w:szCs w:val="20"/>
                <w:color w:val="auto"/>
              </w:rPr>
            </w:pPr>
            <w:r>
              <w:rPr>
                <w:rFonts w:ascii="Arial" w:cs="Arial" w:eastAsia="Arial" w:hAnsi="Arial"/>
                <w:sz w:val="20"/>
                <w:szCs w:val="20"/>
                <w:color w:val="auto"/>
              </w:rPr>
              <w:t>Probability of payment</w:t>
            </w:r>
          </w:p>
        </w:tc>
        <w:tc>
          <w:tcPr>
            <w:tcW w:w="1460" w:type="dxa"/>
            <w:vAlign w:val="bottom"/>
            <w:gridSpan w:val="2"/>
          </w:tcPr>
          <w:p>
            <w:pPr>
              <w:jc w:val="center"/>
              <w:ind w:left="2"/>
              <w:spacing w:after="0"/>
              <w:rPr>
                <w:sz w:val="20"/>
                <w:szCs w:val="20"/>
                <w:color w:val="auto"/>
              </w:rPr>
            </w:pPr>
            <w:r>
              <w:rPr>
                <w:rFonts w:ascii="Arial" w:cs="Arial" w:eastAsia="Arial" w:hAnsi="Arial"/>
                <w:sz w:val="20"/>
                <w:szCs w:val="20"/>
                <w:color w:val="auto"/>
                <w:w w:val="89"/>
              </w:rPr>
              <w:t>85%</w:t>
            </w:r>
          </w:p>
        </w:tc>
      </w:tr>
      <w:tr>
        <w:trPr>
          <w:trHeight w:val="285"/>
        </w:trPr>
        <w:tc>
          <w:tcPr>
            <w:tcW w:w="336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7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360" w:type="dxa"/>
            <w:vAlign w:val="bottom"/>
            <w:shd w:val="clear" w:color="auto" w:fill="E6E6E6"/>
          </w:tcPr>
          <w:p>
            <w:pPr>
              <w:ind w:left="60"/>
              <w:spacing w:after="0"/>
              <w:rPr>
                <w:sz w:val="20"/>
                <w:szCs w:val="20"/>
                <w:color w:val="auto"/>
              </w:rPr>
            </w:pPr>
            <w:r>
              <w:rPr>
                <w:rFonts w:ascii="Arial" w:cs="Arial" w:eastAsia="Arial" w:hAnsi="Arial"/>
                <w:sz w:val="20"/>
                <w:szCs w:val="20"/>
                <w:color w:val="auto"/>
              </w:rPr>
              <w:t>Projected payment year</w:t>
            </w:r>
          </w:p>
        </w:tc>
        <w:tc>
          <w:tcPr>
            <w:tcW w:w="1460" w:type="dxa"/>
            <w:vAlign w:val="bottom"/>
            <w:gridSpan w:val="2"/>
            <w:shd w:val="clear" w:color="auto" w:fill="E6E6E6"/>
          </w:tcPr>
          <w:p>
            <w:pPr>
              <w:jc w:val="center"/>
              <w:ind w:left="2"/>
              <w:spacing w:after="0"/>
              <w:rPr>
                <w:sz w:val="20"/>
                <w:szCs w:val="20"/>
                <w:color w:val="auto"/>
              </w:rPr>
            </w:pPr>
            <w:r>
              <w:rPr>
                <w:rFonts w:ascii="Arial" w:cs="Arial" w:eastAsia="Arial" w:hAnsi="Arial"/>
                <w:sz w:val="20"/>
                <w:szCs w:val="20"/>
                <w:color w:val="auto"/>
                <w:w w:val="89"/>
              </w:rPr>
              <w:t>2026</w:t>
            </w:r>
          </w:p>
        </w:tc>
      </w:tr>
      <w:tr>
        <w:trPr>
          <w:trHeight w:val="309"/>
        </w:trPr>
        <w:tc>
          <w:tcPr>
            <w:tcW w:w="3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79"/>
        </w:trPr>
        <w:tc>
          <w:tcPr>
            <w:tcW w:w="3360" w:type="dxa"/>
            <w:vAlign w:val="bottom"/>
            <w:shd w:val="clear" w:color="auto" w:fill="E6E6E6"/>
          </w:tcPr>
          <w:p>
            <w:pPr>
              <w:ind w:left="40"/>
              <w:spacing w:after="0"/>
              <w:rPr>
                <w:sz w:val="20"/>
                <w:szCs w:val="20"/>
                <w:color w:val="auto"/>
              </w:rPr>
            </w:pPr>
            <w:r>
              <w:rPr>
                <w:rFonts w:ascii="Arial" w:cs="Arial" w:eastAsia="Arial" w:hAnsi="Arial"/>
                <w:sz w:val="20"/>
                <w:szCs w:val="20"/>
                <w:color w:val="auto"/>
              </w:rPr>
              <w:t>Sales-based earnout</w:t>
            </w:r>
          </w:p>
        </w:tc>
        <w:tc>
          <w:tcPr>
            <w:tcW w:w="80" w:type="dxa"/>
            <w:vAlign w:val="bottom"/>
            <w:shd w:val="clear" w:color="auto" w:fill="E6E6E6"/>
          </w:tcPr>
          <w:p>
            <w:pPr>
              <w:spacing w:after="0"/>
              <w:rPr>
                <w:sz w:val="24"/>
                <w:szCs w:val="24"/>
                <w:color w:val="auto"/>
              </w:rPr>
            </w:pPr>
          </w:p>
        </w:tc>
        <w:tc>
          <w:tcPr>
            <w:tcW w:w="2720" w:type="dxa"/>
            <w:vAlign w:val="bottom"/>
            <w:shd w:val="clear" w:color="auto" w:fill="E6E6E6"/>
          </w:tcPr>
          <w:p>
            <w:pPr>
              <w:ind w:left="40"/>
              <w:spacing w:after="0"/>
              <w:rPr>
                <w:sz w:val="20"/>
                <w:szCs w:val="20"/>
                <w:color w:val="auto"/>
              </w:rPr>
            </w:pPr>
            <w:r>
              <w:rPr>
                <w:rFonts w:ascii="Arial" w:cs="Arial" w:eastAsia="Arial" w:hAnsi="Arial"/>
                <w:sz w:val="20"/>
                <w:szCs w:val="20"/>
                <w:color w:val="auto"/>
              </w:rPr>
              <w:t>Monte Carlo simulation</w:t>
            </w:r>
          </w:p>
        </w:tc>
        <w:tc>
          <w:tcPr>
            <w:tcW w:w="60" w:type="dxa"/>
            <w:vAlign w:val="bottom"/>
            <w:shd w:val="clear" w:color="auto" w:fill="E6E6E6"/>
          </w:tcPr>
          <w:p>
            <w:pPr>
              <w:spacing w:after="0"/>
              <w:rPr>
                <w:sz w:val="24"/>
                <w:szCs w:val="24"/>
                <w:color w:val="auto"/>
              </w:rPr>
            </w:pPr>
          </w:p>
        </w:tc>
        <w:tc>
          <w:tcPr>
            <w:tcW w:w="2360" w:type="dxa"/>
            <w:vAlign w:val="bottom"/>
            <w:shd w:val="clear" w:color="auto" w:fill="E6E6E6"/>
          </w:tcPr>
          <w:p>
            <w:pPr>
              <w:ind w:left="60"/>
              <w:spacing w:after="0"/>
              <w:rPr>
                <w:sz w:val="20"/>
                <w:szCs w:val="20"/>
                <w:color w:val="auto"/>
              </w:rPr>
            </w:pPr>
            <w:r>
              <w:rPr>
                <w:rFonts w:ascii="Arial" w:cs="Arial" w:eastAsia="Arial" w:hAnsi="Arial"/>
                <w:sz w:val="20"/>
                <w:szCs w:val="20"/>
                <w:color w:val="auto"/>
                <w:w w:val="94"/>
              </w:rPr>
              <w:t>Risk-adjusted discount rate</w:t>
            </w:r>
          </w:p>
        </w:tc>
        <w:tc>
          <w:tcPr>
            <w:tcW w:w="7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14.2%</w:t>
            </w:r>
          </w:p>
        </w:tc>
        <w:tc>
          <w:tcPr>
            <w:tcW w:w="760" w:type="dxa"/>
            <w:vAlign w:val="bottom"/>
            <w:shd w:val="clear" w:color="auto" w:fill="E6E6E6"/>
          </w:tcPr>
          <w:p>
            <w:pPr>
              <w:ind w:left="20"/>
              <w:spacing w:after="0"/>
              <w:rPr>
                <w:sz w:val="20"/>
                <w:szCs w:val="20"/>
                <w:color w:val="auto"/>
              </w:rPr>
            </w:pPr>
            <w:r>
              <w:rPr>
                <w:rFonts w:ascii="Arial" w:cs="Arial" w:eastAsia="Arial" w:hAnsi="Arial"/>
                <w:sz w:val="20"/>
                <w:szCs w:val="20"/>
                <w:color w:val="auto"/>
              </w:rPr>
              <w:t>- 14.3%</w:t>
            </w:r>
          </w:p>
        </w:tc>
      </w:tr>
      <w:tr>
        <w:trPr>
          <w:trHeight w:val="274"/>
        </w:trPr>
        <w:tc>
          <w:tcPr>
            <w:tcW w:w="3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360" w:type="dxa"/>
            <w:vAlign w:val="bottom"/>
          </w:tcPr>
          <w:p>
            <w:pPr>
              <w:ind w:left="60"/>
              <w:spacing w:after="0"/>
              <w:rPr>
                <w:sz w:val="20"/>
                <w:szCs w:val="20"/>
                <w:color w:val="auto"/>
              </w:rPr>
            </w:pPr>
            <w:r>
              <w:rPr>
                <w:rFonts w:ascii="Arial" w:cs="Arial" w:eastAsia="Arial" w:hAnsi="Arial"/>
                <w:sz w:val="20"/>
                <w:szCs w:val="20"/>
                <w:color w:val="auto"/>
              </w:rPr>
              <w:t>Credit risk discount rate</w:t>
            </w:r>
          </w:p>
        </w:tc>
        <w:tc>
          <w:tcPr>
            <w:tcW w:w="700" w:type="dxa"/>
            <w:vAlign w:val="bottom"/>
          </w:tcPr>
          <w:p>
            <w:pPr>
              <w:jc w:val="right"/>
              <w:spacing w:after="0"/>
              <w:rPr>
                <w:sz w:val="20"/>
                <w:szCs w:val="20"/>
                <w:color w:val="auto"/>
              </w:rPr>
            </w:pPr>
            <w:r>
              <w:rPr>
                <w:rFonts w:ascii="Arial" w:cs="Arial" w:eastAsia="Arial" w:hAnsi="Arial"/>
                <w:sz w:val="20"/>
                <w:szCs w:val="20"/>
                <w:color w:val="auto"/>
              </w:rPr>
              <w:t>7.1%</w:t>
            </w:r>
          </w:p>
        </w:tc>
        <w:tc>
          <w:tcPr>
            <w:tcW w:w="760" w:type="dxa"/>
            <w:vAlign w:val="bottom"/>
          </w:tcPr>
          <w:p>
            <w:pPr>
              <w:ind w:left="20"/>
              <w:spacing w:after="0"/>
              <w:rPr>
                <w:sz w:val="20"/>
                <w:szCs w:val="20"/>
                <w:color w:val="auto"/>
              </w:rPr>
            </w:pPr>
            <w:r>
              <w:rPr>
                <w:rFonts w:ascii="Arial" w:cs="Arial" w:eastAsia="Arial" w:hAnsi="Arial"/>
                <w:sz w:val="20"/>
                <w:szCs w:val="20"/>
                <w:color w:val="auto"/>
              </w:rPr>
              <w:t>- 7.7%</w:t>
            </w:r>
          </w:p>
        </w:tc>
      </w:tr>
      <w:tr>
        <w:trPr>
          <w:trHeight w:val="285"/>
        </w:trPr>
        <w:tc>
          <w:tcPr>
            <w:tcW w:w="336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7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360" w:type="dxa"/>
            <w:vAlign w:val="bottom"/>
            <w:shd w:val="clear" w:color="auto" w:fill="E6E6E6"/>
          </w:tcPr>
          <w:p>
            <w:pPr>
              <w:ind w:left="60"/>
              <w:spacing w:after="0"/>
              <w:rPr>
                <w:sz w:val="20"/>
                <w:szCs w:val="20"/>
                <w:color w:val="auto"/>
              </w:rPr>
            </w:pPr>
            <w:r>
              <w:rPr>
                <w:rFonts w:ascii="Arial" w:cs="Arial" w:eastAsia="Arial" w:hAnsi="Arial"/>
                <w:sz w:val="20"/>
                <w:szCs w:val="20"/>
                <w:color w:val="auto"/>
              </w:rPr>
              <w:t>Revenue volatility</w:t>
            </w:r>
          </w:p>
        </w:tc>
        <w:tc>
          <w:tcPr>
            <w:tcW w:w="1460" w:type="dxa"/>
            <w:vAlign w:val="bottom"/>
            <w:gridSpan w:val="2"/>
            <w:shd w:val="clear" w:color="auto" w:fill="E6E6E6"/>
          </w:tcPr>
          <w:p>
            <w:pPr>
              <w:jc w:val="center"/>
              <w:ind w:left="2"/>
              <w:spacing w:after="0"/>
              <w:rPr>
                <w:sz w:val="20"/>
                <w:szCs w:val="20"/>
                <w:color w:val="auto"/>
              </w:rPr>
            </w:pPr>
            <w:r>
              <w:rPr>
                <w:rFonts w:ascii="Arial" w:cs="Arial" w:eastAsia="Arial" w:hAnsi="Arial"/>
                <w:sz w:val="20"/>
                <w:szCs w:val="20"/>
                <w:color w:val="auto"/>
                <w:w w:val="91"/>
              </w:rPr>
              <w:t>23.6%</w:t>
            </w:r>
          </w:p>
        </w:tc>
      </w:tr>
      <w:tr>
        <w:trPr>
          <w:trHeight w:val="274"/>
        </w:trPr>
        <w:tc>
          <w:tcPr>
            <w:tcW w:w="3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360" w:type="dxa"/>
            <w:vAlign w:val="bottom"/>
          </w:tcPr>
          <w:p>
            <w:pPr>
              <w:ind w:left="60"/>
              <w:spacing w:after="0"/>
              <w:rPr>
                <w:sz w:val="20"/>
                <w:szCs w:val="20"/>
                <w:color w:val="auto"/>
              </w:rPr>
            </w:pPr>
            <w:r>
              <w:rPr>
                <w:rFonts w:ascii="Arial" w:cs="Arial" w:eastAsia="Arial" w:hAnsi="Arial"/>
                <w:sz w:val="20"/>
                <w:szCs w:val="20"/>
                <w:color w:val="auto"/>
              </w:rPr>
              <w:t>Probability of payment</w:t>
            </w:r>
          </w:p>
        </w:tc>
        <w:tc>
          <w:tcPr>
            <w:tcW w:w="1460" w:type="dxa"/>
            <w:vAlign w:val="bottom"/>
            <w:gridSpan w:val="2"/>
          </w:tcPr>
          <w:p>
            <w:pPr>
              <w:jc w:val="center"/>
              <w:ind w:left="2"/>
              <w:spacing w:after="0"/>
              <w:rPr>
                <w:sz w:val="20"/>
                <w:szCs w:val="20"/>
                <w:color w:val="auto"/>
              </w:rPr>
            </w:pPr>
            <w:r>
              <w:rPr>
                <w:rFonts w:ascii="Arial" w:cs="Arial" w:eastAsia="Arial" w:hAnsi="Arial"/>
                <w:sz w:val="20"/>
                <w:szCs w:val="20"/>
                <w:color w:val="auto"/>
                <w:w w:val="89"/>
              </w:rPr>
              <w:t>85%</w:t>
            </w:r>
          </w:p>
        </w:tc>
      </w:tr>
      <w:tr>
        <w:trPr>
          <w:trHeight w:val="285"/>
        </w:trPr>
        <w:tc>
          <w:tcPr>
            <w:tcW w:w="336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7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360" w:type="dxa"/>
            <w:vAlign w:val="bottom"/>
            <w:shd w:val="clear" w:color="auto" w:fill="E6E6E6"/>
          </w:tcPr>
          <w:p>
            <w:pPr>
              <w:ind w:left="60"/>
              <w:spacing w:after="0"/>
              <w:rPr>
                <w:sz w:val="20"/>
                <w:szCs w:val="20"/>
                <w:color w:val="auto"/>
              </w:rPr>
            </w:pPr>
            <w:r>
              <w:rPr>
                <w:rFonts w:ascii="Arial" w:cs="Arial" w:eastAsia="Arial" w:hAnsi="Arial"/>
                <w:sz w:val="20"/>
                <w:szCs w:val="20"/>
                <w:color w:val="auto"/>
                <w:w w:val="97"/>
              </w:rPr>
              <w:t>Projected years of earnout</w:t>
            </w:r>
          </w:p>
        </w:tc>
        <w:tc>
          <w:tcPr>
            <w:tcW w:w="7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2027</w:t>
            </w:r>
          </w:p>
        </w:tc>
        <w:tc>
          <w:tcPr>
            <w:tcW w:w="760" w:type="dxa"/>
            <w:vAlign w:val="bottom"/>
            <w:shd w:val="clear" w:color="auto" w:fill="E6E6E6"/>
          </w:tcPr>
          <w:p>
            <w:pPr>
              <w:ind w:left="20"/>
              <w:spacing w:after="0"/>
              <w:rPr>
                <w:sz w:val="20"/>
                <w:szCs w:val="20"/>
                <w:color w:val="auto"/>
              </w:rPr>
            </w:pPr>
            <w:r>
              <w:rPr>
                <w:rFonts w:ascii="Arial" w:cs="Arial" w:eastAsia="Arial" w:hAnsi="Arial"/>
                <w:sz w:val="20"/>
                <w:szCs w:val="20"/>
                <w:color w:val="auto"/>
              </w:rPr>
              <w:t>- 2030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-1626870</wp:posOffset>
            </wp:positionV>
            <wp:extent cx="641032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39">
                      <a:extLst>
                        <a:ext uri="{28A0092B-C50C-407E-A947-70E740481C1C}"/>
                      </a:extLst>
                    </a:blip>
                    <a:srcRect/>
                    <a:stretch>
                      <a:fillRect/>
                    </a:stretch>
                  </pic:blipFill>
                  <pic:spPr bwMode="auto">
                    <a:xfrm>
                      <a:off x="0" y="0"/>
                      <a:ext cx="6410325" cy="2540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auto"/>
        </w:rPr>
        <w:t>Assets and Liabilities Measured at Fair Value on a Nonrecurring Basis</w:t>
      </w:r>
    </w:p>
    <w:p>
      <w:pPr>
        <w:spacing w:after="0" w:line="140"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color w:val="auto"/>
        </w:rPr>
        <w:t>LivaNova’s investments in equity securities of non-consolidated affiliates without readily determinable fair values are reported at cost minus impairment, if any, plus or minus changes resulting from observable price changes in orderly transactions for the identical or similar investment of the same issuer. LivaNova’s investments in non-financial assets such as goodwill, intangible assets, and PP&amp;E are measured at fair value if there is an indication of impairment and adjusted to the new fair value when an impairment is recognized. LivaNova classifies the measurement input for these assets as Level 3 inputs within the fair value hierarchy.</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color w:val="auto"/>
        </w:rPr>
        <w:t>Other</w:t>
      </w:r>
    </w:p>
    <w:p>
      <w:pPr>
        <w:spacing w:after="0" w:line="14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carrying value of LivaNova’s long-term debt including the current portion as of December 31, 2024 and 2023 was $627.0 million and $586.0 million, respectively. The fair value of the 2025 Notes as of December 31, 2024 and 2023 was $58.7 million and $314.4 million, respectively. The fair value of the 2029 Notes as of December 31, 2024 was $343.7 million. For all other long-term debt obligations, LivaNova believes the carrying value approximates fair value. The fair value was estimated using quoted market prices for the publicly registered Senior Notes, which are classified as Level 2 within the fair value hierarchy. The fair values and principal values consider the terms of the related debt and exclude the impacts of debt discounts and hedging activity.</w:t>
      </w:r>
    </w:p>
    <w:p>
      <w:pPr>
        <w:spacing w:after="0" w:line="89" w:lineRule="exact"/>
        <w:rPr>
          <w:sz w:val="20"/>
          <w:szCs w:val="20"/>
          <w:color w:val="auto"/>
        </w:rPr>
      </w:pPr>
    </w:p>
    <w:p>
      <w:pPr>
        <w:jc w:val="both"/>
        <w:ind w:right="20"/>
        <w:spacing w:after="0" w:line="284" w:lineRule="auto"/>
        <w:rPr>
          <w:sz w:val="20"/>
          <w:szCs w:val="20"/>
          <w:color w:val="auto"/>
        </w:rPr>
      </w:pPr>
      <w:r>
        <w:rPr>
          <w:rFonts w:ascii="Arial" w:cs="Arial" w:eastAsia="Arial" w:hAnsi="Arial"/>
          <w:sz w:val="20"/>
          <w:szCs w:val="20"/>
          <w:color w:val="auto"/>
        </w:rPr>
        <w:t>The carrying values of LivaNova’s cash, cash equivalents, and restricted cash, accounts receivable, accounts payable, and accrued liabilities approximate their fair values due to the short-term nature of these items.</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Financing Arrangements</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presents a summary of LivaNova’s long-term debt obligations (in thousands, except interest rates):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5"/>
          </w:tcPr>
          <w:p>
            <w:pPr>
              <w:jc w:val="right"/>
              <w:ind w:right="702"/>
              <w:spacing w:after="0"/>
              <w:rPr>
                <w:sz w:val="20"/>
                <w:szCs w:val="20"/>
                <w:color w:val="auto"/>
              </w:rPr>
            </w:pPr>
            <w:r>
              <w:rPr>
                <w:rFonts w:ascii="Arial" w:cs="Arial" w:eastAsia="Arial" w:hAnsi="Arial"/>
                <w:sz w:val="20"/>
                <w:szCs w:val="20"/>
                <w:b w:val="1"/>
                <w:bCs w:val="1"/>
                <w:color w:val="auto"/>
              </w:rPr>
              <w:t>December 31,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60"/>
        </w:trPr>
        <w:tc>
          <w:tcPr>
            <w:tcW w:w="4100" w:type="dxa"/>
            <w:vAlign w:val="bottom"/>
            <w:tcBorders>
              <w:bottom w:val="single" w:sz="8" w:color="E6E6E6"/>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b w:val="1"/>
                <w:bCs w:val="1"/>
                <w:color w:val="auto"/>
              </w:rPr>
              <w:t>2024</w:t>
            </w:r>
          </w:p>
        </w:tc>
        <w:tc>
          <w:tcPr>
            <w:tcW w:w="20" w:type="dxa"/>
            <w:vAlign w:val="bottom"/>
            <w:tcBorders>
              <w:bottom w:val="single" w:sz="8" w:color="E6E6E6"/>
            </w:tcBorders>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82"/>
              <w:spacing w:after="0"/>
              <w:rPr>
                <w:sz w:val="20"/>
                <w:szCs w:val="20"/>
                <w:color w:val="auto"/>
              </w:rPr>
            </w:pPr>
            <w:r>
              <w:rPr>
                <w:rFonts w:ascii="Arial" w:cs="Arial" w:eastAsia="Arial" w:hAnsi="Arial"/>
                <w:sz w:val="20"/>
                <w:szCs w:val="20"/>
                <w:b w:val="1"/>
                <w:bCs w:val="1"/>
                <w:color w:val="auto"/>
              </w:rPr>
              <w:t>2023</w:t>
            </w: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Maturity</w:t>
            </w:r>
          </w:p>
        </w:tc>
        <w:tc>
          <w:tcPr>
            <w:tcW w:w="60" w:type="dxa"/>
            <w:vAlign w:val="bottom"/>
            <w:tcBorders>
              <w:bottom w:val="single" w:sz="8" w:color="E6E6E6"/>
            </w:tcBorders>
          </w:tcPr>
          <w:p>
            <w:pPr>
              <w:spacing w:after="0"/>
              <w:rPr>
                <w:sz w:val="22"/>
                <w:szCs w:val="22"/>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Interest Rate</w:t>
            </w:r>
          </w:p>
        </w:tc>
      </w:tr>
      <w:tr>
        <w:trPr>
          <w:trHeight w:val="269"/>
        </w:trPr>
        <w:tc>
          <w:tcPr>
            <w:tcW w:w="4100" w:type="dxa"/>
            <w:vAlign w:val="bottom"/>
            <w:shd w:val="clear" w:color="auto" w:fill="E6E6E6"/>
          </w:tcPr>
          <w:p>
            <w:pPr>
              <w:ind w:left="40"/>
              <w:spacing w:after="0"/>
              <w:rPr>
                <w:sz w:val="20"/>
                <w:szCs w:val="20"/>
                <w:color w:val="auto"/>
              </w:rPr>
            </w:pPr>
            <w:r>
              <w:rPr>
                <w:rFonts w:ascii="Arial" w:cs="Arial" w:eastAsia="Arial" w:hAnsi="Arial"/>
                <w:sz w:val="20"/>
                <w:szCs w:val="20"/>
                <w:color w:val="auto"/>
              </w:rPr>
              <w:t>Term Facilities</w:t>
            </w:r>
          </w:p>
        </w:tc>
        <w:tc>
          <w:tcPr>
            <w:tcW w:w="320" w:type="dxa"/>
            <w:vAlign w:val="bottom"/>
            <w:gridSpan w:val="2"/>
            <w:shd w:val="clear" w:color="auto" w:fill="E6E6E6"/>
          </w:tcPr>
          <w:p>
            <w:pPr>
              <w:jc w:val="right"/>
              <w:ind w:right="62"/>
              <w:spacing w:after="0"/>
              <w:rPr>
                <w:sz w:val="20"/>
                <w:szCs w:val="20"/>
                <w:color w:val="auto"/>
              </w:rPr>
            </w:pPr>
            <w:r>
              <w:rPr>
                <w:rFonts w:ascii="Arial" w:cs="Arial" w:eastAsia="Arial" w:hAnsi="Arial"/>
                <w:sz w:val="20"/>
                <w:szCs w:val="20"/>
                <w:color w:val="auto"/>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313,014</w:t>
            </w:r>
          </w:p>
        </w:tc>
        <w:tc>
          <w:tcPr>
            <w:tcW w:w="2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320" w:type="dxa"/>
            <w:vAlign w:val="bottom"/>
            <w:shd w:val="clear" w:color="auto" w:fill="E6E6E6"/>
          </w:tcPr>
          <w:p>
            <w:pPr>
              <w:jc w:val="right"/>
              <w:ind w:right="82"/>
              <w:spacing w:after="0"/>
              <w:rPr>
                <w:sz w:val="20"/>
                <w:szCs w:val="20"/>
                <w:color w:val="auto"/>
              </w:rPr>
            </w:pPr>
            <w:r>
              <w:rPr>
                <w:rFonts w:ascii="Arial" w:cs="Arial" w:eastAsia="Arial" w:hAnsi="Arial"/>
                <w:sz w:val="20"/>
                <w:szCs w:val="20"/>
                <w:color w:val="auto"/>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328,459</w:t>
            </w:r>
          </w:p>
        </w:tc>
        <w:tc>
          <w:tcPr>
            <w:tcW w:w="2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1480" w:type="dxa"/>
            <w:vAlign w:val="bottom"/>
            <w:shd w:val="clear" w:color="auto" w:fill="E6E6E6"/>
          </w:tcPr>
          <w:p>
            <w:pPr>
              <w:jc w:val="center"/>
              <w:spacing w:after="0"/>
              <w:rPr>
                <w:sz w:val="20"/>
                <w:szCs w:val="20"/>
                <w:color w:val="auto"/>
              </w:rPr>
            </w:pPr>
            <w:r>
              <w:rPr>
                <w:rFonts w:ascii="Arial" w:cs="Arial" w:eastAsia="Arial" w:hAnsi="Arial"/>
                <w:sz w:val="20"/>
                <w:szCs w:val="20"/>
                <w:color w:val="auto"/>
                <w:w w:val="91"/>
              </w:rPr>
              <w:t>July 2027</w:t>
            </w:r>
          </w:p>
        </w:tc>
        <w:tc>
          <w:tcPr>
            <w:tcW w:w="60" w:type="dxa"/>
            <w:vAlign w:val="bottom"/>
            <w:shd w:val="clear" w:color="auto" w:fill="E6E6E6"/>
          </w:tcPr>
          <w:p>
            <w:pPr>
              <w:spacing w:after="0"/>
              <w:rPr>
                <w:sz w:val="23"/>
                <w:szCs w:val="23"/>
                <w:color w:val="auto"/>
              </w:rPr>
            </w:pPr>
          </w:p>
        </w:tc>
        <w:tc>
          <w:tcPr>
            <w:tcW w:w="1560" w:type="dxa"/>
            <w:vAlign w:val="bottom"/>
            <w:shd w:val="clear" w:color="auto" w:fill="E6E6E6"/>
          </w:tcPr>
          <w:p>
            <w:pPr>
              <w:jc w:val="center"/>
              <w:spacing w:after="0"/>
              <w:rPr>
                <w:sz w:val="20"/>
                <w:szCs w:val="20"/>
                <w:color w:val="auto"/>
              </w:rPr>
            </w:pPr>
            <w:r>
              <w:rPr>
                <w:rFonts w:ascii="Arial" w:cs="Arial" w:eastAsia="Arial" w:hAnsi="Arial"/>
                <w:sz w:val="20"/>
                <w:szCs w:val="20"/>
                <w:color w:val="auto"/>
                <w:w w:val="88"/>
              </w:rPr>
              <w:t>7.93%</w:t>
            </w:r>
          </w:p>
        </w:tc>
      </w:tr>
      <w:tr>
        <w:trPr>
          <w:trHeight w:val="257"/>
        </w:trPr>
        <w:tc>
          <w:tcPr>
            <w:tcW w:w="4100" w:type="dxa"/>
            <w:vAlign w:val="bottom"/>
          </w:tcPr>
          <w:p>
            <w:pPr>
              <w:ind w:left="40"/>
              <w:spacing w:after="0"/>
              <w:rPr>
                <w:sz w:val="20"/>
                <w:szCs w:val="20"/>
                <w:color w:val="auto"/>
              </w:rPr>
            </w:pPr>
            <w:r>
              <w:rPr>
                <w:rFonts w:ascii="Arial" w:cs="Arial" w:eastAsia="Arial" w:hAnsi="Arial"/>
                <w:sz w:val="20"/>
                <w:szCs w:val="20"/>
                <w:color w:val="auto"/>
              </w:rPr>
              <w:t>2029 Notes</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258,043</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20"/>
                <w:szCs w:val="20"/>
                <w:color w:val="auto"/>
                <w:w w:val="88"/>
              </w:rPr>
              <w:t>March 2029</w:t>
            </w:r>
          </w:p>
        </w:tc>
        <w:tc>
          <w:tcPr>
            <w:tcW w:w="1620" w:type="dxa"/>
            <w:vAlign w:val="bottom"/>
            <w:gridSpan w:val="2"/>
          </w:tcPr>
          <w:p>
            <w:pPr>
              <w:jc w:val="center"/>
              <w:ind w:left="22"/>
              <w:spacing w:after="0"/>
              <w:rPr>
                <w:sz w:val="20"/>
                <w:szCs w:val="20"/>
                <w:color w:val="auto"/>
              </w:rPr>
            </w:pPr>
            <w:r>
              <w:rPr>
                <w:rFonts w:ascii="Arial" w:cs="Arial" w:eastAsia="Arial" w:hAnsi="Arial"/>
                <w:sz w:val="20"/>
                <w:szCs w:val="20"/>
                <w:color w:val="auto"/>
                <w:w w:val="88"/>
              </w:rPr>
              <w:t>2.50%</w:t>
            </w:r>
          </w:p>
        </w:tc>
      </w:tr>
      <w:tr>
        <w:trPr>
          <w:trHeight w:val="22"/>
        </w:trPr>
        <w:tc>
          <w:tcPr>
            <w:tcW w:w="4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59"/>
        </w:trPr>
        <w:tc>
          <w:tcPr>
            <w:tcW w:w="41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2025 Notes</w:t>
            </w:r>
          </w:p>
        </w:tc>
        <w:tc>
          <w:tcPr>
            <w:tcW w:w="20" w:type="dxa"/>
            <w:vAlign w:val="bottom"/>
            <w:tcBorders>
              <w:bottom w:val="single" w:sz="8" w:color="E6E6E6"/>
            </w:tcBorders>
            <w:shd w:val="clear" w:color="auto" w:fill="E6E6E6"/>
          </w:tcPr>
          <w:p>
            <w:pPr>
              <w:spacing w:after="0"/>
              <w:rPr>
                <w:sz w:val="22"/>
                <w:szCs w:val="22"/>
                <w:color w:val="auto"/>
              </w:rPr>
            </w:pPr>
          </w:p>
        </w:tc>
        <w:tc>
          <w:tcPr>
            <w:tcW w:w="300" w:type="dxa"/>
            <w:vAlign w:val="bottom"/>
            <w:tcBorders>
              <w:bottom w:val="single" w:sz="8" w:color="E6E6E6"/>
            </w:tcBorders>
            <w:shd w:val="clear" w:color="auto" w:fill="E6E6E6"/>
          </w:tcPr>
          <w:p>
            <w:pPr>
              <w:spacing w:after="0"/>
              <w:rPr>
                <w:sz w:val="22"/>
                <w:szCs w:val="22"/>
                <w:color w:val="auto"/>
              </w:rPr>
            </w:pPr>
          </w:p>
        </w:tc>
        <w:tc>
          <w:tcPr>
            <w:tcW w:w="10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53,887</w:t>
            </w:r>
          </w:p>
        </w:tc>
        <w:tc>
          <w:tcPr>
            <w:tcW w:w="20" w:type="dxa"/>
            <w:vAlign w:val="bottom"/>
            <w:tcBorders>
              <w:bottom w:val="single" w:sz="8" w:color="E6E6E6"/>
            </w:tcBorders>
            <w:shd w:val="clear" w:color="auto" w:fill="E6E6E6"/>
          </w:tcPr>
          <w:p>
            <w:pPr>
              <w:spacing w:after="0"/>
              <w:rPr>
                <w:sz w:val="22"/>
                <w:szCs w:val="22"/>
                <w:color w:val="auto"/>
              </w:rPr>
            </w:pPr>
          </w:p>
        </w:tc>
        <w:tc>
          <w:tcPr>
            <w:tcW w:w="60" w:type="dxa"/>
            <w:vAlign w:val="bottom"/>
            <w:tcBorders>
              <w:bottom w:val="single" w:sz="8" w:color="E6E6E6"/>
            </w:tcBorders>
            <w:shd w:val="clear" w:color="auto" w:fill="E6E6E6"/>
          </w:tcPr>
          <w:p>
            <w:pPr>
              <w:spacing w:after="0"/>
              <w:rPr>
                <w:sz w:val="22"/>
                <w:szCs w:val="22"/>
                <w:color w:val="auto"/>
              </w:rPr>
            </w:pPr>
          </w:p>
        </w:tc>
        <w:tc>
          <w:tcPr>
            <w:tcW w:w="320" w:type="dxa"/>
            <w:vAlign w:val="bottom"/>
            <w:tcBorders>
              <w:bottom w:val="single" w:sz="8" w:color="E6E6E6"/>
            </w:tcBorders>
            <w:shd w:val="clear" w:color="auto" w:fill="E6E6E6"/>
          </w:tcPr>
          <w:p>
            <w:pPr>
              <w:spacing w:after="0"/>
              <w:rPr>
                <w:sz w:val="22"/>
                <w:szCs w:val="22"/>
                <w:color w:val="auto"/>
              </w:rPr>
            </w:pPr>
          </w:p>
        </w:tc>
        <w:tc>
          <w:tcPr>
            <w:tcW w:w="10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255,500</w:t>
            </w:r>
          </w:p>
        </w:tc>
        <w:tc>
          <w:tcPr>
            <w:tcW w:w="20" w:type="dxa"/>
            <w:vAlign w:val="bottom"/>
            <w:tcBorders>
              <w:bottom w:val="single" w:sz="8" w:color="E6E6E6"/>
            </w:tcBorders>
            <w:shd w:val="clear" w:color="auto" w:fill="E6E6E6"/>
          </w:tcPr>
          <w:p>
            <w:pPr>
              <w:spacing w:after="0"/>
              <w:rPr>
                <w:sz w:val="22"/>
                <w:szCs w:val="22"/>
                <w:color w:val="auto"/>
              </w:rPr>
            </w:pPr>
          </w:p>
        </w:tc>
        <w:tc>
          <w:tcPr>
            <w:tcW w:w="60" w:type="dxa"/>
            <w:vAlign w:val="bottom"/>
            <w:tcBorders>
              <w:bottom w:val="single" w:sz="8" w:color="E6E6E6"/>
            </w:tcBorders>
            <w:shd w:val="clear" w:color="auto" w:fill="E6E6E6"/>
          </w:tcPr>
          <w:p>
            <w:pPr>
              <w:spacing w:after="0"/>
              <w:rPr>
                <w:sz w:val="22"/>
                <w:szCs w:val="22"/>
                <w:color w:val="auto"/>
              </w:rPr>
            </w:pPr>
          </w:p>
        </w:tc>
        <w:tc>
          <w:tcPr>
            <w:tcW w:w="148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20"/>
                <w:szCs w:val="20"/>
                <w:color w:val="auto"/>
                <w:w w:val="87"/>
              </w:rPr>
              <w:t>December 2025</w:t>
            </w:r>
          </w:p>
        </w:tc>
        <w:tc>
          <w:tcPr>
            <w:tcW w:w="1620" w:type="dxa"/>
            <w:vAlign w:val="bottom"/>
            <w:tcBorders>
              <w:bottom w:val="single" w:sz="8" w:color="E6E6E6"/>
            </w:tcBorders>
            <w:gridSpan w:val="2"/>
            <w:shd w:val="clear" w:color="auto" w:fill="E6E6E6"/>
          </w:tcPr>
          <w:p>
            <w:pPr>
              <w:jc w:val="center"/>
              <w:ind w:left="22"/>
              <w:spacing w:after="0"/>
              <w:rPr>
                <w:sz w:val="20"/>
                <w:szCs w:val="20"/>
                <w:color w:val="auto"/>
              </w:rPr>
            </w:pPr>
            <w:r>
              <w:rPr>
                <w:rFonts w:ascii="Arial" w:cs="Arial" w:eastAsia="Arial" w:hAnsi="Arial"/>
                <w:sz w:val="20"/>
                <w:szCs w:val="20"/>
                <w:color w:val="auto"/>
                <w:w w:val="88"/>
              </w:rPr>
              <w:t>3.00%</w:t>
            </w:r>
          </w:p>
        </w:tc>
      </w:tr>
      <w:tr>
        <w:trPr>
          <w:trHeight w:val="257"/>
        </w:trPr>
        <w:tc>
          <w:tcPr>
            <w:tcW w:w="4100" w:type="dxa"/>
            <w:vAlign w:val="bottom"/>
          </w:tcPr>
          <w:p>
            <w:pPr>
              <w:ind w:left="40"/>
              <w:spacing w:after="0"/>
              <w:rPr>
                <w:sz w:val="20"/>
                <w:szCs w:val="20"/>
                <w:color w:val="auto"/>
              </w:rPr>
            </w:pPr>
            <w:r>
              <w:rPr>
                <w:rFonts w:ascii="Arial" w:cs="Arial" w:eastAsia="Arial" w:hAnsi="Arial"/>
                <w:sz w:val="20"/>
                <w:szCs w:val="20"/>
                <w:color w:val="auto"/>
              </w:rPr>
              <w:t>Bank of America, U.S.</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1,500</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1,500</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20"/>
                <w:szCs w:val="20"/>
                <w:color w:val="auto"/>
                <w:w w:val="87"/>
              </w:rPr>
              <w:t>January 2025</w:t>
            </w:r>
          </w:p>
        </w:tc>
        <w:tc>
          <w:tcPr>
            <w:tcW w:w="1620" w:type="dxa"/>
            <w:vAlign w:val="bottom"/>
            <w:gridSpan w:val="2"/>
          </w:tcPr>
          <w:p>
            <w:pPr>
              <w:jc w:val="center"/>
              <w:ind w:left="22"/>
              <w:spacing w:after="0"/>
              <w:rPr>
                <w:sz w:val="20"/>
                <w:szCs w:val="20"/>
                <w:color w:val="auto"/>
              </w:rPr>
            </w:pPr>
            <w:r>
              <w:rPr>
                <w:rFonts w:ascii="Arial" w:cs="Arial" w:eastAsia="Arial" w:hAnsi="Arial"/>
                <w:sz w:val="20"/>
                <w:szCs w:val="20"/>
                <w:color w:val="auto"/>
                <w:w w:val="88"/>
              </w:rPr>
              <w:t>6.95%</w:t>
            </w:r>
          </w:p>
        </w:tc>
      </w:tr>
      <w:tr>
        <w:trPr>
          <w:trHeight w:val="22"/>
        </w:trPr>
        <w:tc>
          <w:tcPr>
            <w:tcW w:w="4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83"/>
        </w:trPr>
        <w:tc>
          <w:tcPr>
            <w:tcW w:w="41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Other</w:t>
            </w:r>
          </w:p>
        </w:tc>
        <w:tc>
          <w:tcPr>
            <w:tcW w:w="2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519</w:t>
            </w:r>
          </w:p>
        </w:tc>
        <w:tc>
          <w:tcPr>
            <w:tcW w:w="20" w:type="dxa"/>
            <w:vAlign w:val="bottom"/>
            <w:tcBorders>
              <w:bottom w:val="single" w:sz="8" w:color="auto"/>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568</w:t>
            </w:r>
          </w:p>
        </w:tc>
        <w:tc>
          <w:tcPr>
            <w:tcW w:w="20" w:type="dxa"/>
            <w:vAlign w:val="bottom"/>
            <w:tcBorders>
              <w:bottom w:val="single" w:sz="8" w:color="auto"/>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148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1560" w:type="dxa"/>
            <w:vAlign w:val="bottom"/>
            <w:tcBorders>
              <w:bottom w:val="single" w:sz="8" w:color="E6E6E6"/>
            </w:tcBorders>
            <w:shd w:val="clear" w:color="auto" w:fill="E6E6E6"/>
          </w:tcPr>
          <w:p>
            <w:pPr>
              <w:spacing w:after="0"/>
              <w:rPr>
                <w:sz w:val="24"/>
                <w:szCs w:val="24"/>
                <w:color w:val="auto"/>
              </w:rPr>
            </w:pPr>
          </w:p>
        </w:tc>
      </w:tr>
      <w:tr>
        <w:trPr>
          <w:trHeight w:val="249"/>
        </w:trPr>
        <w:tc>
          <w:tcPr>
            <w:tcW w:w="4100" w:type="dxa"/>
            <w:vAlign w:val="bottom"/>
          </w:tcPr>
          <w:p>
            <w:pPr>
              <w:ind w:left="60"/>
              <w:spacing w:after="0"/>
              <w:rPr>
                <w:sz w:val="20"/>
                <w:szCs w:val="20"/>
                <w:color w:val="auto"/>
              </w:rPr>
            </w:pPr>
            <w:r>
              <w:rPr>
                <w:rFonts w:ascii="Arial" w:cs="Arial" w:eastAsia="Arial" w:hAnsi="Arial"/>
                <w:sz w:val="20"/>
                <w:szCs w:val="20"/>
                <w:color w:val="auto"/>
              </w:rPr>
              <w:t>Total long-term facilities</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626,963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586,027</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90"/>
        </w:trPr>
        <w:tc>
          <w:tcPr>
            <w:tcW w:w="41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Less: Current portion of long-term debt</w:t>
            </w:r>
          </w:p>
        </w:tc>
        <w:tc>
          <w:tcPr>
            <w:tcW w:w="2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77,339</w:t>
            </w:r>
          </w:p>
        </w:tc>
        <w:tc>
          <w:tcPr>
            <w:tcW w:w="20" w:type="dxa"/>
            <w:vAlign w:val="bottom"/>
            <w:tcBorders>
              <w:bottom w:val="single" w:sz="8" w:color="auto"/>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17,484</w:t>
            </w:r>
          </w:p>
        </w:tc>
        <w:tc>
          <w:tcPr>
            <w:tcW w:w="20" w:type="dxa"/>
            <w:vAlign w:val="bottom"/>
            <w:tcBorders>
              <w:bottom w:val="single" w:sz="8" w:color="auto"/>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148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1560" w:type="dxa"/>
            <w:vAlign w:val="bottom"/>
            <w:tcBorders>
              <w:bottom w:val="single" w:sz="8" w:color="E6E6E6"/>
            </w:tcBorders>
            <w:shd w:val="clear" w:color="auto" w:fill="E6E6E6"/>
          </w:tcPr>
          <w:p>
            <w:pPr>
              <w:spacing w:after="0"/>
              <w:rPr>
                <w:sz w:val="24"/>
                <w:szCs w:val="24"/>
                <w:color w:val="auto"/>
              </w:rPr>
            </w:pPr>
          </w:p>
        </w:tc>
      </w:tr>
      <w:tr>
        <w:trPr>
          <w:trHeight w:val="226"/>
        </w:trPr>
        <w:tc>
          <w:tcPr>
            <w:tcW w:w="4100" w:type="dxa"/>
            <w:vAlign w:val="bottom"/>
          </w:tcPr>
          <w:p>
            <w:pPr>
              <w:ind w:left="40"/>
              <w:spacing w:after="0" w:line="226" w:lineRule="exact"/>
              <w:rPr>
                <w:sz w:val="20"/>
                <w:szCs w:val="20"/>
                <w:color w:val="auto"/>
              </w:rPr>
            </w:pPr>
            <w:r>
              <w:rPr>
                <w:rFonts w:ascii="Arial" w:cs="Arial" w:eastAsia="Arial" w:hAnsi="Arial"/>
                <w:sz w:val="20"/>
                <w:szCs w:val="20"/>
                <w:color w:val="auto"/>
              </w:rPr>
              <w:t>Total long-term debt obligations</w:t>
            </w: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62"/>
              <w:spacing w:after="0" w:line="226" w:lineRule="exact"/>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spacing w:after="0" w:line="226" w:lineRule="exact"/>
              <w:rPr>
                <w:sz w:val="20"/>
                <w:szCs w:val="20"/>
                <w:color w:val="auto"/>
              </w:rPr>
            </w:pPr>
            <w:r>
              <w:rPr>
                <w:rFonts w:ascii="Arial" w:cs="Arial" w:eastAsia="Arial" w:hAnsi="Arial"/>
                <w:sz w:val="20"/>
                <w:szCs w:val="20"/>
                <w:color w:val="auto"/>
              </w:rPr>
              <w:t>549,624</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jc w:val="right"/>
              <w:ind w:right="82"/>
              <w:spacing w:after="0" w:line="226" w:lineRule="exact"/>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spacing w:after="0" w:line="226" w:lineRule="exact"/>
              <w:rPr>
                <w:sz w:val="20"/>
                <w:szCs w:val="20"/>
                <w:color w:val="auto"/>
              </w:rPr>
            </w:pPr>
            <w:r>
              <w:rPr>
                <w:rFonts w:ascii="Arial" w:cs="Arial" w:eastAsia="Arial" w:hAnsi="Arial"/>
                <w:sz w:val="20"/>
                <w:szCs w:val="20"/>
                <w:color w:val="auto"/>
              </w:rPr>
              <w:t>568,543</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2596515</wp:posOffset>
            </wp:positionH>
            <wp:positionV relativeFrom="paragraph">
              <wp:posOffset>-1449705</wp:posOffset>
            </wp:positionV>
            <wp:extent cx="37966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40">
                      <a:extLst>
                        <a:ext uri="{28A0092B-C50C-407E-A947-70E740481C1C}"/>
                      </a:extLst>
                    </a:blip>
                    <a:srcRect/>
                    <a:stretch>
                      <a:fillRect/>
                    </a:stretch>
                  </pic:blipFill>
                  <pic:spPr bwMode="auto">
                    <a:xfrm>
                      <a:off x="0" y="0"/>
                      <a:ext cx="3796665" cy="25400"/>
                    </a:xfrm>
                    <a:prstGeom prst="rect">
                      <a:avLst/>
                    </a:prstGeom>
                    <a:noFill/>
                  </pic:spPr>
                </pic:pic>
              </a:graphicData>
            </a:graphic>
          </wp:anchor>
        </w:drawing>
        <w:drawing>
          <wp:anchor simplePos="0" relativeHeight="251657728" behindDoc="1" locked="0" layoutInCell="0" allowOverlap="1">
            <wp:simplePos x="0" y="0"/>
            <wp:positionH relativeFrom="column">
              <wp:posOffset>2596515</wp:posOffset>
            </wp:positionH>
            <wp:positionV relativeFrom="paragraph">
              <wp:posOffset>-562610</wp:posOffset>
            </wp:positionV>
            <wp:extent cx="177101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41">
                      <a:extLst>
                        <a:ext uri="{28A0092B-C50C-407E-A947-70E740481C1C}"/>
                      </a:extLst>
                    </a:blip>
                    <a:srcRect/>
                    <a:stretch>
                      <a:fillRect/>
                    </a:stretch>
                  </pic:blipFill>
                  <pic:spPr bwMode="auto">
                    <a:xfrm>
                      <a:off x="0" y="0"/>
                      <a:ext cx="1771015" cy="25400"/>
                    </a:xfrm>
                    <a:prstGeom prst="rect">
                      <a:avLst/>
                    </a:prstGeom>
                    <a:noFill/>
                  </pic:spPr>
                </pic:pic>
              </a:graphicData>
            </a:graphic>
          </wp:anchor>
        </w:drawing>
        <w:drawing>
          <wp:anchor simplePos="0" relativeHeight="251657728" behindDoc="1" locked="0" layoutInCell="0" allowOverlap="1">
            <wp:simplePos x="0" y="0"/>
            <wp:positionH relativeFrom="column">
              <wp:posOffset>2596515</wp:posOffset>
            </wp:positionH>
            <wp:positionV relativeFrom="paragraph">
              <wp:posOffset>-208280</wp:posOffset>
            </wp:positionV>
            <wp:extent cx="177101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42">
                      <a:extLst>
                        <a:ext uri="{28A0092B-C50C-407E-A947-70E740481C1C}"/>
                      </a:extLst>
                    </a:blip>
                    <a:srcRect/>
                    <a:stretch>
                      <a:fillRect/>
                    </a:stretch>
                  </pic:blipFill>
                  <pic:spPr bwMode="auto">
                    <a:xfrm>
                      <a:off x="0" y="0"/>
                      <a:ext cx="1771015" cy="25400"/>
                    </a:xfrm>
                    <a:prstGeom prst="rect">
                      <a:avLst/>
                    </a:prstGeom>
                    <a:noFill/>
                  </pic:spPr>
                </pic:pic>
              </a:graphicData>
            </a:graphic>
          </wp:anchor>
        </w:drawing>
      </w:r>
    </w:p>
    <w:p>
      <w:pPr>
        <w:sectPr>
          <w:pgSz w:w="11880" w:h="15480" w:orient="portrait"/>
          <w:cols w:equalWidth="0" w:num="1">
            <w:col w:w="10060"/>
          </w:cols>
          <w:pgMar w:left="920" w:top="670" w:right="900" w:bottom="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F-25</w:t>
      </w:r>
    </w:p>
    <w:p>
      <w:pPr>
        <w:sectPr>
          <w:pgSz w:w="11880" w:h="15480" w:orient="portrait"/>
          <w:cols w:equalWidth="0" w:num="1">
            <w:col w:w="10060"/>
          </w:cols>
          <w:pgMar w:left="920" w:top="670" w:right="900" w:bottom="0" w:gutter="0" w:footer="0" w:header="0"/>
          <w:type w:val="continuous"/>
        </w:sectPr>
      </w:pPr>
    </w:p>
    <w:bookmarkStart w:id="83" w:name="page84"/>
    <w:bookmarkEnd w:id="83"/>
    <w:p>
      <w:pPr>
        <w:jc w:val="both"/>
        <w:spacing w:after="0" w:line="376" w:lineRule="auto"/>
        <w:rPr>
          <w:sz w:val="20"/>
          <w:szCs w:val="20"/>
          <w:color w:val="auto"/>
        </w:rPr>
      </w:pPr>
      <w:r>
        <w:rPr>
          <w:rFonts w:ascii="Arial" w:cs="Arial" w:eastAsia="Arial" w:hAnsi="Arial"/>
          <w:sz w:val="17"/>
          <w:szCs w:val="17"/>
          <w:color w:val="auto"/>
        </w:rPr>
        <w:t>The following table presents the aggregate contractually scheduled maturities of LivaNova’s long-term debt obligations for the next five years, excluding unamortized debt discounts and issuance costs, as of December 31, 2024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4520" w:type="dxa"/>
            <w:vAlign w:val="bottom"/>
            <w:shd w:val="clear" w:color="auto" w:fill="E6E6E6"/>
          </w:tcPr>
          <w:p>
            <w:pPr>
              <w:jc w:val="right"/>
              <w:ind w:right="3982"/>
              <w:spacing w:after="0"/>
              <w:rPr>
                <w:sz w:val="20"/>
                <w:szCs w:val="20"/>
                <w:color w:val="auto"/>
              </w:rPr>
            </w:pPr>
            <w:r>
              <w:rPr>
                <w:rFonts w:ascii="Arial" w:cs="Arial" w:eastAsia="Arial" w:hAnsi="Arial"/>
                <w:sz w:val="20"/>
                <w:szCs w:val="20"/>
                <w:color w:val="auto"/>
                <w:w w:val="94"/>
              </w:rPr>
              <w:t>2025</w:t>
            </w:r>
          </w:p>
        </w:tc>
        <w:tc>
          <w:tcPr>
            <w:tcW w:w="4480" w:type="dxa"/>
            <w:vAlign w:val="bottom"/>
            <w:shd w:val="clear" w:color="auto" w:fill="E6E6E6"/>
          </w:tcPr>
          <w:p>
            <w:pPr>
              <w:jc w:val="right"/>
              <w:ind w:right="222"/>
              <w:spacing w:after="0"/>
              <w:rPr>
                <w:sz w:val="20"/>
                <w:szCs w:val="20"/>
                <w:color w:val="auto"/>
              </w:rPr>
            </w:pPr>
            <w:r>
              <w:rPr>
                <w:rFonts w:ascii="Arial" w:cs="Arial" w:eastAsia="Arial" w:hAnsi="Arial"/>
                <w:sz w:val="20"/>
                <w:szCs w:val="20"/>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81,080</w:t>
            </w:r>
          </w:p>
        </w:tc>
      </w:tr>
      <w:tr>
        <w:trPr>
          <w:trHeight w:val="274"/>
        </w:trPr>
        <w:tc>
          <w:tcPr>
            <w:tcW w:w="4520" w:type="dxa"/>
            <w:vAlign w:val="bottom"/>
          </w:tcPr>
          <w:p>
            <w:pPr>
              <w:jc w:val="right"/>
              <w:ind w:right="3982"/>
              <w:spacing w:after="0"/>
              <w:rPr>
                <w:sz w:val="20"/>
                <w:szCs w:val="20"/>
                <w:color w:val="auto"/>
              </w:rPr>
            </w:pPr>
            <w:r>
              <w:rPr>
                <w:rFonts w:ascii="Arial" w:cs="Arial" w:eastAsia="Arial" w:hAnsi="Arial"/>
                <w:sz w:val="20"/>
                <w:szCs w:val="20"/>
                <w:color w:val="auto"/>
                <w:w w:val="94"/>
              </w:rPr>
              <w:t>2026</w:t>
            </w:r>
          </w:p>
        </w:tc>
        <w:tc>
          <w:tcPr>
            <w:tcW w:w="44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30,625</w:t>
            </w:r>
          </w:p>
        </w:tc>
      </w:tr>
      <w:tr>
        <w:trPr>
          <w:trHeight w:val="285"/>
        </w:trPr>
        <w:tc>
          <w:tcPr>
            <w:tcW w:w="4520" w:type="dxa"/>
            <w:vAlign w:val="bottom"/>
            <w:shd w:val="clear" w:color="auto" w:fill="E6E6E6"/>
          </w:tcPr>
          <w:p>
            <w:pPr>
              <w:jc w:val="right"/>
              <w:ind w:right="3982"/>
              <w:spacing w:after="0"/>
              <w:rPr>
                <w:sz w:val="20"/>
                <w:szCs w:val="20"/>
                <w:color w:val="auto"/>
              </w:rPr>
            </w:pPr>
            <w:r>
              <w:rPr>
                <w:rFonts w:ascii="Arial" w:cs="Arial" w:eastAsia="Arial" w:hAnsi="Arial"/>
                <w:sz w:val="20"/>
                <w:szCs w:val="20"/>
                <w:color w:val="auto"/>
                <w:w w:val="94"/>
              </w:rPr>
              <w:t>2027</w:t>
            </w:r>
          </w:p>
        </w:tc>
        <w:tc>
          <w:tcPr>
            <w:tcW w:w="448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265,313</w:t>
            </w:r>
          </w:p>
        </w:tc>
      </w:tr>
      <w:tr>
        <w:trPr>
          <w:trHeight w:val="274"/>
        </w:trPr>
        <w:tc>
          <w:tcPr>
            <w:tcW w:w="4520" w:type="dxa"/>
            <w:vAlign w:val="bottom"/>
          </w:tcPr>
          <w:p>
            <w:pPr>
              <w:jc w:val="right"/>
              <w:ind w:right="3982"/>
              <w:spacing w:after="0"/>
              <w:rPr>
                <w:sz w:val="20"/>
                <w:szCs w:val="20"/>
                <w:color w:val="auto"/>
              </w:rPr>
            </w:pPr>
            <w:r>
              <w:rPr>
                <w:rFonts w:ascii="Arial" w:cs="Arial" w:eastAsia="Arial" w:hAnsi="Arial"/>
                <w:sz w:val="20"/>
                <w:szCs w:val="20"/>
                <w:color w:val="auto"/>
                <w:w w:val="94"/>
              </w:rPr>
              <w:t>2028</w:t>
            </w:r>
          </w:p>
        </w:tc>
        <w:tc>
          <w:tcPr>
            <w:tcW w:w="44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5"/>
        </w:trPr>
        <w:tc>
          <w:tcPr>
            <w:tcW w:w="4520" w:type="dxa"/>
            <w:vAlign w:val="bottom"/>
            <w:shd w:val="clear" w:color="auto" w:fill="E6E6E6"/>
          </w:tcPr>
          <w:p>
            <w:pPr>
              <w:jc w:val="right"/>
              <w:ind w:right="3982"/>
              <w:spacing w:after="0"/>
              <w:rPr>
                <w:sz w:val="20"/>
                <w:szCs w:val="20"/>
                <w:color w:val="auto"/>
              </w:rPr>
            </w:pPr>
            <w:r>
              <w:rPr>
                <w:rFonts w:ascii="Arial" w:cs="Arial" w:eastAsia="Arial" w:hAnsi="Arial"/>
                <w:sz w:val="20"/>
                <w:szCs w:val="20"/>
                <w:color w:val="auto"/>
                <w:w w:val="94"/>
              </w:rPr>
              <w:t>2029</w:t>
            </w:r>
          </w:p>
        </w:tc>
        <w:tc>
          <w:tcPr>
            <w:tcW w:w="448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345,000</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Revolving Credit and Term Facilities</w:t>
      </w:r>
    </w:p>
    <w:p>
      <w:pPr>
        <w:spacing w:after="0" w:line="140"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The outstanding principal amount of LivaNova’s short-term unsecured revolving credit agreements and other agreements with various banks was $0.7 million and $0.6 million at December 31, 2024 and 2023, respectively, with an average interest rate of 4.64% and loan terms ranging from overnight to 364 days as of December 31, 2024.</w:t>
      </w:r>
    </w:p>
    <w:p>
      <w:pPr>
        <w:spacing w:after="0" w:line="61"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On March 8, 2024, LivaNova and LivaNova USA entered into Incremental Facility Amendment No. 3, which provides for LivaNova USA to obtain revolving commitments in an aggregate principal amount of $225.0 million. The $225.0 million revolving facility is subject to the terms and conditions of the 2021 First Lien Credit Agreement, as amended thereof, and replaced the previously existing $125.0 million revolving facility under the 2021 First Lien Credit Agreement. The $225.0 million revolving facility is available for working capital and other general corporate purposes and, if drawn, can be repaid at any time without premium or penalty. The $225.0 million revolving facility matures on March 8, 2029. There were no outstanding borrowings under the revolving facilities under the 2021 First Lien Credit Agreement as of December 31, 2024 and 2023.</w:t>
      </w:r>
    </w:p>
    <w:p>
      <w:pPr>
        <w:spacing w:after="0" w:line="9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2021 First Lien Credit Agreement, as amended, also requires the payment of certain commitment fees on the unused portion of the commitments, at a variable percentage based on LivaNova’s Total Net Leverage Ratio. As of December 31, 2024 and 2023, the applicable commitment fee percentage was 0.5% per annum.</w:t>
      </w:r>
    </w:p>
    <w:p>
      <w:pPr>
        <w:spacing w:after="0" w:line="79"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On July 6, 2022, LivaNova and its wholly-owned subsidiary, LivaNova USA, entered into Incremental Facility Amendment No. 2, which provides for LivaNova USA to, among other things, obtain commitments for term loan facilities from a syndicate of lenders in an aggregate principal amount of $350 million consisting of (i) the Initial Term Facility with an aggregate principal amount of $300 million and (ii) the Delayed Draw Term Facility with an additional aggregate principal amount of $50 million. On April 6, 2023, LivaNova drew $50 million under the Delayed Draw Term Facility for general corporate purposes.</w:t>
      </w:r>
    </w:p>
    <w:p>
      <w:pPr>
        <w:spacing w:after="0" w:line="87"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Proceeds from the Initial Term Facility were used to repay in full the Bridge Loan Facility on July 6, 2022, with the remainder used for general corporate purposes of the Company. The Term Facilities have a maturity of the earlier of (i) five years or (ii) 91 days prior to December 15, 2025, the maturity date of the 2025 Notes, unless by that date LivaNova USA will have either redeemed or refinanced the 2025 Notes, or set aside an amount of cash equal to the then-outstanding principal amount of the 2025 Notes. The Term Facilities bear interest at a rate equal to an adjusted term SOFR plus a variable margin based on the Company’s consolidated total net leverage ratio. As of December 31, 2024, the applicable margin over adjusted term SOFR was equal to 3.25% per annum. The Term Facilities are subject to an original issue discount of 1.5% of their principal amount. The Term Facilities are subject to quarterly principal repayment, based on the following amortization schedule: (i) during the first year from the initial funding date: 1.9%; (ii) year two: 5.0%; (iii) year three: 5.0%; (iv) year four: 7.5%; and (v) year five: 10.0%, with the remainder to be paid at maturity. The effective interest rate of the Term Facilities at December 31, 2024 was 6.53%.</w:t>
      </w:r>
    </w:p>
    <w:p>
      <w:pPr>
        <w:spacing w:after="0" w:line="79"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The 2021 First Lien Credit Agreement, as amended, contains customary representations, warranties, and covenants, including the requirement to maintain a Senior Secured First Lien Net Leverage Ratio of not more than 3.50 to 1.00, calculated as the ratio of Consolidated Senior Secured First Lien Net Indebtedness to Consolidated EBITDA, as defined in the credit agreement, for the period of four consecutive fiscal quarters ended on the calculation date and an Interest Coverage Ratio of not less than 2.00 to 1.00, calculated as the ratio of Consolidated EBITDA to Consolidated Interest Expense, both as defined in the credit agreement, for the period of four consecutive fiscal quarters ended on the calculation date. As of December 31, 2024, the Company was in compliance with the financial covenants contained in the 2021 First Lien Credit Agreement.</w:t>
      </w:r>
    </w:p>
    <w:p>
      <w:pPr>
        <w:spacing w:after="0" w:line="48"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Debt discount and issuance costs related to the Initial Term Facility were $9.6 million. The unamortized debt discount and issuance costs related to the Initial Term Facility were $4.8 million and $6.8 million as of December 31, 2024 and 2023, respectively.</w:t>
      </w:r>
    </w:p>
    <w:p>
      <w:pPr>
        <w:sectPr>
          <w:pgSz w:w="11880" w:h="15480" w:orient="portrait"/>
          <w:cols w:equalWidth="0" w:num="1">
            <w:col w:w="10040"/>
          </w:cols>
          <w:pgMar w:left="920" w:top="66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F-26</w:t>
      </w:r>
    </w:p>
    <w:p>
      <w:pPr>
        <w:sectPr>
          <w:pgSz w:w="11880" w:h="15480" w:orient="portrait"/>
          <w:cols w:equalWidth="0" w:num="1">
            <w:col w:w="10040"/>
          </w:cols>
          <w:pgMar w:left="920" w:top="664" w:right="920" w:bottom="0" w:gutter="0" w:footer="0" w:header="0"/>
          <w:type w:val="continuous"/>
        </w:sectPr>
      </w:pPr>
    </w:p>
    <w:bookmarkStart w:id="84" w:name="page85"/>
    <w:bookmarkEnd w:id="84"/>
    <w:p>
      <w:pPr>
        <w:spacing w:after="0"/>
        <w:rPr>
          <w:sz w:val="20"/>
          <w:szCs w:val="20"/>
          <w:color w:val="auto"/>
        </w:rPr>
      </w:pPr>
      <w:r>
        <w:rPr>
          <w:rFonts w:ascii="Arial" w:cs="Arial" w:eastAsia="Arial" w:hAnsi="Arial"/>
          <w:sz w:val="22"/>
          <w:szCs w:val="22"/>
          <w:color w:val="auto"/>
        </w:rPr>
        <w:t>2029 Notes Issuance and 2025 Notes Repurchase Transactions</w:t>
      </w:r>
    </w:p>
    <w:p>
      <w:pPr>
        <w:spacing w:after="0" w:line="140"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On March 8, 2024, LivaNova issued $345.0 million aggregate principal amount of 2.50% notes due 2029 by private placement to qualified institutional buyers pursuant to Rule 144A under the Securities Act, which included exercise in full of the initial purchasers’ option to purchase up to an additional $45.0 million principal amount of the 2029 Notes. The 2029 Notes are senior unsecured obligations of the Company. The Company used part of the proceeds from the issuance of the 2029 Notes to repurchase $230.0 million aggregate principal amount of the 2025 Notes in privately-negotiated transactions for an aggregate cash repurchase consideration of $270.5 million.</w:t>
      </w:r>
    </w:p>
    <w:p>
      <w:pPr>
        <w:spacing w:after="0" w:line="87"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The 2025 Notes Repurchase Transaction was treated as a debt extinguishment. The carrying value of the related 2025 Notes, which included the unamortized debt discount and issuance costs and the fair value of the embedded derivative, was derecognized, and the 2029 Notes issued were recognized at fair value. The difference between the consideration used to extinguish the 2025 Notes, the carrying value of the 2025 Notes, and the fair value of the embedded derivative was recognized as a loss on debt extinguishment of $25.5 million on LivaNova’s consolidated statements of income (loss) during the year ended December 31, 2024. Third-party costs incurred directly related to the 2025 Notes Repurchase Transaction were deferred and capitalized as additional debt issuance costs to be amortized on the 2029 Notes.</w:t>
      </w:r>
    </w:p>
    <w:p>
      <w:pPr>
        <w:spacing w:after="0" w:line="48"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Contemporaneously with the 2025 Notes Repurchase Transaction, the Company and the financial institutions party to the 2025 Capped Calls agreed to terminate a portion of the 2025 Capped Calls in a notional amount corresponding to the amount of 2025 Notes repurchased. The Company received $22.5 million in cash consideration, the fair value of the terminated portion, upon settlement. The terms of the remaining 2025 Capped Calls remain unchanged and are classified as current derivative assets. For additional information on LivaNova’s embedded and capped call derivative instruments, refer to “Note 7. Derivatives and Risk Management.”</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color w:val="auto"/>
        </w:rPr>
        <w:t>2029 Notes</w:t>
      </w:r>
    </w:p>
    <w:p>
      <w:pPr>
        <w:spacing w:after="0" w:line="140"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sale of the 2029 Notes resulted in $332.1 million in net proceeds to the Company after deducting issuance costs. Interest is payable semiannually in arrears on March 15 and September 15 of each year. The effective interest rate of the 2029 Notes was 9.84% as of December 31, 2024. The 2029 Notes mature on March 15, 2029, unless earlier repurchased, redeemed, or converted.</w:t>
      </w:r>
    </w:p>
    <w:p>
      <w:pPr>
        <w:spacing w:after="0" w:line="82" w:lineRule="exact"/>
        <w:rPr>
          <w:sz w:val="20"/>
          <w:szCs w:val="20"/>
          <w:color w:val="auto"/>
        </w:rPr>
      </w:pPr>
    </w:p>
    <w:p>
      <w:pPr>
        <w:jc w:val="both"/>
        <w:spacing w:after="0" w:line="326" w:lineRule="auto"/>
        <w:rPr>
          <w:sz w:val="20"/>
          <w:szCs w:val="20"/>
          <w:color w:val="auto"/>
        </w:rPr>
      </w:pPr>
      <w:r>
        <w:rPr>
          <w:rFonts w:ascii="Arial" w:cs="Arial" w:eastAsia="Arial" w:hAnsi="Arial"/>
          <w:sz w:val="17"/>
          <w:szCs w:val="17"/>
          <w:color w:val="auto"/>
        </w:rPr>
        <w:t>Debt discount and issuance costs related to the 2029 Notes were $99.6 million, including $87.5 million of discount attributable to the embedded derivative and $12.1 million of new debt issuance costs related to the 2029 Notes. The debt discount and issuance costs are amortized as interest expense using the effective interest method over the term of the 2029 Notes. The unamortized debt discount and issuance costs related to the 2029 Notes as of December 31, 2024 were $87.0 million.</w:t>
      </w:r>
    </w:p>
    <w:p>
      <w:pPr>
        <w:spacing w:after="0" w:line="36"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Holders are entitled to convert the 2029 Notes at any time during specified periods, at their option, subject to certain conditions. This includes the right to convert the 2029 Notes during any calendar quarter if the last reported sale price of LivaNova’s ordinary shares is greater than or equal to 130% of the conversion price, or $90.22 per share, for at least 20 trading days (whether or not consecutive) during a period of 30 consecutive trading days ending on, and including, the last trading day of the immediately preceding calendar quarter. The initial conversion rate for the 2029 Notes is 14.4085 ordinary shares per $1,000 principal amount of 2029 Notes (equivalent to an initial conversion price of $69.40 per share). The conversion rate is subject to adjustment in certain circumstances, as set forth in the indenture governing the 2029 Notes.</w:t>
      </w:r>
    </w:p>
    <w:p>
      <w:pPr>
        <w:spacing w:after="0" w:line="48"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As of December 31, 2024, the conditions for conversion were not met. As a result, the Company included its obligations from the 2029 Notes and the associated embedded derivative as long-term liabilities on the consolidated balance sheet as of December 31, 2024, and the 2029 Notes are not convertible during the three months ending March 31, 2025.</w:t>
      </w:r>
    </w:p>
    <w:p>
      <w:pPr>
        <w:spacing w:after="0" w:line="6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Upon any conversion of the 2029 Notes, LivaNova will be required to pay cash up to the aggregate principal amount of the 2029 Notes to be converted and may elect to settle the conversion obligation in excess of the aggregate principal amount of the 2029 Notes being converted in cash, shares, or a combination of the two.</w:t>
      </w:r>
    </w:p>
    <w:p>
      <w:pPr>
        <w:spacing w:after="0" w:line="79"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On or after December 15, 2028, holders may convert their 2029 Notes at their option at any time until the close of business on the second Scheduled Trading Day (as defined in the indenture governing the 2029 Notes) immediately preceding the maturity date.</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Company may redeem the 2029 Notes, in whole or in part, at its option on or after March 22, 2027 for cash if the last reported sale price of LivaNova’s ordinary share has been at least 130% of the conversion price, or $90.22 per share,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Additionally, the Company may redeem the 2029 Notes at its option, prior to the stated maturity, in whole but not in part, in connection with certain tax-related events.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F-27</w:t>
      </w:r>
    </w:p>
    <w:p>
      <w:pPr>
        <w:sectPr>
          <w:pgSz w:w="11880" w:h="15480" w:orient="portrait"/>
          <w:cols w:equalWidth="0" w:num="1">
            <w:col w:w="10040"/>
          </w:cols>
          <w:pgMar w:left="920" w:top="658" w:right="920" w:bottom="0" w:gutter="0" w:footer="0" w:header="0"/>
        </w:sectPr>
      </w:pPr>
    </w:p>
    <w:bookmarkStart w:id="85" w:name="page86"/>
    <w:bookmarkEnd w:id="85"/>
    <w:p>
      <w:pPr>
        <w:jc w:val="both"/>
        <w:spacing w:after="0" w:line="319" w:lineRule="auto"/>
        <w:rPr>
          <w:sz w:val="20"/>
          <w:szCs w:val="20"/>
          <w:color w:val="auto"/>
        </w:rPr>
      </w:pPr>
      <w:r>
        <w:rPr>
          <w:rFonts w:ascii="Arial" w:cs="Arial" w:eastAsia="Arial" w:hAnsi="Arial"/>
          <w:sz w:val="17"/>
          <w:szCs w:val="17"/>
          <w:color w:val="auto"/>
        </w:rPr>
        <w:t>Holders may require the Company to repurchase their 2029 Notes upon the occurrence of a Fundamental Change (as defined in the indenture governing the 2029 Notes) at a repurchase price equal to the principal amount thereof plus accrued and unpaid interest to, but excluding, the repurchase date. In addition, in connection with certain corporate events or if the Company issues a notice of redemption, the Company will, under certain circumstances, increase the conversion rate for holders who elect to convert their 2029 Notes in connection with such corporate event or during the relevant redemption period.</w:t>
      </w:r>
    </w:p>
    <w:p>
      <w:pPr>
        <w:spacing w:after="0" w:line="44"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The indenture governing the 2029 Notes contains customary terms and covenants, including that upon certain events of default occurring and continuing, either the Trustee (as defined in the indenture governing the 2029 Notes) or holders of at least 25% in aggregate principal amount of the 2029 Notes then outstanding may declare the entire principal amount of all the 2029 Notes, and accrued and unpaid interest on such 2029 Notes, to be immediately due and payable. Upon events of default in connection with specified bankruptcy events involving the Company, the 2029 Notes will become due and payable immediately.</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color w:val="auto"/>
        </w:rPr>
        <w:t>2025 Notes</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On June 17, 2020, LivaNova USA issued $287.5 million aggregate principal amount of 3.00% notes due 2025 by private placement to qualified institutional buyers pursuant to Rule 144A under the Securities Act. The 2025 Notes are senior unsecured obligations of the Company. The sale of the 2025 Notes resulted in $278.0 million in net proceeds to the Company after deducting issuance costs. Interest is payable semiannually in arrears on June 15 and December 15 of each year. On March 8, 2024, in connection with the issuance of the 2029 Notes, the Company used part of the net proceeds to repurchase $230.0 million aggregate principal amount of the 2025 Notes in privately-negotiated transactions. For additional information, refer to “2029 Notes Issuance and 2025 Notes Repurchase Transactions” above. The effective interest rate of the 2025 Notes was 9.95% at December 31, 2024. The 2025 Notes mature on December 15, 2025, unless earlier exchanged, repurchased, or redeemed.</w:t>
      </w:r>
    </w:p>
    <w:p>
      <w:pPr>
        <w:spacing w:after="0" w:line="89" w:lineRule="exact"/>
        <w:rPr>
          <w:sz w:val="20"/>
          <w:szCs w:val="20"/>
          <w:color w:val="auto"/>
        </w:rPr>
      </w:pPr>
    </w:p>
    <w:p>
      <w:pPr>
        <w:jc w:val="both"/>
        <w:spacing w:after="0" w:line="316" w:lineRule="auto"/>
        <w:rPr>
          <w:sz w:val="20"/>
          <w:szCs w:val="20"/>
          <w:color w:val="auto"/>
        </w:rPr>
      </w:pPr>
      <w:r>
        <w:rPr>
          <w:rFonts w:ascii="Arial" w:cs="Arial" w:eastAsia="Arial" w:hAnsi="Arial"/>
          <w:sz w:val="17"/>
          <w:szCs w:val="17"/>
          <w:color w:val="auto"/>
        </w:rPr>
        <w:t>Debt discount and issuance costs related to the 2025 Notes were $82.0 million, including $75.0 million of discount attributable to the embedded derivative and $7.0 million of allocated issuance costs to the 2025 Notes related to legal, bank, and accounting fees. The debt discount and issuance costs are amortized as interest expense using the effective interest method over the term of the 2025 Notes. Upon the closing of the 2025 Notes Repurchase Transaction in March 2024, the remaining unamortized debt discount and issuance costs related to the 2025 Notes were $5.8 million. The unamortized debt discount and issuance costs related to the 2025 Notes as of December 31, 2024 and 2023 were $3.6 million and $32.0 million, respectively.</w:t>
      </w:r>
    </w:p>
    <w:p>
      <w:pPr>
        <w:spacing w:after="0" w:line="43"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Holders are entitled to exchange the 2025 Notes at any time during specified periods, at their option, subject to certain conditions. This includes the right to exchange the 2025 Notes during any calendar quarter if the last reported sale price of LivaNova’s ordinary shares is greater than or equal to 130% of the exchange price, or $79.27 per share, for at least 20 trading days (whether or not consecutive) during a period of 30 consecutive trading days ending on, and including, the last trading day of the immediately preceding calendar quarter. The 2025 Notes are exchangeable solely into cash and are not exchangeable into ordinary shares of LivaNova or any other security under any circumstances. The initial exchange rate for the 2025 Notes is 16.3980 ordinary shares per $1,000 principal amount of 2025 Notes (equivalent to an initial exchange price of $60.98 per share). The exchange rate is subject to adjustment in certain circumstances, as set forth in the indenture governing the 2025 Notes.</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As of December 31, 2024, the conditions for exchange were not met. The Company included its obligations from the 2025 Notes and the associated embedded derivative as current liabilities on the consolidated balance sheet as of December 31, 2024, and the 2025 Notes are not exchangeable during the three months ending March 31, 2025.</w:t>
      </w:r>
    </w:p>
    <w:p>
      <w:pPr>
        <w:spacing w:after="0" w:line="6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On or after September 15, 2025, holders may exchange their 2025 Notes at their option at any time until the close of business on the second Scheduled Trading Day (as defined in the indenture governing the 2025 Notes) immediately preceding the maturity date.</w:t>
      </w:r>
    </w:p>
    <w:p>
      <w:pPr>
        <w:spacing w:after="0" w:line="61"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 Company may redeem the 2025 Notes, in whole or in part, at its option prior to the 51</w:t>
      </w:r>
      <w:r>
        <w:rPr>
          <w:rFonts w:ascii="Arial" w:cs="Arial" w:eastAsia="Arial" w:hAnsi="Arial"/>
          <w:sz w:val="24"/>
          <w:szCs w:val="24"/>
          <w:color w:val="auto"/>
          <w:vertAlign w:val="superscript"/>
        </w:rPr>
        <w:t>st</w:t>
      </w:r>
      <w:r>
        <w:rPr>
          <w:rFonts w:ascii="Arial" w:cs="Arial" w:eastAsia="Arial" w:hAnsi="Arial"/>
          <w:sz w:val="19"/>
          <w:szCs w:val="19"/>
          <w:color w:val="auto"/>
        </w:rPr>
        <w:t xml:space="preserve"> scheduled trading day immediately preceding the maturity date if the last reported sale price per ordinary share has been at least 130% of the exchange price, or $79.27 per share,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2025 Notes to be redeemed, plus accrued and unpaid interest to, but excluding, the redemption date. Additionally, the Company may redeem the 2025 Notes at its option, prior to the stated maturity, in whole but not in part, in connection with certain tax-related events.</w:t>
      </w:r>
    </w:p>
    <w:p>
      <w:pPr>
        <w:sectPr>
          <w:pgSz w:w="11880" w:h="15480" w:orient="portrait"/>
          <w:cols w:equalWidth="0" w:num="1">
            <w:col w:w="10040"/>
          </w:cols>
          <w:pgMar w:left="920" w:top="66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F-28</w:t>
      </w:r>
    </w:p>
    <w:p>
      <w:pPr>
        <w:sectPr>
          <w:pgSz w:w="11880" w:h="15480" w:orient="portrait"/>
          <w:cols w:equalWidth="0" w:num="1">
            <w:col w:w="10040"/>
          </w:cols>
          <w:pgMar w:left="920" w:top="664" w:right="920" w:bottom="0" w:gutter="0" w:footer="0" w:header="0"/>
          <w:type w:val="continuous"/>
        </w:sectPr>
      </w:pPr>
    </w:p>
    <w:bookmarkStart w:id="86" w:name="page87"/>
    <w:bookmarkEnd w:id="86"/>
    <w:p>
      <w:pPr>
        <w:spacing w:after="0"/>
        <w:rPr>
          <w:sz w:val="20"/>
          <w:szCs w:val="20"/>
          <w:color w:val="auto"/>
        </w:rPr>
      </w:pPr>
      <w:r>
        <w:rPr>
          <w:rFonts w:ascii="Arial" w:cs="Arial" w:eastAsia="Arial" w:hAnsi="Arial"/>
          <w:sz w:val="22"/>
          <w:szCs w:val="22"/>
          <w:b w:val="1"/>
          <w:bCs w:val="1"/>
          <w:color w:val="auto"/>
        </w:rPr>
        <w:t>Note 10. Leases</w:t>
      </w:r>
    </w:p>
    <w:p>
      <w:pPr>
        <w:spacing w:after="0" w:line="148"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LivaNova has operating leases primarily for (i) office space; (ii) manufacturing, warehouse, and R&amp;D facilities; and (iii) vehicles. LivaNova’s leases include options to extend the leases, and some of which include options to terminate the leases at the Company’s sole discretion. The following table presents the components of operating lease assets and liabilities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060" w:type="dxa"/>
            <w:vAlign w:val="bottom"/>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3"/>
          </w:tcPr>
          <w:p>
            <w:pPr>
              <w:jc w:val="right"/>
              <w:ind w:right="42"/>
              <w:spacing w:after="0"/>
              <w:rPr>
                <w:sz w:val="20"/>
                <w:szCs w:val="20"/>
                <w:color w:val="auto"/>
              </w:rPr>
            </w:pPr>
            <w:r>
              <w:rPr>
                <w:rFonts w:ascii="Arial" w:cs="Arial" w:eastAsia="Arial" w:hAnsi="Arial"/>
                <w:sz w:val="20"/>
                <w:szCs w:val="20"/>
                <w:b w:val="1"/>
                <w:bCs w:val="1"/>
                <w:color w:val="auto"/>
                <w:w w:val="98"/>
              </w:rPr>
              <w:t>December 31,</w:t>
            </w:r>
          </w:p>
        </w:tc>
        <w:tc>
          <w:tcPr>
            <w:tcW w:w="1280" w:type="dxa"/>
            <w:vAlign w:val="bottom"/>
            <w:tcBorders>
              <w:bottom w:val="single" w:sz="8" w:color="auto"/>
            </w:tcBorders>
          </w:tcPr>
          <w:p>
            <w:pPr>
              <w:spacing w:after="0"/>
              <w:rPr>
                <w:sz w:val="22"/>
                <w:szCs w:val="22"/>
                <w:color w:val="auto"/>
              </w:rPr>
            </w:pPr>
          </w:p>
        </w:tc>
      </w:tr>
      <w:tr>
        <w:trPr>
          <w:trHeight w:val="260"/>
        </w:trPr>
        <w:tc>
          <w:tcPr>
            <w:tcW w:w="6060" w:type="dxa"/>
            <w:vAlign w:val="bottom"/>
            <w:tcBorders>
              <w:bottom w:val="single" w:sz="8" w:color="E6E6E6"/>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2024</w:t>
            </w:r>
          </w:p>
        </w:tc>
        <w:tc>
          <w:tcPr>
            <w:tcW w:w="700" w:type="dxa"/>
            <w:vAlign w:val="bottom"/>
            <w:tcBorders>
              <w:bottom w:val="single" w:sz="8" w:color="auto"/>
            </w:tcBorders>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82"/>
              <w:spacing w:after="0"/>
              <w:rPr>
                <w:sz w:val="20"/>
                <w:szCs w:val="20"/>
                <w:color w:val="auto"/>
              </w:rPr>
            </w:pPr>
            <w:r>
              <w:rPr>
                <w:rFonts w:ascii="Arial" w:cs="Arial" w:eastAsia="Arial" w:hAnsi="Arial"/>
                <w:sz w:val="20"/>
                <w:szCs w:val="20"/>
                <w:b w:val="1"/>
                <w:bCs w:val="1"/>
                <w:color w:val="auto"/>
              </w:rPr>
              <w:t>2023</w:t>
            </w:r>
          </w:p>
        </w:tc>
      </w:tr>
      <w:tr>
        <w:trPr>
          <w:trHeight w:val="269"/>
        </w:trPr>
        <w:tc>
          <w:tcPr>
            <w:tcW w:w="6060" w:type="dxa"/>
            <w:vAlign w:val="bottom"/>
            <w:shd w:val="clear" w:color="auto" w:fill="E6E6E6"/>
          </w:tcPr>
          <w:p>
            <w:pPr>
              <w:ind w:left="40"/>
              <w:spacing w:after="0"/>
              <w:rPr>
                <w:sz w:val="20"/>
                <w:szCs w:val="20"/>
                <w:color w:val="auto"/>
              </w:rPr>
            </w:pPr>
            <w:r>
              <w:rPr>
                <w:rFonts w:ascii="Arial" w:cs="Arial" w:eastAsia="Arial" w:hAnsi="Arial"/>
                <w:sz w:val="20"/>
                <w:szCs w:val="20"/>
                <w:color w:val="auto"/>
              </w:rPr>
              <w:t>Operating lease assets</w:t>
            </w:r>
          </w:p>
        </w:tc>
        <w:tc>
          <w:tcPr>
            <w:tcW w:w="1260" w:type="dxa"/>
            <w:vAlign w:val="bottom"/>
            <w:shd w:val="clear" w:color="auto" w:fill="E6E6E6"/>
          </w:tcPr>
          <w:p>
            <w:pPr>
              <w:jc w:val="right"/>
              <w:ind w:right="1002"/>
              <w:spacing w:after="0"/>
              <w:rPr>
                <w:sz w:val="20"/>
                <w:szCs w:val="20"/>
                <w:color w:val="auto"/>
              </w:rPr>
            </w:pPr>
            <w:r>
              <w:rPr>
                <w:rFonts w:ascii="Arial" w:cs="Arial" w:eastAsia="Arial" w:hAnsi="Arial"/>
                <w:sz w:val="20"/>
                <w:szCs w:val="20"/>
                <w:color w:val="auto"/>
              </w:rPr>
              <w:t>$</w:t>
            </w:r>
          </w:p>
        </w:tc>
        <w:tc>
          <w:tcPr>
            <w:tcW w:w="700" w:type="dxa"/>
            <w:vAlign w:val="bottom"/>
            <w:shd w:val="clear" w:color="auto" w:fill="E6E6E6"/>
          </w:tcPr>
          <w:p>
            <w:pPr>
              <w:jc w:val="right"/>
              <w:spacing w:after="0"/>
              <w:rPr>
                <w:sz w:val="20"/>
                <w:szCs w:val="20"/>
                <w:color w:val="auto"/>
              </w:rPr>
            </w:pPr>
            <w:r>
              <w:rPr>
                <w:rFonts w:ascii="Arial" w:cs="Arial" w:eastAsia="Arial" w:hAnsi="Arial"/>
                <w:sz w:val="20"/>
                <w:szCs w:val="20"/>
                <w:color w:val="auto"/>
                <w:w w:val="98"/>
              </w:rPr>
              <w:t>46,837</w:t>
            </w:r>
          </w:p>
        </w:tc>
        <w:tc>
          <w:tcPr>
            <w:tcW w:w="740" w:type="dxa"/>
            <w:vAlign w:val="bottom"/>
            <w:gridSpan w:val="2"/>
            <w:shd w:val="clear" w:color="auto" w:fill="E6E6E6"/>
          </w:tcPr>
          <w:p>
            <w:pPr>
              <w:jc w:val="right"/>
              <w:ind w:right="422"/>
              <w:spacing w:after="0"/>
              <w:rPr>
                <w:sz w:val="20"/>
                <w:szCs w:val="20"/>
                <w:color w:val="auto"/>
              </w:rPr>
            </w:pPr>
            <w:r>
              <w:rPr>
                <w:rFonts w:ascii="Arial" w:cs="Arial" w:eastAsia="Arial" w:hAnsi="Arial"/>
                <w:sz w:val="20"/>
                <w:szCs w:val="20"/>
                <w:color w:val="auto"/>
              </w:rPr>
              <w:t>$</w:t>
            </w:r>
          </w:p>
        </w:tc>
        <w:tc>
          <w:tcPr>
            <w:tcW w:w="12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50,845</w:t>
            </w:r>
          </w:p>
        </w:tc>
      </w:tr>
      <w:tr>
        <w:trPr>
          <w:trHeight w:val="274"/>
        </w:trPr>
        <w:tc>
          <w:tcPr>
            <w:tcW w:w="6060" w:type="dxa"/>
            <w:vAlign w:val="bottom"/>
          </w:tcPr>
          <w:p>
            <w:pPr>
              <w:ind w:left="40"/>
              <w:spacing w:after="0"/>
              <w:rPr>
                <w:sz w:val="20"/>
                <w:szCs w:val="20"/>
                <w:color w:val="auto"/>
              </w:rPr>
            </w:pPr>
            <w:r>
              <w:rPr>
                <w:rFonts w:ascii="Arial" w:cs="Arial" w:eastAsia="Arial" w:hAnsi="Arial"/>
                <w:sz w:val="20"/>
                <w:szCs w:val="20"/>
                <w:color w:val="auto"/>
              </w:rPr>
              <w:t>Operating lease liabilities:</w:t>
            </w:r>
          </w:p>
        </w:tc>
        <w:tc>
          <w:tcPr>
            <w:tcW w:w="1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85"/>
        </w:trPr>
        <w:tc>
          <w:tcPr>
            <w:tcW w:w="6060" w:type="dxa"/>
            <w:vAlign w:val="bottom"/>
            <w:shd w:val="clear" w:color="auto" w:fill="E6E6E6"/>
          </w:tcPr>
          <w:p>
            <w:pPr>
              <w:ind w:left="160"/>
              <w:spacing w:after="0"/>
              <w:rPr>
                <w:sz w:val="20"/>
                <w:szCs w:val="20"/>
                <w:color w:val="auto"/>
              </w:rPr>
            </w:pPr>
            <w:r>
              <w:rPr>
                <w:rFonts w:ascii="Arial" w:cs="Arial" w:eastAsia="Arial" w:hAnsi="Arial"/>
                <w:sz w:val="20"/>
                <w:szCs w:val="20"/>
                <w:color w:val="auto"/>
              </w:rPr>
              <w:t>Accrued liabilities and other</w:t>
            </w:r>
          </w:p>
        </w:tc>
        <w:tc>
          <w:tcPr>
            <w:tcW w:w="1260" w:type="dxa"/>
            <w:vAlign w:val="bottom"/>
            <w:shd w:val="clear" w:color="auto" w:fill="E6E6E6"/>
          </w:tcPr>
          <w:p>
            <w:pPr>
              <w:jc w:val="right"/>
              <w:ind w:right="1002"/>
              <w:spacing w:after="0"/>
              <w:rPr>
                <w:sz w:val="20"/>
                <w:szCs w:val="20"/>
                <w:color w:val="auto"/>
              </w:rPr>
            </w:pPr>
            <w:r>
              <w:rPr>
                <w:rFonts w:ascii="Arial" w:cs="Arial" w:eastAsia="Arial" w:hAnsi="Arial"/>
                <w:sz w:val="20"/>
                <w:szCs w:val="20"/>
                <w:color w:val="auto"/>
              </w:rPr>
              <w:t>$</w:t>
            </w:r>
          </w:p>
        </w:tc>
        <w:tc>
          <w:tcPr>
            <w:tcW w:w="7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9,040</w:t>
            </w:r>
          </w:p>
        </w:tc>
        <w:tc>
          <w:tcPr>
            <w:tcW w:w="740" w:type="dxa"/>
            <w:vAlign w:val="bottom"/>
            <w:gridSpan w:val="2"/>
            <w:shd w:val="clear" w:color="auto" w:fill="E6E6E6"/>
          </w:tcPr>
          <w:p>
            <w:pPr>
              <w:jc w:val="right"/>
              <w:ind w:right="422"/>
              <w:spacing w:after="0"/>
              <w:rPr>
                <w:sz w:val="20"/>
                <w:szCs w:val="20"/>
                <w:color w:val="auto"/>
              </w:rPr>
            </w:pPr>
            <w:r>
              <w:rPr>
                <w:rFonts w:ascii="Arial" w:cs="Arial" w:eastAsia="Arial" w:hAnsi="Arial"/>
                <w:sz w:val="20"/>
                <w:szCs w:val="20"/>
                <w:color w:val="auto"/>
              </w:rPr>
              <w:t>$</w:t>
            </w:r>
          </w:p>
        </w:tc>
        <w:tc>
          <w:tcPr>
            <w:tcW w:w="12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8,362</w:t>
            </w:r>
          </w:p>
        </w:tc>
      </w:tr>
      <w:tr>
        <w:trPr>
          <w:trHeight w:val="269"/>
        </w:trPr>
        <w:tc>
          <w:tcPr>
            <w:tcW w:w="6060" w:type="dxa"/>
            <w:vAlign w:val="bottom"/>
            <w:tcBorders>
              <w:bottom w:val="single" w:sz="8" w:color="E6E6E6"/>
            </w:tcBorders>
          </w:tcPr>
          <w:p>
            <w:pPr>
              <w:ind w:left="160"/>
              <w:spacing w:after="0"/>
              <w:rPr>
                <w:sz w:val="20"/>
                <w:szCs w:val="20"/>
                <w:color w:val="auto"/>
              </w:rPr>
            </w:pPr>
            <w:r>
              <w:rPr>
                <w:rFonts w:ascii="Arial" w:cs="Arial" w:eastAsia="Arial" w:hAnsi="Arial"/>
                <w:sz w:val="20"/>
                <w:szCs w:val="20"/>
                <w:color w:val="auto"/>
              </w:rPr>
              <w:t>Long-term operating lease liabilities</w:t>
            </w:r>
          </w:p>
        </w:tc>
        <w:tc>
          <w:tcPr>
            <w:tcW w:w="12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8"/>
              </w:rPr>
              <w:t>40,105</w:t>
            </w:r>
          </w:p>
        </w:tc>
        <w:tc>
          <w:tcPr>
            <w:tcW w:w="80" w:type="dxa"/>
            <w:vAlign w:val="bottom"/>
            <w:tcBorders>
              <w:bottom w:val="single" w:sz="8" w:color="E6E6E6"/>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45,388</w:t>
            </w:r>
          </w:p>
        </w:tc>
      </w:tr>
      <w:tr>
        <w:trPr>
          <w:trHeight w:val="279"/>
        </w:trPr>
        <w:tc>
          <w:tcPr>
            <w:tcW w:w="6060" w:type="dxa"/>
            <w:vAlign w:val="bottom"/>
            <w:tcBorders>
              <w:bottom w:val="single" w:sz="8" w:color="E6E6E6"/>
            </w:tcBorders>
            <w:shd w:val="clear" w:color="auto" w:fill="E6E6E6"/>
          </w:tcPr>
          <w:p>
            <w:pPr>
              <w:spacing w:after="0"/>
              <w:rPr>
                <w:sz w:val="24"/>
                <w:szCs w:val="24"/>
                <w:color w:val="auto"/>
              </w:rPr>
            </w:pPr>
          </w:p>
        </w:tc>
        <w:tc>
          <w:tcPr>
            <w:tcW w:w="1260" w:type="dxa"/>
            <w:vAlign w:val="bottom"/>
            <w:tcBorders>
              <w:bottom w:val="single" w:sz="8" w:color="auto"/>
            </w:tcBorders>
            <w:shd w:val="clear" w:color="auto" w:fill="E6E6E6"/>
          </w:tcPr>
          <w:p>
            <w:pPr>
              <w:jc w:val="right"/>
              <w:ind w:right="1002"/>
              <w:spacing w:after="0"/>
              <w:rPr>
                <w:sz w:val="20"/>
                <w:szCs w:val="20"/>
                <w:color w:val="auto"/>
              </w:rPr>
            </w:pPr>
            <w:r>
              <w:rPr>
                <w:rFonts w:ascii="Arial" w:cs="Arial" w:eastAsia="Arial" w:hAnsi="Arial"/>
                <w:sz w:val="20"/>
                <w:szCs w:val="20"/>
                <w:color w:val="auto"/>
              </w:rPr>
              <w:t>$</w:t>
            </w:r>
          </w:p>
        </w:tc>
        <w:tc>
          <w:tcPr>
            <w:tcW w:w="7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w w:val="98"/>
              </w:rPr>
              <w:t>49,145</w:t>
            </w:r>
          </w:p>
        </w:tc>
        <w:tc>
          <w:tcPr>
            <w:tcW w:w="80" w:type="dxa"/>
            <w:vAlign w:val="bottom"/>
            <w:tcBorders>
              <w:bottom w:val="single" w:sz="8" w:color="E6E6E6"/>
            </w:tcBorders>
            <w:shd w:val="clear" w:color="auto" w:fill="E6E6E6"/>
          </w:tcPr>
          <w:p>
            <w:pPr>
              <w:spacing w:after="0"/>
              <w:rPr>
                <w:sz w:val="24"/>
                <w:szCs w:val="24"/>
                <w:color w:val="auto"/>
              </w:rPr>
            </w:pPr>
          </w:p>
        </w:tc>
        <w:tc>
          <w:tcPr>
            <w:tcW w:w="660" w:type="dxa"/>
            <w:vAlign w:val="bottom"/>
            <w:tcBorders>
              <w:bottom w:val="single" w:sz="8" w:color="auto"/>
            </w:tcBorders>
            <w:shd w:val="clear" w:color="auto" w:fill="E6E6E6"/>
          </w:tcPr>
          <w:p>
            <w:pPr>
              <w:jc w:val="right"/>
              <w:ind w:right="422"/>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53,750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3837940</wp:posOffset>
            </wp:positionH>
            <wp:positionV relativeFrom="paragraph">
              <wp:posOffset>-917575</wp:posOffset>
            </wp:positionV>
            <wp:extent cx="2555240"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43">
                      <a:extLst>
                        <a:ext uri="{28A0092B-C50C-407E-A947-70E740481C1C}"/>
                      </a:extLst>
                    </a:blip>
                    <a:srcRect/>
                    <a:stretch>
                      <a:fillRect/>
                    </a:stretch>
                  </pic:blipFill>
                  <pic:spPr bwMode="auto">
                    <a:xfrm>
                      <a:off x="0" y="0"/>
                      <a:ext cx="2555240" cy="25400"/>
                    </a:xfrm>
                    <a:prstGeom prst="rect">
                      <a:avLst/>
                    </a:prstGeom>
                    <a:noFill/>
                  </pic:spPr>
                </pic:pic>
              </a:graphicData>
            </a:graphic>
          </wp:anchor>
        </w:drawing>
        <w:drawing>
          <wp:anchor simplePos="0" relativeHeight="251657728" behindDoc="1" locked="0" layoutInCell="0" allowOverlap="1">
            <wp:simplePos x="0" y="0"/>
            <wp:positionH relativeFrom="column">
              <wp:posOffset>3837940</wp:posOffset>
            </wp:positionH>
            <wp:positionV relativeFrom="paragraph">
              <wp:posOffset>-208280</wp:posOffset>
            </wp:positionV>
            <wp:extent cx="2555240"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44">
                      <a:extLst>
                        <a:ext uri="{28A0092B-C50C-407E-A947-70E740481C1C}"/>
                      </a:extLst>
                    </a:blip>
                    <a:srcRect/>
                    <a:stretch>
                      <a:fillRect/>
                    </a:stretch>
                  </pic:blipFill>
                  <pic:spPr bwMode="auto">
                    <a:xfrm>
                      <a:off x="0" y="0"/>
                      <a:ext cx="2555240" cy="25400"/>
                    </a:xfrm>
                    <a:prstGeom prst="rect">
                      <a:avLst/>
                    </a:prstGeom>
                    <a:noFill/>
                  </pic:spPr>
                </pic:pic>
              </a:graphicData>
            </a:graphic>
          </wp:anchor>
        </w:drawing>
        <w:drawing>
          <wp:anchor simplePos="0" relativeHeight="251657728" behindDoc="1" locked="0" layoutInCell="0" allowOverlap="1">
            <wp:simplePos x="0" y="0"/>
            <wp:positionH relativeFrom="column">
              <wp:posOffset>3837940</wp:posOffset>
            </wp:positionH>
            <wp:positionV relativeFrom="paragraph">
              <wp:posOffset>-43180</wp:posOffset>
            </wp:positionV>
            <wp:extent cx="2555240" cy="501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45">
                      <a:extLst>
                        <a:ext uri="{28A0092B-C50C-407E-A947-70E740481C1C}"/>
                      </a:extLst>
                    </a:blip>
                    <a:srcRect/>
                    <a:stretch>
                      <a:fillRect/>
                    </a:stretch>
                  </pic:blipFill>
                  <pic:spPr bwMode="auto">
                    <a:xfrm>
                      <a:off x="0" y="0"/>
                      <a:ext cx="2555240" cy="5016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contractual maturities of LivaNova’s lease liabilities as of December 31, 2024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4040" w:type="dxa"/>
            <w:vAlign w:val="bottom"/>
            <w:shd w:val="clear" w:color="auto" w:fill="E6E6E6"/>
          </w:tcPr>
          <w:p>
            <w:pPr>
              <w:ind w:left="40"/>
              <w:spacing w:after="0"/>
              <w:rPr>
                <w:sz w:val="20"/>
                <w:szCs w:val="20"/>
                <w:color w:val="auto"/>
              </w:rPr>
            </w:pPr>
            <w:r>
              <w:rPr>
                <w:rFonts w:ascii="Arial" w:cs="Arial" w:eastAsia="Arial" w:hAnsi="Arial"/>
                <w:sz w:val="20"/>
                <w:szCs w:val="20"/>
                <w:color w:val="auto"/>
              </w:rPr>
              <w:t>2025</w:t>
            </w:r>
          </w:p>
        </w:tc>
        <w:tc>
          <w:tcPr>
            <w:tcW w:w="460" w:type="dxa"/>
            <w:vAlign w:val="bottom"/>
            <w:shd w:val="clear" w:color="auto" w:fill="E6E6E6"/>
          </w:tcPr>
          <w:p>
            <w:pPr>
              <w:spacing w:after="0"/>
              <w:rPr>
                <w:sz w:val="24"/>
                <w:szCs w:val="24"/>
                <w:color w:val="auto"/>
              </w:rPr>
            </w:pPr>
          </w:p>
        </w:tc>
        <w:tc>
          <w:tcPr>
            <w:tcW w:w="15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640" w:type="dxa"/>
            <w:vAlign w:val="bottom"/>
            <w:shd w:val="clear" w:color="auto" w:fill="E6E6E6"/>
          </w:tcPr>
          <w:p>
            <w:pPr>
              <w:spacing w:after="0"/>
              <w:rPr>
                <w:sz w:val="24"/>
                <w:szCs w:val="24"/>
                <w:color w:val="auto"/>
              </w:rPr>
            </w:pPr>
          </w:p>
        </w:tc>
        <w:tc>
          <w:tcPr>
            <w:tcW w:w="13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460" w:type="dxa"/>
            <w:vAlign w:val="bottom"/>
            <w:shd w:val="clear" w:color="auto" w:fill="E6E6E6"/>
          </w:tcPr>
          <w:p>
            <w:pPr>
              <w:jc w:val="right"/>
              <w:ind w:right="222"/>
              <w:spacing w:after="0"/>
              <w:rPr>
                <w:sz w:val="20"/>
                <w:szCs w:val="20"/>
                <w:color w:val="auto"/>
              </w:rPr>
            </w:pPr>
            <w:r>
              <w:rPr>
                <w:rFonts w:ascii="Arial" w:cs="Arial" w:eastAsia="Arial" w:hAnsi="Arial"/>
                <w:sz w:val="20"/>
                <w:szCs w:val="20"/>
                <w:color w:val="auto"/>
              </w:rPr>
              <w:t>$</w:t>
            </w:r>
          </w:p>
        </w:tc>
        <w:tc>
          <w:tcPr>
            <w:tcW w:w="14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11,392</w:t>
            </w:r>
          </w:p>
        </w:tc>
      </w:tr>
      <w:tr>
        <w:trPr>
          <w:trHeight w:val="274"/>
        </w:trPr>
        <w:tc>
          <w:tcPr>
            <w:tcW w:w="4040" w:type="dxa"/>
            <w:vAlign w:val="bottom"/>
          </w:tcPr>
          <w:p>
            <w:pPr>
              <w:ind w:left="40"/>
              <w:spacing w:after="0"/>
              <w:rPr>
                <w:sz w:val="20"/>
                <w:szCs w:val="20"/>
                <w:color w:val="auto"/>
              </w:rPr>
            </w:pPr>
            <w:r>
              <w:rPr>
                <w:rFonts w:ascii="Arial" w:cs="Arial" w:eastAsia="Arial" w:hAnsi="Arial"/>
                <w:sz w:val="20"/>
                <w:szCs w:val="20"/>
                <w:color w:val="auto"/>
              </w:rPr>
              <w:t>2026</w:t>
            </w:r>
          </w:p>
        </w:tc>
        <w:tc>
          <w:tcPr>
            <w:tcW w:w="4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8,468</w:t>
            </w:r>
          </w:p>
        </w:tc>
      </w:tr>
      <w:tr>
        <w:trPr>
          <w:trHeight w:val="285"/>
        </w:trPr>
        <w:tc>
          <w:tcPr>
            <w:tcW w:w="4040" w:type="dxa"/>
            <w:vAlign w:val="bottom"/>
            <w:shd w:val="clear" w:color="auto" w:fill="E6E6E6"/>
          </w:tcPr>
          <w:p>
            <w:pPr>
              <w:ind w:left="40"/>
              <w:spacing w:after="0"/>
              <w:rPr>
                <w:sz w:val="20"/>
                <w:szCs w:val="20"/>
                <w:color w:val="auto"/>
              </w:rPr>
            </w:pPr>
            <w:r>
              <w:rPr>
                <w:rFonts w:ascii="Arial" w:cs="Arial" w:eastAsia="Arial" w:hAnsi="Arial"/>
                <w:sz w:val="20"/>
                <w:szCs w:val="20"/>
                <w:color w:val="auto"/>
              </w:rPr>
              <w:t>2027</w:t>
            </w:r>
          </w:p>
        </w:tc>
        <w:tc>
          <w:tcPr>
            <w:tcW w:w="460" w:type="dxa"/>
            <w:vAlign w:val="bottom"/>
            <w:shd w:val="clear" w:color="auto" w:fill="E6E6E6"/>
          </w:tcPr>
          <w:p>
            <w:pPr>
              <w:spacing w:after="0"/>
              <w:rPr>
                <w:sz w:val="24"/>
                <w:szCs w:val="24"/>
                <w:color w:val="auto"/>
              </w:rPr>
            </w:pPr>
          </w:p>
        </w:tc>
        <w:tc>
          <w:tcPr>
            <w:tcW w:w="15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640" w:type="dxa"/>
            <w:vAlign w:val="bottom"/>
            <w:shd w:val="clear" w:color="auto" w:fill="E6E6E6"/>
          </w:tcPr>
          <w:p>
            <w:pPr>
              <w:spacing w:after="0"/>
              <w:rPr>
                <w:sz w:val="24"/>
                <w:szCs w:val="24"/>
                <w:color w:val="auto"/>
              </w:rPr>
            </w:pPr>
          </w:p>
        </w:tc>
        <w:tc>
          <w:tcPr>
            <w:tcW w:w="13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460" w:type="dxa"/>
            <w:vAlign w:val="bottom"/>
            <w:shd w:val="clear" w:color="auto" w:fill="E6E6E6"/>
          </w:tcPr>
          <w:p>
            <w:pPr>
              <w:spacing w:after="0"/>
              <w:rPr>
                <w:sz w:val="24"/>
                <w:szCs w:val="24"/>
                <w:color w:val="auto"/>
              </w:rPr>
            </w:pPr>
          </w:p>
        </w:tc>
        <w:tc>
          <w:tcPr>
            <w:tcW w:w="14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7,206</w:t>
            </w:r>
          </w:p>
        </w:tc>
      </w:tr>
      <w:tr>
        <w:trPr>
          <w:trHeight w:val="274"/>
        </w:trPr>
        <w:tc>
          <w:tcPr>
            <w:tcW w:w="4040" w:type="dxa"/>
            <w:vAlign w:val="bottom"/>
          </w:tcPr>
          <w:p>
            <w:pPr>
              <w:ind w:left="40"/>
              <w:spacing w:after="0"/>
              <w:rPr>
                <w:sz w:val="20"/>
                <w:szCs w:val="20"/>
                <w:color w:val="auto"/>
              </w:rPr>
            </w:pPr>
            <w:r>
              <w:rPr>
                <w:rFonts w:ascii="Arial" w:cs="Arial" w:eastAsia="Arial" w:hAnsi="Arial"/>
                <w:sz w:val="20"/>
                <w:szCs w:val="20"/>
                <w:color w:val="auto"/>
              </w:rPr>
              <w:t>2028</w:t>
            </w:r>
          </w:p>
        </w:tc>
        <w:tc>
          <w:tcPr>
            <w:tcW w:w="4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5,795</w:t>
            </w:r>
          </w:p>
        </w:tc>
      </w:tr>
      <w:tr>
        <w:trPr>
          <w:trHeight w:val="285"/>
        </w:trPr>
        <w:tc>
          <w:tcPr>
            <w:tcW w:w="4040" w:type="dxa"/>
            <w:vAlign w:val="bottom"/>
            <w:shd w:val="clear" w:color="auto" w:fill="E6E6E6"/>
          </w:tcPr>
          <w:p>
            <w:pPr>
              <w:ind w:left="40"/>
              <w:spacing w:after="0"/>
              <w:rPr>
                <w:sz w:val="20"/>
                <w:szCs w:val="20"/>
                <w:color w:val="auto"/>
              </w:rPr>
            </w:pPr>
            <w:r>
              <w:rPr>
                <w:rFonts w:ascii="Arial" w:cs="Arial" w:eastAsia="Arial" w:hAnsi="Arial"/>
                <w:sz w:val="20"/>
                <w:szCs w:val="20"/>
                <w:color w:val="auto"/>
              </w:rPr>
              <w:t>2029</w:t>
            </w:r>
          </w:p>
        </w:tc>
        <w:tc>
          <w:tcPr>
            <w:tcW w:w="460" w:type="dxa"/>
            <w:vAlign w:val="bottom"/>
            <w:shd w:val="clear" w:color="auto" w:fill="E6E6E6"/>
          </w:tcPr>
          <w:p>
            <w:pPr>
              <w:spacing w:after="0"/>
              <w:rPr>
                <w:sz w:val="24"/>
                <w:szCs w:val="24"/>
                <w:color w:val="auto"/>
              </w:rPr>
            </w:pPr>
          </w:p>
        </w:tc>
        <w:tc>
          <w:tcPr>
            <w:tcW w:w="15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640" w:type="dxa"/>
            <w:vAlign w:val="bottom"/>
            <w:shd w:val="clear" w:color="auto" w:fill="E6E6E6"/>
          </w:tcPr>
          <w:p>
            <w:pPr>
              <w:spacing w:after="0"/>
              <w:rPr>
                <w:sz w:val="24"/>
                <w:szCs w:val="24"/>
                <w:color w:val="auto"/>
              </w:rPr>
            </w:pPr>
          </w:p>
        </w:tc>
        <w:tc>
          <w:tcPr>
            <w:tcW w:w="13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460" w:type="dxa"/>
            <w:vAlign w:val="bottom"/>
            <w:shd w:val="clear" w:color="auto" w:fill="E6E6E6"/>
          </w:tcPr>
          <w:p>
            <w:pPr>
              <w:spacing w:after="0"/>
              <w:rPr>
                <w:sz w:val="24"/>
                <w:szCs w:val="24"/>
                <w:color w:val="auto"/>
              </w:rPr>
            </w:pPr>
          </w:p>
        </w:tc>
        <w:tc>
          <w:tcPr>
            <w:tcW w:w="14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4,887</w:t>
            </w:r>
          </w:p>
        </w:tc>
      </w:tr>
      <w:tr>
        <w:trPr>
          <w:trHeight w:val="269"/>
        </w:trPr>
        <w:tc>
          <w:tcPr>
            <w:tcW w:w="4040" w:type="dxa"/>
            <w:vAlign w:val="bottom"/>
            <w:tcBorders>
              <w:bottom w:val="single" w:sz="8" w:color="E6E6E6"/>
            </w:tcBorders>
          </w:tcPr>
          <w:p>
            <w:pPr>
              <w:ind w:left="40"/>
              <w:spacing w:after="0"/>
              <w:rPr>
                <w:sz w:val="20"/>
                <w:szCs w:val="20"/>
                <w:color w:val="auto"/>
              </w:rPr>
            </w:pPr>
            <w:r>
              <w:rPr>
                <w:rFonts w:ascii="Arial" w:cs="Arial" w:eastAsia="Arial" w:hAnsi="Arial"/>
                <w:sz w:val="20"/>
                <w:szCs w:val="20"/>
                <w:color w:val="auto"/>
              </w:rPr>
              <w:t>Thereafter</w:t>
            </w:r>
          </w:p>
        </w:tc>
        <w:tc>
          <w:tcPr>
            <w:tcW w:w="460" w:type="dxa"/>
            <w:vAlign w:val="bottom"/>
            <w:tcBorders>
              <w:bottom w:val="single" w:sz="8" w:color="E6E6E6"/>
            </w:tcBorders>
          </w:tcPr>
          <w:p>
            <w:pPr>
              <w:spacing w:after="0"/>
              <w:rPr>
                <w:sz w:val="23"/>
                <w:szCs w:val="23"/>
                <w:color w:val="auto"/>
              </w:rPr>
            </w:pPr>
          </w:p>
        </w:tc>
        <w:tc>
          <w:tcPr>
            <w:tcW w:w="1500" w:type="dxa"/>
            <w:vAlign w:val="bottom"/>
            <w:tcBorders>
              <w:bottom w:val="single" w:sz="8" w:color="E6E6E6"/>
            </w:tcBorders>
          </w:tcPr>
          <w:p>
            <w:pPr>
              <w:spacing w:after="0"/>
              <w:rPr>
                <w:sz w:val="23"/>
                <w:szCs w:val="23"/>
                <w:color w:val="auto"/>
              </w:rPr>
            </w:pPr>
          </w:p>
        </w:tc>
        <w:tc>
          <w:tcPr>
            <w:tcW w:w="60" w:type="dxa"/>
            <w:vAlign w:val="bottom"/>
            <w:tcBorders>
              <w:bottom w:val="single" w:sz="8" w:color="E6E6E6"/>
            </w:tcBorders>
          </w:tcPr>
          <w:p>
            <w:pPr>
              <w:spacing w:after="0"/>
              <w:rPr>
                <w:sz w:val="23"/>
                <w:szCs w:val="23"/>
                <w:color w:val="auto"/>
              </w:rPr>
            </w:pPr>
          </w:p>
        </w:tc>
        <w:tc>
          <w:tcPr>
            <w:tcW w:w="640" w:type="dxa"/>
            <w:vAlign w:val="bottom"/>
            <w:tcBorders>
              <w:bottom w:val="single" w:sz="8" w:color="E6E6E6"/>
            </w:tcBorders>
          </w:tcPr>
          <w:p>
            <w:pPr>
              <w:spacing w:after="0"/>
              <w:rPr>
                <w:sz w:val="23"/>
                <w:szCs w:val="23"/>
                <w:color w:val="auto"/>
              </w:rPr>
            </w:pPr>
          </w:p>
        </w:tc>
        <w:tc>
          <w:tcPr>
            <w:tcW w:w="1320" w:type="dxa"/>
            <w:vAlign w:val="bottom"/>
            <w:tcBorders>
              <w:bottom w:val="single" w:sz="8" w:color="E6E6E6"/>
            </w:tcBorders>
          </w:tcPr>
          <w:p>
            <w:pPr>
              <w:spacing w:after="0"/>
              <w:rPr>
                <w:sz w:val="23"/>
                <w:szCs w:val="23"/>
                <w:color w:val="auto"/>
              </w:rPr>
            </w:pPr>
          </w:p>
        </w:tc>
        <w:tc>
          <w:tcPr>
            <w:tcW w:w="80" w:type="dxa"/>
            <w:vAlign w:val="bottom"/>
            <w:tcBorders>
              <w:bottom w:val="single" w:sz="8" w:color="E6E6E6"/>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25,459</w:t>
            </w:r>
          </w:p>
        </w:tc>
      </w:tr>
      <w:tr>
        <w:trPr>
          <w:trHeight w:val="270"/>
        </w:trPr>
        <w:tc>
          <w:tcPr>
            <w:tcW w:w="4040" w:type="dxa"/>
            <w:vAlign w:val="bottom"/>
            <w:shd w:val="clear" w:color="auto" w:fill="E6E6E6"/>
          </w:tcPr>
          <w:p>
            <w:pPr>
              <w:ind w:left="40"/>
              <w:spacing w:after="0"/>
              <w:rPr>
                <w:sz w:val="20"/>
                <w:szCs w:val="20"/>
                <w:color w:val="auto"/>
              </w:rPr>
            </w:pPr>
            <w:r>
              <w:rPr>
                <w:rFonts w:ascii="Arial" w:cs="Arial" w:eastAsia="Arial" w:hAnsi="Arial"/>
                <w:sz w:val="20"/>
                <w:szCs w:val="20"/>
                <w:color w:val="auto"/>
              </w:rPr>
              <w:t>Total lease payments</w:t>
            </w:r>
          </w:p>
        </w:tc>
        <w:tc>
          <w:tcPr>
            <w:tcW w:w="460" w:type="dxa"/>
            <w:vAlign w:val="bottom"/>
            <w:shd w:val="clear" w:color="auto" w:fill="E6E6E6"/>
          </w:tcPr>
          <w:p>
            <w:pPr>
              <w:spacing w:after="0"/>
              <w:rPr>
                <w:sz w:val="23"/>
                <w:szCs w:val="23"/>
                <w:color w:val="auto"/>
              </w:rPr>
            </w:pPr>
          </w:p>
        </w:tc>
        <w:tc>
          <w:tcPr>
            <w:tcW w:w="150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640" w:type="dxa"/>
            <w:vAlign w:val="bottom"/>
            <w:shd w:val="clear" w:color="auto" w:fill="E6E6E6"/>
          </w:tcPr>
          <w:p>
            <w:pPr>
              <w:spacing w:after="0"/>
              <w:rPr>
                <w:sz w:val="23"/>
                <w:szCs w:val="23"/>
                <w:color w:val="auto"/>
              </w:rPr>
            </w:pPr>
          </w:p>
        </w:tc>
        <w:tc>
          <w:tcPr>
            <w:tcW w:w="132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460" w:type="dxa"/>
            <w:vAlign w:val="bottom"/>
            <w:shd w:val="clear" w:color="auto" w:fill="E6E6E6"/>
          </w:tcPr>
          <w:p>
            <w:pPr>
              <w:spacing w:after="0"/>
              <w:rPr>
                <w:sz w:val="23"/>
                <w:szCs w:val="23"/>
                <w:color w:val="auto"/>
              </w:rPr>
            </w:pPr>
          </w:p>
        </w:tc>
        <w:tc>
          <w:tcPr>
            <w:tcW w:w="14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63,207</w:t>
            </w:r>
          </w:p>
        </w:tc>
      </w:tr>
      <w:tr>
        <w:trPr>
          <w:trHeight w:val="269"/>
        </w:trPr>
        <w:tc>
          <w:tcPr>
            <w:tcW w:w="4040" w:type="dxa"/>
            <w:vAlign w:val="bottom"/>
            <w:tcBorders>
              <w:bottom w:val="single" w:sz="8" w:color="E6E6E6"/>
            </w:tcBorders>
          </w:tcPr>
          <w:p>
            <w:pPr>
              <w:ind w:left="40"/>
              <w:spacing w:after="0"/>
              <w:rPr>
                <w:sz w:val="20"/>
                <w:szCs w:val="20"/>
                <w:color w:val="auto"/>
              </w:rPr>
            </w:pPr>
            <w:r>
              <w:rPr>
                <w:rFonts w:ascii="Arial" w:cs="Arial" w:eastAsia="Arial" w:hAnsi="Arial"/>
                <w:sz w:val="20"/>
                <w:szCs w:val="20"/>
                <w:color w:val="auto"/>
              </w:rPr>
              <w:t>Less: Amount representing interest</w:t>
            </w:r>
          </w:p>
        </w:tc>
        <w:tc>
          <w:tcPr>
            <w:tcW w:w="460" w:type="dxa"/>
            <w:vAlign w:val="bottom"/>
            <w:tcBorders>
              <w:bottom w:val="single" w:sz="8" w:color="E6E6E6"/>
            </w:tcBorders>
          </w:tcPr>
          <w:p>
            <w:pPr>
              <w:spacing w:after="0"/>
              <w:rPr>
                <w:sz w:val="23"/>
                <w:szCs w:val="23"/>
                <w:color w:val="auto"/>
              </w:rPr>
            </w:pPr>
          </w:p>
        </w:tc>
        <w:tc>
          <w:tcPr>
            <w:tcW w:w="1500" w:type="dxa"/>
            <w:vAlign w:val="bottom"/>
            <w:tcBorders>
              <w:bottom w:val="single" w:sz="8" w:color="E6E6E6"/>
            </w:tcBorders>
          </w:tcPr>
          <w:p>
            <w:pPr>
              <w:spacing w:after="0"/>
              <w:rPr>
                <w:sz w:val="23"/>
                <w:szCs w:val="23"/>
                <w:color w:val="auto"/>
              </w:rPr>
            </w:pPr>
          </w:p>
        </w:tc>
        <w:tc>
          <w:tcPr>
            <w:tcW w:w="60" w:type="dxa"/>
            <w:vAlign w:val="bottom"/>
            <w:tcBorders>
              <w:bottom w:val="single" w:sz="8" w:color="E6E6E6"/>
            </w:tcBorders>
          </w:tcPr>
          <w:p>
            <w:pPr>
              <w:spacing w:after="0"/>
              <w:rPr>
                <w:sz w:val="23"/>
                <w:szCs w:val="23"/>
                <w:color w:val="auto"/>
              </w:rPr>
            </w:pPr>
          </w:p>
        </w:tc>
        <w:tc>
          <w:tcPr>
            <w:tcW w:w="640" w:type="dxa"/>
            <w:vAlign w:val="bottom"/>
            <w:tcBorders>
              <w:bottom w:val="single" w:sz="8" w:color="E6E6E6"/>
            </w:tcBorders>
          </w:tcPr>
          <w:p>
            <w:pPr>
              <w:spacing w:after="0"/>
              <w:rPr>
                <w:sz w:val="23"/>
                <w:szCs w:val="23"/>
                <w:color w:val="auto"/>
              </w:rPr>
            </w:pPr>
          </w:p>
        </w:tc>
        <w:tc>
          <w:tcPr>
            <w:tcW w:w="1320" w:type="dxa"/>
            <w:vAlign w:val="bottom"/>
            <w:tcBorders>
              <w:bottom w:val="single" w:sz="8" w:color="E6E6E6"/>
            </w:tcBorders>
          </w:tcPr>
          <w:p>
            <w:pPr>
              <w:spacing w:after="0"/>
              <w:rPr>
                <w:sz w:val="23"/>
                <w:szCs w:val="23"/>
                <w:color w:val="auto"/>
              </w:rPr>
            </w:pPr>
          </w:p>
        </w:tc>
        <w:tc>
          <w:tcPr>
            <w:tcW w:w="80" w:type="dxa"/>
            <w:vAlign w:val="bottom"/>
            <w:tcBorders>
              <w:bottom w:val="single" w:sz="8" w:color="E6E6E6"/>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14,062</w:t>
            </w:r>
          </w:p>
        </w:tc>
      </w:tr>
      <w:tr>
        <w:trPr>
          <w:trHeight w:val="279"/>
        </w:trPr>
        <w:tc>
          <w:tcPr>
            <w:tcW w:w="4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Present value of lease liabilities</w:t>
            </w:r>
          </w:p>
        </w:tc>
        <w:tc>
          <w:tcPr>
            <w:tcW w:w="460" w:type="dxa"/>
            <w:vAlign w:val="bottom"/>
            <w:tcBorders>
              <w:bottom w:val="single" w:sz="8" w:color="E6E6E6"/>
            </w:tcBorders>
            <w:shd w:val="clear" w:color="auto" w:fill="E6E6E6"/>
          </w:tcPr>
          <w:p>
            <w:pPr>
              <w:spacing w:after="0"/>
              <w:rPr>
                <w:sz w:val="24"/>
                <w:szCs w:val="24"/>
                <w:color w:val="auto"/>
              </w:rPr>
            </w:pPr>
          </w:p>
        </w:tc>
        <w:tc>
          <w:tcPr>
            <w:tcW w:w="150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640" w:type="dxa"/>
            <w:vAlign w:val="bottom"/>
            <w:tcBorders>
              <w:bottom w:val="single" w:sz="8" w:color="E6E6E6"/>
            </w:tcBorders>
            <w:shd w:val="clear" w:color="auto" w:fill="E6E6E6"/>
          </w:tcPr>
          <w:p>
            <w:pPr>
              <w:spacing w:after="0"/>
              <w:rPr>
                <w:sz w:val="24"/>
                <w:szCs w:val="24"/>
                <w:color w:val="auto"/>
              </w:rPr>
            </w:pPr>
          </w:p>
        </w:tc>
        <w:tc>
          <w:tcPr>
            <w:tcW w:w="1320" w:type="dxa"/>
            <w:vAlign w:val="bottom"/>
            <w:tcBorders>
              <w:bottom w:val="single" w:sz="8" w:color="E6E6E6"/>
            </w:tcBorders>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460" w:type="dxa"/>
            <w:vAlign w:val="bottom"/>
            <w:tcBorders>
              <w:bottom w:val="single" w:sz="8" w:color="auto"/>
            </w:tcBorders>
            <w:shd w:val="clear" w:color="auto" w:fill="E6E6E6"/>
          </w:tcPr>
          <w:p>
            <w:pPr>
              <w:jc w:val="right"/>
              <w:ind w:right="222"/>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49,145</w:t>
            </w:r>
          </w:p>
        </w:tc>
      </w:tr>
      <w:tr>
        <w:trPr>
          <w:trHeight w:val="382"/>
        </w:trPr>
        <w:tc>
          <w:tcPr>
            <w:tcW w:w="6700" w:type="dxa"/>
            <w:vAlign w:val="bottom"/>
            <w:gridSpan w:val="5"/>
          </w:tcPr>
          <w:p>
            <w:pPr>
              <w:spacing w:after="0"/>
              <w:rPr>
                <w:sz w:val="20"/>
                <w:szCs w:val="20"/>
                <w:color w:val="auto"/>
              </w:rPr>
            </w:pPr>
            <w:r>
              <w:rPr>
                <w:rFonts w:ascii="Arial" w:cs="Arial" w:eastAsia="Arial" w:hAnsi="Arial"/>
                <w:sz w:val="20"/>
                <w:szCs w:val="20"/>
                <w:color w:val="auto"/>
                <w:w w:val="90"/>
              </w:rPr>
              <w:t>The following table presents the components of operating lease cost (in thousands):</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36"/>
        </w:trPr>
        <w:tc>
          <w:tcPr>
            <w:tcW w:w="4040" w:type="dxa"/>
            <w:vAlign w:val="bottom"/>
            <w:tcBorders>
              <w:bottom w:val="single" w:sz="8" w:color="E6E6E6"/>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702"/>
              <w:spacing w:after="0"/>
              <w:rPr>
                <w:sz w:val="20"/>
                <w:szCs w:val="20"/>
                <w:color w:val="auto"/>
              </w:rPr>
            </w:pPr>
            <w:r>
              <w:rPr>
                <w:rFonts w:ascii="Arial" w:cs="Arial" w:eastAsia="Arial" w:hAnsi="Arial"/>
                <w:sz w:val="20"/>
                <w:szCs w:val="20"/>
                <w:b w:val="1"/>
                <w:bCs w:val="1"/>
                <w:color w:val="auto"/>
              </w:rPr>
              <w:t>2024</w:t>
            </w:r>
          </w:p>
        </w:tc>
        <w:tc>
          <w:tcPr>
            <w:tcW w:w="60" w:type="dxa"/>
            <w:vAlign w:val="bottom"/>
            <w:tcBorders>
              <w:bottom w:val="single" w:sz="8" w:color="E6E6E6"/>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682"/>
              <w:spacing w:after="0"/>
              <w:rPr>
                <w:sz w:val="20"/>
                <w:szCs w:val="20"/>
                <w:color w:val="auto"/>
              </w:rPr>
            </w:pPr>
            <w:r>
              <w:rPr>
                <w:rFonts w:ascii="Arial" w:cs="Arial" w:eastAsia="Arial" w:hAnsi="Arial"/>
                <w:sz w:val="20"/>
                <w:szCs w:val="20"/>
                <w:b w:val="1"/>
                <w:bCs w:val="1"/>
                <w:color w:val="auto"/>
              </w:rPr>
              <w:t>2023</w:t>
            </w:r>
          </w:p>
        </w:tc>
        <w:tc>
          <w:tcPr>
            <w:tcW w:w="80" w:type="dxa"/>
            <w:vAlign w:val="bottom"/>
            <w:tcBorders>
              <w:bottom w:val="single" w:sz="8" w:color="E6E6E6"/>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682"/>
              <w:spacing w:after="0"/>
              <w:rPr>
                <w:sz w:val="20"/>
                <w:szCs w:val="20"/>
                <w:color w:val="auto"/>
              </w:rPr>
            </w:pPr>
            <w:r>
              <w:rPr>
                <w:rFonts w:ascii="Arial" w:cs="Arial" w:eastAsia="Arial" w:hAnsi="Arial"/>
                <w:sz w:val="20"/>
                <w:szCs w:val="20"/>
                <w:b w:val="1"/>
                <w:bCs w:val="1"/>
                <w:color w:val="auto"/>
              </w:rPr>
              <w:t>2022</w:t>
            </w:r>
          </w:p>
        </w:tc>
      </w:tr>
      <w:tr>
        <w:trPr>
          <w:trHeight w:val="270"/>
        </w:trPr>
        <w:tc>
          <w:tcPr>
            <w:tcW w:w="4040" w:type="dxa"/>
            <w:vAlign w:val="bottom"/>
            <w:shd w:val="clear" w:color="auto" w:fill="E6E6E6"/>
          </w:tcPr>
          <w:p>
            <w:pPr>
              <w:ind w:left="40"/>
              <w:spacing w:after="0"/>
              <w:rPr>
                <w:sz w:val="20"/>
                <w:szCs w:val="20"/>
                <w:color w:val="auto"/>
              </w:rPr>
            </w:pPr>
            <w:r>
              <w:rPr>
                <w:rFonts w:ascii="Arial" w:cs="Arial" w:eastAsia="Arial" w:hAnsi="Arial"/>
                <w:sz w:val="20"/>
                <w:szCs w:val="20"/>
                <w:color w:val="auto"/>
              </w:rPr>
              <w:t>Operating lease cost</w:t>
            </w:r>
          </w:p>
        </w:tc>
        <w:tc>
          <w:tcPr>
            <w:tcW w:w="460" w:type="dxa"/>
            <w:vAlign w:val="bottom"/>
            <w:shd w:val="clear" w:color="auto" w:fill="E6E6E6"/>
          </w:tcPr>
          <w:p>
            <w:pPr>
              <w:jc w:val="right"/>
              <w:ind w:right="222"/>
              <w:spacing w:after="0"/>
              <w:rPr>
                <w:sz w:val="20"/>
                <w:szCs w:val="20"/>
                <w:color w:val="auto"/>
              </w:rPr>
            </w:pPr>
            <w:r>
              <w:rPr>
                <w:rFonts w:ascii="Arial" w:cs="Arial" w:eastAsia="Arial" w:hAnsi="Arial"/>
                <w:sz w:val="20"/>
                <w:szCs w:val="20"/>
                <w:color w:val="auto"/>
              </w:rPr>
              <w:t>$</w:t>
            </w:r>
          </w:p>
        </w:tc>
        <w:tc>
          <w:tcPr>
            <w:tcW w:w="15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11,333</w:t>
            </w:r>
          </w:p>
        </w:tc>
        <w:tc>
          <w:tcPr>
            <w:tcW w:w="700" w:type="dxa"/>
            <w:vAlign w:val="bottom"/>
            <w:gridSpan w:val="2"/>
            <w:shd w:val="clear" w:color="auto" w:fill="E6E6E6"/>
          </w:tcPr>
          <w:p>
            <w:pPr>
              <w:jc w:val="right"/>
              <w:ind w:right="480"/>
              <w:spacing w:after="0"/>
              <w:rPr>
                <w:sz w:val="20"/>
                <w:szCs w:val="20"/>
                <w:color w:val="auto"/>
              </w:rPr>
            </w:pPr>
            <w:r>
              <w:rPr>
                <w:rFonts w:ascii="Arial" w:cs="Arial" w:eastAsia="Arial" w:hAnsi="Arial"/>
                <w:sz w:val="20"/>
                <w:szCs w:val="20"/>
                <w:color w:val="auto"/>
              </w:rPr>
              <w:t>$</w:t>
            </w:r>
          </w:p>
        </w:tc>
        <w:tc>
          <w:tcPr>
            <w:tcW w:w="13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10,286</w:t>
            </w:r>
          </w:p>
        </w:tc>
        <w:tc>
          <w:tcPr>
            <w:tcW w:w="80" w:type="dxa"/>
            <w:vAlign w:val="bottom"/>
            <w:shd w:val="clear" w:color="auto" w:fill="E6E6E6"/>
          </w:tcPr>
          <w:p>
            <w:pPr>
              <w:spacing w:after="0"/>
              <w:rPr>
                <w:sz w:val="23"/>
                <w:szCs w:val="23"/>
                <w:color w:val="auto"/>
              </w:rPr>
            </w:pPr>
          </w:p>
        </w:tc>
        <w:tc>
          <w:tcPr>
            <w:tcW w:w="460" w:type="dxa"/>
            <w:vAlign w:val="bottom"/>
            <w:shd w:val="clear" w:color="auto" w:fill="E6E6E6"/>
          </w:tcPr>
          <w:p>
            <w:pPr>
              <w:jc w:val="right"/>
              <w:ind w:right="222"/>
              <w:spacing w:after="0"/>
              <w:rPr>
                <w:sz w:val="20"/>
                <w:szCs w:val="20"/>
                <w:color w:val="auto"/>
              </w:rPr>
            </w:pPr>
            <w:r>
              <w:rPr>
                <w:rFonts w:ascii="Arial" w:cs="Arial" w:eastAsia="Arial" w:hAnsi="Arial"/>
                <w:sz w:val="20"/>
                <w:szCs w:val="20"/>
                <w:color w:val="auto"/>
              </w:rPr>
              <w:t>$</w:t>
            </w:r>
          </w:p>
        </w:tc>
        <w:tc>
          <w:tcPr>
            <w:tcW w:w="14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10,408</w:t>
            </w:r>
          </w:p>
        </w:tc>
      </w:tr>
      <w:tr>
        <w:trPr>
          <w:trHeight w:val="274"/>
        </w:trPr>
        <w:tc>
          <w:tcPr>
            <w:tcW w:w="4040" w:type="dxa"/>
            <w:vAlign w:val="bottom"/>
          </w:tcPr>
          <w:p>
            <w:pPr>
              <w:ind w:left="40"/>
              <w:spacing w:after="0"/>
              <w:rPr>
                <w:sz w:val="20"/>
                <w:szCs w:val="20"/>
                <w:color w:val="auto"/>
              </w:rPr>
            </w:pPr>
            <w:r>
              <w:rPr>
                <w:rFonts w:ascii="Arial" w:cs="Arial" w:eastAsia="Arial" w:hAnsi="Arial"/>
                <w:sz w:val="20"/>
                <w:szCs w:val="20"/>
                <w:color w:val="auto"/>
              </w:rPr>
              <w:t>Variable lease cost</w:t>
            </w:r>
          </w:p>
        </w:tc>
        <w:tc>
          <w:tcPr>
            <w:tcW w:w="4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964</w:t>
            </w: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871</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580</w:t>
            </w:r>
          </w:p>
        </w:tc>
      </w:tr>
      <w:tr>
        <w:trPr>
          <w:trHeight w:val="275"/>
        </w:trPr>
        <w:tc>
          <w:tcPr>
            <w:tcW w:w="4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Short-term lease cost</w:t>
            </w:r>
          </w:p>
        </w:tc>
        <w:tc>
          <w:tcPr>
            <w:tcW w:w="460" w:type="dxa"/>
            <w:vAlign w:val="bottom"/>
            <w:tcBorders>
              <w:bottom w:val="single" w:sz="8" w:color="auto"/>
            </w:tcBorders>
            <w:shd w:val="clear" w:color="auto" w:fill="E6E6E6"/>
          </w:tcPr>
          <w:p>
            <w:pPr>
              <w:spacing w:after="0"/>
              <w:rPr>
                <w:sz w:val="23"/>
                <w:szCs w:val="23"/>
                <w:color w:val="auto"/>
              </w:rPr>
            </w:pPr>
          </w:p>
        </w:tc>
        <w:tc>
          <w:tcPr>
            <w:tcW w:w="15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749</w:t>
            </w:r>
          </w:p>
        </w:tc>
        <w:tc>
          <w:tcPr>
            <w:tcW w:w="60" w:type="dxa"/>
            <w:vAlign w:val="bottom"/>
            <w:tcBorders>
              <w:bottom w:val="single" w:sz="8" w:color="E6E6E6"/>
            </w:tcBorders>
            <w:shd w:val="clear" w:color="auto" w:fill="E6E6E6"/>
          </w:tcPr>
          <w:p>
            <w:pPr>
              <w:spacing w:after="0"/>
              <w:rPr>
                <w:sz w:val="23"/>
                <w:szCs w:val="23"/>
                <w:color w:val="auto"/>
              </w:rPr>
            </w:pPr>
          </w:p>
        </w:tc>
        <w:tc>
          <w:tcPr>
            <w:tcW w:w="640" w:type="dxa"/>
            <w:vAlign w:val="bottom"/>
            <w:tcBorders>
              <w:bottom w:val="single" w:sz="8" w:color="auto"/>
            </w:tcBorders>
            <w:shd w:val="clear" w:color="auto" w:fill="E6E6E6"/>
          </w:tcPr>
          <w:p>
            <w:pPr>
              <w:spacing w:after="0"/>
              <w:rPr>
                <w:sz w:val="23"/>
                <w:szCs w:val="23"/>
                <w:color w:val="auto"/>
              </w:rPr>
            </w:pPr>
          </w:p>
        </w:tc>
        <w:tc>
          <w:tcPr>
            <w:tcW w:w="13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644</w:t>
            </w:r>
          </w:p>
        </w:tc>
        <w:tc>
          <w:tcPr>
            <w:tcW w:w="80" w:type="dxa"/>
            <w:vAlign w:val="bottom"/>
            <w:tcBorders>
              <w:bottom w:val="single" w:sz="8" w:color="E6E6E6"/>
            </w:tcBorders>
            <w:shd w:val="clear" w:color="auto" w:fill="E6E6E6"/>
          </w:tcPr>
          <w:p>
            <w:pPr>
              <w:spacing w:after="0"/>
              <w:rPr>
                <w:sz w:val="23"/>
                <w:szCs w:val="23"/>
                <w:color w:val="auto"/>
              </w:rPr>
            </w:pPr>
          </w:p>
        </w:tc>
        <w:tc>
          <w:tcPr>
            <w:tcW w:w="460" w:type="dxa"/>
            <w:vAlign w:val="bottom"/>
            <w:tcBorders>
              <w:bottom w:val="single" w:sz="8" w:color="auto"/>
            </w:tcBorders>
            <w:shd w:val="clear" w:color="auto" w:fill="E6E6E6"/>
          </w:tcPr>
          <w:p>
            <w:pPr>
              <w:spacing w:after="0"/>
              <w:rPr>
                <w:sz w:val="23"/>
                <w:szCs w:val="23"/>
                <w:color w:val="auto"/>
              </w:rPr>
            </w:pPr>
          </w:p>
        </w:tc>
        <w:tc>
          <w:tcPr>
            <w:tcW w:w="14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468</w:t>
            </w:r>
          </w:p>
        </w:tc>
      </w:tr>
      <w:tr>
        <w:trPr>
          <w:trHeight w:val="240"/>
        </w:trPr>
        <w:tc>
          <w:tcPr>
            <w:tcW w:w="4040" w:type="dxa"/>
            <w:vAlign w:val="bottom"/>
          </w:tcPr>
          <w:p>
            <w:pPr>
              <w:spacing w:after="0"/>
              <w:rPr>
                <w:sz w:val="20"/>
                <w:szCs w:val="20"/>
                <w:color w:val="auto"/>
              </w:rPr>
            </w:pPr>
          </w:p>
        </w:tc>
        <w:tc>
          <w:tcPr>
            <w:tcW w:w="460" w:type="dxa"/>
            <w:vAlign w:val="bottom"/>
          </w:tcPr>
          <w:p>
            <w:pPr>
              <w:jc w:val="right"/>
              <w:ind w:right="222"/>
              <w:spacing w:after="0"/>
              <w:rPr>
                <w:sz w:val="20"/>
                <w:szCs w:val="20"/>
                <w:color w:val="auto"/>
              </w:rPr>
            </w:pPr>
            <w:r>
              <w:rPr>
                <w:rFonts w:ascii="Arial" w:cs="Arial" w:eastAsia="Arial" w:hAnsi="Arial"/>
                <w:sz w:val="20"/>
                <w:szCs w:val="20"/>
                <w:color w:val="auto"/>
              </w:rPr>
              <w:t>$</w:t>
            </w:r>
          </w:p>
        </w:tc>
        <w:tc>
          <w:tcPr>
            <w:tcW w:w="1500" w:type="dxa"/>
            <w:vAlign w:val="bottom"/>
          </w:tcPr>
          <w:p>
            <w:pPr>
              <w:jc w:val="right"/>
              <w:spacing w:after="0"/>
              <w:rPr>
                <w:sz w:val="20"/>
                <w:szCs w:val="20"/>
                <w:color w:val="auto"/>
              </w:rPr>
            </w:pPr>
            <w:r>
              <w:rPr>
                <w:rFonts w:ascii="Arial" w:cs="Arial" w:eastAsia="Arial" w:hAnsi="Arial"/>
                <w:sz w:val="20"/>
                <w:szCs w:val="20"/>
                <w:color w:val="auto"/>
              </w:rPr>
              <w:t>13,046</w:t>
            </w:r>
          </w:p>
        </w:tc>
        <w:tc>
          <w:tcPr>
            <w:tcW w:w="700" w:type="dxa"/>
            <w:vAlign w:val="bottom"/>
            <w:gridSpan w:val="2"/>
          </w:tcPr>
          <w:p>
            <w:pPr>
              <w:jc w:val="right"/>
              <w:ind w:right="480"/>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11,801</w:t>
            </w:r>
          </w:p>
        </w:tc>
        <w:tc>
          <w:tcPr>
            <w:tcW w:w="80" w:type="dxa"/>
            <w:vAlign w:val="bottom"/>
          </w:tcPr>
          <w:p>
            <w:pPr>
              <w:spacing w:after="0"/>
              <w:rPr>
                <w:sz w:val="20"/>
                <w:szCs w:val="20"/>
                <w:color w:val="auto"/>
              </w:rPr>
            </w:pPr>
          </w:p>
        </w:tc>
        <w:tc>
          <w:tcPr>
            <w:tcW w:w="460" w:type="dxa"/>
            <w:vAlign w:val="bottom"/>
          </w:tcPr>
          <w:p>
            <w:pPr>
              <w:jc w:val="right"/>
              <w:ind w:right="222"/>
              <w:spacing w:after="0"/>
              <w:rPr>
                <w:sz w:val="20"/>
                <w:szCs w:val="20"/>
                <w:color w:val="auto"/>
              </w:rPr>
            </w:pP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11,456</w:t>
            </w:r>
          </w:p>
        </w:tc>
      </w:tr>
      <w:tr>
        <w:trPr>
          <w:trHeight w:val="20"/>
        </w:trPr>
        <w:tc>
          <w:tcPr>
            <w:tcW w:w="40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5125720</wp:posOffset>
            </wp:positionH>
            <wp:positionV relativeFrom="paragraph">
              <wp:posOffset>-1816735</wp:posOffset>
            </wp:positionV>
            <wp:extent cx="126682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46">
                      <a:extLst>
                        <a:ext uri="{28A0092B-C50C-407E-A947-70E740481C1C}"/>
                      </a:extLst>
                    </a:blip>
                    <a:srcRect/>
                    <a:stretch>
                      <a:fillRect/>
                    </a:stretch>
                  </pic:blipFill>
                  <pic:spPr bwMode="auto">
                    <a:xfrm>
                      <a:off x="0" y="0"/>
                      <a:ext cx="1266825" cy="25400"/>
                    </a:xfrm>
                    <a:prstGeom prst="rect">
                      <a:avLst/>
                    </a:prstGeom>
                    <a:noFill/>
                  </pic:spPr>
                </pic:pic>
              </a:graphicData>
            </a:graphic>
          </wp:anchor>
        </w:drawing>
        <w:drawing>
          <wp:anchor simplePos="0" relativeHeight="251657728" behindDoc="1" locked="0" layoutInCell="0" allowOverlap="1">
            <wp:simplePos x="0" y="0"/>
            <wp:positionH relativeFrom="column">
              <wp:posOffset>5125720</wp:posOffset>
            </wp:positionH>
            <wp:positionV relativeFrom="paragraph">
              <wp:posOffset>-1461770</wp:posOffset>
            </wp:positionV>
            <wp:extent cx="126682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47">
                      <a:extLst>
                        <a:ext uri="{28A0092B-C50C-407E-A947-70E740481C1C}"/>
                      </a:extLst>
                    </a:blip>
                    <a:srcRect/>
                    <a:stretch>
                      <a:fillRect/>
                    </a:stretch>
                  </pic:blipFill>
                  <pic:spPr bwMode="auto">
                    <a:xfrm>
                      <a:off x="0" y="0"/>
                      <a:ext cx="1266825" cy="25400"/>
                    </a:xfrm>
                    <a:prstGeom prst="rect">
                      <a:avLst/>
                    </a:prstGeom>
                    <a:noFill/>
                  </pic:spPr>
                </pic:pic>
              </a:graphicData>
            </a:graphic>
          </wp:anchor>
        </w:drawing>
        <w:drawing>
          <wp:anchor simplePos="0" relativeHeight="251657728" behindDoc="1" locked="0" layoutInCell="0" allowOverlap="1">
            <wp:simplePos x="0" y="0"/>
            <wp:positionH relativeFrom="column">
              <wp:posOffset>5125720</wp:posOffset>
            </wp:positionH>
            <wp:positionV relativeFrom="paragraph">
              <wp:posOffset>-1297305</wp:posOffset>
            </wp:positionV>
            <wp:extent cx="1266825" cy="501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48">
                      <a:extLst>
                        <a:ext uri="{28A0092B-C50C-407E-A947-70E740481C1C}"/>
                      </a:extLst>
                    </a:blip>
                    <a:srcRect/>
                    <a:stretch>
                      <a:fillRect/>
                    </a:stretch>
                  </pic:blipFill>
                  <pic:spPr bwMode="auto">
                    <a:xfrm>
                      <a:off x="0" y="0"/>
                      <a:ext cx="1266825" cy="50165"/>
                    </a:xfrm>
                    <a:prstGeom prst="rect">
                      <a:avLst/>
                    </a:prstGeom>
                    <a:noFill/>
                  </pic:spPr>
                </pic:pic>
              </a:graphicData>
            </a:graphic>
          </wp:anchor>
        </w:drawing>
        <w:drawing>
          <wp:anchor simplePos="0" relativeHeight="251657728" behindDoc="1" locked="0" layoutInCell="0" allowOverlap="1">
            <wp:simplePos x="0" y="0"/>
            <wp:positionH relativeFrom="column">
              <wp:posOffset>2549525</wp:posOffset>
            </wp:positionH>
            <wp:positionV relativeFrom="paragraph">
              <wp:posOffset>-740410</wp:posOffset>
            </wp:positionV>
            <wp:extent cx="3843020"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49">
                      <a:extLst>
                        <a:ext uri="{28A0092B-C50C-407E-A947-70E740481C1C}"/>
                      </a:extLst>
                    </a:blip>
                    <a:srcRect/>
                    <a:stretch>
                      <a:fillRect/>
                    </a:stretch>
                  </pic:blipFill>
                  <pic:spPr bwMode="auto">
                    <a:xfrm>
                      <a:off x="0" y="0"/>
                      <a:ext cx="3843020" cy="25400"/>
                    </a:xfrm>
                    <a:prstGeom prst="rect">
                      <a:avLst/>
                    </a:prstGeom>
                    <a:noFill/>
                  </pic:spPr>
                </pic:pic>
              </a:graphicData>
            </a:graphic>
          </wp:anchor>
        </w:drawing>
        <w:drawing>
          <wp:anchor simplePos="0" relativeHeight="251657728" behindDoc="1" locked="0" layoutInCell="0" allowOverlap="1">
            <wp:simplePos x="0" y="0"/>
            <wp:positionH relativeFrom="column">
              <wp:posOffset>2549525</wp:posOffset>
            </wp:positionH>
            <wp:positionV relativeFrom="paragraph">
              <wp:posOffset>-208280</wp:posOffset>
            </wp:positionV>
            <wp:extent cx="3843020"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50">
                      <a:extLst>
                        <a:ext uri="{28A0092B-C50C-407E-A947-70E740481C1C}"/>
                      </a:extLst>
                    </a:blip>
                    <a:srcRect/>
                    <a:stretch>
                      <a:fillRect/>
                    </a:stretch>
                  </pic:blipFill>
                  <pic:spPr bwMode="auto">
                    <a:xfrm>
                      <a:off x="0" y="0"/>
                      <a:ext cx="3843020" cy="2540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the weighted-average remaining lease term and discount rate: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4"/>
          </w:tcPr>
          <w:p>
            <w:pPr>
              <w:ind w:left="40"/>
              <w:spacing w:after="0"/>
              <w:rPr>
                <w:sz w:val="20"/>
                <w:szCs w:val="20"/>
                <w:color w:val="auto"/>
              </w:rPr>
            </w:pPr>
            <w:r>
              <w:rPr>
                <w:rFonts w:ascii="Arial" w:cs="Arial" w:eastAsia="Arial" w:hAnsi="Arial"/>
                <w:sz w:val="20"/>
                <w:szCs w:val="20"/>
                <w:b w:val="1"/>
                <w:bCs w:val="1"/>
                <w:color w:val="auto"/>
                <w:w w:val="90"/>
              </w:rPr>
              <w:t>December 31,</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r>
      <w:tr>
        <w:trPr>
          <w:trHeight w:val="260"/>
        </w:trPr>
        <w:tc>
          <w:tcPr>
            <w:tcW w:w="5840" w:type="dxa"/>
            <w:vAlign w:val="bottom"/>
            <w:tcBorders>
              <w:bottom w:val="single" w:sz="8" w:color="E6E6E6"/>
            </w:tcBorders>
          </w:tcPr>
          <w:p>
            <w:pPr>
              <w:spacing w:after="0"/>
              <w:rPr>
                <w:sz w:val="22"/>
                <w:szCs w:val="22"/>
                <w:color w:val="auto"/>
              </w:rPr>
            </w:pPr>
          </w:p>
        </w:tc>
        <w:tc>
          <w:tcPr>
            <w:tcW w:w="240" w:type="dxa"/>
            <w:vAlign w:val="bottom"/>
            <w:tcBorders>
              <w:bottom w:val="single" w:sz="8" w:color="E6E6E6"/>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2024</w:t>
            </w:r>
          </w:p>
        </w:tc>
        <w:tc>
          <w:tcPr>
            <w:tcW w:w="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662"/>
              <w:spacing w:after="0"/>
              <w:rPr>
                <w:sz w:val="20"/>
                <w:szCs w:val="20"/>
                <w:color w:val="auto"/>
              </w:rPr>
            </w:pPr>
            <w:r>
              <w:rPr>
                <w:rFonts w:ascii="Arial" w:cs="Arial" w:eastAsia="Arial" w:hAnsi="Arial"/>
                <w:sz w:val="20"/>
                <w:szCs w:val="20"/>
                <w:b w:val="1"/>
                <w:bCs w:val="1"/>
                <w:color w:val="auto"/>
                <w:w w:val="85"/>
              </w:rPr>
              <w:t>2023</w:t>
            </w:r>
          </w:p>
        </w:tc>
      </w:tr>
      <w:tr>
        <w:trPr>
          <w:trHeight w:val="269"/>
        </w:trPr>
        <w:tc>
          <w:tcPr>
            <w:tcW w:w="5840" w:type="dxa"/>
            <w:vAlign w:val="bottom"/>
            <w:shd w:val="clear" w:color="auto" w:fill="E6E6E6"/>
          </w:tcPr>
          <w:p>
            <w:pPr>
              <w:ind w:left="40"/>
              <w:spacing w:after="0"/>
              <w:rPr>
                <w:sz w:val="20"/>
                <w:szCs w:val="20"/>
                <w:color w:val="auto"/>
              </w:rPr>
            </w:pPr>
            <w:r>
              <w:rPr>
                <w:rFonts w:ascii="Arial" w:cs="Arial" w:eastAsia="Arial" w:hAnsi="Arial"/>
                <w:sz w:val="20"/>
                <w:szCs w:val="20"/>
                <w:color w:val="auto"/>
              </w:rPr>
              <w:t>Weighted-average remaining lease term</w:t>
            </w:r>
          </w:p>
        </w:tc>
        <w:tc>
          <w:tcPr>
            <w:tcW w:w="240" w:type="dxa"/>
            <w:vAlign w:val="bottom"/>
            <w:shd w:val="clear" w:color="auto" w:fill="E6E6E6"/>
          </w:tcPr>
          <w:p>
            <w:pPr>
              <w:spacing w:after="0"/>
              <w:rPr>
                <w:sz w:val="23"/>
                <w:szCs w:val="23"/>
                <w:color w:val="auto"/>
              </w:rPr>
            </w:pPr>
          </w:p>
        </w:tc>
        <w:tc>
          <w:tcPr>
            <w:tcW w:w="200" w:type="dxa"/>
            <w:vAlign w:val="bottom"/>
            <w:shd w:val="clear" w:color="auto" w:fill="E6E6E6"/>
          </w:tcPr>
          <w:p>
            <w:pPr>
              <w:spacing w:after="0"/>
              <w:rPr>
                <w:sz w:val="23"/>
                <w:szCs w:val="23"/>
                <w:color w:val="auto"/>
              </w:rPr>
            </w:pPr>
          </w:p>
        </w:tc>
        <w:tc>
          <w:tcPr>
            <w:tcW w:w="1180" w:type="dxa"/>
            <w:vAlign w:val="bottom"/>
            <w:gridSpan w:val="4"/>
            <w:shd w:val="clear" w:color="auto" w:fill="E6E6E6"/>
          </w:tcPr>
          <w:p>
            <w:pPr>
              <w:jc w:val="center"/>
              <w:ind w:left="262"/>
              <w:spacing w:after="0"/>
              <w:rPr>
                <w:sz w:val="20"/>
                <w:szCs w:val="20"/>
                <w:color w:val="auto"/>
              </w:rPr>
            </w:pPr>
            <w:r>
              <w:rPr>
                <w:rFonts w:ascii="Arial" w:cs="Arial" w:eastAsia="Arial" w:hAnsi="Arial"/>
                <w:sz w:val="20"/>
                <w:szCs w:val="20"/>
                <w:color w:val="auto"/>
                <w:w w:val="85"/>
              </w:rPr>
              <w:t>8.7 years</w:t>
            </w:r>
          </w:p>
        </w:tc>
        <w:tc>
          <w:tcPr>
            <w:tcW w:w="58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52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1340" w:type="dxa"/>
            <w:vAlign w:val="bottom"/>
            <w:gridSpan w:val="2"/>
            <w:shd w:val="clear" w:color="auto" w:fill="E6E6E6"/>
          </w:tcPr>
          <w:p>
            <w:pPr>
              <w:jc w:val="center"/>
              <w:ind w:right="502"/>
              <w:spacing w:after="0"/>
              <w:rPr>
                <w:sz w:val="20"/>
                <w:szCs w:val="20"/>
                <w:color w:val="auto"/>
              </w:rPr>
            </w:pPr>
            <w:r>
              <w:rPr>
                <w:rFonts w:ascii="Arial" w:cs="Arial" w:eastAsia="Arial" w:hAnsi="Arial"/>
                <w:sz w:val="20"/>
                <w:szCs w:val="20"/>
                <w:color w:val="auto"/>
                <w:w w:val="85"/>
              </w:rPr>
              <w:t>9.6 years</w:t>
            </w:r>
          </w:p>
        </w:tc>
      </w:tr>
      <w:tr>
        <w:trPr>
          <w:trHeight w:val="268"/>
        </w:trPr>
        <w:tc>
          <w:tcPr>
            <w:tcW w:w="5840" w:type="dxa"/>
            <w:vAlign w:val="bottom"/>
          </w:tcPr>
          <w:p>
            <w:pPr>
              <w:ind w:left="40"/>
              <w:spacing w:after="0"/>
              <w:rPr>
                <w:sz w:val="20"/>
                <w:szCs w:val="20"/>
                <w:color w:val="auto"/>
              </w:rPr>
            </w:pPr>
            <w:r>
              <w:rPr>
                <w:rFonts w:ascii="Arial" w:cs="Arial" w:eastAsia="Arial" w:hAnsi="Arial"/>
                <w:sz w:val="20"/>
                <w:szCs w:val="20"/>
                <w:color w:val="auto"/>
              </w:rPr>
              <w:t>Weighted-average discount rate</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20"/>
                <w:szCs w:val="20"/>
                <w:color w:val="auto"/>
              </w:rPr>
              <w:t>5.9%</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center"/>
              <w:ind w:right="622"/>
              <w:spacing w:after="0"/>
              <w:rPr>
                <w:sz w:val="20"/>
                <w:szCs w:val="20"/>
                <w:color w:val="auto"/>
              </w:rPr>
            </w:pPr>
            <w:r>
              <w:rPr>
                <w:rFonts w:ascii="Arial" w:cs="Arial" w:eastAsia="Arial" w:hAnsi="Arial"/>
                <w:sz w:val="20"/>
                <w:szCs w:val="20"/>
                <w:color w:val="auto"/>
                <w:w w:val="92"/>
              </w:rPr>
              <w:t>5.7%</w:t>
            </w:r>
          </w:p>
        </w:tc>
      </w:tr>
      <w:tr>
        <w:trPr>
          <w:trHeight w:val="423"/>
        </w:trPr>
        <w:tc>
          <w:tcPr>
            <w:tcW w:w="6280" w:type="dxa"/>
            <w:vAlign w:val="bottom"/>
            <w:gridSpan w:val="3"/>
          </w:tcPr>
          <w:p>
            <w:pPr>
              <w:spacing w:after="0"/>
              <w:rPr>
                <w:sz w:val="20"/>
                <w:szCs w:val="20"/>
                <w:color w:val="auto"/>
              </w:rPr>
            </w:pPr>
            <w:r>
              <w:rPr>
                <w:rFonts w:ascii="Arial" w:cs="Arial" w:eastAsia="Arial" w:hAnsi="Arial"/>
                <w:sz w:val="20"/>
                <w:szCs w:val="20"/>
                <w:color w:val="auto"/>
                <w:w w:val="89"/>
              </w:rPr>
              <w:t>The following table presents the supplemental lease information (in thousands):</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6"/>
        </w:trPr>
        <w:tc>
          <w:tcPr>
            <w:tcW w:w="58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20"/>
                <w:szCs w:val="20"/>
                <w:b w:val="1"/>
                <w:bCs w:val="1"/>
                <w:color w:val="auto"/>
                <w:w w:val="94"/>
              </w:rPr>
              <w:t>2024</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20"/>
                <w:szCs w:val="20"/>
                <w:b w:val="1"/>
                <w:bCs w:val="1"/>
                <w:color w:val="auto"/>
              </w:rPr>
              <w:t>2023</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82"/>
              <w:spacing w:after="0"/>
              <w:rPr>
                <w:sz w:val="20"/>
                <w:szCs w:val="20"/>
                <w:color w:val="auto"/>
              </w:rPr>
            </w:pPr>
            <w:r>
              <w:rPr>
                <w:rFonts w:ascii="Arial" w:cs="Arial" w:eastAsia="Arial" w:hAnsi="Arial"/>
                <w:sz w:val="20"/>
                <w:szCs w:val="20"/>
                <w:b w:val="1"/>
                <w:bCs w:val="1"/>
                <w:color w:val="auto"/>
              </w:rPr>
              <w:t>2022</w:t>
            </w:r>
          </w:p>
        </w:tc>
      </w:tr>
      <w:tr>
        <w:trPr>
          <w:trHeight w:val="264"/>
        </w:trPr>
        <w:tc>
          <w:tcPr>
            <w:tcW w:w="5840" w:type="dxa"/>
            <w:vAlign w:val="bottom"/>
          </w:tcPr>
          <w:p>
            <w:pPr>
              <w:ind w:left="40"/>
              <w:spacing w:after="0"/>
              <w:rPr>
                <w:sz w:val="20"/>
                <w:szCs w:val="20"/>
                <w:color w:val="auto"/>
              </w:rPr>
            </w:pPr>
            <w:r>
              <w:rPr>
                <w:rFonts w:ascii="Arial" w:cs="Arial" w:eastAsia="Arial" w:hAnsi="Arial"/>
                <w:sz w:val="20"/>
                <w:szCs w:val="20"/>
                <w:color w:val="auto"/>
                <w:w w:val="92"/>
              </w:rPr>
              <w:t>Cash paid for amounts included in the measurement of lease liabilities:</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85"/>
        </w:trPr>
        <w:tc>
          <w:tcPr>
            <w:tcW w:w="5840" w:type="dxa"/>
            <w:vAlign w:val="bottom"/>
            <w:shd w:val="clear" w:color="auto" w:fill="E6E6E6"/>
          </w:tcPr>
          <w:p>
            <w:pPr>
              <w:ind w:left="180"/>
              <w:spacing w:after="0"/>
              <w:rPr>
                <w:sz w:val="20"/>
                <w:szCs w:val="20"/>
                <w:color w:val="auto"/>
              </w:rPr>
            </w:pPr>
            <w:r>
              <w:rPr>
                <w:rFonts w:ascii="Arial" w:cs="Arial" w:eastAsia="Arial" w:hAnsi="Arial"/>
                <w:sz w:val="20"/>
                <w:szCs w:val="20"/>
                <w:color w:val="auto"/>
              </w:rPr>
              <w:t>Operating cash flows for operating leases</w:t>
            </w:r>
          </w:p>
        </w:tc>
        <w:tc>
          <w:tcPr>
            <w:tcW w:w="2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20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12,412</w:t>
            </w:r>
          </w:p>
        </w:tc>
        <w:tc>
          <w:tcPr>
            <w:tcW w:w="6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160" w:type="dxa"/>
            <w:vAlign w:val="bottom"/>
            <w:shd w:val="clear" w:color="auto" w:fill="E6E6E6"/>
          </w:tcPr>
          <w:p>
            <w:pPr>
              <w:jc w:val="right"/>
              <w:spacing w:after="0"/>
              <w:rPr>
                <w:sz w:val="20"/>
                <w:szCs w:val="20"/>
                <w:color w:val="auto"/>
              </w:rPr>
            </w:pPr>
            <w:r>
              <w:rPr>
                <w:rFonts w:ascii="Arial" w:cs="Arial" w:eastAsia="Arial" w:hAnsi="Arial"/>
                <w:sz w:val="20"/>
                <w:szCs w:val="20"/>
                <w:color w:val="auto"/>
                <w:w w:val="89"/>
              </w:rPr>
              <w:t>$</w:t>
            </w:r>
          </w:p>
        </w:tc>
        <w:tc>
          <w:tcPr>
            <w:tcW w:w="1160" w:type="dxa"/>
            <w:vAlign w:val="bottom"/>
            <w:gridSpan w:val="3"/>
            <w:shd w:val="clear" w:color="auto" w:fill="E6E6E6"/>
          </w:tcPr>
          <w:p>
            <w:pPr>
              <w:jc w:val="right"/>
              <w:ind w:right="80"/>
              <w:spacing w:after="0"/>
              <w:rPr>
                <w:sz w:val="20"/>
                <w:szCs w:val="20"/>
                <w:color w:val="auto"/>
              </w:rPr>
            </w:pPr>
            <w:r>
              <w:rPr>
                <w:rFonts w:ascii="Arial" w:cs="Arial" w:eastAsia="Arial" w:hAnsi="Arial"/>
                <w:sz w:val="20"/>
                <w:szCs w:val="20"/>
                <w:color w:val="auto"/>
              </w:rPr>
              <w:t>11,652</w:t>
            </w:r>
          </w:p>
        </w:tc>
        <w:tc>
          <w:tcPr>
            <w:tcW w:w="80" w:type="dxa"/>
            <w:vAlign w:val="bottom"/>
            <w:shd w:val="clear" w:color="auto" w:fill="E6E6E6"/>
          </w:tcPr>
          <w:p>
            <w:pPr>
              <w:spacing w:after="0"/>
              <w:rPr>
                <w:sz w:val="24"/>
                <w:szCs w:val="24"/>
                <w:color w:val="auto"/>
              </w:rPr>
            </w:pPr>
          </w:p>
        </w:tc>
        <w:tc>
          <w:tcPr>
            <w:tcW w:w="1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1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12,468</w:t>
            </w:r>
          </w:p>
        </w:tc>
      </w:tr>
      <w:tr>
        <w:trPr>
          <w:trHeight w:val="268"/>
        </w:trPr>
        <w:tc>
          <w:tcPr>
            <w:tcW w:w="5840" w:type="dxa"/>
            <w:vAlign w:val="bottom"/>
          </w:tcPr>
          <w:p>
            <w:pPr>
              <w:ind w:left="180"/>
              <w:spacing w:after="0"/>
              <w:rPr>
                <w:sz w:val="20"/>
                <w:szCs w:val="20"/>
                <w:color w:val="auto"/>
              </w:rPr>
            </w:pPr>
            <w:r>
              <w:rPr>
                <w:rFonts w:ascii="Arial" w:cs="Arial" w:eastAsia="Arial" w:hAnsi="Arial"/>
                <w:sz w:val="20"/>
                <w:szCs w:val="20"/>
                <w:color w:val="auto"/>
              </w:rPr>
              <w:t>Operating lease assets obtained in exchange for lease liabilities</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7,373</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20"/>
                <w:szCs w:val="20"/>
                <w:color w:val="auto"/>
              </w:rPr>
              <w:t>24,800</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7,820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-1435735</wp:posOffset>
            </wp:positionV>
            <wp:extent cx="254571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51">
                      <a:extLst>
                        <a:ext uri="{28A0092B-C50C-407E-A947-70E740481C1C}"/>
                      </a:extLst>
                    </a:blip>
                    <a:srcRect/>
                    <a:stretch>
                      <a:fillRect/>
                    </a:stretch>
                  </pic:blipFill>
                  <pic:spPr bwMode="auto">
                    <a:xfrm>
                      <a:off x="0" y="0"/>
                      <a:ext cx="2545715" cy="2540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Commitments and Contingencies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Saluggia Site Hazardous Substances</w:t>
      </w:r>
    </w:p>
    <w:p>
      <w:pPr>
        <w:spacing w:after="0" w:line="140" w:lineRule="exact"/>
        <w:rPr>
          <w:sz w:val="20"/>
          <w:szCs w:val="20"/>
          <w:color w:val="auto"/>
        </w:rPr>
      </w:pPr>
    </w:p>
    <w:p>
      <w:pPr>
        <w:jc w:val="both"/>
        <w:spacing w:after="0" w:line="326" w:lineRule="auto"/>
        <w:rPr>
          <w:sz w:val="20"/>
          <w:szCs w:val="20"/>
          <w:color w:val="auto"/>
        </w:rPr>
      </w:pPr>
      <w:r>
        <w:rPr>
          <w:rFonts w:ascii="Arial" w:cs="Arial" w:eastAsia="Arial" w:hAnsi="Arial"/>
          <w:sz w:val="17"/>
          <w:szCs w:val="17"/>
          <w:color w:val="auto"/>
        </w:rPr>
        <w:t>LSM, formerly a subsidiary of Sorin, one of the companies that merged into LivaNova PLC in 2015, manages site services for the campus in Saluggia, Italy. In addition to being a former LivaNova manufacturing facility, the Saluggia campus is also the location of manufacturing facilities of third parties, a cafeteria for workers, and storage facilities for hazardous substances and equipment previously used in a nuclear research center, later turned nuclear medicine business, between the 1960s and the late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F-29</w:t>
      </w:r>
    </w:p>
    <w:p>
      <w:pPr>
        <w:sectPr>
          <w:pgSz w:w="11880" w:h="15480" w:orient="portrait"/>
          <w:cols w:equalWidth="0" w:num="1">
            <w:col w:w="10040"/>
          </w:cols>
          <w:pgMar w:left="920" w:top="650" w:right="920" w:bottom="0" w:gutter="0" w:footer="0" w:header="0"/>
        </w:sectPr>
      </w:pPr>
    </w:p>
    <w:bookmarkStart w:id="87" w:name="page88"/>
    <w:bookmarkEnd w:id="87"/>
    <w:p>
      <w:pPr>
        <w:jc w:val="both"/>
        <w:spacing w:after="0" w:line="284" w:lineRule="auto"/>
        <w:rPr>
          <w:sz w:val="20"/>
          <w:szCs w:val="20"/>
          <w:color w:val="auto"/>
        </w:rPr>
      </w:pPr>
      <w:r>
        <w:rPr>
          <w:rFonts w:ascii="Arial" w:cs="Arial" w:eastAsia="Arial" w:hAnsi="Arial"/>
          <w:sz w:val="20"/>
          <w:szCs w:val="20"/>
          <w:color w:val="auto"/>
        </w:rPr>
        <w:t>1990s. Pursuant to authorization from the Italian government, LSM performs ordinary maintenance, secures the facilities, monitors air and water quality, and files applicable reports with the competent environmental authorities.</w:t>
      </w:r>
    </w:p>
    <w:p>
      <w:pPr>
        <w:spacing w:after="0" w:line="63"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In 2020, LSM received correspondence from ISIN requesting that, within five years, LSM demonstrate the financial capacity to meet its obligations under Italian law to clean and dismantle any contaminated buildings and equipment, as well as to deliver hazardous substances to a national repository. The national repository will be built by the Italian government at a location and time yet to be determined. ISIN subsequently published Technical Guide n. 30, which identifies the technical criteria, and general safety and protection requirements for the design, construction, operation, and dismantling of temporary storage facilities for the hazardous substances.</w:t>
      </w:r>
    </w:p>
    <w:p>
      <w:pPr>
        <w:spacing w:after="0" w:line="87"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Although there is no legal obligation to deliver the hazardous substances, as the performance of these obligations is contingent on the construction of the as-yet unbuilt national repository, based on the aforementioned factors, the Company concluded its obligation to clean, dismantle, and deliver any hazardous substances to a national repository is probable and reasonably estimable. The estimated liability as of December 31, 2024 was $36.7 million (€35.4 million), which represents the estimated low end of the range of loss, with an estimated maximum end of the range of loss of $49.2 million (€47.4 million). The estimated liability as of December 31, 2023 was $39.7 million (€35.8 million).</w:t>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color w:val="auto"/>
        </w:rPr>
        <w:t>SNIA Environmental Litigation</w:t>
      </w:r>
    </w:p>
    <w:p>
      <w:pPr>
        <w:spacing w:after="0" w:line="140"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Sorin was created as a result of a spin-off from SNIA in 2004, and in 2015, Sorin was merged into LivaNova. SNIA subsequently became insolvent, and the Public Administrations sought compensation from SNIA in an aggregate amount of approximately $3.6 billion for remediation costs relating to the environmental damage at chemical sites previously operated by SNIA’s other subsidiaries.</w:t>
      </w:r>
    </w:p>
    <w:p>
      <w:pPr>
        <w:spacing w:after="0" w:line="8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There are proceedings relating to the SNIA bankruptcy to which LivaNova is not a party in the Bankruptcy Court of Udine and the Bankruptcy Court of Milan. In 2011, the Bankruptcy Court of Udine held that the Public Administrations were not creditors of either SNIA or its subsidiaries in connection with their claims in the Italian insolvency proceedings. The Public Administrations appealed. In 2016, the Court of Udine rejected the appeal, and the Public Administrations appealed to the Italian Supreme Court. Similarly, in 2014, the Bankruptcy Court of Milan held that the Public Administrations were not creditors of either SNIA or its subsidiaries. The Public Administrations appealed. In April 2022, the Bankruptcy Court of Milan declared the Public Administrations to be a non-privileged creditor of SNIA for up to €454 million, and the Public Administrations appealed to the Italian Supreme Court.</w:t>
      </w:r>
    </w:p>
    <w:p>
      <w:pPr>
        <w:spacing w:after="0" w:line="75"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In 2012, SNIA filed a civil action against Sorin in the Civil Court of Milan asserting joint liability of a parent and a spun-off company; the Public Administrations entered voluntarily into the proceeding, asking Sorin, as jointly liable with SNIA, to pay compensation for SNIA’s environmental damages. In 2016, the Court of Milan dismissed all legal actions of SNIA and of the Public Administrations further requiring the Public Administrations to pay Sorin €292,000 ($303,000 as of December 31, 2024) for legal fees. The Public Administrations appealed the 2016 Decision to the Court of Appeal. On March 5, 2019, the Court of Appeal issued a partial decision on the merits declaring Sorin/LivaNova jointly liable with SNIA for SNIA’s environmental liabilities in an amount up to the fair value of the net worth received by Sorin because of the spin-off of Sorin from SNIA in 2024, an estimated €572.1 million ($593.7 million as of December 31, 2024). LivaNova appealed the partial decision on liability to the Italian Supreme Court in August 2019.</w:t>
      </w:r>
    </w:p>
    <w:p>
      <w:pPr>
        <w:spacing w:after="0" w:line="78"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In 2021, the Court of Appeal delivered the remainder of its decision, ordering LivaNova to pay damages of €453.6 million ($470.7 million as of December 31, 2024). LivaNova appealed the decision on damages in December 2021. On February 21, 2022, the Court of Appeal notified the Company that it granted the Company a suspension with respect to the payment of damages until a decision has been reached on the appeal to the Italian Supreme Court. This suspension was subject to LivaNova providing a first demand bank guarantee of €270.0 million ($280.2 million as of December 31, 2024) within 30 calendar days, and on March 21, 2022, LivaNova delivered the guarantee, thereby satisfying the condition. For additional information on the financing of the guarantee, refer to “Note 18. Supplemental Financial Information.”</w:t>
      </w:r>
    </w:p>
    <w:p>
      <w:pPr>
        <w:spacing w:after="0" w:line="48" w:lineRule="exact"/>
        <w:rPr>
          <w:sz w:val="20"/>
          <w:szCs w:val="20"/>
          <w:color w:val="auto"/>
        </w:rPr>
      </w:pPr>
    </w:p>
    <w:p>
      <w:pPr>
        <w:jc w:val="both"/>
        <w:spacing w:after="0" w:line="310" w:lineRule="auto"/>
        <w:rPr>
          <w:sz w:val="20"/>
          <w:szCs w:val="20"/>
          <w:color w:val="auto"/>
        </w:rPr>
      </w:pPr>
      <w:r>
        <w:rPr>
          <w:rFonts w:ascii="Arial" w:cs="Arial" w:eastAsia="Arial" w:hAnsi="Arial"/>
          <w:sz w:val="17"/>
          <w:szCs w:val="17"/>
          <w:color w:val="auto"/>
        </w:rPr>
        <w:t>In 2022, in response to one of a number of appeals asserted by LivaNova, the Italian Supreme Court issued an ordinance, a procedural document, whereby the Italian Supreme Court referred a question on interpretation of a European directive on demergers to the ECJ. Specifically, the ordinance asked the ECJ to provide a binding decision as to whether a company resulting from a demerger can be held jointly and severally liable not only for the established liabilities of the demerged company that were articulated at the time of demerger, but also for the environmental liabilities of the demerged company that materialized after the demerger which are derived from actions performed prior to the demerger. On July 29, 2024, the ECJ issued a judgment in response to the ordinance. The ECJ judgment states that a demerged company can be held responsible for liabilities not established prior to a demerger as long as the liabilities derive from the conduct of a demerged company prior to the demerger. The ECJ judgment also states that national law should determine whether liability for damages stemming from</w:t>
      </w:r>
    </w:p>
    <w:p>
      <w:pPr>
        <w:sectPr>
          <w:pgSz w:w="11880" w:h="15480" w:orient="portrait"/>
          <w:cols w:equalWidth="0" w:num="1">
            <w:col w:w="10040"/>
          </w:cols>
          <w:pgMar w:left="920" w:top="664" w:right="920" w:bottom="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F-30</w:t>
      </w:r>
    </w:p>
    <w:p>
      <w:pPr>
        <w:sectPr>
          <w:pgSz w:w="11880" w:h="15480" w:orient="portrait"/>
          <w:cols w:equalWidth="0" w:num="1">
            <w:col w:w="10040"/>
          </w:cols>
          <w:pgMar w:left="920" w:top="664" w:right="920" w:bottom="0" w:gutter="0" w:footer="0" w:header="0"/>
          <w:type w:val="continuous"/>
        </w:sectPr>
      </w:pPr>
    </w:p>
    <w:bookmarkStart w:id="88" w:name="page89"/>
    <w:bookmarkEnd w:id="88"/>
    <w:p>
      <w:pPr>
        <w:jc w:val="both"/>
        <w:spacing w:after="0" w:line="262" w:lineRule="auto"/>
        <w:rPr>
          <w:sz w:val="20"/>
          <w:szCs w:val="20"/>
          <w:color w:val="auto"/>
        </w:rPr>
      </w:pPr>
      <w:r>
        <w:rPr>
          <w:rFonts w:ascii="Arial" w:cs="Arial" w:eastAsia="Arial" w:hAnsi="Arial"/>
          <w:sz w:val="20"/>
          <w:szCs w:val="20"/>
          <w:color w:val="auto"/>
        </w:rPr>
        <w:t>conduct after a demerger can be assigned to a demerged company. The Italian Supreme Court is scheduled to hold a public hearing on February 26, 2025. While the Company does not anticipate a decision at the hearing, it expects a decision in response to all of the appeals of LivaNova and counter-appeals submitted by the Public Administrations during the first half of 2025. LivaNova has not recognized a liability in connection with this matter because any potential loss is not currently probable.</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color w:val="auto"/>
        </w:rPr>
        <w:t>Product Liability Litigation</w:t>
      </w:r>
    </w:p>
    <w:p>
      <w:pPr>
        <w:spacing w:after="0" w:line="140"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Company continues to be involved in litigation involving LivaNova’s 3T device. The litigation includes the cases remaining in the MDL, various U.S. state court cases, and claims in jurisdictions outside the United States. As of February 25, 2025, the Company was aware of approximately 60 filed and unfiled claims worldwide. The complaints generally seek damages and other relief based on theories of strict liability, negligence, breach of express and implied warranties, failure to warn, design and manufacturing defect, fraudulent and negligent misrepresentation or concealment, unjust enrichment, and violations of various state consumer protection statutes.</w:t>
      </w:r>
    </w:p>
    <w:p>
      <w:pPr>
        <w:spacing w:after="0" w:line="75"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During the years ended December 31, 2024, 2023, and 2022, LivaNova recorded an additional liability of $19.7 million, $34.5 million, and $22.3 million, respectively, upon receipt of new information regarding the nature of certain claims. As of December 31, 2024, the provision for these matters was $15.8 million. While the amount accrued represents LivaNova’s best estimate for those worldwide filed and unfiled claims of which LivaNova is aware and believes are both probable and estimable at this time, the actual liability for resolution of these matters may vary from the Company’s provision. For any claims where a potential loss is not determined to be probable, or a potential loss or range of potential loss is not reasonably estimable at this time, a provision has not been recorded.</w:t>
      </w:r>
    </w:p>
    <w:p>
      <w:pPr>
        <w:spacing w:after="0" w:line="74" w:lineRule="exact"/>
        <w:rPr>
          <w:sz w:val="20"/>
          <w:szCs w:val="20"/>
          <w:color w:val="auto"/>
        </w:rPr>
      </w:pPr>
    </w:p>
    <w:p>
      <w:pPr>
        <w:spacing w:after="0" w:line="284" w:lineRule="auto"/>
        <w:rPr>
          <w:sz w:val="20"/>
          <w:szCs w:val="20"/>
          <w:color w:val="auto"/>
        </w:rPr>
      </w:pPr>
      <w:r>
        <w:rPr>
          <w:rFonts w:ascii="Arial" w:cs="Arial" w:eastAsia="Arial" w:hAnsi="Arial"/>
          <w:sz w:val="20"/>
          <w:szCs w:val="20"/>
          <w:color w:val="auto"/>
        </w:rPr>
        <w:t>The following table presents the changes in the litigation provision liability for the years ended December 31, 2024, 2023, and 2022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8400" w:type="dxa"/>
            <w:vAlign w:val="bottom"/>
            <w:shd w:val="clear" w:color="auto" w:fill="E6E6E6"/>
          </w:tcPr>
          <w:p>
            <w:pPr>
              <w:ind w:left="40"/>
              <w:spacing w:after="0"/>
              <w:rPr>
                <w:sz w:val="20"/>
                <w:szCs w:val="20"/>
                <w:color w:val="auto"/>
              </w:rPr>
            </w:pPr>
            <w:r>
              <w:rPr>
                <w:rFonts w:ascii="Arial" w:cs="Arial" w:eastAsia="Arial" w:hAnsi="Arial"/>
                <w:sz w:val="20"/>
                <w:szCs w:val="20"/>
                <w:color w:val="auto"/>
              </w:rPr>
              <w:t>As of December 31, 2021</w:t>
            </w:r>
          </w:p>
        </w:tc>
        <w:tc>
          <w:tcPr>
            <w:tcW w:w="560" w:type="dxa"/>
            <w:vAlign w:val="bottom"/>
            <w:shd w:val="clear" w:color="auto" w:fill="E6E6E6"/>
          </w:tcPr>
          <w:p>
            <w:pPr>
              <w:jc w:val="right"/>
              <w:ind w:right="302"/>
              <w:spacing w:after="0"/>
              <w:rPr>
                <w:sz w:val="20"/>
                <w:szCs w:val="20"/>
                <w:color w:val="auto"/>
              </w:rPr>
            </w:pPr>
            <w:r>
              <w:rPr>
                <w:rFonts w:ascii="Arial" w:cs="Arial" w:eastAsia="Arial" w:hAnsi="Arial"/>
                <w:sz w:val="20"/>
                <w:szCs w:val="20"/>
                <w:color w:val="auto"/>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39,470</w:t>
            </w:r>
          </w:p>
        </w:tc>
      </w:tr>
      <w:tr>
        <w:trPr>
          <w:trHeight w:val="274"/>
        </w:trPr>
        <w:tc>
          <w:tcPr>
            <w:tcW w:w="8400" w:type="dxa"/>
            <w:vAlign w:val="bottom"/>
          </w:tcPr>
          <w:p>
            <w:pPr>
              <w:ind w:left="160"/>
              <w:spacing w:after="0"/>
              <w:rPr>
                <w:sz w:val="20"/>
                <w:szCs w:val="20"/>
                <w:color w:val="auto"/>
              </w:rPr>
            </w:pPr>
            <w:r>
              <w:rPr>
                <w:rFonts w:ascii="Arial" w:cs="Arial" w:eastAsia="Arial" w:hAnsi="Arial"/>
                <w:sz w:val="20"/>
                <w:szCs w:val="20"/>
                <w:color w:val="auto"/>
              </w:rPr>
              <w:t>Payments</w:t>
            </w:r>
          </w:p>
        </w:tc>
        <w:tc>
          <w:tcPr>
            <w:tcW w:w="5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(28,867)</w:t>
            </w:r>
          </w:p>
        </w:tc>
      </w:tr>
      <w:tr>
        <w:trPr>
          <w:trHeight w:val="285"/>
        </w:trPr>
        <w:tc>
          <w:tcPr>
            <w:tcW w:w="8400" w:type="dxa"/>
            <w:vAlign w:val="bottom"/>
            <w:shd w:val="clear" w:color="auto" w:fill="E6E6E6"/>
          </w:tcPr>
          <w:p>
            <w:pPr>
              <w:ind w:left="160"/>
              <w:spacing w:after="0" w:line="284" w:lineRule="exact"/>
              <w:rPr>
                <w:sz w:val="20"/>
                <w:szCs w:val="20"/>
                <w:color w:val="auto"/>
              </w:rPr>
            </w:pPr>
            <w:r>
              <w:rPr>
                <w:rFonts w:ascii="Arial" w:cs="Arial" w:eastAsia="Arial" w:hAnsi="Arial"/>
                <w:sz w:val="20"/>
                <w:szCs w:val="20"/>
                <w:color w:val="auto"/>
              </w:rPr>
              <w:t xml:space="preserve">Adjustments </w:t>
            </w:r>
            <w:r>
              <w:rPr>
                <w:rFonts w:ascii="Arial" w:cs="Arial" w:eastAsia="Arial" w:hAnsi="Arial"/>
                <w:sz w:val="25"/>
                <w:szCs w:val="25"/>
                <w:color w:val="auto"/>
                <w:vertAlign w:val="superscript"/>
              </w:rPr>
              <w:t>(1)</w:t>
            </w:r>
          </w:p>
        </w:tc>
        <w:tc>
          <w:tcPr>
            <w:tcW w:w="56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22,309</w:t>
            </w:r>
          </w:p>
        </w:tc>
      </w:tr>
      <w:tr>
        <w:trPr>
          <w:trHeight w:val="269"/>
        </w:trPr>
        <w:tc>
          <w:tcPr>
            <w:tcW w:w="8400" w:type="dxa"/>
            <w:vAlign w:val="bottom"/>
            <w:tcBorders>
              <w:bottom w:val="single" w:sz="8" w:color="E6E6E6"/>
            </w:tcBorders>
          </w:tcPr>
          <w:p>
            <w:pPr>
              <w:ind w:left="160"/>
              <w:spacing w:after="0"/>
              <w:rPr>
                <w:sz w:val="20"/>
                <w:szCs w:val="20"/>
                <w:color w:val="auto"/>
              </w:rPr>
            </w:pPr>
            <w:r>
              <w:rPr>
                <w:rFonts w:ascii="Arial" w:cs="Arial" w:eastAsia="Arial" w:hAnsi="Arial"/>
                <w:sz w:val="20"/>
                <w:szCs w:val="20"/>
                <w:color w:val="auto"/>
              </w:rPr>
              <w:t>FX and other</w:t>
            </w:r>
          </w:p>
        </w:tc>
        <w:tc>
          <w:tcPr>
            <w:tcW w:w="5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(425)</w:t>
            </w:r>
          </w:p>
        </w:tc>
      </w:tr>
      <w:tr>
        <w:trPr>
          <w:trHeight w:val="270"/>
        </w:trPr>
        <w:tc>
          <w:tcPr>
            <w:tcW w:w="8400" w:type="dxa"/>
            <w:vAlign w:val="bottom"/>
            <w:shd w:val="clear" w:color="auto" w:fill="E6E6E6"/>
          </w:tcPr>
          <w:p>
            <w:pPr>
              <w:ind w:left="40"/>
              <w:spacing w:after="0"/>
              <w:rPr>
                <w:sz w:val="20"/>
                <w:szCs w:val="20"/>
                <w:color w:val="auto"/>
              </w:rPr>
            </w:pPr>
            <w:r>
              <w:rPr>
                <w:rFonts w:ascii="Arial" w:cs="Arial" w:eastAsia="Arial" w:hAnsi="Arial"/>
                <w:sz w:val="20"/>
                <w:szCs w:val="20"/>
                <w:color w:val="auto"/>
              </w:rPr>
              <w:t>As of December 31, 2022</w:t>
            </w:r>
          </w:p>
        </w:tc>
        <w:tc>
          <w:tcPr>
            <w:tcW w:w="560" w:type="dxa"/>
            <w:vAlign w:val="bottom"/>
            <w:shd w:val="clear" w:color="auto" w:fill="E6E6E6"/>
          </w:tcPr>
          <w:p>
            <w:pPr>
              <w:spacing w:after="0"/>
              <w:rPr>
                <w:sz w:val="23"/>
                <w:szCs w:val="23"/>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32,487</w:t>
            </w:r>
          </w:p>
        </w:tc>
      </w:tr>
      <w:tr>
        <w:trPr>
          <w:trHeight w:val="274"/>
        </w:trPr>
        <w:tc>
          <w:tcPr>
            <w:tcW w:w="8400" w:type="dxa"/>
            <w:vAlign w:val="bottom"/>
          </w:tcPr>
          <w:p>
            <w:pPr>
              <w:ind w:left="160"/>
              <w:spacing w:after="0"/>
              <w:rPr>
                <w:sz w:val="20"/>
                <w:szCs w:val="20"/>
                <w:color w:val="auto"/>
              </w:rPr>
            </w:pPr>
            <w:r>
              <w:rPr>
                <w:rFonts w:ascii="Arial" w:cs="Arial" w:eastAsia="Arial" w:hAnsi="Arial"/>
                <w:sz w:val="20"/>
                <w:szCs w:val="20"/>
                <w:color w:val="auto"/>
              </w:rPr>
              <w:t>Payments</w:t>
            </w:r>
          </w:p>
        </w:tc>
        <w:tc>
          <w:tcPr>
            <w:tcW w:w="5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(53,652)</w:t>
            </w:r>
          </w:p>
        </w:tc>
      </w:tr>
      <w:tr>
        <w:trPr>
          <w:trHeight w:val="285"/>
        </w:trPr>
        <w:tc>
          <w:tcPr>
            <w:tcW w:w="8400" w:type="dxa"/>
            <w:vAlign w:val="bottom"/>
            <w:shd w:val="clear" w:color="auto" w:fill="E6E6E6"/>
          </w:tcPr>
          <w:p>
            <w:pPr>
              <w:ind w:left="160"/>
              <w:spacing w:after="0" w:line="284" w:lineRule="exact"/>
              <w:rPr>
                <w:sz w:val="20"/>
                <w:szCs w:val="20"/>
                <w:color w:val="auto"/>
              </w:rPr>
            </w:pPr>
            <w:r>
              <w:rPr>
                <w:rFonts w:ascii="Arial" w:cs="Arial" w:eastAsia="Arial" w:hAnsi="Arial"/>
                <w:sz w:val="20"/>
                <w:szCs w:val="20"/>
                <w:color w:val="auto"/>
              </w:rPr>
              <w:t xml:space="preserve">Adjustments </w:t>
            </w:r>
            <w:r>
              <w:rPr>
                <w:rFonts w:ascii="Arial" w:cs="Arial" w:eastAsia="Arial" w:hAnsi="Arial"/>
                <w:sz w:val="25"/>
                <w:szCs w:val="25"/>
                <w:color w:val="auto"/>
                <w:vertAlign w:val="superscript"/>
              </w:rPr>
              <w:t>(1)</w:t>
            </w:r>
          </w:p>
        </w:tc>
        <w:tc>
          <w:tcPr>
            <w:tcW w:w="56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34,521</w:t>
            </w:r>
          </w:p>
        </w:tc>
      </w:tr>
      <w:tr>
        <w:trPr>
          <w:trHeight w:val="269"/>
        </w:trPr>
        <w:tc>
          <w:tcPr>
            <w:tcW w:w="8400" w:type="dxa"/>
            <w:vAlign w:val="bottom"/>
            <w:tcBorders>
              <w:bottom w:val="single" w:sz="8" w:color="E6E6E6"/>
            </w:tcBorders>
          </w:tcPr>
          <w:p>
            <w:pPr>
              <w:ind w:left="160"/>
              <w:spacing w:after="0"/>
              <w:rPr>
                <w:sz w:val="20"/>
                <w:szCs w:val="20"/>
                <w:color w:val="auto"/>
              </w:rPr>
            </w:pPr>
            <w:r>
              <w:rPr>
                <w:rFonts w:ascii="Arial" w:cs="Arial" w:eastAsia="Arial" w:hAnsi="Arial"/>
                <w:sz w:val="20"/>
                <w:szCs w:val="20"/>
                <w:color w:val="auto"/>
              </w:rPr>
              <w:t>FX and other</w:t>
            </w:r>
          </w:p>
        </w:tc>
        <w:tc>
          <w:tcPr>
            <w:tcW w:w="5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504</w:t>
            </w:r>
          </w:p>
        </w:tc>
      </w:tr>
      <w:tr>
        <w:trPr>
          <w:trHeight w:val="270"/>
        </w:trPr>
        <w:tc>
          <w:tcPr>
            <w:tcW w:w="8400" w:type="dxa"/>
            <w:vAlign w:val="bottom"/>
            <w:shd w:val="clear" w:color="auto" w:fill="E6E6E6"/>
          </w:tcPr>
          <w:p>
            <w:pPr>
              <w:ind w:left="40"/>
              <w:spacing w:after="0"/>
              <w:rPr>
                <w:sz w:val="20"/>
                <w:szCs w:val="20"/>
                <w:color w:val="auto"/>
              </w:rPr>
            </w:pPr>
            <w:r>
              <w:rPr>
                <w:rFonts w:ascii="Arial" w:cs="Arial" w:eastAsia="Arial" w:hAnsi="Arial"/>
                <w:sz w:val="20"/>
                <w:szCs w:val="20"/>
                <w:color w:val="auto"/>
              </w:rPr>
              <w:t>As of December 31, 2023</w:t>
            </w:r>
          </w:p>
        </w:tc>
        <w:tc>
          <w:tcPr>
            <w:tcW w:w="560" w:type="dxa"/>
            <w:vAlign w:val="bottom"/>
            <w:shd w:val="clear" w:color="auto" w:fill="E6E6E6"/>
          </w:tcPr>
          <w:p>
            <w:pPr>
              <w:spacing w:after="0"/>
              <w:rPr>
                <w:sz w:val="23"/>
                <w:szCs w:val="23"/>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13,860</w:t>
            </w:r>
          </w:p>
        </w:tc>
      </w:tr>
      <w:tr>
        <w:trPr>
          <w:trHeight w:val="274"/>
        </w:trPr>
        <w:tc>
          <w:tcPr>
            <w:tcW w:w="8400" w:type="dxa"/>
            <w:vAlign w:val="bottom"/>
          </w:tcPr>
          <w:p>
            <w:pPr>
              <w:ind w:left="160"/>
              <w:spacing w:after="0"/>
              <w:rPr>
                <w:sz w:val="20"/>
                <w:szCs w:val="20"/>
                <w:color w:val="auto"/>
              </w:rPr>
            </w:pPr>
            <w:r>
              <w:rPr>
                <w:rFonts w:ascii="Arial" w:cs="Arial" w:eastAsia="Arial" w:hAnsi="Arial"/>
                <w:sz w:val="20"/>
                <w:szCs w:val="20"/>
                <w:color w:val="auto"/>
              </w:rPr>
              <w:t>Payments</w:t>
            </w:r>
          </w:p>
        </w:tc>
        <w:tc>
          <w:tcPr>
            <w:tcW w:w="5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(17,412)</w:t>
            </w:r>
          </w:p>
        </w:tc>
      </w:tr>
      <w:tr>
        <w:trPr>
          <w:trHeight w:val="285"/>
        </w:trPr>
        <w:tc>
          <w:tcPr>
            <w:tcW w:w="8400" w:type="dxa"/>
            <w:vAlign w:val="bottom"/>
            <w:shd w:val="clear" w:color="auto" w:fill="E6E6E6"/>
          </w:tcPr>
          <w:p>
            <w:pPr>
              <w:ind w:left="160"/>
              <w:spacing w:after="0" w:line="284" w:lineRule="exact"/>
              <w:rPr>
                <w:sz w:val="20"/>
                <w:szCs w:val="20"/>
                <w:color w:val="auto"/>
              </w:rPr>
            </w:pPr>
            <w:r>
              <w:rPr>
                <w:rFonts w:ascii="Arial" w:cs="Arial" w:eastAsia="Arial" w:hAnsi="Arial"/>
                <w:sz w:val="20"/>
                <w:szCs w:val="20"/>
                <w:color w:val="auto"/>
              </w:rPr>
              <w:t xml:space="preserve">Adjustments </w:t>
            </w:r>
            <w:r>
              <w:rPr>
                <w:rFonts w:ascii="Arial" w:cs="Arial" w:eastAsia="Arial" w:hAnsi="Arial"/>
                <w:sz w:val="25"/>
                <w:szCs w:val="25"/>
                <w:color w:val="auto"/>
                <w:vertAlign w:val="superscript"/>
              </w:rPr>
              <w:t>(1)</w:t>
            </w:r>
          </w:p>
        </w:tc>
        <w:tc>
          <w:tcPr>
            <w:tcW w:w="56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19,687</w:t>
            </w:r>
          </w:p>
        </w:tc>
      </w:tr>
      <w:tr>
        <w:trPr>
          <w:trHeight w:val="269"/>
        </w:trPr>
        <w:tc>
          <w:tcPr>
            <w:tcW w:w="8400" w:type="dxa"/>
            <w:vAlign w:val="bottom"/>
            <w:tcBorders>
              <w:bottom w:val="single" w:sz="8" w:color="E6E6E6"/>
            </w:tcBorders>
          </w:tcPr>
          <w:p>
            <w:pPr>
              <w:ind w:left="160"/>
              <w:spacing w:after="0"/>
              <w:rPr>
                <w:sz w:val="20"/>
                <w:szCs w:val="20"/>
                <w:color w:val="auto"/>
              </w:rPr>
            </w:pPr>
            <w:r>
              <w:rPr>
                <w:rFonts w:ascii="Arial" w:cs="Arial" w:eastAsia="Arial" w:hAnsi="Arial"/>
                <w:sz w:val="20"/>
                <w:szCs w:val="20"/>
                <w:color w:val="auto"/>
              </w:rPr>
              <w:t>FX and other</w:t>
            </w:r>
          </w:p>
        </w:tc>
        <w:tc>
          <w:tcPr>
            <w:tcW w:w="5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(292)</w:t>
            </w:r>
          </w:p>
        </w:tc>
      </w:tr>
      <w:tr>
        <w:trPr>
          <w:trHeight w:val="270"/>
        </w:trPr>
        <w:tc>
          <w:tcPr>
            <w:tcW w:w="8400" w:type="dxa"/>
            <w:vAlign w:val="bottom"/>
            <w:shd w:val="clear" w:color="auto" w:fill="E6E6E6"/>
          </w:tcPr>
          <w:p>
            <w:pPr>
              <w:ind w:left="40"/>
              <w:spacing w:after="0"/>
              <w:rPr>
                <w:sz w:val="20"/>
                <w:szCs w:val="20"/>
                <w:color w:val="auto"/>
              </w:rPr>
            </w:pPr>
            <w:r>
              <w:rPr>
                <w:rFonts w:ascii="Arial" w:cs="Arial" w:eastAsia="Arial" w:hAnsi="Arial"/>
                <w:sz w:val="20"/>
                <w:szCs w:val="20"/>
                <w:color w:val="auto"/>
              </w:rPr>
              <w:t>As of December 31, 2024</w:t>
            </w:r>
          </w:p>
        </w:tc>
        <w:tc>
          <w:tcPr>
            <w:tcW w:w="560" w:type="dxa"/>
            <w:vAlign w:val="bottom"/>
            <w:shd w:val="clear" w:color="auto" w:fill="E6E6E6"/>
          </w:tcPr>
          <w:p>
            <w:pPr>
              <w:spacing w:after="0"/>
              <w:rPr>
                <w:sz w:val="23"/>
                <w:szCs w:val="23"/>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15,843</w:t>
            </w:r>
          </w:p>
        </w:tc>
      </w:tr>
      <w:tr>
        <w:trPr>
          <w:trHeight w:val="269"/>
        </w:trPr>
        <w:tc>
          <w:tcPr>
            <w:tcW w:w="8400" w:type="dxa"/>
            <w:vAlign w:val="bottom"/>
            <w:tcBorders>
              <w:bottom w:val="single" w:sz="8" w:color="E6E6E6"/>
            </w:tcBorders>
          </w:tcPr>
          <w:p>
            <w:pPr>
              <w:ind w:left="40"/>
              <w:spacing w:after="0"/>
              <w:rPr>
                <w:sz w:val="20"/>
                <w:szCs w:val="20"/>
                <w:color w:val="auto"/>
              </w:rPr>
            </w:pPr>
            <w:r>
              <w:rPr>
                <w:rFonts w:ascii="Arial" w:cs="Arial" w:eastAsia="Arial" w:hAnsi="Arial"/>
                <w:sz w:val="20"/>
                <w:szCs w:val="20"/>
                <w:color w:val="auto"/>
              </w:rPr>
              <w:t>Less: Current portion as of December 31, 2024</w:t>
            </w:r>
          </w:p>
        </w:tc>
        <w:tc>
          <w:tcPr>
            <w:tcW w:w="5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12,918</w:t>
            </w:r>
          </w:p>
        </w:tc>
      </w:tr>
      <w:tr>
        <w:trPr>
          <w:trHeight w:val="279"/>
        </w:trPr>
        <w:tc>
          <w:tcPr>
            <w:tcW w:w="8400" w:type="dxa"/>
            <w:vAlign w:val="bottom"/>
            <w:tcBorders>
              <w:bottom w:val="single" w:sz="8" w:color="E6E6E6"/>
            </w:tcBorders>
            <w:shd w:val="clear" w:color="auto" w:fill="E6E6E6"/>
          </w:tcPr>
          <w:p>
            <w:pPr>
              <w:ind w:left="40"/>
              <w:spacing w:after="0" w:line="240" w:lineRule="exact"/>
              <w:rPr>
                <w:sz w:val="20"/>
                <w:szCs w:val="20"/>
                <w:color w:val="auto"/>
              </w:rPr>
            </w:pPr>
            <w:r>
              <w:rPr>
                <w:rFonts w:ascii="Arial" w:cs="Arial" w:eastAsia="Arial" w:hAnsi="Arial"/>
                <w:sz w:val="20"/>
                <w:szCs w:val="20"/>
                <w:color w:val="auto"/>
              </w:rPr>
              <w:t xml:space="preserve">Long-term portion as of December 31, 2024 </w:t>
            </w:r>
            <w:r>
              <w:rPr>
                <w:rFonts w:ascii="Arial" w:cs="Arial" w:eastAsia="Arial" w:hAnsi="Arial"/>
                <w:sz w:val="25"/>
                <w:szCs w:val="25"/>
                <w:color w:val="auto"/>
                <w:vertAlign w:val="superscript"/>
              </w:rPr>
              <w:t>(2)</w:t>
            </w:r>
          </w:p>
        </w:tc>
        <w:tc>
          <w:tcPr>
            <w:tcW w:w="560" w:type="dxa"/>
            <w:vAlign w:val="bottom"/>
            <w:tcBorders>
              <w:bottom w:val="single" w:sz="8" w:color="auto"/>
            </w:tcBorders>
            <w:shd w:val="clear" w:color="auto" w:fill="E6E6E6"/>
          </w:tcPr>
          <w:p>
            <w:pPr>
              <w:jc w:val="right"/>
              <w:ind w:right="302"/>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2,925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-1981835</wp:posOffset>
            </wp:positionV>
            <wp:extent cx="1070610"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52">
                      <a:extLst>
                        <a:ext uri="{28A0092B-C50C-407E-A947-70E740481C1C}"/>
                      </a:extLst>
                    </a:blip>
                    <a:srcRect/>
                    <a:stretch>
                      <a:fillRect/>
                    </a:stretch>
                  </pic:blipFill>
                  <pic:spPr bwMode="auto">
                    <a:xfrm>
                      <a:off x="0" y="0"/>
                      <a:ext cx="1070610" cy="2540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-1271905</wp:posOffset>
            </wp:positionV>
            <wp:extent cx="1070610"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53">
                      <a:extLst>
                        <a:ext uri="{28A0092B-C50C-407E-A947-70E740481C1C}"/>
                      </a:extLst>
                    </a:blip>
                    <a:srcRect/>
                    <a:stretch>
                      <a:fillRect/>
                    </a:stretch>
                  </pic:blipFill>
                  <pic:spPr bwMode="auto">
                    <a:xfrm>
                      <a:off x="0" y="0"/>
                      <a:ext cx="1070610" cy="2540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-562610</wp:posOffset>
            </wp:positionV>
            <wp:extent cx="1070610"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54">
                      <a:extLst>
                        <a:ext uri="{28A0092B-C50C-407E-A947-70E740481C1C}"/>
                      </a:extLst>
                    </a:blip>
                    <a:srcRect/>
                    <a:stretch>
                      <a:fillRect/>
                    </a:stretch>
                  </pic:blipFill>
                  <pic:spPr bwMode="auto">
                    <a:xfrm>
                      <a:off x="0" y="0"/>
                      <a:ext cx="1070610" cy="2540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-208280</wp:posOffset>
            </wp:positionV>
            <wp:extent cx="1070610"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55">
                      <a:extLst>
                        <a:ext uri="{28A0092B-C50C-407E-A947-70E740481C1C}"/>
                      </a:extLst>
                    </a:blip>
                    <a:srcRect/>
                    <a:stretch>
                      <a:fillRect/>
                    </a:stretch>
                  </pic:blipFill>
                  <pic:spPr bwMode="auto">
                    <a:xfrm>
                      <a:off x="0" y="0"/>
                      <a:ext cx="1070610" cy="2540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-43180</wp:posOffset>
            </wp:positionV>
            <wp:extent cx="1070610" cy="501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56">
                      <a:extLst>
                        <a:ext uri="{28A0092B-C50C-407E-A947-70E740481C1C}"/>
                      </a:extLst>
                    </a:blip>
                    <a:srcRect/>
                    <a:stretch>
                      <a:fillRect/>
                    </a:stretch>
                  </pic:blipFill>
                  <pic:spPr bwMode="auto">
                    <a:xfrm>
                      <a:off x="0" y="0"/>
                      <a:ext cx="1070610" cy="50165"/>
                    </a:xfrm>
                    <a:prstGeom prst="rect">
                      <a:avLst/>
                    </a:prstGeom>
                    <a:noFill/>
                  </pic:spPr>
                </pic:pic>
              </a:graphicData>
            </a:graphic>
          </wp:anchor>
        </w:drawing>
      </w:r>
    </w:p>
    <w:p>
      <w:pPr>
        <w:spacing w:after="0" w:line="111" w:lineRule="exact"/>
        <w:rPr>
          <w:sz w:val="20"/>
          <w:szCs w:val="20"/>
          <w:color w:val="auto"/>
        </w:rPr>
      </w:pPr>
    </w:p>
    <w:p>
      <w:pPr>
        <w:ind w:left="700" w:right="520" w:hanging="355"/>
        <w:spacing w:after="0" w:line="224" w:lineRule="auto"/>
        <w:tabs>
          <w:tab w:leader="none" w:pos="70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Adjustments to the litigation provision are included in other operating expenses on the consolidated statements of income (loss).</w:t>
      </w:r>
    </w:p>
    <w:p>
      <w:pPr>
        <w:ind w:left="700" w:hanging="355"/>
        <w:spacing w:after="0" w:line="210" w:lineRule="auto"/>
        <w:tabs>
          <w:tab w:leader="none" w:pos="70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Included in other long-term liabilities on the consolidated balance sheets.</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Italian MedTech Payback Measure</w:t>
      </w:r>
    </w:p>
    <w:p>
      <w:pPr>
        <w:spacing w:after="0" w:line="140" w:lineRule="exact"/>
        <w:rPr>
          <w:sz w:val="20"/>
          <w:szCs w:val="20"/>
          <w:color w:val="auto"/>
        </w:rPr>
      </w:pPr>
    </w:p>
    <w:p>
      <w:pPr>
        <w:jc w:val="both"/>
        <w:spacing w:after="0" w:line="309" w:lineRule="auto"/>
        <w:rPr>
          <w:sz w:val="20"/>
          <w:szCs w:val="20"/>
          <w:color w:val="auto"/>
        </w:rPr>
      </w:pPr>
      <w:r>
        <w:rPr>
          <w:rFonts w:ascii="Arial" w:cs="Arial" w:eastAsia="Arial" w:hAnsi="Arial"/>
          <w:sz w:val="17"/>
          <w:szCs w:val="17"/>
          <w:color w:val="auto"/>
        </w:rPr>
        <w:t>In 2015, the Italian Parliament introduced rules regarding public contracts with the National Healthcare System for the supply of goods and services. In particular, the law introduced a payback measure requiring companies selling medical devices in Italy to repay a percentage of the healthcare expenditures exceeding the regional maximum caps for medical devices. In August 2022, a decree was published which provided guidance and timetables for the rule. In response, LivaNova filed an appeal at the Administrative Court against the Decree of the Ministry of Health, assessing the amount payable and against the payback law. LivaNova also filed appeals against the regions requesting payments. In August 2023, the Administrative Court upheld LivaNova’s request to suspend the effect of the requests for payment by the regions, pending the decision by the Administrative Court on the merits of the case. In November 2023, the Administrative Court, in a separate matter, asked the Constitutional Court whether the payback law was compliant with the Italian Constitution and pending the decision by the Constitutional Court, all cases brought by medical device companies in this matter were suspended. On July 22, 2024, the Constitutional Court</w:t>
      </w:r>
    </w:p>
    <w:p>
      <w:pPr>
        <w:sectPr>
          <w:pgSz w:w="11880" w:h="15480" w:orient="portrait"/>
          <w:cols w:equalWidth="0" w:num="1">
            <w:col w:w="10040"/>
          </w:cols>
          <w:pgMar w:left="920" w:top="664" w:right="920" w:bottom="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F-31</w:t>
      </w:r>
    </w:p>
    <w:p>
      <w:pPr>
        <w:sectPr>
          <w:pgSz w:w="11880" w:h="15480" w:orient="portrait"/>
          <w:cols w:equalWidth="0" w:num="1">
            <w:col w:w="10040"/>
          </w:cols>
          <w:pgMar w:left="920" w:top="664" w:right="920" w:bottom="0" w:gutter="0" w:footer="0" w:header="0"/>
          <w:type w:val="continuous"/>
        </w:sectPr>
      </w:pPr>
    </w:p>
    <w:bookmarkStart w:id="89" w:name="page90"/>
    <w:bookmarkEnd w:id="89"/>
    <w:p>
      <w:pPr>
        <w:jc w:val="both"/>
        <w:spacing w:after="0" w:line="316" w:lineRule="auto"/>
        <w:rPr>
          <w:sz w:val="20"/>
          <w:szCs w:val="20"/>
          <w:color w:val="auto"/>
        </w:rPr>
      </w:pPr>
      <w:r>
        <w:rPr>
          <w:rFonts w:ascii="Arial" w:cs="Arial" w:eastAsia="Arial" w:hAnsi="Arial"/>
          <w:sz w:val="17"/>
          <w:szCs w:val="17"/>
          <w:color w:val="auto"/>
        </w:rPr>
        <w:t>determined that the payback law is compliant with the Italian Constitution and that companies may reduce their payment obligations between 2015-2018 to 48% of the amount originally charged to companies. Based on market and product information, as previously disclosed, and the recent ruling by the Constitutional Court, the amount reserved for this matter was $16.0 million and $8.2 million as of December 31, 2024 and 2023, respectively, and is included in accrued liabilities and other in the consolidated balance sheets. However, the actual liability could vary. Amounts recognized associated with the Italian MedTech payback measure are recorded as a reduction to net revenue in the consolidated statements of income (loss).</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color w:val="auto"/>
        </w:rPr>
        <w:t>Cyber Litigation</w:t>
      </w:r>
    </w:p>
    <w:p>
      <w:pPr>
        <w:spacing w:after="0" w:line="140" w:lineRule="exact"/>
        <w:rPr>
          <w:sz w:val="20"/>
          <w:szCs w:val="20"/>
          <w:color w:val="auto"/>
        </w:rPr>
      </w:pPr>
    </w:p>
    <w:p>
      <w:pPr>
        <w:jc w:val="both"/>
        <w:spacing w:after="0" w:line="311" w:lineRule="auto"/>
        <w:rPr>
          <w:sz w:val="20"/>
          <w:szCs w:val="20"/>
          <w:color w:val="auto"/>
        </w:rPr>
      </w:pPr>
      <w:r>
        <w:rPr>
          <w:rFonts w:ascii="Arial" w:cs="Arial" w:eastAsia="Arial" w:hAnsi="Arial"/>
          <w:sz w:val="17"/>
          <w:szCs w:val="17"/>
          <w:color w:val="auto"/>
        </w:rPr>
        <w:t>In connection with the cybersecurity incident initially reported on November 20, 2023, LivaNova USA was named as a defendant in six putative class action lawsuits filed in the United States District Court for the Southern District of Texas in June and July 2024. Those cases were consolidated in a single action, and the plaintiffs filed against LivaNova USA a consolidated class action complaint, which asserted claims of negligence, breach of contract, and violation of various state consumer protection laws. The plaintiffs sought damages, equitable/injunctive relief, and attorney’s fees, costs, and expenses, among other relief. The parties entered into mediation and have agreed to a settlement, for which the Company recorded an accrual of $1.2 million during the quarter ended September 30, 2024. The settlement has received preliminary approval from the Court, and the Company expects all settlement activities to be completed in 2025.</w:t>
      </w:r>
    </w:p>
    <w:p>
      <w:pPr>
        <w:spacing w:after="0" w:line="51"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In addition, HHS’s Office for Civil Rights is investigating the incident pursuant to its authority to enforce the HIPAA rules regarding privacy, security, and breach notification. The Office for Civil Rights issued a request for information regarding the Company’s response to the incident and the Company’s compliance with HIPAA rules, to which the Company responded. The Office for Civil Rights may issue additional requests for information and documentation. In connection with its investigation, the Office for Civil Rights may, among other measures, seek to impose civil monetary penalties against LivaNova and seek to require that the Company implement a corrective action plan.</w:t>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color w:val="auto"/>
        </w:rPr>
        <w:t>Other Matters</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Additionally, LivaNova is the subject of various pending or threatened legal actions and proceedings that arise in the ordinary course of LivaNova’s business. These matters are subject to many uncertainties and outcomes that are not predictable and that may not be known for extended periods of time. Since the outcome of these matters cannot be predicted with certainty, the costs associated with them could have a material adverse effect on LivaNova’s consolidated results of operations, financial position, or liquidity.</w:t>
      </w:r>
    </w:p>
    <w:p>
      <w:pPr>
        <w:sectPr>
          <w:pgSz w:w="11880" w:h="15480" w:orient="portrait"/>
          <w:cols w:equalWidth="0" w:num="1">
            <w:col w:w="10040"/>
          </w:cols>
          <w:pgMar w:left="920" w:top="66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F-32</w:t>
      </w:r>
    </w:p>
    <w:p>
      <w:pPr>
        <w:sectPr>
          <w:pgSz w:w="11880" w:h="15480" w:orient="portrait"/>
          <w:cols w:equalWidth="0" w:num="1">
            <w:col w:w="10040"/>
          </w:cols>
          <w:pgMar w:left="920" w:top="664" w:right="920" w:bottom="0" w:gutter="0" w:footer="0" w:header="0"/>
          <w:type w:val="continuous"/>
        </w:sectPr>
      </w:pPr>
    </w:p>
    <w:bookmarkStart w:id="90" w:name="page91"/>
    <w:bookmarkEnd w:id="90"/>
    <w:p>
      <w:pPr>
        <w:spacing w:after="0"/>
        <w:rPr>
          <w:sz w:val="20"/>
          <w:szCs w:val="20"/>
          <w:color w:val="auto"/>
        </w:rPr>
      </w:pPr>
      <w:r>
        <w:rPr>
          <w:rFonts w:ascii="Arial" w:cs="Arial" w:eastAsia="Arial" w:hAnsi="Arial"/>
          <w:sz w:val="22"/>
          <w:szCs w:val="22"/>
          <w:b w:val="1"/>
          <w:bCs w:val="1"/>
          <w:color w:val="auto"/>
        </w:rPr>
        <w:t>Note 12. Stockholders’ Equity</w:t>
      </w:r>
    </w:p>
    <w:p>
      <w:pPr>
        <w:spacing w:after="0" w:line="148" w:lineRule="exact"/>
        <w:rPr>
          <w:sz w:val="20"/>
          <w:szCs w:val="20"/>
          <w:color w:val="auto"/>
        </w:rPr>
      </w:pPr>
    </w:p>
    <w:p>
      <w:pPr>
        <w:spacing w:after="0" w:line="284" w:lineRule="auto"/>
        <w:rPr>
          <w:sz w:val="20"/>
          <w:szCs w:val="20"/>
          <w:color w:val="auto"/>
        </w:rPr>
      </w:pPr>
      <w:r>
        <w:rPr>
          <w:rFonts w:ascii="Arial" w:cs="Arial" w:eastAsia="Arial" w:hAnsi="Arial"/>
          <w:sz w:val="20"/>
          <w:szCs w:val="20"/>
          <w:color w:val="auto"/>
        </w:rPr>
        <w:t>The following table presents the change in each component of AOCI, net of tax and the reclassifications out of AOCI into net income (loss) for the years ended December 31, 2024, 2023, and 2022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center"/>
              <w:ind w:right="62"/>
              <w:spacing w:after="0"/>
              <w:rPr>
                <w:sz w:val="20"/>
                <w:szCs w:val="20"/>
                <w:color w:val="auto"/>
              </w:rPr>
            </w:pPr>
            <w:r>
              <w:rPr>
                <w:rFonts w:ascii="Arial" w:cs="Arial" w:eastAsia="Arial" w:hAnsi="Arial"/>
                <w:sz w:val="20"/>
                <w:szCs w:val="20"/>
                <w:b w:val="1"/>
                <w:bCs w:val="1"/>
                <w:color w:val="auto"/>
                <w:w w:val="88"/>
              </w:rPr>
              <w:t>Change in</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vMerge w:val="restart"/>
          </w:tcPr>
          <w:p>
            <w:pPr>
              <w:jc w:val="center"/>
              <w:ind w:right="42"/>
              <w:spacing w:after="0"/>
              <w:rPr>
                <w:sz w:val="20"/>
                <w:szCs w:val="20"/>
                <w:color w:val="auto"/>
              </w:rPr>
            </w:pPr>
            <w:r>
              <w:rPr>
                <w:rFonts w:ascii="Arial" w:cs="Arial" w:eastAsia="Arial" w:hAnsi="Arial"/>
                <w:sz w:val="20"/>
                <w:szCs w:val="20"/>
                <w:b w:val="1"/>
                <w:bCs w:val="1"/>
                <w:color w:val="auto"/>
                <w:w w:val="87"/>
              </w:rPr>
              <w:t>Foreign</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center"/>
              <w:ind w:right="62"/>
              <w:spacing w:after="0" w:line="196" w:lineRule="exact"/>
              <w:rPr>
                <w:sz w:val="20"/>
                <w:szCs w:val="20"/>
                <w:color w:val="auto"/>
              </w:rPr>
            </w:pPr>
            <w:r>
              <w:rPr>
                <w:rFonts w:ascii="Arial" w:cs="Arial" w:eastAsia="Arial" w:hAnsi="Arial"/>
                <w:sz w:val="20"/>
                <w:szCs w:val="20"/>
                <w:b w:val="1"/>
                <w:bCs w:val="1"/>
                <w:color w:val="auto"/>
                <w:w w:val="88"/>
              </w:rPr>
              <w:t>Unrealized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center"/>
              <w:ind w:right="62"/>
              <w:spacing w:after="0" w:line="196" w:lineRule="exact"/>
              <w:rPr>
                <w:sz w:val="20"/>
                <w:szCs w:val="20"/>
                <w:color w:val="auto"/>
              </w:rPr>
            </w:pPr>
            <w:r>
              <w:rPr>
                <w:rFonts w:ascii="Arial" w:cs="Arial" w:eastAsia="Arial" w:hAnsi="Arial"/>
                <w:sz w:val="20"/>
                <w:szCs w:val="20"/>
                <w:b w:val="1"/>
                <w:bCs w:val="1"/>
                <w:color w:val="auto"/>
                <w:w w:val="87"/>
              </w:rPr>
              <w:t>(Loss) Gain on</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center"/>
              <w:ind w:right="42"/>
              <w:spacing w:after="0" w:line="196" w:lineRule="exact"/>
              <w:rPr>
                <w:sz w:val="20"/>
                <w:szCs w:val="20"/>
                <w:color w:val="auto"/>
              </w:rPr>
            </w:pPr>
            <w:r>
              <w:rPr>
                <w:rFonts w:ascii="Arial" w:cs="Arial" w:eastAsia="Arial" w:hAnsi="Arial"/>
                <w:sz w:val="20"/>
                <w:szCs w:val="20"/>
                <w:b w:val="1"/>
                <w:bCs w:val="1"/>
                <w:color w:val="auto"/>
                <w:w w:val="91"/>
              </w:rPr>
              <w:t>Currency</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center"/>
              <w:ind w:right="62"/>
              <w:spacing w:after="0" w:line="196" w:lineRule="exact"/>
              <w:rPr>
                <w:sz w:val="20"/>
                <w:szCs w:val="20"/>
                <w:color w:val="auto"/>
              </w:rPr>
            </w:pPr>
            <w:r>
              <w:rPr>
                <w:rFonts w:ascii="Arial" w:cs="Arial" w:eastAsia="Arial" w:hAnsi="Arial"/>
                <w:sz w:val="20"/>
                <w:szCs w:val="20"/>
                <w:b w:val="1"/>
                <w:bCs w:val="1"/>
                <w:color w:val="auto"/>
                <w:w w:val="89"/>
              </w:rPr>
              <w:t>Cash Flow</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center"/>
              <w:ind w:right="62"/>
              <w:spacing w:after="0" w:line="196" w:lineRule="exact"/>
              <w:rPr>
                <w:sz w:val="20"/>
                <w:szCs w:val="20"/>
                <w:color w:val="auto"/>
              </w:rPr>
            </w:pPr>
            <w:r>
              <w:rPr>
                <w:rFonts w:ascii="Arial" w:cs="Arial" w:eastAsia="Arial" w:hAnsi="Arial"/>
                <w:sz w:val="20"/>
                <w:szCs w:val="20"/>
                <w:b w:val="1"/>
                <w:bCs w:val="1"/>
                <w:color w:val="auto"/>
                <w:w w:val="90"/>
              </w:rPr>
              <w:t>Translation</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vMerge w:val="restart"/>
          </w:tcPr>
          <w:p>
            <w:pPr>
              <w:jc w:val="right"/>
              <w:ind w:right="322"/>
              <w:spacing w:after="0"/>
              <w:rPr>
                <w:sz w:val="20"/>
                <w:szCs w:val="20"/>
                <w:color w:val="auto"/>
              </w:rPr>
            </w:pPr>
            <w:r>
              <w:rPr>
                <w:rFonts w:ascii="Arial" w:cs="Arial" w:eastAsia="Arial" w:hAnsi="Arial"/>
                <w:sz w:val="20"/>
                <w:szCs w:val="20"/>
                <w:b w:val="1"/>
                <w:bCs w:val="1"/>
                <w:color w:val="auto"/>
              </w:rPr>
              <w:t>Total</w:t>
            </w:r>
          </w:p>
        </w:tc>
        <w:tc>
          <w:tcPr>
            <w:tcW w:w="0" w:type="dxa"/>
            <w:vAlign w:val="bottom"/>
          </w:tcPr>
          <w:p>
            <w:pPr>
              <w:spacing w:after="0"/>
              <w:rPr>
                <w:sz w:val="1"/>
                <w:szCs w:val="1"/>
                <w:color w:val="auto"/>
              </w:rPr>
            </w:pPr>
          </w:p>
        </w:tc>
      </w:tr>
      <w:tr>
        <w:trPr>
          <w:trHeight w:val="258"/>
        </w:trPr>
        <w:tc>
          <w:tcPr>
            <w:tcW w:w="544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62"/>
              <w:spacing w:after="0"/>
              <w:rPr>
                <w:sz w:val="20"/>
                <w:szCs w:val="20"/>
                <w:color w:val="auto"/>
              </w:rPr>
            </w:pPr>
            <w:r>
              <w:rPr>
                <w:rFonts w:ascii="Arial" w:cs="Arial" w:eastAsia="Arial" w:hAnsi="Arial"/>
                <w:sz w:val="20"/>
                <w:szCs w:val="20"/>
                <w:b w:val="1"/>
                <w:bCs w:val="1"/>
                <w:color w:val="auto"/>
                <w:w w:val="85"/>
              </w:rPr>
              <w:t>Hedges</w:t>
            </w:r>
          </w:p>
        </w:tc>
        <w:tc>
          <w:tcPr>
            <w:tcW w:w="80" w:type="dxa"/>
            <w:vAlign w:val="bottom"/>
            <w:tcBorders>
              <w:bottom w:val="single" w:sz="8" w:color="E6E6E6"/>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42"/>
              <w:spacing w:after="0" w:line="258" w:lineRule="exact"/>
              <w:rPr>
                <w:sz w:val="20"/>
                <w:szCs w:val="20"/>
                <w:color w:val="auto"/>
              </w:rPr>
            </w:pPr>
            <w:r>
              <w:rPr>
                <w:rFonts w:ascii="Arial" w:cs="Arial" w:eastAsia="Arial" w:hAnsi="Arial"/>
                <w:sz w:val="20"/>
                <w:szCs w:val="20"/>
                <w:b w:val="1"/>
                <w:bCs w:val="1"/>
                <w:color w:val="auto"/>
                <w:w w:val="84"/>
              </w:rPr>
              <w:t xml:space="preserve">Adjustments </w:t>
            </w:r>
            <w:r>
              <w:rPr>
                <w:rFonts w:ascii="Arial" w:cs="Arial" w:eastAsia="Arial" w:hAnsi="Arial"/>
                <w:sz w:val="25"/>
                <w:szCs w:val="25"/>
                <w:b w:val="1"/>
                <w:bCs w:val="1"/>
                <w:color w:val="auto"/>
                <w:w w:val="84"/>
                <w:vertAlign w:val="superscript"/>
              </w:rPr>
              <w:t>(1)</w:t>
            </w:r>
          </w:p>
        </w:tc>
        <w:tc>
          <w:tcPr>
            <w:tcW w:w="80" w:type="dxa"/>
            <w:vAlign w:val="bottom"/>
            <w:tcBorders>
              <w:bottom w:val="single" w:sz="8" w:color="E6E6E6"/>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5500" w:type="dxa"/>
            <w:vAlign w:val="bottom"/>
            <w:gridSpan w:val="4"/>
            <w:shd w:val="clear" w:color="auto" w:fill="E6E6E6"/>
          </w:tcPr>
          <w:p>
            <w:pPr>
              <w:ind w:left="40"/>
              <w:spacing w:after="0"/>
              <w:rPr>
                <w:sz w:val="20"/>
                <w:szCs w:val="20"/>
                <w:color w:val="auto"/>
              </w:rPr>
            </w:pPr>
            <w:r>
              <w:rPr>
                <w:rFonts w:ascii="Arial" w:cs="Arial" w:eastAsia="Arial" w:hAnsi="Arial"/>
                <w:sz w:val="20"/>
                <w:szCs w:val="20"/>
                <w:color w:val="auto"/>
              </w:rPr>
              <w:t>As of December 31, 2021</w:t>
            </w:r>
          </w:p>
        </w:tc>
        <w:tc>
          <w:tcPr>
            <w:tcW w:w="100" w:type="dxa"/>
            <w:vAlign w:val="bottom"/>
            <w:shd w:val="clear" w:color="auto" w:fill="E6E6E6"/>
          </w:tcPr>
          <w:p>
            <w:pPr>
              <w:jc w:val="right"/>
              <w:spacing w:after="0"/>
              <w:rPr>
                <w:sz w:val="20"/>
                <w:szCs w:val="20"/>
                <w:color w:val="auto"/>
              </w:rPr>
            </w:pPr>
            <w:r>
              <w:rPr>
                <w:rFonts w:ascii="Arial" w:cs="Arial" w:eastAsia="Arial" w:hAnsi="Arial"/>
                <w:sz w:val="20"/>
                <w:szCs w:val="20"/>
                <w:color w:val="auto"/>
                <w:w w:val="71"/>
              </w:rPr>
              <w:t>$</w:t>
            </w:r>
          </w:p>
        </w:tc>
        <w:tc>
          <w:tcPr>
            <w:tcW w:w="14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(945)</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4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(6,232)</w:t>
            </w:r>
          </w:p>
        </w:tc>
        <w:tc>
          <w:tcPr>
            <w:tcW w:w="360" w:type="dxa"/>
            <w:vAlign w:val="bottom"/>
            <w:gridSpan w:val="2"/>
            <w:shd w:val="clear" w:color="auto" w:fill="E6E6E6"/>
          </w:tcPr>
          <w:p>
            <w:pPr>
              <w:jc w:val="right"/>
              <w:ind w:right="140"/>
              <w:spacing w:after="0"/>
              <w:rPr>
                <w:sz w:val="20"/>
                <w:szCs w:val="20"/>
                <w:color w:val="auto"/>
              </w:rPr>
            </w:pPr>
            <w:r>
              <w:rPr>
                <w:rFonts w:ascii="Arial" w:cs="Arial" w:eastAsia="Arial" w:hAnsi="Arial"/>
                <w:sz w:val="20"/>
                <w:szCs w:val="20"/>
                <w:color w:val="auto"/>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(7,177)</w:t>
            </w:r>
          </w:p>
        </w:tc>
        <w:tc>
          <w:tcPr>
            <w:tcW w:w="0" w:type="dxa"/>
            <w:vAlign w:val="bottom"/>
          </w:tcPr>
          <w:p>
            <w:pPr>
              <w:spacing w:after="0"/>
              <w:rPr>
                <w:sz w:val="1"/>
                <w:szCs w:val="1"/>
                <w:color w:val="auto"/>
              </w:rPr>
            </w:pPr>
          </w:p>
        </w:tc>
      </w:tr>
      <w:tr>
        <w:trPr>
          <w:trHeight w:val="244"/>
        </w:trPr>
        <w:tc>
          <w:tcPr>
            <w:tcW w:w="5500" w:type="dxa"/>
            <w:vAlign w:val="bottom"/>
            <w:tcBorders>
              <w:top w:val="single" w:sz="8" w:color="E6E6E6"/>
            </w:tcBorders>
            <w:gridSpan w:val="4"/>
          </w:tcPr>
          <w:p>
            <w:pPr>
              <w:ind w:left="180"/>
              <w:spacing w:after="0"/>
              <w:rPr>
                <w:sz w:val="20"/>
                <w:szCs w:val="20"/>
                <w:color w:val="auto"/>
              </w:rPr>
            </w:pPr>
            <w:r>
              <w:rPr>
                <w:rFonts w:ascii="Arial" w:cs="Arial" w:eastAsia="Arial" w:hAnsi="Arial"/>
                <w:sz w:val="20"/>
                <w:szCs w:val="20"/>
                <w:color w:val="auto"/>
                <w:w w:val="97"/>
              </w:rPr>
              <w:t>Other comprehensive loss before reclassifications, before tax</w:t>
            </w:r>
          </w:p>
        </w:tc>
        <w:tc>
          <w:tcPr>
            <w:tcW w:w="10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(3,688)</w:t>
            </w:r>
          </w:p>
        </w:tc>
        <w:tc>
          <w:tcPr>
            <w:tcW w:w="80" w:type="dxa"/>
            <w:vAlign w:val="bottom"/>
            <w:tcBorders>
              <w:top w:val="single" w:sz="8" w:color="E6E6E6"/>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(42,853)</w:t>
            </w:r>
          </w:p>
        </w:tc>
        <w:tc>
          <w:tcPr>
            <w:tcW w:w="80" w:type="dxa"/>
            <w:vAlign w:val="bottom"/>
            <w:tcBorders>
              <w:top w:val="single" w:sz="8" w:color="E6E6E6"/>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(46,541)</w:t>
            </w:r>
          </w:p>
        </w:tc>
        <w:tc>
          <w:tcPr>
            <w:tcW w:w="0" w:type="dxa"/>
            <w:vAlign w:val="bottom"/>
          </w:tcPr>
          <w:p>
            <w:pPr>
              <w:spacing w:after="0"/>
              <w:rPr>
                <w:sz w:val="1"/>
                <w:szCs w:val="1"/>
                <w:color w:val="auto"/>
              </w:rPr>
            </w:pPr>
          </w:p>
        </w:tc>
      </w:tr>
      <w:tr>
        <w:trPr>
          <w:trHeight w:val="275"/>
        </w:trPr>
        <w:tc>
          <w:tcPr>
            <w:tcW w:w="5480" w:type="dxa"/>
            <w:vAlign w:val="bottom"/>
            <w:tcBorders>
              <w:bottom w:val="single" w:sz="8" w:color="E6E6E6"/>
            </w:tcBorders>
            <w:gridSpan w:val="3"/>
            <w:shd w:val="clear" w:color="auto" w:fill="E6E6E6"/>
          </w:tcPr>
          <w:p>
            <w:pPr>
              <w:ind w:left="180"/>
              <w:spacing w:after="0"/>
              <w:rPr>
                <w:sz w:val="20"/>
                <w:szCs w:val="20"/>
                <w:color w:val="auto"/>
              </w:rPr>
            </w:pPr>
            <w:r>
              <w:rPr>
                <w:rFonts w:ascii="Arial" w:cs="Arial" w:eastAsia="Arial" w:hAnsi="Arial"/>
                <w:sz w:val="20"/>
                <w:szCs w:val="20"/>
                <w:color w:val="auto"/>
              </w:rPr>
              <w:t>Tax expense</w:t>
            </w:r>
          </w:p>
        </w:tc>
        <w:tc>
          <w:tcPr>
            <w:tcW w:w="20" w:type="dxa"/>
            <w:vAlign w:val="bottom"/>
            <w:tcBorders>
              <w:bottom w:val="single" w:sz="8" w:color="auto"/>
            </w:tcBorders>
            <w:shd w:val="clear" w:color="auto" w:fill="E6E6E6"/>
          </w:tcPr>
          <w:p>
            <w:pPr>
              <w:spacing w:after="0"/>
              <w:rPr>
                <w:sz w:val="23"/>
                <w:szCs w:val="23"/>
                <w:color w:val="auto"/>
              </w:rPr>
            </w:pPr>
          </w:p>
        </w:tc>
        <w:tc>
          <w:tcPr>
            <w:tcW w:w="100" w:type="dxa"/>
            <w:vAlign w:val="bottom"/>
            <w:tcBorders>
              <w:bottom w:val="single" w:sz="8" w:color="auto"/>
            </w:tcBorders>
            <w:shd w:val="clear" w:color="auto" w:fill="E6E6E6"/>
          </w:tcPr>
          <w:p>
            <w:pPr>
              <w:spacing w:after="0"/>
              <w:rPr>
                <w:sz w:val="23"/>
                <w:szCs w:val="23"/>
                <w:color w:val="auto"/>
              </w:rPr>
            </w:pPr>
          </w:p>
        </w:tc>
        <w:tc>
          <w:tcPr>
            <w:tcW w:w="14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shd w:val="clear" w:color="auto" w:fill="E6E6E6"/>
          </w:tcPr>
          <w:p>
            <w:pPr>
              <w:spacing w:after="0"/>
              <w:rPr>
                <w:sz w:val="23"/>
                <w:szCs w:val="23"/>
                <w:color w:val="auto"/>
              </w:rPr>
            </w:pPr>
          </w:p>
        </w:tc>
        <w:tc>
          <w:tcPr>
            <w:tcW w:w="140" w:type="dxa"/>
            <w:vAlign w:val="bottom"/>
            <w:tcBorders>
              <w:bottom w:val="single" w:sz="8" w:color="auto"/>
            </w:tcBorders>
            <w:shd w:val="clear" w:color="auto" w:fill="E6E6E6"/>
          </w:tcPr>
          <w:p>
            <w:pPr>
              <w:spacing w:after="0"/>
              <w:rPr>
                <w:sz w:val="23"/>
                <w:szCs w:val="23"/>
                <w:color w:val="auto"/>
              </w:rPr>
            </w:pPr>
          </w:p>
        </w:tc>
        <w:tc>
          <w:tcPr>
            <w:tcW w:w="14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shd w:val="clear" w:color="auto" w:fill="E6E6E6"/>
          </w:tcPr>
          <w:p>
            <w:pPr>
              <w:spacing w:after="0"/>
              <w:rPr>
                <w:sz w:val="23"/>
                <w:szCs w:val="23"/>
                <w:color w:val="auto"/>
              </w:rPr>
            </w:pPr>
          </w:p>
        </w:tc>
        <w:tc>
          <w:tcPr>
            <w:tcW w:w="280" w:type="dxa"/>
            <w:vAlign w:val="bottom"/>
            <w:tcBorders>
              <w:bottom w:val="single" w:sz="8" w:color="auto"/>
            </w:tcBorders>
            <w:shd w:val="clear" w:color="auto" w:fill="E6E6E6"/>
          </w:tcPr>
          <w:p>
            <w:pPr>
              <w:spacing w:after="0"/>
              <w:rPr>
                <w:sz w:val="23"/>
                <w:szCs w:val="23"/>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4"/>
        </w:trPr>
        <w:tc>
          <w:tcPr>
            <w:tcW w:w="5500" w:type="dxa"/>
            <w:vAlign w:val="bottom"/>
            <w:gridSpan w:val="4"/>
          </w:tcPr>
          <w:p>
            <w:pPr>
              <w:ind w:left="180"/>
              <w:spacing w:after="0"/>
              <w:rPr>
                <w:sz w:val="20"/>
                <w:szCs w:val="20"/>
                <w:color w:val="auto"/>
              </w:rPr>
            </w:pPr>
            <w:r>
              <w:rPr>
                <w:rFonts w:ascii="Arial" w:cs="Arial" w:eastAsia="Arial" w:hAnsi="Arial"/>
                <w:sz w:val="20"/>
                <w:szCs w:val="20"/>
                <w:color w:val="auto"/>
                <w:w w:val="99"/>
              </w:rPr>
              <w:t>Other comprehensive loss before reclassifications, net of tax</w:t>
            </w:r>
          </w:p>
        </w:tc>
        <w:tc>
          <w:tcPr>
            <w:tcW w:w="1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(3,688)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(42,853)</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(46,541)</w:t>
            </w:r>
          </w:p>
        </w:tc>
        <w:tc>
          <w:tcPr>
            <w:tcW w:w="0" w:type="dxa"/>
            <w:vAlign w:val="bottom"/>
          </w:tcPr>
          <w:p>
            <w:pPr>
              <w:spacing w:after="0"/>
              <w:rPr>
                <w:sz w:val="1"/>
                <w:szCs w:val="1"/>
                <w:color w:val="auto"/>
              </w:rPr>
            </w:pPr>
          </w:p>
        </w:tc>
      </w:tr>
      <w:tr>
        <w:trPr>
          <w:trHeight w:val="194"/>
        </w:trPr>
        <w:tc>
          <w:tcPr>
            <w:tcW w:w="5500" w:type="dxa"/>
            <w:vAlign w:val="bottom"/>
            <w:gridSpan w:val="4"/>
            <w:shd w:val="clear" w:color="auto" w:fill="E6E6E6"/>
          </w:tcPr>
          <w:p>
            <w:pPr>
              <w:ind w:left="180"/>
              <w:spacing w:after="0" w:line="194" w:lineRule="exact"/>
              <w:rPr>
                <w:sz w:val="20"/>
                <w:szCs w:val="20"/>
                <w:color w:val="auto"/>
              </w:rPr>
            </w:pPr>
            <w:r>
              <w:rPr>
                <w:rFonts w:ascii="Arial" w:cs="Arial" w:eastAsia="Arial" w:hAnsi="Arial"/>
                <w:sz w:val="20"/>
                <w:szCs w:val="20"/>
                <w:color w:val="auto"/>
                <w:w w:val="94"/>
              </w:rPr>
              <w:t>Reclassification of loss from accumulated other comprehensive</w:t>
            </w:r>
          </w:p>
        </w:tc>
        <w:tc>
          <w:tcPr>
            <w:tcW w:w="100" w:type="dxa"/>
            <w:vAlign w:val="bottom"/>
            <w:shd w:val="clear" w:color="auto" w:fill="E6E6E6"/>
          </w:tcPr>
          <w:p>
            <w:pPr>
              <w:spacing w:after="0"/>
              <w:rPr>
                <w:sz w:val="16"/>
                <w:szCs w:val="16"/>
                <w:color w:val="auto"/>
              </w:rPr>
            </w:pPr>
          </w:p>
        </w:tc>
        <w:tc>
          <w:tcPr>
            <w:tcW w:w="142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5,599</w:t>
            </w:r>
          </w:p>
        </w:tc>
        <w:tc>
          <w:tcPr>
            <w:tcW w:w="8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142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16"/>
                <w:szCs w:val="16"/>
                <w:color w:val="auto"/>
              </w:rPr>
            </w:pPr>
          </w:p>
        </w:tc>
        <w:tc>
          <w:tcPr>
            <w:tcW w:w="280" w:type="dxa"/>
            <w:vAlign w:val="bottom"/>
            <w:shd w:val="clear" w:color="auto" w:fill="E6E6E6"/>
          </w:tcPr>
          <w:p>
            <w:pPr>
              <w:spacing w:after="0"/>
              <w:rPr>
                <w:sz w:val="16"/>
                <w:szCs w:val="16"/>
                <w:color w:val="auto"/>
              </w:rPr>
            </w:pPr>
          </w:p>
        </w:tc>
        <w:tc>
          <w:tcPr>
            <w:tcW w:w="102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5,599</w:t>
            </w:r>
          </w:p>
        </w:tc>
        <w:tc>
          <w:tcPr>
            <w:tcW w:w="0" w:type="dxa"/>
            <w:vAlign w:val="bottom"/>
          </w:tcPr>
          <w:p>
            <w:pPr>
              <w:spacing w:after="0"/>
              <w:rPr>
                <w:sz w:val="1"/>
                <w:szCs w:val="1"/>
                <w:color w:val="auto"/>
              </w:rPr>
            </w:pPr>
          </w:p>
        </w:tc>
      </w:tr>
      <w:tr>
        <w:trPr>
          <w:trHeight w:val="268"/>
        </w:trPr>
        <w:tc>
          <w:tcPr>
            <w:tcW w:w="5500" w:type="dxa"/>
            <w:vAlign w:val="bottom"/>
            <w:gridSpan w:val="4"/>
            <w:shd w:val="clear" w:color="auto" w:fill="E6E6E6"/>
          </w:tcPr>
          <w:p>
            <w:pPr>
              <w:ind w:left="180"/>
              <w:spacing w:after="0"/>
              <w:rPr>
                <w:sz w:val="20"/>
                <w:szCs w:val="20"/>
                <w:color w:val="auto"/>
              </w:rPr>
            </w:pPr>
            <w:r>
              <w:rPr>
                <w:rFonts w:ascii="Arial" w:cs="Arial" w:eastAsia="Arial" w:hAnsi="Arial"/>
                <w:sz w:val="20"/>
                <w:szCs w:val="20"/>
                <w:color w:val="auto"/>
              </w:rPr>
              <w:t>loss, before tax</w:t>
            </w:r>
          </w:p>
        </w:tc>
        <w:tc>
          <w:tcPr>
            <w:tcW w:w="100" w:type="dxa"/>
            <w:vAlign w:val="bottom"/>
            <w:shd w:val="clear" w:color="auto" w:fill="E6E6E6"/>
          </w:tcPr>
          <w:p>
            <w:pPr>
              <w:spacing w:after="0"/>
              <w:rPr>
                <w:sz w:val="23"/>
                <w:szCs w:val="23"/>
                <w:color w:val="auto"/>
              </w:rPr>
            </w:pPr>
          </w:p>
        </w:tc>
        <w:tc>
          <w:tcPr>
            <w:tcW w:w="142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140" w:type="dxa"/>
            <w:vAlign w:val="bottom"/>
            <w:shd w:val="clear" w:color="auto" w:fill="E6E6E6"/>
          </w:tcPr>
          <w:p>
            <w:pPr>
              <w:spacing w:after="0"/>
              <w:rPr>
                <w:sz w:val="23"/>
                <w:szCs w:val="23"/>
                <w:color w:val="auto"/>
              </w:rPr>
            </w:pPr>
          </w:p>
        </w:tc>
        <w:tc>
          <w:tcPr>
            <w:tcW w:w="142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80" w:type="dxa"/>
            <w:vAlign w:val="bottom"/>
            <w:shd w:val="clear" w:color="auto" w:fill="E6E6E6"/>
          </w:tcPr>
          <w:p>
            <w:pPr>
              <w:spacing w:after="0"/>
              <w:rPr>
                <w:sz w:val="23"/>
                <w:szCs w:val="23"/>
                <w:color w:val="auto"/>
              </w:rPr>
            </w:pPr>
          </w:p>
        </w:tc>
        <w:tc>
          <w:tcPr>
            <w:tcW w:w="1020" w:type="dxa"/>
            <w:vAlign w:val="bottom"/>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500" w:type="dxa"/>
            <w:vAlign w:val="bottom"/>
            <w:gridSpan w:val="4"/>
          </w:tcPr>
          <w:p>
            <w:pPr>
              <w:ind w:left="180"/>
              <w:spacing w:after="0"/>
              <w:rPr>
                <w:sz w:val="20"/>
                <w:szCs w:val="20"/>
                <w:color w:val="auto"/>
              </w:rPr>
            </w:pPr>
            <w:r>
              <w:rPr>
                <w:rFonts w:ascii="Arial" w:cs="Arial" w:eastAsia="Arial" w:hAnsi="Arial"/>
                <w:sz w:val="20"/>
                <w:szCs w:val="20"/>
                <w:color w:val="auto"/>
              </w:rPr>
              <w:t>Reclassification of tax expense</w:t>
            </w: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78"/>
        </w:trPr>
        <w:tc>
          <w:tcPr>
            <w:tcW w:w="5480" w:type="dxa"/>
            <w:vAlign w:val="bottom"/>
            <w:tcBorders>
              <w:top w:val="single" w:sz="8" w:color="E6E6E6"/>
            </w:tcBorders>
            <w:gridSpan w:val="3"/>
            <w:shd w:val="clear" w:color="auto" w:fill="E6E6E6"/>
          </w:tcPr>
          <w:p>
            <w:pPr>
              <w:ind w:left="180"/>
              <w:spacing w:after="0" w:line="179" w:lineRule="exact"/>
              <w:rPr>
                <w:sz w:val="20"/>
                <w:szCs w:val="20"/>
                <w:color w:val="auto"/>
              </w:rPr>
            </w:pPr>
            <w:r>
              <w:rPr>
                <w:rFonts w:ascii="Arial" w:cs="Arial" w:eastAsia="Arial" w:hAnsi="Arial"/>
                <w:sz w:val="20"/>
                <w:szCs w:val="20"/>
                <w:color w:val="auto"/>
                <w:w w:val="94"/>
              </w:rPr>
              <w:t>Reclassification of loss from accumulated other comprehensive</w:t>
            </w:r>
          </w:p>
        </w:tc>
        <w:tc>
          <w:tcPr>
            <w:tcW w:w="20" w:type="dxa"/>
            <w:vAlign w:val="bottom"/>
            <w:tcBorders>
              <w:top w:val="single" w:sz="8" w:color="auto"/>
            </w:tcBorders>
            <w:shd w:val="clear" w:color="auto" w:fill="E6E6E6"/>
          </w:tcPr>
          <w:p>
            <w:pPr>
              <w:spacing w:after="0"/>
              <w:rPr>
                <w:sz w:val="15"/>
                <w:szCs w:val="15"/>
                <w:color w:val="auto"/>
              </w:rPr>
            </w:pPr>
          </w:p>
        </w:tc>
        <w:tc>
          <w:tcPr>
            <w:tcW w:w="100" w:type="dxa"/>
            <w:vAlign w:val="bottom"/>
            <w:tcBorders>
              <w:top w:val="single" w:sz="8" w:color="auto"/>
            </w:tcBorders>
            <w:shd w:val="clear" w:color="auto" w:fill="E6E6E6"/>
          </w:tcPr>
          <w:p>
            <w:pPr>
              <w:spacing w:after="0"/>
              <w:rPr>
                <w:sz w:val="15"/>
                <w:szCs w:val="15"/>
                <w:color w:val="auto"/>
              </w:rPr>
            </w:pPr>
          </w:p>
        </w:tc>
        <w:tc>
          <w:tcPr>
            <w:tcW w:w="1420" w:type="dxa"/>
            <w:vAlign w:val="bottom"/>
            <w:tcBorders>
              <w:top w:val="single" w:sz="8" w:color="auto"/>
            </w:tcBorders>
            <w:vMerge w:val="restart"/>
            <w:shd w:val="clear" w:color="auto" w:fill="E6E6E6"/>
          </w:tcPr>
          <w:p>
            <w:pPr>
              <w:jc w:val="right"/>
              <w:spacing w:after="0"/>
              <w:rPr>
                <w:sz w:val="20"/>
                <w:szCs w:val="20"/>
                <w:color w:val="auto"/>
              </w:rPr>
            </w:pPr>
            <w:r>
              <w:rPr>
                <w:rFonts w:ascii="Arial" w:cs="Arial" w:eastAsia="Arial" w:hAnsi="Arial"/>
                <w:sz w:val="20"/>
                <w:szCs w:val="20"/>
                <w:color w:val="auto"/>
              </w:rPr>
              <w:t>5,599</w:t>
            </w:r>
          </w:p>
        </w:tc>
        <w:tc>
          <w:tcPr>
            <w:tcW w:w="80" w:type="dxa"/>
            <w:vAlign w:val="bottom"/>
            <w:tcBorders>
              <w:top w:val="single" w:sz="8" w:color="E6E6E6"/>
            </w:tcBorders>
            <w:shd w:val="clear" w:color="auto" w:fill="E6E6E6"/>
          </w:tcPr>
          <w:p>
            <w:pPr>
              <w:spacing w:after="0"/>
              <w:rPr>
                <w:sz w:val="15"/>
                <w:szCs w:val="15"/>
                <w:color w:val="auto"/>
              </w:rPr>
            </w:pPr>
          </w:p>
        </w:tc>
        <w:tc>
          <w:tcPr>
            <w:tcW w:w="140" w:type="dxa"/>
            <w:vAlign w:val="bottom"/>
            <w:tcBorders>
              <w:top w:val="single" w:sz="8" w:color="auto"/>
            </w:tcBorders>
            <w:shd w:val="clear" w:color="auto" w:fill="E6E6E6"/>
          </w:tcPr>
          <w:p>
            <w:pPr>
              <w:spacing w:after="0"/>
              <w:rPr>
                <w:sz w:val="15"/>
                <w:szCs w:val="15"/>
                <w:color w:val="auto"/>
              </w:rPr>
            </w:pPr>
          </w:p>
        </w:tc>
        <w:tc>
          <w:tcPr>
            <w:tcW w:w="1420" w:type="dxa"/>
            <w:vAlign w:val="bottom"/>
            <w:tcBorders>
              <w:top w:val="single" w:sz="8" w:color="auto"/>
            </w:tcBorders>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top w:val="single" w:sz="8" w:color="E6E6E6"/>
            </w:tcBorders>
            <w:shd w:val="clear" w:color="auto" w:fill="E6E6E6"/>
          </w:tcPr>
          <w:p>
            <w:pPr>
              <w:spacing w:after="0"/>
              <w:rPr>
                <w:sz w:val="15"/>
                <w:szCs w:val="15"/>
                <w:color w:val="auto"/>
              </w:rPr>
            </w:pPr>
          </w:p>
        </w:tc>
        <w:tc>
          <w:tcPr>
            <w:tcW w:w="280" w:type="dxa"/>
            <w:vAlign w:val="bottom"/>
            <w:tcBorders>
              <w:top w:val="single" w:sz="8" w:color="auto"/>
            </w:tcBorders>
            <w:shd w:val="clear" w:color="auto" w:fill="E6E6E6"/>
          </w:tcPr>
          <w:p>
            <w:pPr>
              <w:spacing w:after="0"/>
              <w:rPr>
                <w:sz w:val="15"/>
                <w:szCs w:val="15"/>
                <w:color w:val="auto"/>
              </w:rPr>
            </w:pPr>
          </w:p>
        </w:tc>
        <w:tc>
          <w:tcPr>
            <w:tcW w:w="1020" w:type="dxa"/>
            <w:vAlign w:val="bottom"/>
            <w:tcBorders>
              <w:top w:val="single" w:sz="8" w:color="auto"/>
            </w:tcBorders>
            <w:vMerge w:val="restart"/>
            <w:shd w:val="clear" w:color="auto" w:fill="E6E6E6"/>
          </w:tcPr>
          <w:p>
            <w:pPr>
              <w:jc w:val="right"/>
              <w:spacing w:after="0"/>
              <w:rPr>
                <w:sz w:val="20"/>
                <w:szCs w:val="20"/>
                <w:color w:val="auto"/>
              </w:rPr>
            </w:pPr>
            <w:r>
              <w:rPr>
                <w:rFonts w:ascii="Arial" w:cs="Arial" w:eastAsia="Arial" w:hAnsi="Arial"/>
                <w:sz w:val="20"/>
                <w:szCs w:val="20"/>
                <w:color w:val="auto"/>
              </w:rPr>
              <w:t>5,599</w:t>
            </w:r>
          </w:p>
        </w:tc>
        <w:tc>
          <w:tcPr>
            <w:tcW w:w="0" w:type="dxa"/>
            <w:vAlign w:val="bottom"/>
          </w:tcPr>
          <w:p>
            <w:pPr>
              <w:spacing w:after="0"/>
              <w:rPr>
                <w:sz w:val="1"/>
                <w:szCs w:val="1"/>
                <w:color w:val="auto"/>
              </w:rPr>
            </w:pPr>
          </w:p>
        </w:tc>
      </w:tr>
      <w:tr>
        <w:trPr>
          <w:trHeight w:val="258"/>
        </w:trPr>
        <w:tc>
          <w:tcPr>
            <w:tcW w:w="5480" w:type="dxa"/>
            <w:vAlign w:val="bottom"/>
            <w:tcBorders>
              <w:bottom w:val="single" w:sz="8" w:color="E6E6E6"/>
            </w:tcBorders>
            <w:gridSpan w:val="3"/>
            <w:shd w:val="clear" w:color="auto" w:fill="E6E6E6"/>
          </w:tcPr>
          <w:p>
            <w:pPr>
              <w:ind w:left="180"/>
              <w:spacing w:after="0"/>
              <w:rPr>
                <w:sz w:val="20"/>
                <w:szCs w:val="20"/>
                <w:color w:val="auto"/>
              </w:rPr>
            </w:pPr>
            <w:r>
              <w:rPr>
                <w:rFonts w:ascii="Arial" w:cs="Arial" w:eastAsia="Arial" w:hAnsi="Arial"/>
                <w:sz w:val="20"/>
                <w:szCs w:val="20"/>
                <w:color w:val="auto"/>
              </w:rPr>
              <w:t>loss, after tax</w:t>
            </w:r>
          </w:p>
        </w:tc>
        <w:tc>
          <w:tcPr>
            <w:tcW w:w="20" w:type="dxa"/>
            <w:vAlign w:val="bottom"/>
            <w:tcBorders>
              <w:bottom w:val="single" w:sz="8" w:color="auto"/>
            </w:tcBorders>
            <w:shd w:val="clear" w:color="auto" w:fill="E6E6E6"/>
          </w:tcPr>
          <w:p>
            <w:pPr>
              <w:spacing w:after="0"/>
              <w:rPr>
                <w:sz w:val="22"/>
                <w:szCs w:val="22"/>
                <w:color w:val="auto"/>
              </w:rPr>
            </w:pPr>
          </w:p>
        </w:tc>
        <w:tc>
          <w:tcPr>
            <w:tcW w:w="100" w:type="dxa"/>
            <w:vAlign w:val="bottom"/>
            <w:tcBorders>
              <w:bottom w:val="single" w:sz="8" w:color="auto"/>
            </w:tcBorders>
            <w:shd w:val="clear" w:color="auto" w:fill="E6E6E6"/>
          </w:tcPr>
          <w:p>
            <w:pPr>
              <w:spacing w:after="0"/>
              <w:rPr>
                <w:sz w:val="22"/>
                <w:szCs w:val="22"/>
                <w:color w:val="auto"/>
              </w:rPr>
            </w:pPr>
          </w:p>
        </w:tc>
        <w:tc>
          <w:tcPr>
            <w:tcW w:w="1420" w:type="dxa"/>
            <w:vAlign w:val="bottom"/>
            <w:tcBorders>
              <w:bottom w:val="single" w:sz="8" w:color="auto"/>
            </w:tcBorders>
            <w:vMerge w:val="continue"/>
            <w:shd w:val="clear" w:color="auto" w:fill="E6E6E6"/>
          </w:tcPr>
          <w:p>
            <w:pPr>
              <w:spacing w:after="0"/>
              <w:rPr>
                <w:sz w:val="22"/>
                <w:szCs w:val="22"/>
                <w:color w:val="auto"/>
              </w:rPr>
            </w:pPr>
          </w:p>
        </w:tc>
        <w:tc>
          <w:tcPr>
            <w:tcW w:w="80" w:type="dxa"/>
            <w:vAlign w:val="bottom"/>
            <w:tcBorders>
              <w:bottom w:val="single" w:sz="8" w:color="E6E6E6"/>
            </w:tcBorders>
            <w:shd w:val="clear" w:color="auto" w:fill="E6E6E6"/>
          </w:tcPr>
          <w:p>
            <w:pPr>
              <w:spacing w:after="0"/>
              <w:rPr>
                <w:sz w:val="22"/>
                <w:szCs w:val="22"/>
                <w:color w:val="auto"/>
              </w:rPr>
            </w:pPr>
          </w:p>
        </w:tc>
        <w:tc>
          <w:tcPr>
            <w:tcW w:w="140" w:type="dxa"/>
            <w:vAlign w:val="bottom"/>
            <w:tcBorders>
              <w:bottom w:val="single" w:sz="8" w:color="auto"/>
            </w:tcBorders>
            <w:shd w:val="clear" w:color="auto" w:fill="E6E6E6"/>
          </w:tcPr>
          <w:p>
            <w:pPr>
              <w:spacing w:after="0"/>
              <w:rPr>
                <w:sz w:val="22"/>
                <w:szCs w:val="22"/>
                <w:color w:val="auto"/>
              </w:rPr>
            </w:pPr>
          </w:p>
        </w:tc>
        <w:tc>
          <w:tcPr>
            <w:tcW w:w="1420" w:type="dxa"/>
            <w:vAlign w:val="bottom"/>
            <w:tcBorders>
              <w:bottom w:val="single" w:sz="8" w:color="auto"/>
            </w:tcBorders>
            <w:vMerge w:val="continue"/>
            <w:shd w:val="clear" w:color="auto" w:fill="E6E6E6"/>
          </w:tcPr>
          <w:p>
            <w:pPr>
              <w:spacing w:after="0"/>
              <w:rPr>
                <w:sz w:val="22"/>
                <w:szCs w:val="22"/>
                <w:color w:val="auto"/>
              </w:rPr>
            </w:pPr>
          </w:p>
        </w:tc>
        <w:tc>
          <w:tcPr>
            <w:tcW w:w="80" w:type="dxa"/>
            <w:vAlign w:val="bottom"/>
            <w:tcBorders>
              <w:bottom w:val="single" w:sz="8" w:color="E6E6E6"/>
            </w:tcBorders>
            <w:shd w:val="clear" w:color="auto" w:fill="E6E6E6"/>
          </w:tcPr>
          <w:p>
            <w:pPr>
              <w:spacing w:after="0"/>
              <w:rPr>
                <w:sz w:val="22"/>
                <w:szCs w:val="22"/>
                <w:color w:val="auto"/>
              </w:rPr>
            </w:pPr>
          </w:p>
        </w:tc>
        <w:tc>
          <w:tcPr>
            <w:tcW w:w="280" w:type="dxa"/>
            <w:vAlign w:val="bottom"/>
            <w:tcBorders>
              <w:bottom w:val="single" w:sz="8" w:color="auto"/>
            </w:tcBorders>
            <w:shd w:val="clear" w:color="auto" w:fill="E6E6E6"/>
          </w:tcPr>
          <w:p>
            <w:pPr>
              <w:spacing w:after="0"/>
              <w:rPr>
                <w:sz w:val="22"/>
                <w:szCs w:val="22"/>
                <w:color w:val="auto"/>
              </w:rPr>
            </w:pPr>
          </w:p>
        </w:tc>
        <w:tc>
          <w:tcPr>
            <w:tcW w:w="1020" w:type="dxa"/>
            <w:vAlign w:val="bottom"/>
            <w:tcBorders>
              <w:bottom w:val="single" w:sz="8" w:color="auto"/>
            </w:tcBorders>
            <w:vMerge w:val="continue"/>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5480" w:type="dxa"/>
            <w:vAlign w:val="bottom"/>
            <w:tcBorders>
              <w:bottom w:val="single" w:sz="8" w:color="E6E6E6"/>
            </w:tcBorders>
            <w:gridSpan w:val="3"/>
          </w:tcPr>
          <w:p>
            <w:pPr>
              <w:ind w:left="180"/>
              <w:spacing w:after="0"/>
              <w:rPr>
                <w:sz w:val="20"/>
                <w:szCs w:val="20"/>
                <w:color w:val="auto"/>
              </w:rPr>
            </w:pPr>
            <w:r>
              <w:rPr>
                <w:rFonts w:ascii="Arial" w:cs="Arial" w:eastAsia="Arial" w:hAnsi="Arial"/>
                <w:sz w:val="20"/>
                <w:szCs w:val="20"/>
                <w:color w:val="auto"/>
                <w:w w:val="92"/>
              </w:rPr>
              <w:t>Net current-period other comprehensive income (loss), net of tax</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1,911</w:t>
            </w:r>
          </w:p>
        </w:tc>
        <w:tc>
          <w:tcPr>
            <w:tcW w:w="80" w:type="dxa"/>
            <w:vAlign w:val="bottom"/>
            <w:tcBorders>
              <w:bottom w:val="single" w:sz="8" w:color="E6E6E6"/>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(42,853)</w:t>
            </w:r>
          </w:p>
        </w:tc>
        <w:tc>
          <w:tcPr>
            <w:tcW w:w="80" w:type="dxa"/>
            <w:vAlign w:val="bottom"/>
            <w:tcBorders>
              <w:bottom w:val="single" w:sz="8" w:color="E6E6E6"/>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(40,942)</w:t>
            </w:r>
          </w:p>
        </w:tc>
        <w:tc>
          <w:tcPr>
            <w:tcW w:w="0" w:type="dxa"/>
            <w:vAlign w:val="bottom"/>
          </w:tcPr>
          <w:p>
            <w:pPr>
              <w:spacing w:after="0"/>
              <w:rPr>
                <w:sz w:val="1"/>
                <w:szCs w:val="1"/>
                <w:color w:val="auto"/>
              </w:rPr>
            </w:pPr>
          </w:p>
        </w:tc>
      </w:tr>
      <w:tr>
        <w:trPr>
          <w:trHeight w:val="279"/>
        </w:trPr>
        <w:tc>
          <w:tcPr>
            <w:tcW w:w="5500" w:type="dxa"/>
            <w:vAlign w:val="bottom"/>
            <w:gridSpan w:val="4"/>
            <w:shd w:val="clear" w:color="auto" w:fill="E6E6E6"/>
          </w:tcPr>
          <w:p>
            <w:pPr>
              <w:ind w:left="40"/>
              <w:spacing w:after="0"/>
              <w:rPr>
                <w:sz w:val="20"/>
                <w:szCs w:val="20"/>
                <w:color w:val="auto"/>
              </w:rPr>
            </w:pPr>
            <w:r>
              <w:rPr>
                <w:rFonts w:ascii="Arial" w:cs="Arial" w:eastAsia="Arial" w:hAnsi="Arial"/>
                <w:sz w:val="20"/>
                <w:szCs w:val="20"/>
                <w:color w:val="auto"/>
              </w:rPr>
              <w:t>As of December 31, 2022</w:t>
            </w:r>
          </w:p>
        </w:tc>
        <w:tc>
          <w:tcPr>
            <w:tcW w:w="100" w:type="dxa"/>
            <w:vAlign w:val="bottom"/>
            <w:shd w:val="clear" w:color="auto" w:fill="E6E6E6"/>
          </w:tcPr>
          <w:p>
            <w:pPr>
              <w:spacing w:after="0"/>
              <w:rPr>
                <w:sz w:val="24"/>
                <w:szCs w:val="24"/>
                <w:color w:val="auto"/>
              </w:rPr>
            </w:pPr>
          </w:p>
        </w:tc>
        <w:tc>
          <w:tcPr>
            <w:tcW w:w="14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966</w:t>
            </w:r>
          </w:p>
        </w:tc>
        <w:tc>
          <w:tcPr>
            <w:tcW w:w="8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14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(49,085)</w:t>
            </w:r>
          </w:p>
        </w:tc>
        <w:tc>
          <w:tcPr>
            <w:tcW w:w="8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(48,119)</w:t>
            </w:r>
          </w:p>
        </w:tc>
        <w:tc>
          <w:tcPr>
            <w:tcW w:w="0" w:type="dxa"/>
            <w:vAlign w:val="bottom"/>
          </w:tcPr>
          <w:p>
            <w:pPr>
              <w:spacing w:after="0"/>
              <w:rPr>
                <w:sz w:val="1"/>
                <w:szCs w:val="1"/>
                <w:color w:val="auto"/>
              </w:rPr>
            </w:pPr>
          </w:p>
        </w:tc>
      </w:tr>
      <w:tr>
        <w:trPr>
          <w:trHeight w:val="159"/>
        </w:trPr>
        <w:tc>
          <w:tcPr>
            <w:tcW w:w="5460" w:type="dxa"/>
            <w:vAlign w:val="bottom"/>
            <w:tcBorders>
              <w:top w:val="single" w:sz="8" w:color="E6E6E6"/>
            </w:tcBorders>
            <w:gridSpan w:val="2"/>
          </w:tcPr>
          <w:p>
            <w:pPr>
              <w:ind w:left="180"/>
              <w:spacing w:after="0" w:line="159" w:lineRule="exact"/>
              <w:rPr>
                <w:sz w:val="20"/>
                <w:szCs w:val="20"/>
                <w:color w:val="auto"/>
              </w:rPr>
            </w:pPr>
            <w:r>
              <w:rPr>
                <w:rFonts w:ascii="Arial" w:cs="Arial" w:eastAsia="Arial" w:hAnsi="Arial"/>
                <w:sz w:val="17"/>
                <w:szCs w:val="17"/>
                <w:color w:val="auto"/>
              </w:rPr>
              <w:t>Other comprehensive (loss) income before reclassifications,</w:t>
            </w:r>
          </w:p>
        </w:tc>
        <w:tc>
          <w:tcPr>
            <w:tcW w:w="40" w:type="dxa"/>
            <w:vAlign w:val="bottom"/>
            <w:tcBorders>
              <w:top w:val="single" w:sz="8" w:color="auto"/>
            </w:tcBorders>
            <w:gridSpan w:val="2"/>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vMerge w:val="restart"/>
          </w:tcPr>
          <w:p>
            <w:pPr>
              <w:jc w:val="right"/>
              <w:spacing w:after="0"/>
              <w:rPr>
                <w:sz w:val="20"/>
                <w:szCs w:val="20"/>
                <w:color w:val="auto"/>
              </w:rPr>
            </w:pPr>
            <w:r>
              <w:rPr>
                <w:rFonts w:ascii="Arial" w:cs="Arial" w:eastAsia="Arial" w:hAnsi="Arial"/>
                <w:sz w:val="20"/>
                <w:szCs w:val="20"/>
                <w:color w:val="auto"/>
              </w:rPr>
              <w:t>(433)</w:t>
            </w:r>
          </w:p>
        </w:tc>
        <w:tc>
          <w:tcPr>
            <w:tcW w:w="80" w:type="dxa"/>
            <w:vAlign w:val="bottom"/>
            <w:tcBorders>
              <w:top w:val="single" w:sz="8" w:color="E6E6E6"/>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vMerge w:val="restart"/>
          </w:tcPr>
          <w:p>
            <w:pPr>
              <w:jc w:val="right"/>
              <w:spacing w:after="0"/>
              <w:rPr>
                <w:sz w:val="20"/>
                <w:szCs w:val="20"/>
                <w:color w:val="auto"/>
              </w:rPr>
            </w:pPr>
            <w:r>
              <w:rPr>
                <w:rFonts w:ascii="Arial" w:cs="Arial" w:eastAsia="Arial" w:hAnsi="Arial"/>
                <w:sz w:val="20"/>
                <w:szCs w:val="20"/>
                <w:color w:val="auto"/>
              </w:rPr>
              <w:t>21,202</w:t>
            </w:r>
          </w:p>
        </w:tc>
        <w:tc>
          <w:tcPr>
            <w:tcW w:w="80" w:type="dxa"/>
            <w:vAlign w:val="bottom"/>
            <w:tcBorders>
              <w:top w:val="single" w:sz="8" w:color="E6E6E6"/>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20"/>
                <w:szCs w:val="20"/>
                <w:color w:val="auto"/>
              </w:rPr>
              <w:t>20,769</w:t>
            </w:r>
          </w:p>
        </w:tc>
        <w:tc>
          <w:tcPr>
            <w:tcW w:w="0" w:type="dxa"/>
            <w:vAlign w:val="bottom"/>
          </w:tcPr>
          <w:p>
            <w:pPr>
              <w:spacing w:after="0"/>
              <w:rPr>
                <w:sz w:val="1"/>
                <w:szCs w:val="1"/>
                <w:color w:val="auto"/>
              </w:rPr>
            </w:pPr>
          </w:p>
        </w:tc>
      </w:tr>
      <w:tr>
        <w:trPr>
          <w:trHeight w:val="262"/>
        </w:trPr>
        <w:tc>
          <w:tcPr>
            <w:tcW w:w="5500" w:type="dxa"/>
            <w:vAlign w:val="bottom"/>
            <w:gridSpan w:val="4"/>
          </w:tcPr>
          <w:p>
            <w:pPr>
              <w:ind w:left="180"/>
              <w:spacing w:after="0"/>
              <w:rPr>
                <w:sz w:val="20"/>
                <w:szCs w:val="20"/>
                <w:color w:val="auto"/>
              </w:rPr>
            </w:pPr>
            <w:r>
              <w:rPr>
                <w:rFonts w:ascii="Arial" w:cs="Arial" w:eastAsia="Arial" w:hAnsi="Arial"/>
                <w:sz w:val="20"/>
                <w:szCs w:val="20"/>
                <w:color w:val="auto"/>
              </w:rPr>
              <w:t>before tax</w:t>
            </w:r>
          </w:p>
        </w:tc>
        <w:tc>
          <w:tcPr>
            <w:tcW w:w="100" w:type="dxa"/>
            <w:vAlign w:val="bottom"/>
          </w:tcPr>
          <w:p>
            <w:pPr>
              <w:spacing w:after="0"/>
              <w:rPr>
                <w:sz w:val="22"/>
                <w:szCs w:val="22"/>
                <w:color w:val="auto"/>
              </w:rPr>
            </w:pPr>
          </w:p>
        </w:tc>
        <w:tc>
          <w:tcPr>
            <w:tcW w:w="14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5500" w:type="dxa"/>
            <w:vAlign w:val="bottom"/>
            <w:gridSpan w:val="4"/>
            <w:shd w:val="clear" w:color="auto" w:fill="E6E6E6"/>
          </w:tcPr>
          <w:p>
            <w:pPr>
              <w:ind w:left="180"/>
              <w:spacing w:after="0"/>
              <w:rPr>
                <w:sz w:val="20"/>
                <w:szCs w:val="20"/>
                <w:color w:val="auto"/>
              </w:rPr>
            </w:pPr>
            <w:r>
              <w:rPr>
                <w:rFonts w:ascii="Arial" w:cs="Arial" w:eastAsia="Arial" w:hAnsi="Arial"/>
                <w:sz w:val="20"/>
                <w:szCs w:val="20"/>
                <w:color w:val="auto"/>
              </w:rPr>
              <w:t>Tax expense</w:t>
            </w:r>
          </w:p>
        </w:tc>
        <w:tc>
          <w:tcPr>
            <w:tcW w:w="100" w:type="dxa"/>
            <w:vAlign w:val="bottom"/>
            <w:shd w:val="clear" w:color="auto" w:fill="E6E6E6"/>
          </w:tcPr>
          <w:p>
            <w:pPr>
              <w:spacing w:after="0"/>
              <w:rPr>
                <w:sz w:val="24"/>
                <w:szCs w:val="24"/>
                <w:color w:val="auto"/>
              </w:rPr>
            </w:pPr>
          </w:p>
        </w:tc>
        <w:tc>
          <w:tcPr>
            <w:tcW w:w="14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14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59"/>
        </w:trPr>
        <w:tc>
          <w:tcPr>
            <w:tcW w:w="5460" w:type="dxa"/>
            <w:vAlign w:val="bottom"/>
            <w:tcBorders>
              <w:top w:val="single" w:sz="8" w:color="E6E6E6"/>
            </w:tcBorders>
            <w:gridSpan w:val="2"/>
          </w:tcPr>
          <w:p>
            <w:pPr>
              <w:ind w:left="180"/>
              <w:spacing w:after="0" w:line="159" w:lineRule="exact"/>
              <w:rPr>
                <w:sz w:val="20"/>
                <w:szCs w:val="20"/>
                <w:color w:val="auto"/>
              </w:rPr>
            </w:pPr>
            <w:r>
              <w:rPr>
                <w:rFonts w:ascii="Arial" w:cs="Arial" w:eastAsia="Arial" w:hAnsi="Arial"/>
                <w:sz w:val="17"/>
                <w:szCs w:val="17"/>
                <w:color w:val="auto"/>
              </w:rPr>
              <w:t>Other comprehensive (loss) income before reclassifications, net</w:t>
            </w:r>
          </w:p>
        </w:tc>
        <w:tc>
          <w:tcPr>
            <w:tcW w:w="40" w:type="dxa"/>
            <w:vAlign w:val="bottom"/>
            <w:tcBorders>
              <w:top w:val="single" w:sz="8" w:color="auto"/>
            </w:tcBorders>
            <w:gridSpan w:val="2"/>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vMerge w:val="restart"/>
          </w:tcPr>
          <w:p>
            <w:pPr>
              <w:jc w:val="right"/>
              <w:spacing w:after="0"/>
              <w:rPr>
                <w:sz w:val="20"/>
                <w:szCs w:val="20"/>
                <w:color w:val="auto"/>
              </w:rPr>
            </w:pPr>
            <w:r>
              <w:rPr>
                <w:rFonts w:ascii="Arial" w:cs="Arial" w:eastAsia="Arial" w:hAnsi="Arial"/>
                <w:sz w:val="20"/>
                <w:szCs w:val="20"/>
                <w:color w:val="auto"/>
              </w:rPr>
              <w:t>(433)</w:t>
            </w:r>
          </w:p>
        </w:tc>
        <w:tc>
          <w:tcPr>
            <w:tcW w:w="80" w:type="dxa"/>
            <w:vAlign w:val="bottom"/>
            <w:tcBorders>
              <w:top w:val="single" w:sz="8" w:color="E6E6E6"/>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vMerge w:val="restart"/>
          </w:tcPr>
          <w:p>
            <w:pPr>
              <w:jc w:val="right"/>
              <w:spacing w:after="0"/>
              <w:rPr>
                <w:sz w:val="20"/>
                <w:szCs w:val="20"/>
                <w:color w:val="auto"/>
              </w:rPr>
            </w:pPr>
            <w:r>
              <w:rPr>
                <w:rFonts w:ascii="Arial" w:cs="Arial" w:eastAsia="Arial" w:hAnsi="Arial"/>
                <w:sz w:val="20"/>
                <w:szCs w:val="20"/>
                <w:color w:val="auto"/>
              </w:rPr>
              <w:t>21,202</w:t>
            </w:r>
          </w:p>
        </w:tc>
        <w:tc>
          <w:tcPr>
            <w:tcW w:w="80" w:type="dxa"/>
            <w:vAlign w:val="bottom"/>
            <w:tcBorders>
              <w:top w:val="single" w:sz="8" w:color="E6E6E6"/>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20"/>
                <w:szCs w:val="20"/>
                <w:color w:val="auto"/>
              </w:rPr>
              <w:t>20,769</w:t>
            </w:r>
          </w:p>
        </w:tc>
        <w:tc>
          <w:tcPr>
            <w:tcW w:w="0" w:type="dxa"/>
            <w:vAlign w:val="bottom"/>
          </w:tcPr>
          <w:p>
            <w:pPr>
              <w:spacing w:after="0"/>
              <w:rPr>
                <w:sz w:val="1"/>
                <w:szCs w:val="1"/>
                <w:color w:val="auto"/>
              </w:rPr>
            </w:pPr>
          </w:p>
        </w:tc>
      </w:tr>
      <w:tr>
        <w:trPr>
          <w:trHeight w:val="262"/>
        </w:trPr>
        <w:tc>
          <w:tcPr>
            <w:tcW w:w="5500" w:type="dxa"/>
            <w:vAlign w:val="bottom"/>
            <w:gridSpan w:val="4"/>
          </w:tcPr>
          <w:p>
            <w:pPr>
              <w:ind w:left="180"/>
              <w:spacing w:after="0"/>
              <w:rPr>
                <w:sz w:val="20"/>
                <w:szCs w:val="20"/>
                <w:color w:val="auto"/>
              </w:rPr>
            </w:pPr>
            <w:r>
              <w:rPr>
                <w:rFonts w:ascii="Arial" w:cs="Arial" w:eastAsia="Arial" w:hAnsi="Arial"/>
                <w:sz w:val="20"/>
                <w:szCs w:val="20"/>
                <w:color w:val="auto"/>
              </w:rPr>
              <w:t>of tax</w:t>
            </w:r>
          </w:p>
        </w:tc>
        <w:tc>
          <w:tcPr>
            <w:tcW w:w="100" w:type="dxa"/>
            <w:vAlign w:val="bottom"/>
          </w:tcPr>
          <w:p>
            <w:pPr>
              <w:spacing w:after="0"/>
              <w:rPr>
                <w:sz w:val="22"/>
                <w:szCs w:val="22"/>
                <w:color w:val="auto"/>
              </w:rPr>
            </w:pPr>
          </w:p>
        </w:tc>
        <w:tc>
          <w:tcPr>
            <w:tcW w:w="14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5500" w:type="dxa"/>
            <w:vAlign w:val="bottom"/>
            <w:gridSpan w:val="4"/>
            <w:shd w:val="clear" w:color="auto" w:fill="E6E6E6"/>
          </w:tcPr>
          <w:p>
            <w:pPr>
              <w:ind w:left="180"/>
              <w:spacing w:after="0" w:line="193" w:lineRule="exact"/>
              <w:rPr>
                <w:sz w:val="20"/>
                <w:szCs w:val="20"/>
                <w:color w:val="auto"/>
              </w:rPr>
            </w:pPr>
            <w:r>
              <w:rPr>
                <w:rFonts w:ascii="Arial" w:cs="Arial" w:eastAsia="Arial" w:hAnsi="Arial"/>
                <w:sz w:val="20"/>
                <w:szCs w:val="20"/>
                <w:color w:val="auto"/>
                <w:w w:val="94"/>
              </w:rPr>
              <w:t>Reclassification of gain from accumulated other comprehensive</w:t>
            </w:r>
          </w:p>
        </w:tc>
        <w:tc>
          <w:tcPr>
            <w:tcW w:w="100" w:type="dxa"/>
            <w:vAlign w:val="bottom"/>
            <w:shd w:val="clear" w:color="auto" w:fill="E6E6E6"/>
          </w:tcPr>
          <w:p>
            <w:pPr>
              <w:spacing w:after="0"/>
              <w:rPr>
                <w:sz w:val="16"/>
                <w:szCs w:val="16"/>
                <w:color w:val="auto"/>
              </w:rPr>
            </w:pPr>
          </w:p>
        </w:tc>
        <w:tc>
          <w:tcPr>
            <w:tcW w:w="142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(533)</w:t>
            </w:r>
          </w:p>
        </w:tc>
        <w:tc>
          <w:tcPr>
            <w:tcW w:w="8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142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16"/>
                <w:szCs w:val="16"/>
                <w:color w:val="auto"/>
              </w:rPr>
            </w:pPr>
          </w:p>
        </w:tc>
        <w:tc>
          <w:tcPr>
            <w:tcW w:w="280" w:type="dxa"/>
            <w:vAlign w:val="bottom"/>
            <w:shd w:val="clear" w:color="auto" w:fill="E6E6E6"/>
          </w:tcPr>
          <w:p>
            <w:pPr>
              <w:spacing w:after="0"/>
              <w:rPr>
                <w:sz w:val="16"/>
                <w:szCs w:val="16"/>
                <w:color w:val="auto"/>
              </w:rPr>
            </w:pPr>
          </w:p>
        </w:tc>
        <w:tc>
          <w:tcPr>
            <w:tcW w:w="102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(533)</w:t>
            </w:r>
          </w:p>
        </w:tc>
        <w:tc>
          <w:tcPr>
            <w:tcW w:w="0" w:type="dxa"/>
            <w:vAlign w:val="bottom"/>
          </w:tcPr>
          <w:p>
            <w:pPr>
              <w:spacing w:after="0"/>
              <w:rPr>
                <w:sz w:val="1"/>
                <w:szCs w:val="1"/>
                <w:color w:val="auto"/>
              </w:rPr>
            </w:pPr>
          </w:p>
        </w:tc>
      </w:tr>
      <w:tr>
        <w:trPr>
          <w:trHeight w:val="268"/>
        </w:trPr>
        <w:tc>
          <w:tcPr>
            <w:tcW w:w="5500" w:type="dxa"/>
            <w:vAlign w:val="bottom"/>
            <w:gridSpan w:val="4"/>
            <w:shd w:val="clear" w:color="auto" w:fill="E6E6E6"/>
          </w:tcPr>
          <w:p>
            <w:pPr>
              <w:ind w:left="180"/>
              <w:spacing w:after="0"/>
              <w:rPr>
                <w:sz w:val="20"/>
                <w:szCs w:val="20"/>
                <w:color w:val="auto"/>
              </w:rPr>
            </w:pPr>
            <w:r>
              <w:rPr>
                <w:rFonts w:ascii="Arial" w:cs="Arial" w:eastAsia="Arial" w:hAnsi="Arial"/>
                <w:sz w:val="20"/>
                <w:szCs w:val="20"/>
                <w:color w:val="auto"/>
              </w:rPr>
              <w:t>loss, before tax</w:t>
            </w:r>
          </w:p>
        </w:tc>
        <w:tc>
          <w:tcPr>
            <w:tcW w:w="100" w:type="dxa"/>
            <w:vAlign w:val="bottom"/>
            <w:shd w:val="clear" w:color="auto" w:fill="E6E6E6"/>
          </w:tcPr>
          <w:p>
            <w:pPr>
              <w:spacing w:after="0"/>
              <w:rPr>
                <w:sz w:val="23"/>
                <w:szCs w:val="23"/>
                <w:color w:val="auto"/>
              </w:rPr>
            </w:pPr>
          </w:p>
        </w:tc>
        <w:tc>
          <w:tcPr>
            <w:tcW w:w="142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140" w:type="dxa"/>
            <w:vAlign w:val="bottom"/>
            <w:shd w:val="clear" w:color="auto" w:fill="E6E6E6"/>
          </w:tcPr>
          <w:p>
            <w:pPr>
              <w:spacing w:after="0"/>
              <w:rPr>
                <w:sz w:val="23"/>
                <w:szCs w:val="23"/>
                <w:color w:val="auto"/>
              </w:rPr>
            </w:pPr>
          </w:p>
        </w:tc>
        <w:tc>
          <w:tcPr>
            <w:tcW w:w="142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80" w:type="dxa"/>
            <w:vAlign w:val="bottom"/>
            <w:shd w:val="clear" w:color="auto" w:fill="E6E6E6"/>
          </w:tcPr>
          <w:p>
            <w:pPr>
              <w:spacing w:after="0"/>
              <w:rPr>
                <w:sz w:val="23"/>
                <w:szCs w:val="23"/>
                <w:color w:val="auto"/>
              </w:rPr>
            </w:pPr>
          </w:p>
        </w:tc>
        <w:tc>
          <w:tcPr>
            <w:tcW w:w="1020" w:type="dxa"/>
            <w:vAlign w:val="bottom"/>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500" w:type="dxa"/>
            <w:vAlign w:val="bottom"/>
            <w:gridSpan w:val="4"/>
          </w:tcPr>
          <w:p>
            <w:pPr>
              <w:ind w:left="180"/>
              <w:spacing w:after="0"/>
              <w:rPr>
                <w:sz w:val="20"/>
                <w:szCs w:val="20"/>
                <w:color w:val="auto"/>
              </w:rPr>
            </w:pPr>
            <w:r>
              <w:rPr>
                <w:rFonts w:ascii="Arial" w:cs="Arial" w:eastAsia="Arial" w:hAnsi="Arial"/>
                <w:sz w:val="20"/>
                <w:szCs w:val="20"/>
                <w:color w:val="auto"/>
              </w:rPr>
              <w:t>Reclassification of tax expense</w:t>
            </w: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78"/>
        </w:trPr>
        <w:tc>
          <w:tcPr>
            <w:tcW w:w="5460" w:type="dxa"/>
            <w:vAlign w:val="bottom"/>
            <w:tcBorders>
              <w:top w:val="single" w:sz="8" w:color="E6E6E6"/>
            </w:tcBorders>
            <w:gridSpan w:val="2"/>
            <w:shd w:val="clear" w:color="auto" w:fill="E6E6E6"/>
          </w:tcPr>
          <w:p>
            <w:pPr>
              <w:ind w:left="180"/>
              <w:spacing w:after="0" w:line="179" w:lineRule="exact"/>
              <w:rPr>
                <w:sz w:val="20"/>
                <w:szCs w:val="20"/>
                <w:color w:val="auto"/>
              </w:rPr>
            </w:pPr>
            <w:r>
              <w:rPr>
                <w:rFonts w:ascii="Arial" w:cs="Arial" w:eastAsia="Arial" w:hAnsi="Arial"/>
                <w:sz w:val="20"/>
                <w:szCs w:val="20"/>
                <w:color w:val="auto"/>
                <w:w w:val="93"/>
              </w:rPr>
              <w:t>Reclassification of gain from accumulated other comprehensive</w:t>
            </w:r>
          </w:p>
        </w:tc>
        <w:tc>
          <w:tcPr>
            <w:tcW w:w="40" w:type="dxa"/>
            <w:vAlign w:val="bottom"/>
            <w:tcBorders>
              <w:top w:val="single" w:sz="8" w:color="auto"/>
            </w:tcBorders>
            <w:gridSpan w:val="2"/>
            <w:shd w:val="clear" w:color="auto" w:fill="E6E6E6"/>
          </w:tcPr>
          <w:p>
            <w:pPr>
              <w:spacing w:after="0"/>
              <w:rPr>
                <w:sz w:val="15"/>
                <w:szCs w:val="15"/>
                <w:color w:val="auto"/>
              </w:rPr>
            </w:pPr>
          </w:p>
        </w:tc>
        <w:tc>
          <w:tcPr>
            <w:tcW w:w="100" w:type="dxa"/>
            <w:vAlign w:val="bottom"/>
            <w:tcBorders>
              <w:top w:val="single" w:sz="8" w:color="auto"/>
            </w:tcBorders>
            <w:shd w:val="clear" w:color="auto" w:fill="E6E6E6"/>
          </w:tcPr>
          <w:p>
            <w:pPr>
              <w:spacing w:after="0"/>
              <w:rPr>
                <w:sz w:val="15"/>
                <w:szCs w:val="15"/>
                <w:color w:val="auto"/>
              </w:rPr>
            </w:pPr>
          </w:p>
        </w:tc>
        <w:tc>
          <w:tcPr>
            <w:tcW w:w="1420" w:type="dxa"/>
            <w:vAlign w:val="bottom"/>
            <w:tcBorders>
              <w:top w:val="single" w:sz="8" w:color="auto"/>
            </w:tcBorders>
            <w:vMerge w:val="restart"/>
            <w:shd w:val="clear" w:color="auto" w:fill="E6E6E6"/>
          </w:tcPr>
          <w:p>
            <w:pPr>
              <w:jc w:val="right"/>
              <w:spacing w:after="0"/>
              <w:rPr>
                <w:sz w:val="20"/>
                <w:szCs w:val="20"/>
                <w:color w:val="auto"/>
              </w:rPr>
            </w:pPr>
            <w:r>
              <w:rPr>
                <w:rFonts w:ascii="Arial" w:cs="Arial" w:eastAsia="Arial" w:hAnsi="Arial"/>
                <w:sz w:val="20"/>
                <w:szCs w:val="20"/>
                <w:color w:val="auto"/>
              </w:rPr>
              <w:t>(533)</w:t>
            </w:r>
          </w:p>
        </w:tc>
        <w:tc>
          <w:tcPr>
            <w:tcW w:w="80" w:type="dxa"/>
            <w:vAlign w:val="bottom"/>
            <w:tcBorders>
              <w:top w:val="single" w:sz="8" w:color="E6E6E6"/>
            </w:tcBorders>
            <w:shd w:val="clear" w:color="auto" w:fill="E6E6E6"/>
          </w:tcPr>
          <w:p>
            <w:pPr>
              <w:spacing w:after="0"/>
              <w:rPr>
                <w:sz w:val="15"/>
                <w:szCs w:val="15"/>
                <w:color w:val="auto"/>
              </w:rPr>
            </w:pPr>
          </w:p>
        </w:tc>
        <w:tc>
          <w:tcPr>
            <w:tcW w:w="140" w:type="dxa"/>
            <w:vAlign w:val="bottom"/>
            <w:tcBorders>
              <w:top w:val="single" w:sz="8" w:color="auto"/>
            </w:tcBorders>
            <w:shd w:val="clear" w:color="auto" w:fill="E6E6E6"/>
          </w:tcPr>
          <w:p>
            <w:pPr>
              <w:spacing w:after="0"/>
              <w:rPr>
                <w:sz w:val="15"/>
                <w:szCs w:val="15"/>
                <w:color w:val="auto"/>
              </w:rPr>
            </w:pPr>
          </w:p>
        </w:tc>
        <w:tc>
          <w:tcPr>
            <w:tcW w:w="1420" w:type="dxa"/>
            <w:vAlign w:val="bottom"/>
            <w:tcBorders>
              <w:top w:val="single" w:sz="8" w:color="auto"/>
            </w:tcBorders>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top w:val="single" w:sz="8" w:color="E6E6E6"/>
            </w:tcBorders>
            <w:shd w:val="clear" w:color="auto" w:fill="E6E6E6"/>
          </w:tcPr>
          <w:p>
            <w:pPr>
              <w:spacing w:after="0"/>
              <w:rPr>
                <w:sz w:val="15"/>
                <w:szCs w:val="15"/>
                <w:color w:val="auto"/>
              </w:rPr>
            </w:pPr>
          </w:p>
        </w:tc>
        <w:tc>
          <w:tcPr>
            <w:tcW w:w="280" w:type="dxa"/>
            <w:vAlign w:val="bottom"/>
            <w:tcBorders>
              <w:top w:val="single" w:sz="8" w:color="auto"/>
            </w:tcBorders>
            <w:shd w:val="clear" w:color="auto" w:fill="E6E6E6"/>
          </w:tcPr>
          <w:p>
            <w:pPr>
              <w:spacing w:after="0"/>
              <w:rPr>
                <w:sz w:val="15"/>
                <w:szCs w:val="15"/>
                <w:color w:val="auto"/>
              </w:rPr>
            </w:pPr>
          </w:p>
        </w:tc>
        <w:tc>
          <w:tcPr>
            <w:tcW w:w="1020" w:type="dxa"/>
            <w:vAlign w:val="bottom"/>
            <w:tcBorders>
              <w:top w:val="single" w:sz="8" w:color="auto"/>
            </w:tcBorders>
            <w:vMerge w:val="restart"/>
            <w:shd w:val="clear" w:color="auto" w:fill="E6E6E6"/>
          </w:tcPr>
          <w:p>
            <w:pPr>
              <w:jc w:val="right"/>
              <w:spacing w:after="0"/>
              <w:rPr>
                <w:sz w:val="20"/>
                <w:szCs w:val="20"/>
                <w:color w:val="auto"/>
              </w:rPr>
            </w:pPr>
            <w:r>
              <w:rPr>
                <w:rFonts w:ascii="Arial" w:cs="Arial" w:eastAsia="Arial" w:hAnsi="Arial"/>
                <w:sz w:val="20"/>
                <w:szCs w:val="20"/>
                <w:color w:val="auto"/>
              </w:rPr>
              <w:t>(533)</w:t>
            </w:r>
          </w:p>
        </w:tc>
        <w:tc>
          <w:tcPr>
            <w:tcW w:w="0" w:type="dxa"/>
            <w:vAlign w:val="bottom"/>
          </w:tcPr>
          <w:p>
            <w:pPr>
              <w:spacing w:after="0"/>
              <w:rPr>
                <w:sz w:val="1"/>
                <w:szCs w:val="1"/>
                <w:color w:val="auto"/>
              </w:rPr>
            </w:pPr>
          </w:p>
        </w:tc>
      </w:tr>
      <w:tr>
        <w:trPr>
          <w:trHeight w:val="258"/>
        </w:trPr>
        <w:tc>
          <w:tcPr>
            <w:tcW w:w="5460" w:type="dxa"/>
            <w:vAlign w:val="bottom"/>
            <w:tcBorders>
              <w:bottom w:val="single" w:sz="8" w:color="E6E6E6"/>
            </w:tcBorders>
            <w:gridSpan w:val="2"/>
            <w:shd w:val="clear" w:color="auto" w:fill="E6E6E6"/>
          </w:tcPr>
          <w:p>
            <w:pPr>
              <w:ind w:left="180"/>
              <w:spacing w:after="0"/>
              <w:rPr>
                <w:sz w:val="20"/>
                <w:szCs w:val="20"/>
                <w:color w:val="auto"/>
              </w:rPr>
            </w:pPr>
            <w:r>
              <w:rPr>
                <w:rFonts w:ascii="Arial" w:cs="Arial" w:eastAsia="Arial" w:hAnsi="Arial"/>
                <w:sz w:val="20"/>
                <w:szCs w:val="20"/>
                <w:color w:val="auto"/>
              </w:rPr>
              <w:t>loss, after tax</w:t>
            </w:r>
          </w:p>
        </w:tc>
        <w:tc>
          <w:tcPr>
            <w:tcW w:w="40" w:type="dxa"/>
            <w:vAlign w:val="bottom"/>
            <w:tcBorders>
              <w:bottom w:val="single" w:sz="8" w:color="auto"/>
            </w:tcBorders>
            <w:gridSpan w:val="2"/>
            <w:shd w:val="clear" w:color="auto" w:fill="E6E6E6"/>
          </w:tcPr>
          <w:p>
            <w:pPr>
              <w:spacing w:after="0"/>
              <w:rPr>
                <w:sz w:val="22"/>
                <w:szCs w:val="22"/>
                <w:color w:val="auto"/>
              </w:rPr>
            </w:pPr>
          </w:p>
        </w:tc>
        <w:tc>
          <w:tcPr>
            <w:tcW w:w="100" w:type="dxa"/>
            <w:vAlign w:val="bottom"/>
            <w:tcBorders>
              <w:bottom w:val="single" w:sz="8" w:color="auto"/>
            </w:tcBorders>
            <w:shd w:val="clear" w:color="auto" w:fill="E6E6E6"/>
          </w:tcPr>
          <w:p>
            <w:pPr>
              <w:spacing w:after="0"/>
              <w:rPr>
                <w:sz w:val="22"/>
                <w:szCs w:val="22"/>
                <w:color w:val="auto"/>
              </w:rPr>
            </w:pPr>
          </w:p>
        </w:tc>
        <w:tc>
          <w:tcPr>
            <w:tcW w:w="1420" w:type="dxa"/>
            <w:vAlign w:val="bottom"/>
            <w:tcBorders>
              <w:bottom w:val="single" w:sz="8" w:color="auto"/>
            </w:tcBorders>
            <w:vMerge w:val="continue"/>
            <w:shd w:val="clear" w:color="auto" w:fill="E6E6E6"/>
          </w:tcPr>
          <w:p>
            <w:pPr>
              <w:spacing w:after="0"/>
              <w:rPr>
                <w:sz w:val="22"/>
                <w:szCs w:val="22"/>
                <w:color w:val="auto"/>
              </w:rPr>
            </w:pPr>
          </w:p>
        </w:tc>
        <w:tc>
          <w:tcPr>
            <w:tcW w:w="80" w:type="dxa"/>
            <w:vAlign w:val="bottom"/>
            <w:tcBorders>
              <w:bottom w:val="single" w:sz="8" w:color="E6E6E6"/>
            </w:tcBorders>
            <w:shd w:val="clear" w:color="auto" w:fill="E6E6E6"/>
          </w:tcPr>
          <w:p>
            <w:pPr>
              <w:spacing w:after="0"/>
              <w:rPr>
                <w:sz w:val="22"/>
                <w:szCs w:val="22"/>
                <w:color w:val="auto"/>
              </w:rPr>
            </w:pPr>
          </w:p>
        </w:tc>
        <w:tc>
          <w:tcPr>
            <w:tcW w:w="140" w:type="dxa"/>
            <w:vAlign w:val="bottom"/>
            <w:tcBorders>
              <w:bottom w:val="single" w:sz="8" w:color="auto"/>
            </w:tcBorders>
            <w:shd w:val="clear" w:color="auto" w:fill="E6E6E6"/>
          </w:tcPr>
          <w:p>
            <w:pPr>
              <w:spacing w:after="0"/>
              <w:rPr>
                <w:sz w:val="22"/>
                <w:szCs w:val="22"/>
                <w:color w:val="auto"/>
              </w:rPr>
            </w:pPr>
          </w:p>
        </w:tc>
        <w:tc>
          <w:tcPr>
            <w:tcW w:w="1420" w:type="dxa"/>
            <w:vAlign w:val="bottom"/>
            <w:tcBorders>
              <w:bottom w:val="single" w:sz="8" w:color="auto"/>
            </w:tcBorders>
            <w:vMerge w:val="continue"/>
            <w:shd w:val="clear" w:color="auto" w:fill="E6E6E6"/>
          </w:tcPr>
          <w:p>
            <w:pPr>
              <w:spacing w:after="0"/>
              <w:rPr>
                <w:sz w:val="22"/>
                <w:szCs w:val="22"/>
                <w:color w:val="auto"/>
              </w:rPr>
            </w:pPr>
          </w:p>
        </w:tc>
        <w:tc>
          <w:tcPr>
            <w:tcW w:w="80" w:type="dxa"/>
            <w:vAlign w:val="bottom"/>
            <w:tcBorders>
              <w:bottom w:val="single" w:sz="8" w:color="E6E6E6"/>
            </w:tcBorders>
            <w:shd w:val="clear" w:color="auto" w:fill="E6E6E6"/>
          </w:tcPr>
          <w:p>
            <w:pPr>
              <w:spacing w:after="0"/>
              <w:rPr>
                <w:sz w:val="22"/>
                <w:szCs w:val="22"/>
                <w:color w:val="auto"/>
              </w:rPr>
            </w:pPr>
          </w:p>
        </w:tc>
        <w:tc>
          <w:tcPr>
            <w:tcW w:w="280" w:type="dxa"/>
            <w:vAlign w:val="bottom"/>
            <w:tcBorders>
              <w:bottom w:val="single" w:sz="8" w:color="auto"/>
            </w:tcBorders>
            <w:shd w:val="clear" w:color="auto" w:fill="E6E6E6"/>
          </w:tcPr>
          <w:p>
            <w:pPr>
              <w:spacing w:after="0"/>
              <w:rPr>
                <w:sz w:val="22"/>
                <w:szCs w:val="22"/>
                <w:color w:val="auto"/>
              </w:rPr>
            </w:pPr>
          </w:p>
        </w:tc>
        <w:tc>
          <w:tcPr>
            <w:tcW w:w="1020" w:type="dxa"/>
            <w:vAlign w:val="bottom"/>
            <w:tcBorders>
              <w:bottom w:val="single" w:sz="8" w:color="auto"/>
            </w:tcBorders>
            <w:vMerge w:val="continue"/>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5440" w:type="dxa"/>
            <w:vAlign w:val="bottom"/>
            <w:tcBorders>
              <w:bottom w:val="single" w:sz="8" w:color="E6E6E6"/>
            </w:tcBorders>
          </w:tcPr>
          <w:p>
            <w:pPr>
              <w:ind w:left="180"/>
              <w:spacing w:after="0"/>
              <w:rPr>
                <w:sz w:val="20"/>
                <w:szCs w:val="20"/>
                <w:color w:val="auto"/>
              </w:rPr>
            </w:pPr>
            <w:r>
              <w:rPr>
                <w:rFonts w:ascii="Arial" w:cs="Arial" w:eastAsia="Arial" w:hAnsi="Arial"/>
                <w:sz w:val="20"/>
                <w:szCs w:val="20"/>
                <w:color w:val="auto"/>
                <w:w w:val="91"/>
              </w:rPr>
              <w:t>Net current-period other comprehensive (loss) income, net of tax</w:t>
            </w:r>
          </w:p>
        </w:tc>
        <w:tc>
          <w:tcPr>
            <w:tcW w:w="60" w:type="dxa"/>
            <w:vAlign w:val="bottom"/>
            <w:tcBorders>
              <w:bottom w:val="single" w:sz="8" w:color="auto"/>
            </w:tcBorders>
            <w:gridSpan w:val="3"/>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(966)</w:t>
            </w:r>
          </w:p>
        </w:tc>
        <w:tc>
          <w:tcPr>
            <w:tcW w:w="80" w:type="dxa"/>
            <w:vAlign w:val="bottom"/>
            <w:tcBorders>
              <w:bottom w:val="single" w:sz="8" w:color="E6E6E6"/>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21,202</w:t>
            </w:r>
          </w:p>
        </w:tc>
        <w:tc>
          <w:tcPr>
            <w:tcW w:w="80" w:type="dxa"/>
            <w:vAlign w:val="bottom"/>
            <w:tcBorders>
              <w:bottom w:val="single" w:sz="8" w:color="E6E6E6"/>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20,236</w:t>
            </w:r>
          </w:p>
        </w:tc>
        <w:tc>
          <w:tcPr>
            <w:tcW w:w="0" w:type="dxa"/>
            <w:vAlign w:val="bottom"/>
          </w:tcPr>
          <w:p>
            <w:pPr>
              <w:spacing w:after="0"/>
              <w:rPr>
                <w:sz w:val="1"/>
                <w:szCs w:val="1"/>
                <w:color w:val="auto"/>
              </w:rPr>
            </w:pPr>
          </w:p>
        </w:tc>
      </w:tr>
      <w:tr>
        <w:trPr>
          <w:trHeight w:val="259"/>
        </w:trPr>
        <w:tc>
          <w:tcPr>
            <w:tcW w:w="54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As of December 31, 2023</w:t>
            </w:r>
          </w:p>
        </w:tc>
        <w:tc>
          <w:tcPr>
            <w:tcW w:w="60" w:type="dxa"/>
            <w:vAlign w:val="bottom"/>
            <w:tcBorders>
              <w:bottom w:val="single" w:sz="8" w:color="auto"/>
            </w:tcBorders>
            <w:gridSpan w:val="3"/>
            <w:shd w:val="clear" w:color="auto" w:fill="E6E6E6"/>
          </w:tcPr>
          <w:p>
            <w:pPr>
              <w:spacing w:after="0"/>
              <w:rPr>
                <w:sz w:val="22"/>
                <w:szCs w:val="22"/>
                <w:color w:val="auto"/>
              </w:rPr>
            </w:pPr>
          </w:p>
        </w:tc>
        <w:tc>
          <w:tcPr>
            <w:tcW w:w="100" w:type="dxa"/>
            <w:vAlign w:val="bottom"/>
            <w:tcBorders>
              <w:bottom w:val="single" w:sz="8" w:color="auto"/>
            </w:tcBorders>
            <w:shd w:val="clear" w:color="auto" w:fill="E6E6E6"/>
          </w:tcPr>
          <w:p>
            <w:pPr>
              <w:spacing w:after="0"/>
              <w:rPr>
                <w:sz w:val="22"/>
                <w:szCs w:val="22"/>
                <w:color w:val="auto"/>
              </w:rPr>
            </w:pPr>
          </w:p>
        </w:tc>
        <w:tc>
          <w:tcPr>
            <w:tcW w:w="14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shd w:val="clear" w:color="auto" w:fill="E6E6E6"/>
          </w:tcPr>
          <w:p>
            <w:pPr>
              <w:spacing w:after="0"/>
              <w:rPr>
                <w:sz w:val="22"/>
                <w:szCs w:val="22"/>
                <w:color w:val="auto"/>
              </w:rPr>
            </w:pPr>
          </w:p>
        </w:tc>
        <w:tc>
          <w:tcPr>
            <w:tcW w:w="140" w:type="dxa"/>
            <w:vAlign w:val="bottom"/>
            <w:tcBorders>
              <w:bottom w:val="single" w:sz="8" w:color="auto"/>
            </w:tcBorders>
            <w:shd w:val="clear" w:color="auto" w:fill="E6E6E6"/>
          </w:tcPr>
          <w:p>
            <w:pPr>
              <w:spacing w:after="0"/>
              <w:rPr>
                <w:sz w:val="22"/>
                <w:szCs w:val="22"/>
                <w:color w:val="auto"/>
              </w:rPr>
            </w:pPr>
          </w:p>
        </w:tc>
        <w:tc>
          <w:tcPr>
            <w:tcW w:w="14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(27,883)</w:t>
            </w:r>
          </w:p>
        </w:tc>
        <w:tc>
          <w:tcPr>
            <w:tcW w:w="80" w:type="dxa"/>
            <w:vAlign w:val="bottom"/>
            <w:tcBorders>
              <w:bottom w:val="single" w:sz="8" w:color="E6E6E6"/>
            </w:tcBorders>
            <w:shd w:val="clear" w:color="auto" w:fill="E6E6E6"/>
          </w:tcPr>
          <w:p>
            <w:pPr>
              <w:spacing w:after="0"/>
              <w:rPr>
                <w:sz w:val="22"/>
                <w:szCs w:val="22"/>
                <w:color w:val="auto"/>
              </w:rPr>
            </w:pPr>
          </w:p>
        </w:tc>
        <w:tc>
          <w:tcPr>
            <w:tcW w:w="280" w:type="dxa"/>
            <w:vAlign w:val="bottom"/>
            <w:tcBorders>
              <w:bottom w:val="single" w:sz="8" w:color="auto"/>
            </w:tcBorders>
            <w:shd w:val="clear" w:color="auto" w:fill="E6E6E6"/>
          </w:tcPr>
          <w:p>
            <w:pPr>
              <w:spacing w:after="0"/>
              <w:rPr>
                <w:sz w:val="22"/>
                <w:szCs w:val="22"/>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(27,883)</w:t>
            </w:r>
          </w:p>
        </w:tc>
        <w:tc>
          <w:tcPr>
            <w:tcW w:w="0" w:type="dxa"/>
            <w:vAlign w:val="bottom"/>
          </w:tcPr>
          <w:p>
            <w:pPr>
              <w:spacing w:after="0"/>
              <w:rPr>
                <w:sz w:val="1"/>
                <w:szCs w:val="1"/>
                <w:color w:val="auto"/>
              </w:rPr>
            </w:pPr>
          </w:p>
        </w:tc>
      </w:tr>
      <w:tr>
        <w:trPr>
          <w:trHeight w:val="264"/>
        </w:trPr>
        <w:tc>
          <w:tcPr>
            <w:tcW w:w="5500" w:type="dxa"/>
            <w:vAlign w:val="bottom"/>
            <w:gridSpan w:val="4"/>
          </w:tcPr>
          <w:p>
            <w:pPr>
              <w:ind w:left="180"/>
              <w:spacing w:after="0"/>
              <w:rPr>
                <w:sz w:val="20"/>
                <w:szCs w:val="20"/>
                <w:color w:val="auto"/>
              </w:rPr>
            </w:pPr>
            <w:r>
              <w:rPr>
                <w:rFonts w:ascii="Arial" w:cs="Arial" w:eastAsia="Arial" w:hAnsi="Arial"/>
                <w:sz w:val="20"/>
                <w:szCs w:val="20"/>
                <w:color w:val="auto"/>
                <w:w w:val="97"/>
              </w:rPr>
              <w:t>Other comprehensive loss before reclassifications, before tax</w:t>
            </w:r>
          </w:p>
        </w:tc>
        <w:tc>
          <w:tcPr>
            <w:tcW w:w="1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(52,287)</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(52,287)</w:t>
            </w:r>
          </w:p>
        </w:tc>
        <w:tc>
          <w:tcPr>
            <w:tcW w:w="0" w:type="dxa"/>
            <w:vAlign w:val="bottom"/>
          </w:tcPr>
          <w:p>
            <w:pPr>
              <w:spacing w:after="0"/>
              <w:rPr>
                <w:sz w:val="1"/>
                <w:szCs w:val="1"/>
                <w:color w:val="auto"/>
              </w:rPr>
            </w:pPr>
          </w:p>
        </w:tc>
      </w:tr>
      <w:tr>
        <w:trPr>
          <w:trHeight w:val="275"/>
        </w:trPr>
        <w:tc>
          <w:tcPr>
            <w:tcW w:w="544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20"/>
                <w:szCs w:val="20"/>
                <w:color w:val="auto"/>
              </w:rPr>
              <w:t>Tax expense</w:t>
            </w:r>
          </w:p>
        </w:tc>
        <w:tc>
          <w:tcPr>
            <w:tcW w:w="60" w:type="dxa"/>
            <w:vAlign w:val="bottom"/>
            <w:tcBorders>
              <w:bottom w:val="single" w:sz="8" w:color="auto"/>
            </w:tcBorders>
            <w:gridSpan w:val="3"/>
            <w:shd w:val="clear" w:color="auto" w:fill="E6E6E6"/>
          </w:tcPr>
          <w:p>
            <w:pPr>
              <w:spacing w:after="0"/>
              <w:rPr>
                <w:sz w:val="23"/>
                <w:szCs w:val="23"/>
                <w:color w:val="auto"/>
              </w:rPr>
            </w:pPr>
          </w:p>
        </w:tc>
        <w:tc>
          <w:tcPr>
            <w:tcW w:w="100" w:type="dxa"/>
            <w:vAlign w:val="bottom"/>
            <w:tcBorders>
              <w:bottom w:val="single" w:sz="8" w:color="auto"/>
            </w:tcBorders>
            <w:shd w:val="clear" w:color="auto" w:fill="E6E6E6"/>
          </w:tcPr>
          <w:p>
            <w:pPr>
              <w:spacing w:after="0"/>
              <w:rPr>
                <w:sz w:val="23"/>
                <w:szCs w:val="23"/>
                <w:color w:val="auto"/>
              </w:rPr>
            </w:pPr>
          </w:p>
        </w:tc>
        <w:tc>
          <w:tcPr>
            <w:tcW w:w="14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shd w:val="clear" w:color="auto" w:fill="E6E6E6"/>
          </w:tcPr>
          <w:p>
            <w:pPr>
              <w:spacing w:after="0"/>
              <w:rPr>
                <w:sz w:val="23"/>
                <w:szCs w:val="23"/>
                <w:color w:val="auto"/>
              </w:rPr>
            </w:pPr>
          </w:p>
        </w:tc>
        <w:tc>
          <w:tcPr>
            <w:tcW w:w="140" w:type="dxa"/>
            <w:vAlign w:val="bottom"/>
            <w:tcBorders>
              <w:bottom w:val="single" w:sz="8" w:color="auto"/>
            </w:tcBorders>
            <w:shd w:val="clear" w:color="auto" w:fill="E6E6E6"/>
          </w:tcPr>
          <w:p>
            <w:pPr>
              <w:spacing w:after="0"/>
              <w:rPr>
                <w:sz w:val="23"/>
                <w:szCs w:val="23"/>
                <w:color w:val="auto"/>
              </w:rPr>
            </w:pPr>
          </w:p>
        </w:tc>
        <w:tc>
          <w:tcPr>
            <w:tcW w:w="14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shd w:val="clear" w:color="auto" w:fill="E6E6E6"/>
          </w:tcPr>
          <w:p>
            <w:pPr>
              <w:spacing w:after="0"/>
              <w:rPr>
                <w:sz w:val="23"/>
                <w:szCs w:val="23"/>
                <w:color w:val="auto"/>
              </w:rPr>
            </w:pPr>
          </w:p>
        </w:tc>
        <w:tc>
          <w:tcPr>
            <w:tcW w:w="280" w:type="dxa"/>
            <w:vAlign w:val="bottom"/>
            <w:tcBorders>
              <w:bottom w:val="single" w:sz="8" w:color="auto"/>
            </w:tcBorders>
            <w:shd w:val="clear" w:color="auto" w:fill="E6E6E6"/>
          </w:tcPr>
          <w:p>
            <w:pPr>
              <w:spacing w:after="0"/>
              <w:rPr>
                <w:sz w:val="23"/>
                <w:szCs w:val="23"/>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9"/>
        </w:trPr>
        <w:tc>
          <w:tcPr>
            <w:tcW w:w="5440" w:type="dxa"/>
            <w:vAlign w:val="bottom"/>
            <w:tcBorders>
              <w:bottom w:val="single" w:sz="8" w:color="E6E6E6"/>
            </w:tcBorders>
          </w:tcPr>
          <w:p>
            <w:pPr>
              <w:ind w:left="180"/>
              <w:spacing w:after="0"/>
              <w:rPr>
                <w:sz w:val="20"/>
                <w:szCs w:val="20"/>
                <w:color w:val="auto"/>
              </w:rPr>
            </w:pPr>
            <w:r>
              <w:rPr>
                <w:rFonts w:ascii="Arial" w:cs="Arial" w:eastAsia="Arial" w:hAnsi="Arial"/>
                <w:sz w:val="20"/>
                <w:szCs w:val="20"/>
                <w:color w:val="auto"/>
                <w:w w:val="97"/>
              </w:rPr>
              <w:t>Other comprehensive loss before reclassifications, net of tax</w:t>
            </w:r>
          </w:p>
        </w:tc>
        <w:tc>
          <w:tcPr>
            <w:tcW w:w="60" w:type="dxa"/>
            <w:vAlign w:val="bottom"/>
            <w:tcBorders>
              <w:bottom w:val="single" w:sz="8" w:color="auto"/>
            </w:tcBorders>
            <w:gridSpan w:val="3"/>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(52,287)</w:t>
            </w:r>
          </w:p>
        </w:tc>
        <w:tc>
          <w:tcPr>
            <w:tcW w:w="80" w:type="dxa"/>
            <w:vAlign w:val="bottom"/>
            <w:tcBorders>
              <w:bottom w:val="single" w:sz="8" w:color="E6E6E6"/>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(52,287)</w:t>
            </w:r>
          </w:p>
        </w:tc>
        <w:tc>
          <w:tcPr>
            <w:tcW w:w="0" w:type="dxa"/>
            <w:vAlign w:val="bottom"/>
          </w:tcPr>
          <w:p>
            <w:pPr>
              <w:spacing w:after="0"/>
              <w:rPr>
                <w:sz w:val="1"/>
                <w:szCs w:val="1"/>
                <w:color w:val="auto"/>
              </w:rPr>
            </w:pPr>
          </w:p>
        </w:tc>
      </w:tr>
      <w:tr>
        <w:trPr>
          <w:trHeight w:val="259"/>
        </w:trPr>
        <w:tc>
          <w:tcPr>
            <w:tcW w:w="544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20"/>
                <w:szCs w:val="20"/>
                <w:color w:val="auto"/>
              </w:rPr>
              <w:t>Net current-period other comprehensive loss, net of tax</w:t>
            </w:r>
          </w:p>
        </w:tc>
        <w:tc>
          <w:tcPr>
            <w:tcW w:w="60" w:type="dxa"/>
            <w:vAlign w:val="bottom"/>
            <w:tcBorders>
              <w:bottom w:val="single" w:sz="8" w:color="auto"/>
            </w:tcBorders>
            <w:gridSpan w:val="3"/>
            <w:shd w:val="clear" w:color="auto" w:fill="E6E6E6"/>
          </w:tcPr>
          <w:p>
            <w:pPr>
              <w:spacing w:after="0"/>
              <w:rPr>
                <w:sz w:val="22"/>
                <w:szCs w:val="22"/>
                <w:color w:val="auto"/>
              </w:rPr>
            </w:pPr>
          </w:p>
        </w:tc>
        <w:tc>
          <w:tcPr>
            <w:tcW w:w="100" w:type="dxa"/>
            <w:vAlign w:val="bottom"/>
            <w:tcBorders>
              <w:bottom w:val="single" w:sz="8" w:color="auto"/>
            </w:tcBorders>
            <w:shd w:val="clear" w:color="auto" w:fill="E6E6E6"/>
          </w:tcPr>
          <w:p>
            <w:pPr>
              <w:spacing w:after="0"/>
              <w:rPr>
                <w:sz w:val="22"/>
                <w:szCs w:val="22"/>
                <w:color w:val="auto"/>
              </w:rPr>
            </w:pPr>
          </w:p>
        </w:tc>
        <w:tc>
          <w:tcPr>
            <w:tcW w:w="14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shd w:val="clear" w:color="auto" w:fill="E6E6E6"/>
          </w:tcPr>
          <w:p>
            <w:pPr>
              <w:spacing w:after="0"/>
              <w:rPr>
                <w:sz w:val="22"/>
                <w:szCs w:val="22"/>
                <w:color w:val="auto"/>
              </w:rPr>
            </w:pPr>
          </w:p>
        </w:tc>
        <w:tc>
          <w:tcPr>
            <w:tcW w:w="140" w:type="dxa"/>
            <w:vAlign w:val="bottom"/>
            <w:tcBorders>
              <w:bottom w:val="single" w:sz="8" w:color="auto"/>
            </w:tcBorders>
            <w:shd w:val="clear" w:color="auto" w:fill="E6E6E6"/>
          </w:tcPr>
          <w:p>
            <w:pPr>
              <w:spacing w:after="0"/>
              <w:rPr>
                <w:sz w:val="22"/>
                <w:szCs w:val="22"/>
                <w:color w:val="auto"/>
              </w:rPr>
            </w:pPr>
          </w:p>
        </w:tc>
        <w:tc>
          <w:tcPr>
            <w:tcW w:w="14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(52,287)</w:t>
            </w:r>
          </w:p>
        </w:tc>
        <w:tc>
          <w:tcPr>
            <w:tcW w:w="80" w:type="dxa"/>
            <w:vAlign w:val="bottom"/>
            <w:tcBorders>
              <w:bottom w:val="single" w:sz="8" w:color="E6E6E6"/>
            </w:tcBorders>
            <w:shd w:val="clear" w:color="auto" w:fill="E6E6E6"/>
          </w:tcPr>
          <w:p>
            <w:pPr>
              <w:spacing w:after="0"/>
              <w:rPr>
                <w:sz w:val="22"/>
                <w:szCs w:val="22"/>
                <w:color w:val="auto"/>
              </w:rPr>
            </w:pPr>
          </w:p>
        </w:tc>
        <w:tc>
          <w:tcPr>
            <w:tcW w:w="280" w:type="dxa"/>
            <w:vAlign w:val="bottom"/>
            <w:tcBorders>
              <w:bottom w:val="single" w:sz="8" w:color="auto"/>
            </w:tcBorders>
            <w:shd w:val="clear" w:color="auto" w:fill="E6E6E6"/>
          </w:tcPr>
          <w:p>
            <w:pPr>
              <w:spacing w:after="0"/>
              <w:rPr>
                <w:sz w:val="22"/>
                <w:szCs w:val="22"/>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(52,287)</w:t>
            </w:r>
          </w:p>
        </w:tc>
        <w:tc>
          <w:tcPr>
            <w:tcW w:w="0" w:type="dxa"/>
            <w:vAlign w:val="bottom"/>
          </w:tcPr>
          <w:p>
            <w:pPr>
              <w:spacing w:after="0"/>
              <w:rPr>
                <w:sz w:val="1"/>
                <w:szCs w:val="1"/>
                <w:color w:val="auto"/>
              </w:rPr>
            </w:pPr>
          </w:p>
        </w:tc>
      </w:tr>
      <w:tr>
        <w:trPr>
          <w:trHeight w:val="240"/>
        </w:trPr>
        <w:tc>
          <w:tcPr>
            <w:tcW w:w="5500" w:type="dxa"/>
            <w:vAlign w:val="bottom"/>
            <w:gridSpan w:val="4"/>
          </w:tcPr>
          <w:p>
            <w:pPr>
              <w:ind w:left="40"/>
              <w:spacing w:after="0"/>
              <w:rPr>
                <w:sz w:val="20"/>
                <w:szCs w:val="20"/>
                <w:color w:val="auto"/>
              </w:rPr>
            </w:pPr>
            <w:r>
              <w:rPr>
                <w:rFonts w:ascii="Arial" w:cs="Arial" w:eastAsia="Arial" w:hAnsi="Arial"/>
                <w:sz w:val="20"/>
                <w:szCs w:val="20"/>
                <w:color w:val="auto"/>
              </w:rPr>
              <w:t>As of December 31, 2024</w:t>
            </w:r>
          </w:p>
        </w:tc>
        <w:tc>
          <w:tcPr>
            <w:tcW w:w="1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42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420" w:type="dxa"/>
            <w:vAlign w:val="bottom"/>
          </w:tcPr>
          <w:p>
            <w:pPr>
              <w:jc w:val="right"/>
              <w:spacing w:after="0"/>
              <w:rPr>
                <w:sz w:val="20"/>
                <w:szCs w:val="20"/>
                <w:color w:val="auto"/>
              </w:rPr>
            </w:pPr>
            <w:r>
              <w:rPr>
                <w:rFonts w:ascii="Arial" w:cs="Arial" w:eastAsia="Arial" w:hAnsi="Arial"/>
                <w:sz w:val="20"/>
                <w:szCs w:val="20"/>
                <w:color w:val="auto"/>
              </w:rPr>
              <w:t>(80,170)</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(80,170)</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-4604385</wp:posOffset>
            </wp:positionV>
            <wp:extent cx="294703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57">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-4427220</wp:posOffset>
            </wp:positionV>
            <wp:extent cx="294703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58">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-4072890</wp:posOffset>
            </wp:positionV>
            <wp:extent cx="294703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59">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-3428365</wp:posOffset>
            </wp:positionV>
            <wp:extent cx="294703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60">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-3139440</wp:posOffset>
            </wp:positionV>
            <wp:extent cx="294703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61">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-2961640</wp:posOffset>
            </wp:positionV>
            <wp:extent cx="294703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62">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-2784475</wp:posOffset>
            </wp:positionV>
            <wp:extent cx="294703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63">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-2317750</wp:posOffset>
            </wp:positionV>
            <wp:extent cx="294703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64">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-1561465</wp:posOffset>
            </wp:positionV>
            <wp:extent cx="294703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65">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-1272540</wp:posOffset>
            </wp:positionV>
            <wp:extent cx="294703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66">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-1094740</wp:posOffset>
            </wp:positionV>
            <wp:extent cx="294703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67">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-917575</wp:posOffset>
            </wp:positionV>
            <wp:extent cx="294703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68">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-562610</wp:posOffset>
            </wp:positionV>
            <wp:extent cx="294703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69">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-385445</wp:posOffset>
            </wp:positionV>
            <wp:extent cx="294703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70">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-208280</wp:posOffset>
            </wp:positionV>
            <wp:extent cx="294703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71">
                      <a:extLst>
                        <a:ext uri="{28A0092B-C50C-407E-A947-70E740481C1C}"/>
                      </a:extLst>
                    </a:blip>
                    <a:srcRect/>
                    <a:stretch>
                      <a:fillRect/>
                    </a:stretch>
                  </pic:blipFill>
                  <pic:spPr bwMode="auto">
                    <a:xfrm>
                      <a:off x="0" y="0"/>
                      <a:ext cx="2947035" cy="25400"/>
                    </a:xfrm>
                    <a:prstGeom prst="rect">
                      <a:avLst/>
                    </a:prstGeom>
                    <a:noFill/>
                  </pic:spPr>
                </pic:pic>
              </a:graphicData>
            </a:graphic>
          </wp:anchor>
        </w:drawing>
      </w:r>
    </w:p>
    <w:p>
      <w:pPr>
        <w:spacing w:after="0" w:line="111" w:lineRule="exact"/>
        <w:rPr>
          <w:sz w:val="20"/>
          <w:szCs w:val="20"/>
          <w:color w:val="auto"/>
        </w:rPr>
      </w:pPr>
    </w:p>
    <w:p>
      <w:pPr>
        <w:ind w:left="520" w:right="520" w:hanging="351"/>
        <w:spacing w:after="0" w:line="230" w:lineRule="auto"/>
        <w:tabs>
          <w:tab w:leader="none" w:pos="52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Taxes were not provided for foreign currency translation adjustments as translation adjustments are related to earnings that are intended to be reinvested in the countries where earned.</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Stock-Based Incentive Plans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Stock-Based Plans</w:t>
      </w:r>
    </w:p>
    <w:p>
      <w:pPr>
        <w:spacing w:after="0" w:line="140"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During the year ended December 31, 2024, LivaNova issued stock-based compensatory awards with terms approved by the Compensation and Human Capital Management Committee of LivaNova’s Board of Directors. The awards with service conditions generally vest ratably over four years and are subject to forfeiture unless service conditions are met. The market performance-based awards that were issued cliff vest after three years subject to the rank of LivaNova’s total shareholder return for the three-year period ending December 31, 2026 relative to the total shareholder returns of the S&amp;P Healthcare Equipment Select Industry Index. The adjusted free cash flow and return on invested capital operating performance-based awards that were issued cliff vest after three years subject to the achievement of certain thresholds of cumulative results for the three-year period ending December 31, 2026. Compensation expense related to awards granted during 2024 for the year ended December 31, 2024 was $8.9 million.</w:t>
      </w:r>
    </w:p>
    <w:p>
      <w:pPr>
        <w:spacing w:after="0" w:line="78" w:lineRule="exact"/>
        <w:rPr>
          <w:sz w:val="20"/>
          <w:szCs w:val="20"/>
          <w:color w:val="auto"/>
        </w:rPr>
      </w:pPr>
    </w:p>
    <w:p>
      <w:pPr>
        <w:jc w:val="both"/>
        <w:spacing w:after="0" w:line="338" w:lineRule="auto"/>
        <w:rPr>
          <w:sz w:val="20"/>
          <w:szCs w:val="20"/>
          <w:color w:val="auto"/>
        </w:rPr>
      </w:pPr>
      <w:r>
        <w:rPr>
          <w:rFonts w:ascii="Arial" w:cs="Arial" w:eastAsia="Arial" w:hAnsi="Arial"/>
          <w:sz w:val="17"/>
          <w:szCs w:val="17"/>
          <w:color w:val="auto"/>
        </w:rPr>
        <w:t>Stock-based awards may be granted under the 2015 Plan and the A&amp;R 2022 Plan in the form of stock options, SARs, RSUs, and other stock-based and cash-based awards. As of December 31, 2024, under the 2015 Plan, there were 88,079 shares available for future grants to LivaNova’s non-executive directors and under the A&amp;R 2022 Plan, there were 1,544,717 shares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F-33</w:t>
      </w:r>
    </w:p>
    <w:p>
      <w:pPr>
        <w:sectPr>
          <w:pgSz w:w="11880" w:h="15480" w:orient="portrait"/>
          <w:cols w:equalWidth="0" w:num="1">
            <w:col w:w="10040"/>
          </w:cols>
          <w:pgMar w:left="920" w:top="650" w:right="920" w:bottom="0" w:gutter="0" w:footer="0" w:header="0"/>
        </w:sectPr>
      </w:pPr>
    </w:p>
    <w:bookmarkStart w:id="91" w:name="page92"/>
    <w:bookmarkEnd w:id="91"/>
    <w:p>
      <w:pPr>
        <w:jc w:val="both"/>
        <w:spacing w:after="0" w:line="311" w:lineRule="auto"/>
        <w:rPr>
          <w:sz w:val="20"/>
          <w:szCs w:val="20"/>
          <w:color w:val="auto"/>
        </w:rPr>
      </w:pPr>
      <w:r>
        <w:rPr>
          <w:rFonts w:ascii="Arial" w:cs="Arial" w:eastAsia="Arial" w:hAnsi="Arial"/>
          <w:sz w:val="17"/>
          <w:szCs w:val="17"/>
          <w:color w:val="auto"/>
        </w:rPr>
        <w:t>pursuant to stock options or SARs and 960,838 shares pursuant to other types of awards available for future grants to LivaNova’s employees. In June 2024, the Company’s shareholders approved amendments to the 2015 Plan and the A&amp;R 2022 Plan. The 2015 Plan Amendment increased the number of shares that can be issued from 50,000 to 150,000. The A&amp;R 2022 Plan Amendment increased the number of shares that can be issued pursuant to options or SARs from 2,250,000 to 2,950,000, and the number of shares that can be issued pursuant to other types of awards from 1,500,000 to 2,000,000. In 2023, the Company’s shareholders approved the A&amp;R 2022 Plan. The A&amp;R 2022 Plan increases the aggregate number of ordinary shares that can be issued under the 2022 Plan pursuant to options or SARs from 1,900,000 to 2,250,000, and the number of ordinary shares that can be issued pursuant to awards other than options or SARs from 1,200,000 to 1,500,000.</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color w:val="auto"/>
        </w:rPr>
        <w:t>The Company also provides an ESPP.</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color w:val="auto"/>
        </w:rPr>
        <w:t>Stock-Based Compensation Expense</w:t>
      </w:r>
    </w:p>
    <w:p>
      <w:pPr>
        <w:spacing w:after="0" w:line="140"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following table presents the amounts of stock-based compensation expense recognized in LivaNova’s consolidated statements of income (loss), by expense category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44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62"/>
              <w:spacing w:after="0"/>
              <w:rPr>
                <w:sz w:val="20"/>
                <w:szCs w:val="20"/>
                <w:color w:val="auto"/>
              </w:rPr>
            </w:pPr>
            <w:r>
              <w:rPr>
                <w:rFonts w:ascii="Arial" w:cs="Arial" w:eastAsia="Arial" w:hAnsi="Arial"/>
                <w:sz w:val="20"/>
                <w:szCs w:val="20"/>
                <w:b w:val="1"/>
                <w:bCs w:val="1"/>
                <w:color w:val="auto"/>
              </w:rPr>
              <w:t>2024</w:t>
            </w:r>
          </w:p>
        </w:tc>
        <w:tc>
          <w:tcPr>
            <w:tcW w:w="6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2023</w:t>
            </w:r>
          </w:p>
        </w:tc>
        <w:tc>
          <w:tcPr>
            <w:tcW w:w="8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2022</w:t>
            </w:r>
          </w:p>
        </w:tc>
      </w:tr>
      <w:tr>
        <w:trPr>
          <w:trHeight w:val="269"/>
        </w:trPr>
        <w:tc>
          <w:tcPr>
            <w:tcW w:w="5440" w:type="dxa"/>
            <w:vAlign w:val="bottom"/>
            <w:shd w:val="clear" w:color="auto" w:fill="E6E6E6"/>
          </w:tcPr>
          <w:p>
            <w:pPr>
              <w:ind w:left="40"/>
              <w:spacing w:after="0"/>
              <w:rPr>
                <w:sz w:val="20"/>
                <w:szCs w:val="20"/>
                <w:color w:val="auto"/>
              </w:rPr>
            </w:pPr>
            <w:r>
              <w:rPr>
                <w:rFonts w:ascii="Arial" w:cs="Arial" w:eastAsia="Arial" w:hAnsi="Arial"/>
                <w:sz w:val="20"/>
                <w:szCs w:val="20"/>
                <w:color w:val="auto"/>
              </w:rPr>
              <w:t>Cost of goods sold</w:t>
            </w:r>
          </w:p>
        </w:tc>
        <w:tc>
          <w:tcPr>
            <w:tcW w:w="360" w:type="dxa"/>
            <w:vAlign w:val="bottom"/>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1,210</w:t>
            </w:r>
          </w:p>
        </w:tc>
        <w:tc>
          <w:tcPr>
            <w:tcW w:w="420" w:type="dxa"/>
            <w:vAlign w:val="bottom"/>
            <w:gridSpan w:val="2"/>
            <w:shd w:val="clear" w:color="auto" w:fill="E6E6E6"/>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967</w:t>
            </w:r>
          </w:p>
        </w:tc>
        <w:tc>
          <w:tcPr>
            <w:tcW w:w="440" w:type="dxa"/>
            <w:vAlign w:val="bottom"/>
            <w:gridSpan w:val="2"/>
            <w:shd w:val="clear" w:color="auto" w:fill="E6E6E6"/>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1,455</w:t>
            </w:r>
          </w:p>
        </w:tc>
      </w:tr>
      <w:tr>
        <w:trPr>
          <w:trHeight w:val="274"/>
        </w:trPr>
        <w:tc>
          <w:tcPr>
            <w:tcW w:w="5440" w:type="dxa"/>
            <w:vAlign w:val="bottom"/>
          </w:tcPr>
          <w:p>
            <w:pPr>
              <w:ind w:left="40"/>
              <w:spacing w:after="0"/>
              <w:rPr>
                <w:sz w:val="20"/>
                <w:szCs w:val="20"/>
                <w:color w:val="auto"/>
              </w:rPr>
            </w:pPr>
            <w:r>
              <w:rPr>
                <w:rFonts w:ascii="Arial" w:cs="Arial" w:eastAsia="Arial" w:hAnsi="Arial"/>
                <w:sz w:val="20"/>
                <w:szCs w:val="20"/>
                <w:color w:val="auto"/>
              </w:rPr>
              <w:t>Selling, general, and administrative</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26,349</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29,421</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35,638</w:t>
            </w:r>
          </w:p>
        </w:tc>
      </w:tr>
      <w:tr>
        <w:trPr>
          <w:trHeight w:val="294"/>
        </w:trPr>
        <w:tc>
          <w:tcPr>
            <w:tcW w:w="54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Research and development</w:t>
            </w:r>
          </w:p>
        </w:tc>
        <w:tc>
          <w:tcPr>
            <w:tcW w:w="360" w:type="dxa"/>
            <w:vAlign w:val="bottom"/>
            <w:tcBorders>
              <w:bottom w:val="single" w:sz="8" w:color="auto"/>
            </w:tcBorders>
            <w:shd w:val="clear" w:color="auto" w:fill="E6E6E6"/>
          </w:tcPr>
          <w:p>
            <w:pPr>
              <w:spacing w:after="0"/>
              <w:rPr>
                <w:sz w:val="24"/>
                <w:szCs w:val="24"/>
                <w:color w:val="auto"/>
              </w:rPr>
            </w:pPr>
          </w:p>
        </w:tc>
        <w:tc>
          <w:tcPr>
            <w:tcW w:w="1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6,374</w:t>
            </w:r>
          </w:p>
        </w:tc>
        <w:tc>
          <w:tcPr>
            <w:tcW w:w="6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5,964</w:t>
            </w:r>
          </w:p>
        </w:tc>
        <w:tc>
          <w:tcPr>
            <w:tcW w:w="8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7,716</w:t>
            </w:r>
          </w:p>
        </w:tc>
      </w:tr>
      <w:tr>
        <w:trPr>
          <w:trHeight w:val="244"/>
        </w:trPr>
        <w:tc>
          <w:tcPr>
            <w:tcW w:w="5440" w:type="dxa"/>
            <w:vAlign w:val="bottom"/>
          </w:tcPr>
          <w:p>
            <w:pPr>
              <w:ind w:left="40"/>
              <w:spacing w:after="0"/>
              <w:rPr>
                <w:sz w:val="20"/>
                <w:szCs w:val="20"/>
                <w:color w:val="auto"/>
              </w:rPr>
            </w:pPr>
            <w:r>
              <w:rPr>
                <w:rFonts w:ascii="Arial" w:cs="Arial" w:eastAsia="Arial" w:hAnsi="Arial"/>
                <w:sz w:val="20"/>
                <w:szCs w:val="20"/>
                <w:color w:val="auto"/>
              </w:rPr>
              <w:t>Total stock-based compensation expense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33,933</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36,352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44,809</w:t>
            </w:r>
          </w:p>
        </w:tc>
      </w:tr>
      <w:tr>
        <w:trPr>
          <w:trHeight w:val="294"/>
        </w:trPr>
        <w:tc>
          <w:tcPr>
            <w:tcW w:w="54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Income tax benefit</w:t>
            </w:r>
          </w:p>
        </w:tc>
        <w:tc>
          <w:tcPr>
            <w:tcW w:w="360" w:type="dxa"/>
            <w:vAlign w:val="bottom"/>
            <w:tcBorders>
              <w:bottom w:val="single" w:sz="8" w:color="auto"/>
            </w:tcBorders>
            <w:shd w:val="clear" w:color="auto" w:fill="E6E6E6"/>
          </w:tcPr>
          <w:p>
            <w:pPr>
              <w:spacing w:after="0"/>
              <w:rPr>
                <w:sz w:val="24"/>
                <w:szCs w:val="24"/>
                <w:color w:val="auto"/>
              </w:rPr>
            </w:pPr>
          </w:p>
        </w:tc>
        <w:tc>
          <w:tcPr>
            <w:tcW w:w="1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2,632</w:t>
            </w:r>
          </w:p>
        </w:tc>
        <w:tc>
          <w:tcPr>
            <w:tcW w:w="6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1,845</w:t>
            </w:r>
          </w:p>
        </w:tc>
        <w:tc>
          <w:tcPr>
            <w:tcW w:w="8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706</w:t>
            </w:r>
          </w:p>
        </w:tc>
      </w:tr>
      <w:tr>
        <w:trPr>
          <w:trHeight w:val="221"/>
        </w:trPr>
        <w:tc>
          <w:tcPr>
            <w:tcW w:w="5440" w:type="dxa"/>
            <w:vAlign w:val="bottom"/>
          </w:tcPr>
          <w:p>
            <w:pPr>
              <w:ind w:left="40"/>
              <w:spacing w:after="0" w:line="221" w:lineRule="exact"/>
              <w:rPr>
                <w:sz w:val="20"/>
                <w:szCs w:val="20"/>
                <w:color w:val="auto"/>
              </w:rPr>
            </w:pPr>
            <w:r>
              <w:rPr>
                <w:rFonts w:ascii="Arial" w:cs="Arial" w:eastAsia="Arial" w:hAnsi="Arial"/>
                <w:sz w:val="20"/>
                <w:szCs w:val="20"/>
                <w:color w:val="auto"/>
              </w:rPr>
              <w:t>Total expense, net of income tax benefit</w:t>
            </w:r>
          </w:p>
        </w:tc>
        <w:tc>
          <w:tcPr>
            <w:tcW w:w="360" w:type="dxa"/>
            <w:vAlign w:val="bottom"/>
          </w:tcPr>
          <w:p>
            <w:pPr>
              <w:jc w:val="right"/>
              <w:ind w:right="102"/>
              <w:spacing w:after="0" w:line="221" w:lineRule="exact"/>
              <w:rPr>
                <w:sz w:val="20"/>
                <w:szCs w:val="20"/>
                <w:color w:val="auto"/>
              </w:rPr>
            </w:pPr>
            <w:r>
              <w:rPr>
                <w:rFonts w:ascii="Arial" w:cs="Arial" w:eastAsia="Arial" w:hAnsi="Arial"/>
                <w:sz w:val="20"/>
                <w:szCs w:val="20"/>
                <w:color w:val="auto"/>
              </w:rPr>
              <w:t>$</w:t>
            </w:r>
          </w:p>
        </w:tc>
        <w:tc>
          <w:tcPr>
            <w:tcW w:w="1140" w:type="dxa"/>
            <w:vAlign w:val="bottom"/>
          </w:tcPr>
          <w:p>
            <w:pPr>
              <w:jc w:val="right"/>
              <w:spacing w:after="0" w:line="221" w:lineRule="exact"/>
              <w:rPr>
                <w:sz w:val="20"/>
                <w:szCs w:val="20"/>
                <w:color w:val="auto"/>
              </w:rPr>
            </w:pPr>
            <w:r>
              <w:rPr>
                <w:rFonts w:ascii="Arial" w:cs="Arial" w:eastAsia="Arial" w:hAnsi="Arial"/>
                <w:sz w:val="20"/>
                <w:szCs w:val="20"/>
                <w:color w:val="auto"/>
              </w:rPr>
              <w:t>31,301</w:t>
            </w:r>
          </w:p>
        </w:tc>
        <w:tc>
          <w:tcPr>
            <w:tcW w:w="420" w:type="dxa"/>
            <w:vAlign w:val="bottom"/>
            <w:gridSpan w:val="2"/>
          </w:tcPr>
          <w:p>
            <w:pPr>
              <w:jc w:val="right"/>
              <w:ind w:right="200"/>
              <w:spacing w:after="0" w:line="221" w:lineRule="exact"/>
              <w:rPr>
                <w:sz w:val="20"/>
                <w:szCs w:val="20"/>
                <w:color w:val="auto"/>
              </w:rPr>
            </w:pPr>
            <w:r>
              <w:rPr>
                <w:rFonts w:ascii="Arial" w:cs="Arial" w:eastAsia="Arial" w:hAnsi="Arial"/>
                <w:sz w:val="20"/>
                <w:szCs w:val="20"/>
                <w:color w:val="auto"/>
              </w:rPr>
              <w:t>$</w:t>
            </w:r>
          </w:p>
        </w:tc>
        <w:tc>
          <w:tcPr>
            <w:tcW w:w="1120" w:type="dxa"/>
            <w:vAlign w:val="bottom"/>
          </w:tcPr>
          <w:p>
            <w:pPr>
              <w:jc w:val="right"/>
              <w:spacing w:after="0" w:line="221" w:lineRule="exact"/>
              <w:rPr>
                <w:sz w:val="20"/>
                <w:szCs w:val="20"/>
                <w:color w:val="auto"/>
              </w:rPr>
            </w:pPr>
            <w:r>
              <w:rPr>
                <w:rFonts w:ascii="Arial" w:cs="Arial" w:eastAsia="Arial" w:hAnsi="Arial"/>
                <w:sz w:val="20"/>
                <w:szCs w:val="20"/>
                <w:color w:val="auto"/>
              </w:rPr>
              <w:t>34,507</w:t>
            </w:r>
          </w:p>
        </w:tc>
        <w:tc>
          <w:tcPr>
            <w:tcW w:w="440" w:type="dxa"/>
            <w:vAlign w:val="bottom"/>
            <w:gridSpan w:val="2"/>
          </w:tcPr>
          <w:p>
            <w:pPr>
              <w:jc w:val="right"/>
              <w:ind w:right="200"/>
              <w:spacing w:after="0" w:line="221" w:lineRule="exact"/>
              <w:rPr>
                <w:sz w:val="20"/>
                <w:szCs w:val="20"/>
                <w:color w:val="auto"/>
              </w:rPr>
            </w:pPr>
            <w:r>
              <w:rPr>
                <w:rFonts w:ascii="Arial" w:cs="Arial" w:eastAsia="Arial" w:hAnsi="Arial"/>
                <w:sz w:val="20"/>
                <w:szCs w:val="20"/>
                <w:color w:val="auto"/>
              </w:rPr>
              <w:t>$</w:t>
            </w:r>
          </w:p>
        </w:tc>
        <w:tc>
          <w:tcPr>
            <w:tcW w:w="1120" w:type="dxa"/>
            <w:vAlign w:val="bottom"/>
          </w:tcPr>
          <w:p>
            <w:pPr>
              <w:jc w:val="right"/>
              <w:spacing w:after="0" w:line="221" w:lineRule="exact"/>
              <w:rPr>
                <w:sz w:val="20"/>
                <w:szCs w:val="20"/>
                <w:color w:val="auto"/>
              </w:rPr>
            </w:pPr>
            <w:r>
              <w:rPr>
                <w:rFonts w:ascii="Arial" w:cs="Arial" w:eastAsia="Arial" w:hAnsi="Arial"/>
                <w:sz w:val="20"/>
                <w:szCs w:val="20"/>
                <w:color w:val="auto"/>
              </w:rPr>
              <w:t>44,103</w:t>
            </w:r>
          </w:p>
        </w:tc>
      </w:tr>
      <w:tr>
        <w:trPr>
          <w:trHeight w:val="20"/>
        </w:trPr>
        <w:tc>
          <w:tcPr>
            <w:tcW w:w="5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-1094740</wp:posOffset>
            </wp:positionV>
            <wp:extent cx="294703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72">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-562610</wp:posOffset>
            </wp:positionV>
            <wp:extent cx="294703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73">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-208280</wp:posOffset>
            </wp:positionV>
            <wp:extent cx="294703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74">
                      <a:extLst>
                        <a:ext uri="{28A0092B-C50C-407E-A947-70E740481C1C}"/>
                      </a:extLst>
                    </a:blip>
                    <a:srcRect/>
                    <a:stretch>
                      <a:fillRect/>
                    </a:stretch>
                  </pic:blipFill>
                  <pic:spPr bwMode="auto">
                    <a:xfrm>
                      <a:off x="0" y="0"/>
                      <a:ext cx="2947035" cy="25400"/>
                    </a:xfrm>
                    <a:prstGeom prst="rect">
                      <a:avLst/>
                    </a:prstGeom>
                    <a:noFill/>
                  </pic:spPr>
                </pic:pic>
              </a:graphicData>
            </a:graphic>
          </wp:anchor>
        </w:drawing>
      </w:r>
    </w:p>
    <w:p>
      <w:pPr>
        <w:spacing w:after="0" w:line="105"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following table presents the amounts of stock-based compensation expense recognized in LivaNova’s consolidated statements of income (loss) by type of arrangement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44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62"/>
              <w:spacing w:after="0"/>
              <w:rPr>
                <w:sz w:val="20"/>
                <w:szCs w:val="20"/>
                <w:color w:val="auto"/>
              </w:rPr>
            </w:pPr>
            <w:r>
              <w:rPr>
                <w:rFonts w:ascii="Arial" w:cs="Arial" w:eastAsia="Arial" w:hAnsi="Arial"/>
                <w:sz w:val="20"/>
                <w:szCs w:val="20"/>
                <w:b w:val="1"/>
                <w:bCs w:val="1"/>
                <w:color w:val="auto"/>
              </w:rPr>
              <w:t>2024</w:t>
            </w:r>
          </w:p>
        </w:tc>
        <w:tc>
          <w:tcPr>
            <w:tcW w:w="60" w:type="dxa"/>
            <w:vAlign w:val="bottom"/>
            <w:tcBorders>
              <w:bottom w:val="single" w:sz="8" w:color="E6E6E6"/>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2023</w:t>
            </w:r>
          </w:p>
        </w:tc>
        <w:tc>
          <w:tcPr>
            <w:tcW w:w="8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2022</w:t>
            </w:r>
          </w:p>
        </w:tc>
      </w:tr>
      <w:tr>
        <w:trPr>
          <w:trHeight w:val="270"/>
        </w:trPr>
        <w:tc>
          <w:tcPr>
            <w:tcW w:w="5440" w:type="dxa"/>
            <w:vAlign w:val="bottom"/>
            <w:shd w:val="clear" w:color="auto" w:fill="E6E6E6"/>
          </w:tcPr>
          <w:p>
            <w:pPr>
              <w:ind w:left="40"/>
              <w:spacing w:after="0"/>
              <w:rPr>
                <w:sz w:val="20"/>
                <w:szCs w:val="20"/>
                <w:color w:val="auto"/>
              </w:rPr>
            </w:pPr>
            <w:r>
              <w:rPr>
                <w:rFonts w:ascii="Arial" w:cs="Arial" w:eastAsia="Arial" w:hAnsi="Arial"/>
                <w:sz w:val="20"/>
                <w:szCs w:val="20"/>
                <w:color w:val="auto"/>
              </w:rPr>
              <w:t>Service-based RSUs</w:t>
            </w:r>
          </w:p>
        </w:tc>
        <w:tc>
          <w:tcPr>
            <w:tcW w:w="360" w:type="dxa"/>
            <w:vAlign w:val="bottom"/>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17,383</w:t>
            </w:r>
          </w:p>
        </w:tc>
        <w:tc>
          <w:tcPr>
            <w:tcW w:w="420" w:type="dxa"/>
            <w:vAlign w:val="bottom"/>
            <w:gridSpan w:val="3"/>
            <w:shd w:val="clear" w:color="auto" w:fill="E6E6E6"/>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20,493</w:t>
            </w:r>
          </w:p>
        </w:tc>
        <w:tc>
          <w:tcPr>
            <w:tcW w:w="440" w:type="dxa"/>
            <w:vAlign w:val="bottom"/>
            <w:gridSpan w:val="2"/>
            <w:shd w:val="clear" w:color="auto" w:fill="E6E6E6"/>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21,563</w:t>
            </w:r>
          </w:p>
        </w:tc>
      </w:tr>
      <w:tr>
        <w:trPr>
          <w:trHeight w:val="274"/>
        </w:trPr>
        <w:tc>
          <w:tcPr>
            <w:tcW w:w="5440" w:type="dxa"/>
            <w:vAlign w:val="bottom"/>
          </w:tcPr>
          <w:p>
            <w:pPr>
              <w:ind w:left="40"/>
              <w:spacing w:after="0"/>
              <w:rPr>
                <w:sz w:val="20"/>
                <w:szCs w:val="20"/>
                <w:color w:val="auto"/>
              </w:rPr>
            </w:pPr>
            <w:r>
              <w:rPr>
                <w:rFonts w:ascii="Arial" w:cs="Arial" w:eastAsia="Arial" w:hAnsi="Arial"/>
                <w:sz w:val="20"/>
                <w:szCs w:val="20"/>
                <w:color w:val="auto"/>
              </w:rPr>
              <w:t>Service-based SARs</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12,650</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13,710</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14,065</w:t>
            </w:r>
          </w:p>
        </w:tc>
      </w:tr>
      <w:tr>
        <w:trPr>
          <w:trHeight w:val="285"/>
        </w:trPr>
        <w:tc>
          <w:tcPr>
            <w:tcW w:w="5440" w:type="dxa"/>
            <w:vAlign w:val="bottom"/>
            <w:shd w:val="clear" w:color="auto" w:fill="E6E6E6"/>
          </w:tcPr>
          <w:p>
            <w:pPr>
              <w:ind w:left="40"/>
              <w:spacing w:after="0"/>
              <w:rPr>
                <w:sz w:val="20"/>
                <w:szCs w:val="20"/>
                <w:color w:val="auto"/>
              </w:rPr>
            </w:pPr>
            <w:r>
              <w:rPr>
                <w:rFonts w:ascii="Arial" w:cs="Arial" w:eastAsia="Arial" w:hAnsi="Arial"/>
                <w:sz w:val="20"/>
                <w:szCs w:val="20"/>
                <w:color w:val="auto"/>
              </w:rPr>
              <w:t>Market performance-based RSUs</w:t>
            </w:r>
          </w:p>
        </w:tc>
        <w:tc>
          <w:tcPr>
            <w:tcW w:w="360" w:type="dxa"/>
            <w:vAlign w:val="bottom"/>
            <w:shd w:val="clear" w:color="auto" w:fill="E6E6E6"/>
          </w:tcPr>
          <w:p>
            <w:pPr>
              <w:spacing w:after="0"/>
              <w:rPr>
                <w:sz w:val="24"/>
                <w:szCs w:val="24"/>
                <w:color w:val="auto"/>
              </w:rPr>
            </w:pPr>
          </w:p>
        </w:tc>
        <w:tc>
          <w:tcPr>
            <w:tcW w:w="11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1,402</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866</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4,651</w:t>
            </w:r>
          </w:p>
        </w:tc>
      </w:tr>
      <w:tr>
        <w:trPr>
          <w:trHeight w:val="274"/>
        </w:trPr>
        <w:tc>
          <w:tcPr>
            <w:tcW w:w="5440" w:type="dxa"/>
            <w:vAlign w:val="bottom"/>
          </w:tcPr>
          <w:p>
            <w:pPr>
              <w:ind w:left="40"/>
              <w:spacing w:after="0"/>
              <w:rPr>
                <w:sz w:val="20"/>
                <w:szCs w:val="20"/>
                <w:color w:val="auto"/>
              </w:rPr>
            </w:pPr>
            <w:r>
              <w:rPr>
                <w:rFonts w:ascii="Arial" w:cs="Arial" w:eastAsia="Arial" w:hAnsi="Arial"/>
                <w:sz w:val="20"/>
                <w:szCs w:val="20"/>
                <w:color w:val="auto"/>
              </w:rPr>
              <w:t>Operating performance-based RSUs</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1,323</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162</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3,338</w:t>
            </w:r>
          </w:p>
        </w:tc>
      </w:tr>
      <w:tr>
        <w:trPr>
          <w:trHeight w:val="275"/>
        </w:trPr>
        <w:tc>
          <w:tcPr>
            <w:tcW w:w="54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Employee share purchase plan</w:t>
            </w:r>
          </w:p>
        </w:tc>
        <w:tc>
          <w:tcPr>
            <w:tcW w:w="360" w:type="dxa"/>
            <w:vAlign w:val="bottom"/>
            <w:tcBorders>
              <w:bottom w:val="single" w:sz="8" w:color="auto"/>
            </w:tcBorders>
            <w:shd w:val="clear" w:color="auto" w:fill="E6E6E6"/>
          </w:tcPr>
          <w:p>
            <w:pPr>
              <w:spacing w:after="0"/>
              <w:rPr>
                <w:sz w:val="23"/>
                <w:szCs w:val="23"/>
                <w:color w:val="auto"/>
              </w:rPr>
            </w:pPr>
          </w:p>
        </w:tc>
        <w:tc>
          <w:tcPr>
            <w:tcW w:w="1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1,175</w:t>
            </w:r>
          </w:p>
        </w:tc>
        <w:tc>
          <w:tcPr>
            <w:tcW w:w="6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340" w:type="dxa"/>
            <w:vAlign w:val="bottom"/>
            <w:tcBorders>
              <w:bottom w:val="single" w:sz="8" w:color="auto"/>
            </w:tcBorders>
            <w:shd w:val="clear" w:color="auto" w:fill="E6E6E6"/>
          </w:tcPr>
          <w:p>
            <w:pPr>
              <w:spacing w:after="0"/>
              <w:rPr>
                <w:sz w:val="23"/>
                <w:szCs w:val="23"/>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1,121</w:t>
            </w:r>
          </w:p>
        </w:tc>
        <w:tc>
          <w:tcPr>
            <w:tcW w:w="80" w:type="dxa"/>
            <w:vAlign w:val="bottom"/>
            <w:tcBorders>
              <w:bottom w:val="single" w:sz="8" w:color="E6E6E6"/>
            </w:tcBorders>
            <w:shd w:val="clear" w:color="auto" w:fill="E6E6E6"/>
          </w:tcPr>
          <w:p>
            <w:pPr>
              <w:spacing w:after="0"/>
              <w:rPr>
                <w:sz w:val="23"/>
                <w:szCs w:val="23"/>
                <w:color w:val="auto"/>
              </w:rPr>
            </w:pPr>
          </w:p>
        </w:tc>
        <w:tc>
          <w:tcPr>
            <w:tcW w:w="360" w:type="dxa"/>
            <w:vAlign w:val="bottom"/>
            <w:tcBorders>
              <w:bottom w:val="single" w:sz="8" w:color="auto"/>
            </w:tcBorders>
            <w:shd w:val="clear" w:color="auto" w:fill="E6E6E6"/>
          </w:tcPr>
          <w:p>
            <w:pPr>
              <w:spacing w:after="0"/>
              <w:rPr>
                <w:sz w:val="23"/>
                <w:szCs w:val="23"/>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1,192</w:t>
            </w:r>
          </w:p>
        </w:tc>
      </w:tr>
      <w:tr>
        <w:trPr>
          <w:trHeight w:val="240"/>
        </w:trPr>
        <w:tc>
          <w:tcPr>
            <w:tcW w:w="5440" w:type="dxa"/>
            <w:vAlign w:val="bottom"/>
          </w:tcPr>
          <w:p>
            <w:pPr>
              <w:spacing w:after="0"/>
              <w:rPr>
                <w:sz w:val="20"/>
                <w:szCs w:val="20"/>
                <w:color w:val="auto"/>
              </w:rPr>
            </w:pP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33,933</w:t>
            </w:r>
          </w:p>
        </w:tc>
        <w:tc>
          <w:tcPr>
            <w:tcW w:w="420" w:type="dxa"/>
            <w:vAlign w:val="bottom"/>
            <w:gridSpan w:val="3"/>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36,352</w:t>
            </w:r>
          </w:p>
        </w:tc>
        <w:tc>
          <w:tcPr>
            <w:tcW w:w="4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44,809</w:t>
            </w:r>
          </w:p>
        </w:tc>
      </w:tr>
      <w:tr>
        <w:trPr>
          <w:trHeight w:val="20"/>
        </w:trPr>
        <w:tc>
          <w:tcPr>
            <w:tcW w:w="5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-1094740</wp:posOffset>
            </wp:positionV>
            <wp:extent cx="294703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75">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-208280</wp:posOffset>
            </wp:positionV>
            <wp:extent cx="294703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176">
                      <a:extLst>
                        <a:ext uri="{28A0092B-C50C-407E-A947-70E740481C1C}"/>
                      </a:extLst>
                    </a:blip>
                    <a:srcRect/>
                    <a:stretch>
                      <a:fillRect/>
                    </a:stretch>
                  </pic:blipFill>
                  <pic:spPr bwMode="auto">
                    <a:xfrm>
                      <a:off x="0" y="0"/>
                      <a:ext cx="2947035" cy="25400"/>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Unrecognized Stock-Based Compensation</w:t>
      </w:r>
    </w:p>
    <w:p>
      <w:pPr>
        <w:spacing w:after="0" w:line="140"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following table presents the amounts of unrecognized stock-based compensation cost related to non-vested awards, including awards issued as of December 31, 2024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center"/>
              <w:ind w:right="102"/>
              <w:spacing w:after="0"/>
              <w:rPr>
                <w:sz w:val="20"/>
                <w:szCs w:val="20"/>
                <w:color w:val="auto"/>
              </w:rPr>
            </w:pPr>
            <w:r>
              <w:rPr>
                <w:rFonts w:ascii="Arial" w:cs="Arial" w:eastAsia="Arial" w:hAnsi="Arial"/>
                <w:sz w:val="20"/>
                <w:szCs w:val="20"/>
                <w:b w:val="1"/>
                <w:bCs w:val="1"/>
                <w:color w:val="auto"/>
                <w:w w:val="87"/>
              </w:rPr>
              <w:t>Unrecognized</w:t>
            </w:r>
          </w:p>
        </w:tc>
        <w:tc>
          <w:tcPr>
            <w:tcW w:w="60" w:type="dxa"/>
            <w:vAlign w:val="bottom"/>
          </w:tcPr>
          <w:p>
            <w:pPr>
              <w:spacing w:after="0"/>
              <w:rPr>
                <w:sz w:val="19"/>
                <w:szCs w:val="19"/>
                <w:color w:val="auto"/>
              </w:rPr>
            </w:pPr>
          </w:p>
        </w:tc>
        <w:tc>
          <w:tcPr>
            <w:tcW w:w="200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89"/>
              </w:rPr>
              <w:t>Weighted-Average</w:t>
            </w:r>
          </w:p>
        </w:tc>
        <w:tc>
          <w:tcPr>
            <w:tcW w:w="0" w:type="dxa"/>
            <w:vAlign w:val="bottom"/>
          </w:tcPr>
          <w:p>
            <w:pPr>
              <w:spacing w:after="0"/>
              <w:rPr>
                <w:sz w:val="1"/>
                <w:szCs w:val="1"/>
                <w:color w:val="auto"/>
              </w:rPr>
            </w:pPr>
          </w:p>
        </w:tc>
      </w:tr>
      <w:tr>
        <w:trPr>
          <w:trHeight w:val="196"/>
        </w:trPr>
        <w:tc>
          <w:tcPr>
            <w:tcW w:w="6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center"/>
              <w:ind w:right="102"/>
              <w:spacing w:after="0" w:line="196" w:lineRule="exact"/>
              <w:rPr>
                <w:sz w:val="20"/>
                <w:szCs w:val="20"/>
                <w:color w:val="auto"/>
              </w:rPr>
            </w:pPr>
            <w:r>
              <w:rPr>
                <w:rFonts w:ascii="Arial" w:cs="Arial" w:eastAsia="Arial" w:hAnsi="Arial"/>
                <w:sz w:val="20"/>
                <w:szCs w:val="20"/>
                <w:b w:val="1"/>
                <w:bCs w:val="1"/>
                <w:color w:val="auto"/>
                <w:w w:val="84"/>
              </w:rPr>
              <w:t>Stock-based</w:t>
            </w:r>
          </w:p>
        </w:tc>
        <w:tc>
          <w:tcPr>
            <w:tcW w:w="60" w:type="dxa"/>
            <w:vAlign w:val="bottom"/>
          </w:tcPr>
          <w:p>
            <w:pPr>
              <w:spacing w:after="0"/>
              <w:rPr>
                <w:sz w:val="17"/>
                <w:szCs w:val="17"/>
                <w:color w:val="auto"/>
              </w:rPr>
            </w:pPr>
          </w:p>
        </w:tc>
        <w:tc>
          <w:tcPr>
            <w:tcW w:w="2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center"/>
              <w:ind w:right="102"/>
              <w:spacing w:after="0" w:line="196" w:lineRule="exact"/>
              <w:rPr>
                <w:sz w:val="20"/>
                <w:szCs w:val="20"/>
                <w:color w:val="auto"/>
              </w:rPr>
            </w:pPr>
            <w:r>
              <w:rPr>
                <w:rFonts w:ascii="Arial" w:cs="Arial" w:eastAsia="Arial" w:hAnsi="Arial"/>
                <w:sz w:val="20"/>
                <w:szCs w:val="20"/>
                <w:b w:val="1"/>
                <w:bCs w:val="1"/>
                <w:color w:val="auto"/>
                <w:w w:val="86"/>
              </w:rPr>
              <w:t>Compensation</w:t>
            </w:r>
          </w:p>
        </w:tc>
        <w:tc>
          <w:tcPr>
            <w:tcW w:w="60" w:type="dxa"/>
            <w:vAlign w:val="bottom"/>
          </w:tcPr>
          <w:p>
            <w:pPr>
              <w:spacing w:after="0"/>
              <w:rPr>
                <w:sz w:val="17"/>
                <w:szCs w:val="17"/>
                <w:color w:val="auto"/>
              </w:rPr>
            </w:pPr>
          </w:p>
        </w:tc>
        <w:tc>
          <w:tcPr>
            <w:tcW w:w="2000" w:type="dxa"/>
            <w:vAlign w:val="bottom"/>
          </w:tcPr>
          <w:p>
            <w:pPr>
              <w:jc w:val="center"/>
              <w:spacing w:after="0" w:line="196" w:lineRule="exact"/>
              <w:rPr>
                <w:sz w:val="20"/>
                <w:szCs w:val="20"/>
                <w:color w:val="auto"/>
              </w:rPr>
            </w:pPr>
            <w:r>
              <w:rPr>
                <w:rFonts w:ascii="Arial" w:cs="Arial" w:eastAsia="Arial" w:hAnsi="Arial"/>
                <w:sz w:val="20"/>
                <w:szCs w:val="20"/>
                <w:b w:val="1"/>
                <w:bCs w:val="1"/>
                <w:color w:val="auto"/>
                <w:w w:val="87"/>
              </w:rPr>
              <w:t>Remaining Vesting</w:t>
            </w:r>
          </w:p>
        </w:tc>
        <w:tc>
          <w:tcPr>
            <w:tcW w:w="0" w:type="dxa"/>
            <w:vAlign w:val="bottom"/>
          </w:tcPr>
          <w:p>
            <w:pPr>
              <w:spacing w:after="0"/>
              <w:rPr>
                <w:sz w:val="1"/>
                <w:szCs w:val="1"/>
                <w:color w:val="auto"/>
              </w:rPr>
            </w:pPr>
          </w:p>
        </w:tc>
      </w:tr>
      <w:tr>
        <w:trPr>
          <w:trHeight w:val="258"/>
        </w:trPr>
        <w:tc>
          <w:tcPr>
            <w:tcW w:w="6260" w:type="dxa"/>
            <w:vAlign w:val="bottom"/>
            <w:tcBorders>
              <w:bottom w:val="single" w:sz="8" w:color="E6E6E6"/>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center"/>
              <w:ind w:right="82"/>
              <w:spacing w:after="0"/>
              <w:rPr>
                <w:sz w:val="20"/>
                <w:szCs w:val="20"/>
                <w:color w:val="auto"/>
              </w:rPr>
            </w:pPr>
            <w:r>
              <w:rPr>
                <w:rFonts w:ascii="Arial" w:cs="Arial" w:eastAsia="Arial" w:hAnsi="Arial"/>
                <w:sz w:val="20"/>
                <w:szCs w:val="20"/>
                <w:b w:val="1"/>
                <w:bCs w:val="1"/>
                <w:color w:val="auto"/>
                <w:w w:val="85"/>
              </w:rPr>
              <w:t>Cost</w:t>
            </w:r>
          </w:p>
        </w:tc>
        <w:tc>
          <w:tcPr>
            <w:tcW w:w="60" w:type="dxa"/>
            <w:vAlign w:val="bottom"/>
            <w:tcBorders>
              <w:bottom w:val="single" w:sz="8" w:color="E6E6E6"/>
            </w:tcBorders>
          </w:tcPr>
          <w:p>
            <w:pPr>
              <w:spacing w:after="0"/>
              <w:rPr>
                <w:sz w:val="22"/>
                <w:szCs w:val="22"/>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Period (in years)</w:t>
            </w:r>
          </w:p>
        </w:tc>
        <w:tc>
          <w:tcPr>
            <w:tcW w:w="0" w:type="dxa"/>
            <w:vAlign w:val="bottom"/>
          </w:tcPr>
          <w:p>
            <w:pPr>
              <w:spacing w:after="0"/>
              <w:rPr>
                <w:sz w:val="1"/>
                <w:szCs w:val="1"/>
                <w:color w:val="auto"/>
              </w:rPr>
            </w:pPr>
          </w:p>
        </w:tc>
      </w:tr>
      <w:tr>
        <w:trPr>
          <w:trHeight w:val="269"/>
        </w:trPr>
        <w:tc>
          <w:tcPr>
            <w:tcW w:w="6260" w:type="dxa"/>
            <w:vAlign w:val="bottom"/>
            <w:shd w:val="clear" w:color="auto" w:fill="E6E6E6"/>
          </w:tcPr>
          <w:p>
            <w:pPr>
              <w:ind w:left="40"/>
              <w:spacing w:after="0"/>
              <w:rPr>
                <w:sz w:val="20"/>
                <w:szCs w:val="20"/>
                <w:color w:val="auto"/>
              </w:rPr>
            </w:pPr>
            <w:r>
              <w:rPr>
                <w:rFonts w:ascii="Arial" w:cs="Arial" w:eastAsia="Arial" w:hAnsi="Arial"/>
                <w:sz w:val="20"/>
                <w:szCs w:val="20"/>
                <w:color w:val="auto"/>
              </w:rPr>
              <w:t>Service-based SARs</w:t>
            </w:r>
          </w:p>
        </w:tc>
        <w:tc>
          <w:tcPr>
            <w:tcW w:w="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5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22,593</w:t>
            </w:r>
          </w:p>
        </w:tc>
        <w:tc>
          <w:tcPr>
            <w:tcW w:w="2060" w:type="dxa"/>
            <w:vAlign w:val="bottom"/>
            <w:gridSpan w:val="2"/>
            <w:shd w:val="clear" w:color="auto" w:fill="E6E6E6"/>
          </w:tcPr>
          <w:p>
            <w:pPr>
              <w:jc w:val="center"/>
              <w:spacing w:after="0"/>
              <w:rPr>
                <w:sz w:val="20"/>
                <w:szCs w:val="20"/>
                <w:color w:val="auto"/>
              </w:rPr>
            </w:pPr>
            <w:r>
              <w:rPr>
                <w:rFonts w:ascii="Arial" w:cs="Arial" w:eastAsia="Arial" w:hAnsi="Arial"/>
                <w:sz w:val="20"/>
                <w:szCs w:val="20"/>
                <w:color w:val="auto"/>
                <w:w w:val="87"/>
              </w:rPr>
              <w:t>2.64</w:t>
            </w:r>
          </w:p>
        </w:tc>
        <w:tc>
          <w:tcPr>
            <w:tcW w:w="0" w:type="dxa"/>
            <w:vAlign w:val="bottom"/>
          </w:tcPr>
          <w:p>
            <w:pPr>
              <w:spacing w:after="0"/>
              <w:rPr>
                <w:sz w:val="1"/>
                <w:szCs w:val="1"/>
                <w:color w:val="auto"/>
              </w:rPr>
            </w:pPr>
          </w:p>
        </w:tc>
      </w:tr>
      <w:tr>
        <w:trPr>
          <w:trHeight w:val="274"/>
        </w:trPr>
        <w:tc>
          <w:tcPr>
            <w:tcW w:w="6260" w:type="dxa"/>
            <w:vAlign w:val="bottom"/>
          </w:tcPr>
          <w:p>
            <w:pPr>
              <w:ind w:left="40"/>
              <w:spacing w:after="0"/>
              <w:rPr>
                <w:sz w:val="20"/>
                <w:szCs w:val="20"/>
                <w:color w:val="auto"/>
              </w:rPr>
            </w:pPr>
            <w:r>
              <w:rPr>
                <w:rFonts w:ascii="Arial" w:cs="Arial" w:eastAsia="Arial" w:hAnsi="Arial"/>
                <w:sz w:val="20"/>
                <w:szCs w:val="20"/>
                <w:color w:val="auto"/>
              </w:rPr>
              <w:t>Service-based RSUs</w:t>
            </w:r>
          </w:p>
        </w:tc>
        <w:tc>
          <w:tcPr>
            <w:tcW w:w="2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25,743</w:t>
            </w:r>
          </w:p>
        </w:tc>
        <w:tc>
          <w:tcPr>
            <w:tcW w:w="2060" w:type="dxa"/>
            <w:vAlign w:val="bottom"/>
            <w:gridSpan w:val="2"/>
          </w:tcPr>
          <w:p>
            <w:pPr>
              <w:jc w:val="center"/>
              <w:spacing w:after="0"/>
              <w:rPr>
                <w:sz w:val="20"/>
                <w:szCs w:val="20"/>
                <w:color w:val="auto"/>
              </w:rPr>
            </w:pPr>
            <w:r>
              <w:rPr>
                <w:rFonts w:ascii="Arial" w:cs="Arial" w:eastAsia="Arial" w:hAnsi="Arial"/>
                <w:sz w:val="20"/>
                <w:szCs w:val="20"/>
                <w:color w:val="auto"/>
                <w:w w:val="87"/>
              </w:rPr>
              <w:t>2.60</w:t>
            </w:r>
          </w:p>
        </w:tc>
        <w:tc>
          <w:tcPr>
            <w:tcW w:w="0" w:type="dxa"/>
            <w:vAlign w:val="bottom"/>
          </w:tcPr>
          <w:p>
            <w:pPr>
              <w:spacing w:after="0"/>
              <w:rPr>
                <w:sz w:val="1"/>
                <w:szCs w:val="1"/>
                <w:color w:val="auto"/>
              </w:rPr>
            </w:pPr>
          </w:p>
        </w:tc>
      </w:tr>
      <w:tr>
        <w:trPr>
          <w:trHeight w:val="294"/>
        </w:trPr>
        <w:tc>
          <w:tcPr>
            <w:tcW w:w="626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Performance-based RSUs</w:t>
            </w:r>
          </w:p>
        </w:tc>
        <w:tc>
          <w:tcPr>
            <w:tcW w:w="200" w:type="dxa"/>
            <w:vAlign w:val="bottom"/>
            <w:tcBorders>
              <w:bottom w:val="single" w:sz="8" w:color="auto"/>
            </w:tcBorders>
            <w:shd w:val="clear" w:color="auto" w:fill="E6E6E6"/>
          </w:tcPr>
          <w:p>
            <w:pPr>
              <w:spacing w:after="0"/>
              <w:rPr>
                <w:sz w:val="24"/>
                <w:szCs w:val="24"/>
                <w:color w:val="auto"/>
              </w:rPr>
            </w:pPr>
          </w:p>
        </w:tc>
        <w:tc>
          <w:tcPr>
            <w:tcW w:w="15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4,394</w:t>
            </w:r>
          </w:p>
        </w:tc>
        <w:tc>
          <w:tcPr>
            <w:tcW w:w="2060" w:type="dxa"/>
            <w:vAlign w:val="bottom"/>
            <w:tcBorders>
              <w:bottom w:val="single" w:sz="8" w:color="E6E6E6"/>
            </w:tcBorders>
            <w:gridSpan w:val="2"/>
            <w:shd w:val="clear" w:color="auto" w:fill="E6E6E6"/>
          </w:tcPr>
          <w:p>
            <w:pPr>
              <w:jc w:val="center"/>
              <w:spacing w:after="0"/>
              <w:rPr>
                <w:sz w:val="20"/>
                <w:szCs w:val="20"/>
                <w:color w:val="auto"/>
              </w:rPr>
            </w:pPr>
            <w:r>
              <w:rPr>
                <w:rFonts w:ascii="Arial" w:cs="Arial" w:eastAsia="Arial" w:hAnsi="Arial"/>
                <w:sz w:val="20"/>
                <w:szCs w:val="20"/>
                <w:color w:val="auto"/>
                <w:w w:val="87"/>
              </w:rPr>
              <w:t>2.07</w:t>
            </w:r>
          </w:p>
        </w:tc>
        <w:tc>
          <w:tcPr>
            <w:tcW w:w="0" w:type="dxa"/>
            <w:vAlign w:val="bottom"/>
          </w:tcPr>
          <w:p>
            <w:pPr>
              <w:spacing w:after="0"/>
              <w:rPr>
                <w:sz w:val="1"/>
                <w:szCs w:val="1"/>
                <w:color w:val="auto"/>
              </w:rPr>
            </w:pPr>
          </w:p>
        </w:tc>
      </w:tr>
      <w:tr>
        <w:trPr>
          <w:trHeight w:val="221"/>
        </w:trPr>
        <w:tc>
          <w:tcPr>
            <w:tcW w:w="6260" w:type="dxa"/>
            <w:vAlign w:val="bottom"/>
          </w:tcPr>
          <w:p>
            <w:pPr>
              <w:spacing w:after="0"/>
              <w:rPr>
                <w:sz w:val="19"/>
                <w:szCs w:val="19"/>
                <w:color w:val="auto"/>
              </w:rPr>
            </w:pPr>
          </w:p>
        </w:tc>
        <w:tc>
          <w:tcPr>
            <w:tcW w:w="20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w:t>
            </w:r>
          </w:p>
        </w:tc>
        <w:tc>
          <w:tcPr>
            <w:tcW w:w="152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52,730</w:t>
            </w:r>
          </w:p>
        </w:tc>
        <w:tc>
          <w:tcPr>
            <w:tcW w:w="2060" w:type="dxa"/>
            <w:vAlign w:val="bottom"/>
            <w:gridSpan w:val="2"/>
          </w:tcPr>
          <w:p>
            <w:pPr>
              <w:jc w:val="center"/>
              <w:spacing w:after="0" w:line="221" w:lineRule="exact"/>
              <w:rPr>
                <w:sz w:val="20"/>
                <w:szCs w:val="20"/>
                <w:color w:val="auto"/>
              </w:rPr>
            </w:pPr>
            <w:r>
              <w:rPr>
                <w:rFonts w:ascii="Arial" w:cs="Arial" w:eastAsia="Arial" w:hAnsi="Arial"/>
                <w:sz w:val="20"/>
                <w:szCs w:val="20"/>
                <w:color w:val="auto"/>
                <w:w w:val="87"/>
              </w:rPr>
              <w:t>2.57</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3968750</wp:posOffset>
            </wp:positionH>
            <wp:positionV relativeFrom="paragraph">
              <wp:posOffset>-740410</wp:posOffset>
            </wp:positionV>
            <wp:extent cx="2424430"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77">
                      <a:extLst>
                        <a:ext uri="{28A0092B-C50C-407E-A947-70E740481C1C}"/>
                      </a:extLst>
                    </a:blip>
                    <a:srcRect/>
                    <a:stretch>
                      <a:fillRect/>
                    </a:stretch>
                  </pic:blipFill>
                  <pic:spPr bwMode="auto">
                    <a:xfrm>
                      <a:off x="0" y="0"/>
                      <a:ext cx="2424430" cy="2540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-208280</wp:posOffset>
            </wp:positionV>
            <wp:extent cx="110807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178">
                      <a:extLst>
                        <a:ext uri="{28A0092B-C50C-407E-A947-70E740481C1C}"/>
                      </a:extLst>
                    </a:blip>
                    <a:srcRect/>
                    <a:stretch>
                      <a:fillRect/>
                    </a:stretch>
                  </pic:blipFill>
                  <pic:spPr bwMode="auto">
                    <a:xfrm>
                      <a:off x="0" y="0"/>
                      <a:ext cx="1108075" cy="25400"/>
                    </a:xfrm>
                    <a:prstGeom prst="rect">
                      <a:avLst/>
                    </a:prstGeom>
                    <a:noFill/>
                  </pic:spPr>
                </pic:pic>
              </a:graphicData>
            </a:graphic>
          </wp:anchor>
        </w:drawing>
      </w:r>
    </w:p>
    <w:p>
      <w:pPr>
        <w:sectPr>
          <w:pgSz w:w="11880" w:h="15480" w:orient="portrait"/>
          <w:cols w:equalWidth="0" w:num="1">
            <w:col w:w="10040"/>
          </w:cols>
          <w:pgMar w:left="920" w:top="66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F-34</w:t>
      </w:r>
    </w:p>
    <w:p>
      <w:pPr>
        <w:sectPr>
          <w:pgSz w:w="11880" w:h="15480" w:orient="portrait"/>
          <w:cols w:equalWidth="0" w:num="1">
            <w:col w:w="10040"/>
          </w:cols>
          <w:pgMar w:left="920" w:top="664" w:right="920" w:bottom="0" w:gutter="0" w:footer="0" w:header="0"/>
          <w:type w:val="continuous"/>
        </w:sectPr>
      </w:pPr>
    </w:p>
    <w:bookmarkStart w:id="92" w:name="page93"/>
    <w:bookmarkEnd w:id="92"/>
    <w:p>
      <w:pPr>
        <w:spacing w:after="0"/>
        <w:rPr>
          <w:sz w:val="20"/>
          <w:szCs w:val="20"/>
          <w:color w:val="auto"/>
        </w:rPr>
      </w:pPr>
      <w:r>
        <w:rPr>
          <w:rFonts w:ascii="Arial" w:cs="Arial" w:eastAsia="Arial" w:hAnsi="Arial"/>
          <w:sz w:val="22"/>
          <w:szCs w:val="22"/>
          <w:color w:val="auto"/>
        </w:rPr>
        <w:t>Stock Appreciation Rights and Stock Options</w:t>
      </w:r>
    </w:p>
    <w:p>
      <w:pPr>
        <w:spacing w:after="0" w:line="140" w:lineRule="exact"/>
        <w:rPr>
          <w:sz w:val="20"/>
          <w:szCs w:val="20"/>
          <w:color w:val="auto"/>
        </w:rPr>
      </w:pPr>
    </w:p>
    <w:p>
      <w:pPr>
        <w:spacing w:after="0" w:line="284" w:lineRule="auto"/>
        <w:rPr>
          <w:sz w:val="20"/>
          <w:szCs w:val="20"/>
          <w:color w:val="auto"/>
        </w:rPr>
      </w:pPr>
      <w:r>
        <w:rPr>
          <w:rFonts w:ascii="Arial" w:cs="Arial" w:eastAsia="Arial" w:hAnsi="Arial"/>
          <w:sz w:val="20"/>
          <w:szCs w:val="20"/>
          <w:color w:val="auto"/>
        </w:rPr>
        <w:t>LivaNova uses the Black-Scholes option pricing methodology to calculate the grant date fair market value of SARs. The following table lists the assumptions LivaNova utilized as inputs to the Black-Scholes model:</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760" w:type="dxa"/>
            <w:vAlign w:val="bottom"/>
          </w:tcPr>
          <w:p>
            <w:pPr>
              <w:spacing w:after="0"/>
              <w:rPr>
                <w:sz w:val="22"/>
                <w:szCs w:val="22"/>
                <w:color w:val="auto"/>
              </w:rPr>
            </w:pPr>
          </w:p>
        </w:tc>
        <w:tc>
          <w:tcPr>
            <w:tcW w:w="1380" w:type="dxa"/>
            <w:vAlign w:val="bottom"/>
          </w:tcPr>
          <w:p>
            <w:pPr>
              <w:jc w:val="right"/>
              <w:ind w:right="402"/>
              <w:spacing w:after="0"/>
              <w:rPr>
                <w:sz w:val="20"/>
                <w:szCs w:val="20"/>
                <w:color w:val="auto"/>
              </w:rPr>
            </w:pPr>
            <w:r>
              <w:rPr>
                <w:rFonts w:ascii="Arial" w:cs="Arial" w:eastAsia="Arial" w:hAnsi="Arial"/>
                <w:sz w:val="20"/>
                <w:szCs w:val="20"/>
                <w:b w:val="1"/>
                <w:bCs w:val="1"/>
                <w:color w:val="auto"/>
              </w:rPr>
              <w:t>2024</w:t>
            </w:r>
          </w:p>
        </w:tc>
        <w:tc>
          <w:tcPr>
            <w:tcW w:w="1460" w:type="dxa"/>
            <w:vAlign w:val="bottom"/>
            <w:gridSpan w:val="2"/>
          </w:tcPr>
          <w:p>
            <w:pPr>
              <w:jc w:val="right"/>
              <w:ind w:right="402"/>
              <w:spacing w:after="0"/>
              <w:rPr>
                <w:sz w:val="20"/>
                <w:szCs w:val="20"/>
                <w:color w:val="auto"/>
              </w:rPr>
            </w:pPr>
            <w:r>
              <w:rPr>
                <w:rFonts w:ascii="Arial" w:cs="Arial" w:eastAsia="Arial" w:hAnsi="Arial"/>
                <w:sz w:val="20"/>
                <w:szCs w:val="20"/>
                <w:b w:val="1"/>
                <w:bCs w:val="1"/>
                <w:color w:val="auto"/>
              </w:rPr>
              <w:t>2023</w:t>
            </w:r>
          </w:p>
        </w:tc>
        <w:tc>
          <w:tcPr>
            <w:tcW w:w="1440" w:type="dxa"/>
            <w:vAlign w:val="bottom"/>
            <w:gridSpan w:val="2"/>
          </w:tcPr>
          <w:p>
            <w:pPr>
              <w:jc w:val="right"/>
              <w:ind w:right="382"/>
              <w:spacing w:after="0"/>
              <w:rPr>
                <w:sz w:val="20"/>
                <w:szCs w:val="20"/>
                <w:color w:val="auto"/>
              </w:rPr>
            </w:pPr>
            <w:r>
              <w:rPr>
                <w:rFonts w:ascii="Arial" w:cs="Arial" w:eastAsia="Arial" w:hAnsi="Arial"/>
                <w:sz w:val="20"/>
                <w:szCs w:val="20"/>
                <w:b w:val="1"/>
                <w:bCs w:val="1"/>
                <w:color w:val="auto"/>
              </w:rPr>
              <w:t>2022</w:t>
            </w:r>
          </w:p>
        </w:tc>
      </w:tr>
      <w:tr>
        <w:trPr>
          <w:trHeight w:val="269"/>
        </w:trPr>
        <w:tc>
          <w:tcPr>
            <w:tcW w:w="5760" w:type="dxa"/>
            <w:vAlign w:val="bottom"/>
            <w:tcBorders>
              <w:top w:val="single" w:sz="8" w:color="E6E6E6"/>
            </w:tcBorders>
            <w:shd w:val="clear" w:color="auto" w:fill="E6E6E6"/>
          </w:tcPr>
          <w:p>
            <w:pPr>
              <w:ind w:left="40"/>
              <w:spacing w:after="0" w:line="269" w:lineRule="exact"/>
              <w:rPr>
                <w:sz w:val="20"/>
                <w:szCs w:val="20"/>
                <w:color w:val="auto"/>
              </w:rPr>
            </w:pPr>
            <w:r>
              <w:rPr>
                <w:rFonts w:ascii="Arial" w:cs="Arial" w:eastAsia="Arial" w:hAnsi="Arial"/>
                <w:sz w:val="20"/>
                <w:szCs w:val="20"/>
                <w:color w:val="auto"/>
              </w:rPr>
              <w:t xml:space="preserve">Dividend yield </w:t>
            </w:r>
            <w:r>
              <w:rPr>
                <w:rFonts w:ascii="Arial" w:cs="Arial" w:eastAsia="Arial" w:hAnsi="Arial"/>
                <w:sz w:val="25"/>
                <w:szCs w:val="25"/>
                <w:color w:val="auto"/>
                <w:vertAlign w:val="superscript"/>
              </w:rPr>
              <w:t>(1)</w:t>
            </w:r>
          </w:p>
        </w:tc>
        <w:tc>
          <w:tcPr>
            <w:tcW w:w="1380" w:type="dxa"/>
            <w:vAlign w:val="bottom"/>
            <w:tcBorders>
              <w:top w:val="single" w:sz="8" w:color="auto"/>
            </w:tcBorders>
            <w:shd w:val="clear" w:color="auto" w:fill="E6E6E6"/>
          </w:tcPr>
          <w:p>
            <w:pPr>
              <w:jc w:val="center"/>
              <w:spacing w:after="0"/>
              <w:rPr>
                <w:sz w:val="20"/>
                <w:szCs w:val="20"/>
                <w:color w:val="auto"/>
              </w:rPr>
            </w:pPr>
            <w:r>
              <w:rPr>
                <w:rFonts w:ascii="Arial" w:cs="Arial" w:eastAsia="Arial" w:hAnsi="Arial"/>
                <w:sz w:val="20"/>
                <w:szCs w:val="20"/>
                <w:color w:val="auto"/>
                <w:w w:val="99"/>
              </w:rPr>
              <w:t>—</w:t>
            </w:r>
          </w:p>
        </w:tc>
        <w:tc>
          <w:tcPr>
            <w:tcW w:w="80" w:type="dxa"/>
            <w:vAlign w:val="bottom"/>
            <w:tcBorders>
              <w:top w:val="single" w:sz="8" w:color="E6E6E6"/>
            </w:tcBorders>
            <w:shd w:val="clear" w:color="auto" w:fill="E6E6E6"/>
          </w:tcPr>
          <w:p>
            <w:pPr>
              <w:spacing w:after="0"/>
              <w:rPr>
                <w:sz w:val="23"/>
                <w:szCs w:val="23"/>
                <w:color w:val="auto"/>
              </w:rPr>
            </w:pPr>
          </w:p>
        </w:tc>
        <w:tc>
          <w:tcPr>
            <w:tcW w:w="1380" w:type="dxa"/>
            <w:vAlign w:val="bottom"/>
            <w:tcBorders>
              <w:top w:val="single" w:sz="8" w:color="auto"/>
            </w:tcBorders>
            <w:shd w:val="clear" w:color="auto" w:fill="E6E6E6"/>
          </w:tcPr>
          <w:p>
            <w:pPr>
              <w:jc w:val="center"/>
              <w:spacing w:after="0"/>
              <w:rPr>
                <w:sz w:val="20"/>
                <w:szCs w:val="20"/>
                <w:color w:val="auto"/>
              </w:rPr>
            </w:pPr>
            <w:r>
              <w:rPr>
                <w:rFonts w:ascii="Arial" w:cs="Arial" w:eastAsia="Arial" w:hAnsi="Arial"/>
                <w:sz w:val="20"/>
                <w:szCs w:val="20"/>
                <w:color w:val="auto"/>
                <w:w w:val="99"/>
              </w:rPr>
              <w:t>—</w:t>
            </w:r>
          </w:p>
        </w:tc>
        <w:tc>
          <w:tcPr>
            <w:tcW w:w="60" w:type="dxa"/>
            <w:vAlign w:val="bottom"/>
            <w:tcBorders>
              <w:top w:val="single" w:sz="8" w:color="E6E6E6"/>
            </w:tcBorders>
            <w:shd w:val="clear" w:color="auto" w:fill="E6E6E6"/>
          </w:tcPr>
          <w:p>
            <w:pPr>
              <w:spacing w:after="0"/>
              <w:rPr>
                <w:sz w:val="23"/>
                <w:szCs w:val="23"/>
                <w:color w:val="auto"/>
              </w:rPr>
            </w:pPr>
          </w:p>
        </w:tc>
        <w:tc>
          <w:tcPr>
            <w:tcW w:w="1380" w:type="dxa"/>
            <w:vAlign w:val="bottom"/>
            <w:tcBorders>
              <w:top w:val="single" w:sz="8" w:color="auto"/>
            </w:tcBorders>
            <w:shd w:val="clear" w:color="auto" w:fill="E6E6E6"/>
          </w:tcPr>
          <w:p>
            <w:pPr>
              <w:jc w:val="center"/>
              <w:spacing w:after="0"/>
              <w:rPr>
                <w:sz w:val="20"/>
                <w:szCs w:val="20"/>
                <w:color w:val="auto"/>
              </w:rPr>
            </w:pPr>
            <w:r>
              <w:rPr>
                <w:rFonts w:ascii="Arial" w:cs="Arial" w:eastAsia="Arial" w:hAnsi="Arial"/>
                <w:sz w:val="20"/>
                <w:szCs w:val="20"/>
                <w:color w:val="auto"/>
                <w:w w:val="99"/>
              </w:rPr>
              <w:t>—</w:t>
            </w:r>
          </w:p>
        </w:tc>
      </w:tr>
      <w:tr>
        <w:trPr>
          <w:trHeight w:val="279"/>
        </w:trPr>
        <w:tc>
          <w:tcPr>
            <w:tcW w:w="5760" w:type="dxa"/>
            <w:vAlign w:val="bottom"/>
          </w:tcPr>
          <w:p>
            <w:pPr>
              <w:ind w:left="40"/>
              <w:spacing w:after="0" w:line="280" w:lineRule="exact"/>
              <w:rPr>
                <w:sz w:val="20"/>
                <w:szCs w:val="20"/>
                <w:color w:val="auto"/>
              </w:rPr>
            </w:pPr>
            <w:r>
              <w:rPr>
                <w:rFonts w:ascii="Arial" w:cs="Arial" w:eastAsia="Arial" w:hAnsi="Arial"/>
                <w:sz w:val="20"/>
                <w:szCs w:val="20"/>
                <w:color w:val="auto"/>
              </w:rPr>
              <w:t xml:space="preserve">Risk-free interest rate </w:t>
            </w:r>
            <w:r>
              <w:rPr>
                <w:rFonts w:ascii="Arial" w:cs="Arial" w:eastAsia="Arial" w:hAnsi="Arial"/>
                <w:sz w:val="25"/>
                <w:szCs w:val="25"/>
                <w:color w:val="auto"/>
                <w:vertAlign w:val="superscript"/>
              </w:rPr>
              <w:t>(2)</w:t>
            </w:r>
          </w:p>
        </w:tc>
        <w:tc>
          <w:tcPr>
            <w:tcW w:w="1380" w:type="dxa"/>
            <w:vAlign w:val="bottom"/>
          </w:tcPr>
          <w:p>
            <w:pPr>
              <w:jc w:val="center"/>
              <w:spacing w:after="0"/>
              <w:rPr>
                <w:sz w:val="20"/>
                <w:szCs w:val="20"/>
                <w:color w:val="auto"/>
              </w:rPr>
            </w:pPr>
            <w:r>
              <w:rPr>
                <w:rFonts w:ascii="Arial" w:cs="Arial" w:eastAsia="Arial" w:hAnsi="Arial"/>
                <w:sz w:val="20"/>
                <w:szCs w:val="20"/>
                <w:color w:val="auto"/>
                <w:w w:val="87"/>
              </w:rPr>
              <w:t>3.4%</w:t>
            </w:r>
          </w:p>
        </w:tc>
        <w:tc>
          <w:tcPr>
            <w:tcW w:w="1460" w:type="dxa"/>
            <w:vAlign w:val="bottom"/>
            <w:gridSpan w:val="2"/>
          </w:tcPr>
          <w:p>
            <w:pPr>
              <w:jc w:val="center"/>
              <w:ind w:left="2"/>
              <w:spacing w:after="0"/>
              <w:rPr>
                <w:sz w:val="20"/>
                <w:szCs w:val="20"/>
                <w:color w:val="auto"/>
              </w:rPr>
            </w:pPr>
            <w:r>
              <w:rPr>
                <w:rFonts w:ascii="Arial" w:cs="Arial" w:eastAsia="Arial" w:hAnsi="Arial"/>
                <w:sz w:val="20"/>
                <w:szCs w:val="20"/>
                <w:color w:val="auto"/>
                <w:w w:val="87"/>
              </w:rPr>
              <w:t>3.7%</w:t>
            </w:r>
          </w:p>
        </w:tc>
        <w:tc>
          <w:tcPr>
            <w:tcW w:w="1440" w:type="dxa"/>
            <w:vAlign w:val="bottom"/>
            <w:gridSpan w:val="2"/>
          </w:tcPr>
          <w:p>
            <w:pPr>
              <w:jc w:val="center"/>
              <w:ind w:left="22"/>
              <w:spacing w:after="0"/>
              <w:rPr>
                <w:sz w:val="20"/>
                <w:szCs w:val="20"/>
                <w:color w:val="auto"/>
              </w:rPr>
            </w:pPr>
            <w:r>
              <w:rPr>
                <w:rFonts w:ascii="Arial" w:cs="Arial" w:eastAsia="Arial" w:hAnsi="Arial"/>
                <w:sz w:val="20"/>
                <w:szCs w:val="20"/>
                <w:color w:val="auto"/>
                <w:w w:val="87"/>
              </w:rPr>
              <w:t>2.5%</w:t>
            </w:r>
          </w:p>
        </w:tc>
      </w:tr>
      <w:tr>
        <w:trPr>
          <w:trHeight w:val="279"/>
        </w:trPr>
        <w:tc>
          <w:tcPr>
            <w:tcW w:w="5760" w:type="dxa"/>
            <w:vAlign w:val="bottom"/>
            <w:shd w:val="clear" w:color="auto" w:fill="E6E6E6"/>
          </w:tcPr>
          <w:p>
            <w:pPr>
              <w:ind w:left="40"/>
              <w:spacing w:after="0" w:line="280" w:lineRule="exact"/>
              <w:rPr>
                <w:sz w:val="20"/>
                <w:szCs w:val="20"/>
                <w:color w:val="auto"/>
              </w:rPr>
            </w:pPr>
            <w:r>
              <w:rPr>
                <w:rFonts w:ascii="Arial" w:cs="Arial" w:eastAsia="Arial" w:hAnsi="Arial"/>
                <w:sz w:val="20"/>
                <w:szCs w:val="20"/>
                <w:color w:val="auto"/>
              </w:rPr>
              <w:t xml:space="preserve">Expected option term - in years </w:t>
            </w:r>
            <w:r>
              <w:rPr>
                <w:rFonts w:ascii="Arial" w:cs="Arial" w:eastAsia="Arial" w:hAnsi="Arial"/>
                <w:sz w:val="25"/>
                <w:szCs w:val="25"/>
                <w:color w:val="auto"/>
                <w:vertAlign w:val="superscript"/>
              </w:rPr>
              <w:t>(3)</w:t>
            </w:r>
          </w:p>
        </w:tc>
        <w:tc>
          <w:tcPr>
            <w:tcW w:w="1380" w:type="dxa"/>
            <w:vAlign w:val="bottom"/>
            <w:shd w:val="clear" w:color="auto" w:fill="E6E6E6"/>
          </w:tcPr>
          <w:p>
            <w:pPr>
              <w:jc w:val="right"/>
              <w:ind w:right="482"/>
              <w:spacing w:after="0"/>
              <w:rPr>
                <w:sz w:val="20"/>
                <w:szCs w:val="20"/>
                <w:color w:val="auto"/>
              </w:rPr>
            </w:pPr>
            <w:r>
              <w:rPr>
                <w:rFonts w:ascii="Arial" w:cs="Arial" w:eastAsia="Arial" w:hAnsi="Arial"/>
                <w:sz w:val="20"/>
                <w:szCs w:val="20"/>
                <w:color w:val="auto"/>
              </w:rPr>
              <w:t>5.3</w:t>
            </w:r>
          </w:p>
        </w:tc>
        <w:tc>
          <w:tcPr>
            <w:tcW w:w="1460" w:type="dxa"/>
            <w:vAlign w:val="bottom"/>
            <w:gridSpan w:val="2"/>
            <w:shd w:val="clear" w:color="auto" w:fill="E6E6E6"/>
          </w:tcPr>
          <w:p>
            <w:pPr>
              <w:jc w:val="right"/>
              <w:ind w:right="482"/>
              <w:spacing w:after="0"/>
              <w:rPr>
                <w:sz w:val="20"/>
                <w:szCs w:val="20"/>
                <w:color w:val="auto"/>
              </w:rPr>
            </w:pPr>
            <w:r>
              <w:rPr>
                <w:rFonts w:ascii="Arial" w:cs="Arial" w:eastAsia="Arial" w:hAnsi="Arial"/>
                <w:sz w:val="20"/>
                <w:szCs w:val="20"/>
                <w:color w:val="auto"/>
              </w:rPr>
              <w:t>5.3</w:t>
            </w:r>
          </w:p>
        </w:tc>
        <w:tc>
          <w:tcPr>
            <w:tcW w:w="1440" w:type="dxa"/>
            <w:vAlign w:val="bottom"/>
            <w:gridSpan w:val="2"/>
            <w:shd w:val="clear" w:color="auto" w:fill="E6E6E6"/>
          </w:tcPr>
          <w:p>
            <w:pPr>
              <w:jc w:val="right"/>
              <w:ind w:right="462"/>
              <w:spacing w:after="0"/>
              <w:rPr>
                <w:sz w:val="20"/>
                <w:szCs w:val="20"/>
                <w:color w:val="auto"/>
              </w:rPr>
            </w:pPr>
            <w:r>
              <w:rPr>
                <w:rFonts w:ascii="Arial" w:cs="Arial" w:eastAsia="Arial" w:hAnsi="Arial"/>
                <w:sz w:val="20"/>
                <w:szCs w:val="20"/>
                <w:color w:val="auto"/>
              </w:rPr>
              <w:t>5.3</w:t>
            </w:r>
          </w:p>
        </w:tc>
      </w:tr>
      <w:tr>
        <w:trPr>
          <w:trHeight w:val="359"/>
        </w:trPr>
        <w:tc>
          <w:tcPr>
            <w:tcW w:w="5760" w:type="dxa"/>
            <w:vAlign w:val="bottom"/>
          </w:tcPr>
          <w:p>
            <w:pPr>
              <w:ind w:left="40"/>
              <w:spacing w:after="0"/>
              <w:rPr>
                <w:sz w:val="20"/>
                <w:szCs w:val="20"/>
                <w:color w:val="auto"/>
              </w:rPr>
            </w:pPr>
            <w:r>
              <w:rPr>
                <w:rFonts w:ascii="Arial" w:cs="Arial" w:eastAsia="Arial" w:hAnsi="Arial"/>
                <w:sz w:val="20"/>
                <w:szCs w:val="20"/>
                <w:color w:val="auto"/>
              </w:rPr>
              <w:t xml:space="preserve">Expected volatility at grant date </w:t>
            </w:r>
            <w:r>
              <w:rPr>
                <w:rFonts w:ascii="Arial" w:cs="Arial" w:eastAsia="Arial" w:hAnsi="Arial"/>
                <w:sz w:val="25"/>
                <w:szCs w:val="25"/>
                <w:color w:val="auto"/>
                <w:vertAlign w:val="superscript"/>
              </w:rPr>
              <w:t>(4)</w:t>
            </w:r>
          </w:p>
        </w:tc>
        <w:tc>
          <w:tcPr>
            <w:tcW w:w="1380" w:type="dxa"/>
            <w:vAlign w:val="bottom"/>
          </w:tcPr>
          <w:p>
            <w:pPr>
              <w:jc w:val="center"/>
              <w:spacing w:after="0"/>
              <w:rPr>
                <w:sz w:val="20"/>
                <w:szCs w:val="20"/>
                <w:color w:val="auto"/>
              </w:rPr>
            </w:pPr>
            <w:r>
              <w:rPr>
                <w:rFonts w:ascii="Arial" w:cs="Arial" w:eastAsia="Arial" w:hAnsi="Arial"/>
                <w:sz w:val="20"/>
                <w:szCs w:val="20"/>
                <w:color w:val="auto"/>
                <w:w w:val="88"/>
              </w:rPr>
              <w:t>43.1%</w:t>
            </w:r>
          </w:p>
        </w:tc>
        <w:tc>
          <w:tcPr>
            <w:tcW w:w="1460" w:type="dxa"/>
            <w:vAlign w:val="bottom"/>
            <w:gridSpan w:val="2"/>
          </w:tcPr>
          <w:p>
            <w:pPr>
              <w:jc w:val="center"/>
              <w:ind w:left="2"/>
              <w:spacing w:after="0"/>
              <w:rPr>
                <w:sz w:val="20"/>
                <w:szCs w:val="20"/>
                <w:color w:val="auto"/>
              </w:rPr>
            </w:pPr>
            <w:r>
              <w:rPr>
                <w:rFonts w:ascii="Arial" w:cs="Arial" w:eastAsia="Arial" w:hAnsi="Arial"/>
                <w:sz w:val="20"/>
                <w:szCs w:val="20"/>
                <w:color w:val="auto"/>
                <w:w w:val="91"/>
              </w:rPr>
              <w:t>45.1%</w:t>
            </w:r>
          </w:p>
        </w:tc>
        <w:tc>
          <w:tcPr>
            <w:tcW w:w="1440" w:type="dxa"/>
            <w:vAlign w:val="bottom"/>
            <w:gridSpan w:val="2"/>
          </w:tcPr>
          <w:p>
            <w:pPr>
              <w:jc w:val="center"/>
              <w:ind w:left="2"/>
              <w:spacing w:after="0"/>
              <w:rPr>
                <w:sz w:val="20"/>
                <w:szCs w:val="20"/>
                <w:color w:val="auto"/>
              </w:rPr>
            </w:pPr>
            <w:r>
              <w:rPr>
                <w:rFonts w:ascii="Arial" w:cs="Arial" w:eastAsia="Arial" w:hAnsi="Arial"/>
                <w:sz w:val="20"/>
                <w:szCs w:val="20"/>
                <w:color w:val="auto"/>
                <w:w w:val="88"/>
              </w:rPr>
              <w:t>42.2%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3641725</wp:posOffset>
            </wp:positionH>
            <wp:positionV relativeFrom="paragraph">
              <wp:posOffset>-772160</wp:posOffset>
            </wp:positionV>
            <wp:extent cx="2750820"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79">
                      <a:extLst>
                        <a:ext uri="{28A0092B-C50C-407E-A947-70E740481C1C}"/>
                      </a:extLst>
                    </a:blip>
                    <a:srcRect/>
                    <a:stretch>
                      <a:fillRect/>
                    </a:stretch>
                  </pic:blipFill>
                  <pic:spPr bwMode="auto">
                    <a:xfrm>
                      <a:off x="0" y="0"/>
                      <a:ext cx="2750820" cy="25400"/>
                    </a:xfrm>
                    <a:prstGeom prst="rect">
                      <a:avLst/>
                    </a:prstGeom>
                    <a:noFill/>
                  </pic:spPr>
                </pic:pic>
              </a:graphicData>
            </a:graphic>
          </wp:anchor>
        </w:drawing>
      </w:r>
    </w:p>
    <w:p>
      <w:pPr>
        <w:spacing w:after="0" w:line="17" w:lineRule="exact"/>
        <w:rPr>
          <w:sz w:val="20"/>
          <w:szCs w:val="20"/>
          <w:color w:val="auto"/>
        </w:rPr>
      </w:pPr>
    </w:p>
    <w:p>
      <w:pPr>
        <w:ind w:left="700" w:hanging="355"/>
        <w:spacing w:after="0"/>
        <w:tabs>
          <w:tab w:leader="none" w:pos="70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LivaNova has not paid dividends, and no future dividends have been approved.</w:t>
      </w:r>
    </w:p>
    <w:p>
      <w:pPr>
        <w:ind w:left="700" w:right="520" w:hanging="355"/>
        <w:spacing w:after="0" w:line="224" w:lineRule="auto"/>
        <w:tabs>
          <w:tab w:leader="none" w:pos="70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LivaNova uses yield rates on U.S. Treasury securities for a period that approximates the expected term of the awards granted to estimate the risk-free interest rate.</w:t>
      </w:r>
    </w:p>
    <w:p>
      <w:pPr>
        <w:ind w:left="700" w:right="520" w:hanging="355"/>
        <w:spacing w:after="0" w:line="224" w:lineRule="auto"/>
        <w:tabs>
          <w:tab w:leader="none" w:pos="70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LivaNova estimated the expected term of the awards granted using historic data of actual time elapsed between the date of grant and the exercise or forfeiture of options or SARs for employees.</w:t>
      </w:r>
    </w:p>
    <w:p>
      <w:pPr>
        <w:ind w:left="700" w:hanging="355"/>
        <w:spacing w:after="0" w:line="210" w:lineRule="auto"/>
        <w:tabs>
          <w:tab w:leader="none" w:pos="70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LivaNova determines the expected volatility of the awards based on historical volatility.</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present the activity for service-based SARs and stock option awards: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1"/>
              </w:rPr>
              <w:t>Number of</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center"/>
              <w:ind w:right="62"/>
              <w:spacing w:after="0"/>
              <w:rPr>
                <w:sz w:val="20"/>
                <w:szCs w:val="20"/>
                <w:color w:val="auto"/>
              </w:rPr>
            </w:pPr>
            <w:r>
              <w:rPr>
                <w:rFonts w:ascii="Arial" w:cs="Arial" w:eastAsia="Arial" w:hAnsi="Arial"/>
                <w:sz w:val="20"/>
                <w:szCs w:val="20"/>
                <w:b w:val="1"/>
                <w:bCs w:val="1"/>
                <w:color w:val="auto"/>
                <w:w w:val="94"/>
              </w:rPr>
              <w:t>Wtd.-Avg.</w:t>
            </w:r>
          </w:p>
        </w:tc>
        <w:tc>
          <w:tcPr>
            <w:tcW w:w="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20"/>
                <w:szCs w:val="20"/>
                <w:b w:val="1"/>
                <w:bCs w:val="1"/>
                <w:color w:val="auto"/>
                <w:w w:val="94"/>
              </w:rPr>
              <w:t>Wtd.-Avg.</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vMerge w:val="restart"/>
          </w:tcPr>
          <w:p>
            <w:pPr>
              <w:jc w:val="center"/>
              <w:ind w:right="82"/>
              <w:spacing w:after="0"/>
              <w:rPr>
                <w:sz w:val="20"/>
                <w:szCs w:val="20"/>
                <w:color w:val="auto"/>
              </w:rPr>
            </w:pPr>
            <w:r>
              <w:rPr>
                <w:rFonts w:ascii="Arial" w:cs="Arial" w:eastAsia="Arial" w:hAnsi="Arial"/>
                <w:sz w:val="20"/>
                <w:szCs w:val="20"/>
                <w:b w:val="1"/>
                <w:bCs w:val="1"/>
                <w:color w:val="auto"/>
                <w:w w:val="86"/>
              </w:rPr>
              <w:t>Aggregate</w:t>
            </w: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62"/>
              <w:spacing w:after="0" w:line="196" w:lineRule="exact"/>
              <w:rPr>
                <w:sz w:val="20"/>
                <w:szCs w:val="20"/>
                <w:color w:val="auto"/>
              </w:rPr>
            </w:pPr>
            <w:r>
              <w:rPr>
                <w:rFonts w:ascii="Arial" w:cs="Arial" w:eastAsia="Arial" w:hAnsi="Arial"/>
                <w:sz w:val="20"/>
                <w:szCs w:val="20"/>
                <w:b w:val="1"/>
                <w:bCs w:val="1"/>
                <w:color w:val="auto"/>
                <w:w w:val="87"/>
              </w:rPr>
              <w:t>Exercise</w:t>
            </w:r>
          </w:p>
        </w:tc>
        <w:tc>
          <w:tcPr>
            <w:tcW w:w="80" w:type="dxa"/>
            <w:vAlign w:val="bottom"/>
          </w:tcPr>
          <w:p>
            <w:pPr>
              <w:spacing w:after="0"/>
              <w:rPr>
                <w:sz w:val="17"/>
                <w:szCs w:val="17"/>
                <w:color w:val="auto"/>
              </w:rPr>
            </w:pPr>
          </w:p>
        </w:tc>
        <w:tc>
          <w:tcPr>
            <w:tcW w:w="1360" w:type="dxa"/>
            <w:vAlign w:val="bottom"/>
          </w:tcPr>
          <w:p>
            <w:pPr>
              <w:jc w:val="center"/>
              <w:spacing w:after="0" w:line="196" w:lineRule="exact"/>
              <w:rPr>
                <w:sz w:val="20"/>
                <w:szCs w:val="20"/>
                <w:color w:val="auto"/>
              </w:rPr>
            </w:pPr>
            <w:r>
              <w:rPr>
                <w:rFonts w:ascii="Arial" w:cs="Arial" w:eastAsia="Arial" w:hAnsi="Arial"/>
                <w:sz w:val="20"/>
                <w:szCs w:val="20"/>
                <w:b w:val="1"/>
                <w:bCs w:val="1"/>
                <w:color w:val="auto"/>
                <w:w w:val="89"/>
              </w:rPr>
              <w:t>Remaining</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20" w:type="dxa"/>
            <w:vAlign w:val="bottom"/>
            <w:vMerge w:val="restart"/>
          </w:tcPr>
          <w:p>
            <w:pPr>
              <w:ind w:left="40"/>
              <w:spacing w:after="0"/>
              <w:rPr>
                <w:sz w:val="20"/>
                <w:szCs w:val="20"/>
                <w:color w:val="auto"/>
              </w:rPr>
            </w:pPr>
            <w:r>
              <w:rPr>
                <w:rFonts w:ascii="Arial" w:cs="Arial" w:eastAsia="Arial" w:hAnsi="Arial"/>
                <w:sz w:val="20"/>
                <w:szCs w:val="20"/>
                <w:b w:val="1"/>
                <w:bCs w:val="1"/>
                <w:color w:val="auto"/>
              </w:rPr>
              <w:t>SARs and Stock Options</w:t>
            </w:r>
          </w:p>
        </w:tc>
        <w:tc>
          <w:tcPr>
            <w:tcW w:w="80" w:type="dxa"/>
            <w:vAlign w:val="bottom"/>
          </w:tcPr>
          <w:p>
            <w:pPr>
              <w:spacing w:after="0"/>
              <w:rPr>
                <w:sz w:val="17"/>
                <w:szCs w:val="17"/>
                <w:color w:val="auto"/>
              </w:rPr>
            </w:pPr>
          </w:p>
        </w:tc>
        <w:tc>
          <w:tcPr>
            <w:tcW w:w="1240" w:type="dxa"/>
            <w:vAlign w:val="bottom"/>
          </w:tcPr>
          <w:p>
            <w:pPr>
              <w:jc w:val="center"/>
              <w:spacing w:after="0" w:line="196" w:lineRule="exact"/>
              <w:rPr>
                <w:sz w:val="20"/>
                <w:szCs w:val="20"/>
                <w:color w:val="auto"/>
              </w:rPr>
            </w:pPr>
            <w:r>
              <w:rPr>
                <w:rFonts w:ascii="Arial" w:cs="Arial" w:eastAsia="Arial" w:hAnsi="Arial"/>
                <w:sz w:val="20"/>
                <w:szCs w:val="20"/>
                <w:b w:val="1"/>
                <w:bCs w:val="1"/>
                <w:color w:val="auto"/>
                <w:w w:val="91"/>
              </w:rPr>
              <w:t>Optioned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62"/>
              <w:spacing w:after="0" w:line="196" w:lineRule="exact"/>
              <w:rPr>
                <w:sz w:val="20"/>
                <w:szCs w:val="20"/>
                <w:color w:val="auto"/>
              </w:rPr>
            </w:pPr>
            <w:r>
              <w:rPr>
                <w:rFonts w:ascii="Arial" w:cs="Arial" w:eastAsia="Arial" w:hAnsi="Arial"/>
                <w:sz w:val="20"/>
                <w:szCs w:val="20"/>
                <w:b w:val="1"/>
                <w:bCs w:val="1"/>
                <w:color w:val="auto"/>
                <w:w w:val="88"/>
              </w:rPr>
              <w:t>Price per</w:t>
            </w:r>
          </w:p>
        </w:tc>
        <w:tc>
          <w:tcPr>
            <w:tcW w:w="80" w:type="dxa"/>
            <w:vAlign w:val="bottom"/>
          </w:tcPr>
          <w:p>
            <w:pPr>
              <w:spacing w:after="0"/>
              <w:rPr>
                <w:sz w:val="17"/>
                <w:szCs w:val="17"/>
                <w:color w:val="auto"/>
              </w:rPr>
            </w:pPr>
          </w:p>
        </w:tc>
        <w:tc>
          <w:tcPr>
            <w:tcW w:w="1360" w:type="dxa"/>
            <w:vAlign w:val="bottom"/>
          </w:tcPr>
          <w:p>
            <w:pPr>
              <w:jc w:val="center"/>
              <w:spacing w:after="0" w:line="196" w:lineRule="exact"/>
              <w:rPr>
                <w:sz w:val="20"/>
                <w:szCs w:val="20"/>
                <w:color w:val="auto"/>
              </w:rPr>
            </w:pPr>
            <w:r>
              <w:rPr>
                <w:rFonts w:ascii="Arial" w:cs="Arial" w:eastAsia="Arial" w:hAnsi="Arial"/>
                <w:sz w:val="20"/>
                <w:szCs w:val="20"/>
                <w:b w:val="1"/>
                <w:bCs w:val="1"/>
                <w:color w:val="auto"/>
                <w:w w:val="89"/>
              </w:rPr>
              <w:t>Contractual</w:t>
            </w:r>
          </w:p>
        </w:tc>
        <w:tc>
          <w:tcPr>
            <w:tcW w:w="80" w:type="dxa"/>
            <w:vAlign w:val="bottom"/>
          </w:tcPr>
          <w:p>
            <w:pPr>
              <w:spacing w:after="0"/>
              <w:rPr>
                <w:sz w:val="17"/>
                <w:szCs w:val="17"/>
                <w:color w:val="auto"/>
              </w:rPr>
            </w:pPr>
          </w:p>
        </w:tc>
        <w:tc>
          <w:tcPr>
            <w:tcW w:w="1360" w:type="dxa"/>
            <w:vAlign w:val="bottom"/>
            <w:gridSpan w:val="2"/>
          </w:tcPr>
          <w:p>
            <w:pPr>
              <w:jc w:val="center"/>
              <w:spacing w:after="0" w:line="196" w:lineRule="exact"/>
              <w:rPr>
                <w:sz w:val="20"/>
                <w:szCs w:val="20"/>
                <w:color w:val="auto"/>
              </w:rPr>
            </w:pPr>
            <w:r>
              <w:rPr>
                <w:rFonts w:ascii="Arial" w:cs="Arial" w:eastAsia="Arial" w:hAnsi="Arial"/>
                <w:sz w:val="20"/>
                <w:szCs w:val="20"/>
                <w:b w:val="1"/>
                <w:bCs w:val="1"/>
                <w:color w:val="auto"/>
                <w:w w:val="92"/>
              </w:rPr>
              <w:t>Intrinsic Value</w:t>
            </w:r>
          </w:p>
        </w:tc>
        <w:tc>
          <w:tcPr>
            <w:tcW w:w="0" w:type="dxa"/>
            <w:vAlign w:val="bottom"/>
          </w:tcPr>
          <w:p>
            <w:pPr>
              <w:spacing w:after="0"/>
              <w:rPr>
                <w:sz w:val="1"/>
                <w:szCs w:val="1"/>
                <w:color w:val="auto"/>
              </w:rPr>
            </w:pPr>
          </w:p>
        </w:tc>
      </w:tr>
      <w:tr>
        <w:trPr>
          <w:trHeight w:val="258"/>
        </w:trPr>
        <w:tc>
          <w:tcPr>
            <w:tcW w:w="452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3"/>
              </w:rPr>
              <w:t>Shares</w:t>
            </w:r>
          </w:p>
        </w:tc>
        <w:tc>
          <w:tcPr>
            <w:tcW w:w="80" w:type="dxa"/>
            <w:vAlign w:val="bottom"/>
            <w:tcBorders>
              <w:bottom w:val="single" w:sz="8" w:color="E6E6E6"/>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62"/>
              <w:spacing w:after="0"/>
              <w:rPr>
                <w:sz w:val="20"/>
                <w:szCs w:val="20"/>
                <w:color w:val="auto"/>
              </w:rPr>
            </w:pPr>
            <w:r>
              <w:rPr>
                <w:rFonts w:ascii="Arial" w:cs="Arial" w:eastAsia="Arial" w:hAnsi="Arial"/>
                <w:sz w:val="20"/>
                <w:szCs w:val="20"/>
                <w:b w:val="1"/>
                <w:bCs w:val="1"/>
                <w:color w:val="auto"/>
                <w:w w:val="86"/>
              </w:rPr>
              <w:t>Share</w:t>
            </w:r>
          </w:p>
        </w:tc>
        <w:tc>
          <w:tcPr>
            <w:tcW w:w="80" w:type="dxa"/>
            <w:vAlign w:val="bottom"/>
            <w:tcBorders>
              <w:bottom w:val="single" w:sz="8" w:color="E6E6E6"/>
            </w:tcBorders>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Term (years)</w:t>
            </w:r>
          </w:p>
        </w:tc>
        <w:tc>
          <w:tcPr>
            <w:tcW w:w="80" w:type="dxa"/>
            <w:vAlign w:val="bottom"/>
            <w:tcBorders>
              <w:bottom w:val="single" w:sz="8" w:color="E6E6E6"/>
            </w:tcBorders>
          </w:tcPr>
          <w:p>
            <w:pPr>
              <w:spacing w:after="0"/>
              <w:rPr>
                <w:sz w:val="22"/>
                <w:szCs w:val="22"/>
                <w:color w:val="auto"/>
              </w:rPr>
            </w:pPr>
          </w:p>
        </w:tc>
        <w:tc>
          <w:tcPr>
            <w:tcW w:w="1360" w:type="dxa"/>
            <w:vAlign w:val="bottom"/>
            <w:tcBorders>
              <w:bottom w:val="single" w:sz="8" w:color="auto"/>
            </w:tcBorders>
            <w:gridSpan w:val="2"/>
          </w:tcPr>
          <w:p>
            <w:pPr>
              <w:jc w:val="center"/>
              <w:spacing w:after="0" w:line="258" w:lineRule="exact"/>
              <w:rPr>
                <w:sz w:val="20"/>
                <w:szCs w:val="20"/>
                <w:color w:val="auto"/>
              </w:rPr>
            </w:pPr>
            <w:r>
              <w:rPr>
                <w:rFonts w:ascii="Arial" w:cs="Arial" w:eastAsia="Arial" w:hAnsi="Arial"/>
                <w:sz w:val="16"/>
                <w:szCs w:val="16"/>
                <w:b w:val="1"/>
                <w:bCs w:val="1"/>
                <w:color w:val="auto"/>
                <w:w w:val="85"/>
              </w:rPr>
              <w:t xml:space="preserve">(in thousands) </w:t>
            </w:r>
            <w:r>
              <w:rPr>
                <w:rFonts w:ascii="Arial" w:cs="Arial" w:eastAsia="Arial" w:hAnsi="Arial"/>
                <w:sz w:val="25"/>
                <w:szCs w:val="25"/>
                <w:color w:val="auto"/>
                <w:w w:val="85"/>
                <w:vertAlign w:val="superscript"/>
              </w:rPr>
              <w:t>(1)</w:t>
            </w:r>
          </w:p>
        </w:tc>
        <w:tc>
          <w:tcPr>
            <w:tcW w:w="0" w:type="dxa"/>
            <w:vAlign w:val="bottom"/>
          </w:tcPr>
          <w:p>
            <w:pPr>
              <w:spacing w:after="0"/>
              <w:rPr>
                <w:sz w:val="1"/>
                <w:szCs w:val="1"/>
                <w:color w:val="auto"/>
              </w:rPr>
            </w:pPr>
          </w:p>
        </w:tc>
      </w:tr>
      <w:tr>
        <w:trPr>
          <w:trHeight w:val="299"/>
        </w:trPr>
        <w:tc>
          <w:tcPr>
            <w:tcW w:w="4520" w:type="dxa"/>
            <w:vAlign w:val="bottom"/>
            <w:shd w:val="clear" w:color="auto" w:fill="E6E6E6"/>
          </w:tcPr>
          <w:p>
            <w:pPr>
              <w:ind w:left="40"/>
              <w:spacing w:after="0"/>
              <w:rPr>
                <w:sz w:val="20"/>
                <w:szCs w:val="20"/>
                <w:color w:val="auto"/>
              </w:rPr>
            </w:pPr>
            <w:r>
              <w:rPr>
                <w:rFonts w:ascii="Arial" w:cs="Arial" w:eastAsia="Arial" w:hAnsi="Arial"/>
                <w:sz w:val="20"/>
                <w:szCs w:val="20"/>
                <w:color w:val="auto"/>
              </w:rPr>
              <w:t>Outstanding — as of December 31, 2023</w:t>
            </w:r>
          </w:p>
        </w:tc>
        <w:tc>
          <w:tcPr>
            <w:tcW w:w="132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2,954,302</w:t>
            </w:r>
          </w:p>
        </w:tc>
        <w:tc>
          <w:tcPr>
            <w:tcW w:w="240" w:type="dxa"/>
            <w:vAlign w:val="bottom"/>
            <w:gridSpan w:val="2"/>
            <w:shd w:val="clear" w:color="auto" w:fill="E6E6E6"/>
          </w:tcPr>
          <w:p>
            <w:pPr>
              <w:jc w:val="right"/>
              <w:ind w:right="20"/>
              <w:spacing w:after="0"/>
              <w:rPr>
                <w:sz w:val="20"/>
                <w:szCs w:val="20"/>
                <w:color w:val="auto"/>
              </w:rPr>
            </w:pPr>
            <w:r>
              <w:rPr>
                <w:rFonts w:ascii="Arial" w:cs="Arial" w:eastAsia="Arial" w:hAnsi="Arial"/>
                <w:sz w:val="20"/>
                <w:szCs w:val="20"/>
                <w:color w:val="auto"/>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62.40</w:t>
            </w:r>
          </w:p>
        </w:tc>
        <w:tc>
          <w:tcPr>
            <w:tcW w:w="80" w:type="dxa"/>
            <w:vAlign w:val="bottom"/>
            <w:shd w:val="clear" w:color="auto" w:fill="E6E6E6"/>
          </w:tcPr>
          <w:p>
            <w:pPr>
              <w:spacing w:after="0"/>
              <w:rPr>
                <w:sz w:val="24"/>
                <w:szCs w:val="24"/>
                <w:color w:val="auto"/>
              </w:rPr>
            </w:pPr>
          </w:p>
        </w:tc>
        <w:tc>
          <w:tcPr>
            <w:tcW w:w="136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1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520" w:type="dxa"/>
            <w:vAlign w:val="bottom"/>
          </w:tcPr>
          <w:p>
            <w:pPr>
              <w:ind w:left="180"/>
              <w:spacing w:after="0"/>
              <w:rPr>
                <w:sz w:val="20"/>
                <w:szCs w:val="20"/>
                <w:color w:val="auto"/>
              </w:rPr>
            </w:pPr>
            <w:r>
              <w:rPr>
                <w:rFonts w:ascii="Arial" w:cs="Arial" w:eastAsia="Arial" w:hAnsi="Arial"/>
                <w:sz w:val="20"/>
                <w:szCs w:val="20"/>
                <w:color w:val="auto"/>
              </w:rPr>
              <w:t>Granted</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729,482</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55.77</w:t>
            </w:r>
          </w:p>
        </w:tc>
        <w:tc>
          <w:tcPr>
            <w:tcW w:w="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4520" w:type="dxa"/>
            <w:vAlign w:val="bottom"/>
            <w:shd w:val="clear" w:color="auto" w:fill="E6E6E6"/>
          </w:tcPr>
          <w:p>
            <w:pPr>
              <w:ind w:left="180"/>
              <w:spacing w:after="0"/>
              <w:rPr>
                <w:sz w:val="20"/>
                <w:szCs w:val="20"/>
                <w:color w:val="auto"/>
              </w:rPr>
            </w:pPr>
            <w:r>
              <w:rPr>
                <w:rFonts w:ascii="Arial" w:cs="Arial" w:eastAsia="Arial" w:hAnsi="Arial"/>
                <w:sz w:val="20"/>
                <w:szCs w:val="20"/>
                <w:color w:val="auto"/>
              </w:rPr>
              <w:t>Exercised</w:t>
            </w:r>
          </w:p>
        </w:tc>
        <w:tc>
          <w:tcPr>
            <w:tcW w:w="132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(236,248)</w:t>
            </w:r>
          </w:p>
        </w:tc>
        <w:tc>
          <w:tcPr>
            <w:tcW w:w="8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47.22</w:t>
            </w:r>
          </w:p>
        </w:tc>
        <w:tc>
          <w:tcPr>
            <w:tcW w:w="80" w:type="dxa"/>
            <w:vAlign w:val="bottom"/>
            <w:shd w:val="clear" w:color="auto" w:fill="E6E6E6"/>
          </w:tcPr>
          <w:p>
            <w:pPr>
              <w:spacing w:after="0"/>
              <w:rPr>
                <w:sz w:val="24"/>
                <w:szCs w:val="24"/>
                <w:color w:val="auto"/>
              </w:rPr>
            </w:pPr>
          </w:p>
        </w:tc>
        <w:tc>
          <w:tcPr>
            <w:tcW w:w="136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1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520" w:type="dxa"/>
            <w:vAlign w:val="bottom"/>
          </w:tcPr>
          <w:p>
            <w:pPr>
              <w:ind w:left="180"/>
              <w:spacing w:after="0"/>
              <w:rPr>
                <w:sz w:val="20"/>
                <w:szCs w:val="20"/>
                <w:color w:val="auto"/>
              </w:rPr>
            </w:pPr>
            <w:r>
              <w:rPr>
                <w:rFonts w:ascii="Arial" w:cs="Arial" w:eastAsia="Arial" w:hAnsi="Arial"/>
                <w:sz w:val="20"/>
                <w:szCs w:val="20"/>
                <w:color w:val="auto"/>
              </w:rPr>
              <w:t>Forfeited</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(195,958)</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51.60</w:t>
            </w:r>
          </w:p>
        </w:tc>
        <w:tc>
          <w:tcPr>
            <w:tcW w:w="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452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20"/>
                <w:szCs w:val="20"/>
                <w:color w:val="auto"/>
              </w:rPr>
              <w:t>Expired</w:t>
            </w:r>
          </w:p>
        </w:tc>
        <w:tc>
          <w:tcPr>
            <w:tcW w:w="80" w:type="dxa"/>
            <w:vAlign w:val="bottom"/>
            <w:tcBorders>
              <w:bottom w:val="single" w:sz="8" w:color="E6E6E6"/>
            </w:tcBorders>
            <w:shd w:val="clear" w:color="auto" w:fill="E6E6E6"/>
          </w:tcPr>
          <w:p>
            <w:pPr>
              <w:spacing w:after="0"/>
              <w:rPr>
                <w:sz w:val="24"/>
                <w:szCs w:val="24"/>
                <w:color w:val="auto"/>
              </w:rPr>
            </w:pPr>
          </w:p>
        </w:tc>
        <w:tc>
          <w:tcPr>
            <w:tcW w:w="12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(206,046)</w:t>
            </w:r>
          </w:p>
        </w:tc>
        <w:tc>
          <w:tcPr>
            <w:tcW w:w="8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E6E6E6"/>
            </w:tcBorders>
            <w:shd w:val="clear" w:color="auto" w:fill="E6E6E6"/>
          </w:tcPr>
          <w:p>
            <w:pPr>
              <w:spacing w:after="0"/>
              <w:rPr>
                <w:sz w:val="24"/>
                <w:szCs w:val="24"/>
                <w:color w:val="auto"/>
              </w:rPr>
            </w:pPr>
          </w:p>
        </w:tc>
        <w:tc>
          <w:tcPr>
            <w:tcW w:w="10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76.76</w:t>
            </w:r>
          </w:p>
        </w:tc>
        <w:tc>
          <w:tcPr>
            <w:tcW w:w="80" w:type="dxa"/>
            <w:vAlign w:val="bottom"/>
            <w:tcBorders>
              <w:bottom w:val="single" w:sz="8" w:color="E6E6E6"/>
            </w:tcBorders>
            <w:shd w:val="clear" w:color="auto" w:fill="E6E6E6"/>
          </w:tcPr>
          <w:p>
            <w:pPr>
              <w:spacing w:after="0"/>
              <w:rPr>
                <w:sz w:val="24"/>
                <w:szCs w:val="24"/>
                <w:color w:val="auto"/>
              </w:rPr>
            </w:pPr>
          </w:p>
        </w:tc>
        <w:tc>
          <w:tcPr>
            <w:tcW w:w="1360" w:type="dxa"/>
            <w:vAlign w:val="bottom"/>
            <w:tcBorders>
              <w:bottom w:val="single" w:sz="8" w:color="E6E6E6"/>
            </w:tcBorders>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E6E6E6"/>
            </w:tcBorders>
            <w:shd w:val="clear" w:color="auto" w:fill="E6E6E6"/>
          </w:tcPr>
          <w:p>
            <w:pPr>
              <w:spacing w:after="0"/>
              <w:rPr>
                <w:sz w:val="24"/>
                <w:szCs w:val="24"/>
                <w:color w:val="auto"/>
              </w:rPr>
            </w:pPr>
          </w:p>
        </w:tc>
        <w:tc>
          <w:tcPr>
            <w:tcW w:w="116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520" w:type="dxa"/>
            <w:vAlign w:val="bottom"/>
          </w:tcPr>
          <w:p>
            <w:pPr>
              <w:ind w:left="60"/>
              <w:spacing w:after="0" w:line="221" w:lineRule="exact"/>
              <w:rPr>
                <w:sz w:val="20"/>
                <w:szCs w:val="20"/>
                <w:color w:val="auto"/>
              </w:rPr>
            </w:pPr>
            <w:r>
              <w:rPr>
                <w:rFonts w:ascii="Arial" w:cs="Arial" w:eastAsia="Arial" w:hAnsi="Arial"/>
                <w:sz w:val="20"/>
                <w:szCs w:val="20"/>
                <w:color w:val="auto"/>
              </w:rPr>
              <w:t>Outstanding — as of December 31, 2024</w:t>
            </w:r>
          </w:p>
        </w:tc>
        <w:tc>
          <w:tcPr>
            <w:tcW w:w="1320" w:type="dxa"/>
            <w:vAlign w:val="bottom"/>
            <w:gridSpan w:val="2"/>
          </w:tcPr>
          <w:p>
            <w:pPr>
              <w:jc w:val="right"/>
              <w:spacing w:after="0" w:line="221" w:lineRule="exact"/>
              <w:rPr>
                <w:sz w:val="20"/>
                <w:szCs w:val="20"/>
                <w:color w:val="auto"/>
              </w:rPr>
            </w:pPr>
            <w:r>
              <w:rPr>
                <w:rFonts w:ascii="Arial" w:cs="Arial" w:eastAsia="Arial" w:hAnsi="Arial"/>
                <w:sz w:val="20"/>
                <w:szCs w:val="20"/>
                <w:color w:val="auto"/>
              </w:rPr>
              <w:t>3,045,532</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line="221" w:lineRule="exact"/>
              <w:rPr>
                <w:sz w:val="20"/>
                <w:szCs w:val="20"/>
                <w:color w:val="auto"/>
              </w:rPr>
            </w:pPr>
            <w:r>
              <w:rPr>
                <w:rFonts w:ascii="Arial" w:cs="Arial" w:eastAsia="Arial" w:hAnsi="Arial"/>
                <w:sz w:val="20"/>
                <w:szCs w:val="20"/>
                <w:color w:val="auto"/>
              </w:rPr>
              <w:t>61.70</w:t>
            </w:r>
          </w:p>
        </w:tc>
        <w:tc>
          <w:tcPr>
            <w:tcW w:w="1440" w:type="dxa"/>
            <w:vAlign w:val="bottom"/>
            <w:gridSpan w:val="2"/>
          </w:tcPr>
          <w:p>
            <w:pPr>
              <w:jc w:val="center"/>
              <w:ind w:left="2"/>
              <w:spacing w:after="0" w:line="221" w:lineRule="exact"/>
              <w:rPr>
                <w:sz w:val="20"/>
                <w:szCs w:val="20"/>
                <w:color w:val="auto"/>
              </w:rPr>
            </w:pPr>
            <w:r>
              <w:rPr>
                <w:rFonts w:ascii="Arial" w:cs="Arial" w:eastAsia="Arial" w:hAnsi="Arial"/>
                <w:sz w:val="20"/>
                <w:szCs w:val="20"/>
                <w:color w:val="auto"/>
                <w:w w:val="87"/>
              </w:rPr>
              <w:t>6.75</w:t>
            </w:r>
          </w:p>
        </w:tc>
        <w:tc>
          <w:tcPr>
            <w:tcW w:w="280" w:type="dxa"/>
            <w:vAlign w:val="bottom"/>
            <w:gridSpan w:val="2"/>
          </w:tcPr>
          <w:p>
            <w:pPr>
              <w:jc w:val="right"/>
              <w:spacing w:after="0" w:line="221" w:lineRule="exact"/>
              <w:rPr>
                <w:sz w:val="20"/>
                <w:szCs w:val="20"/>
                <w:color w:val="auto"/>
              </w:rPr>
            </w:pPr>
            <w:r>
              <w:rPr>
                <w:rFonts w:ascii="Arial" w:cs="Arial" w:eastAsia="Arial" w:hAnsi="Arial"/>
                <w:sz w:val="20"/>
                <w:szCs w:val="20"/>
                <w:color w:val="auto"/>
              </w:rPr>
              <w:t>$</w:t>
            </w:r>
          </w:p>
        </w:tc>
        <w:tc>
          <w:tcPr>
            <w:tcW w:w="1160" w:type="dxa"/>
            <w:vAlign w:val="bottom"/>
          </w:tcPr>
          <w:p>
            <w:pPr>
              <w:jc w:val="right"/>
              <w:spacing w:after="0" w:line="221" w:lineRule="exact"/>
              <w:rPr>
                <w:sz w:val="20"/>
                <w:szCs w:val="20"/>
                <w:color w:val="auto"/>
              </w:rPr>
            </w:pPr>
            <w:r>
              <w:rPr>
                <w:rFonts w:ascii="Arial" w:cs="Arial" w:eastAsia="Arial" w:hAnsi="Arial"/>
                <w:sz w:val="20"/>
                <w:szCs w:val="20"/>
                <w:color w:val="auto"/>
              </w:rPr>
              <w:t>3,577</w:t>
            </w:r>
          </w:p>
        </w:tc>
        <w:tc>
          <w:tcPr>
            <w:tcW w:w="0" w:type="dxa"/>
            <w:vAlign w:val="bottom"/>
          </w:tcPr>
          <w:p>
            <w:pPr>
              <w:spacing w:after="0"/>
              <w:rPr>
                <w:sz w:val="1"/>
                <w:szCs w:val="1"/>
                <w:color w:val="auto"/>
              </w:rPr>
            </w:pPr>
          </w:p>
        </w:tc>
      </w:tr>
      <w:tr>
        <w:trPr>
          <w:trHeight w:val="250"/>
        </w:trPr>
        <w:tc>
          <w:tcPr>
            <w:tcW w:w="4520" w:type="dxa"/>
            <w:vAlign w:val="bottom"/>
            <w:tcBorders>
              <w:top w:val="single" w:sz="8" w:color="E6E6E6"/>
            </w:tcBorders>
            <w:shd w:val="clear" w:color="auto" w:fill="E6E6E6"/>
          </w:tcPr>
          <w:p>
            <w:pPr>
              <w:ind w:left="40"/>
              <w:spacing w:after="0" w:line="229" w:lineRule="exact"/>
              <w:rPr>
                <w:sz w:val="20"/>
                <w:szCs w:val="20"/>
                <w:color w:val="auto"/>
              </w:rPr>
            </w:pPr>
            <w:r>
              <w:rPr>
                <w:rFonts w:ascii="Arial" w:cs="Arial" w:eastAsia="Arial" w:hAnsi="Arial"/>
                <w:sz w:val="20"/>
                <w:szCs w:val="20"/>
                <w:color w:val="auto"/>
              </w:rPr>
              <w:t>Fully vested and exercisable — end of year</w:t>
            </w:r>
          </w:p>
        </w:tc>
        <w:tc>
          <w:tcPr>
            <w:tcW w:w="80" w:type="dxa"/>
            <w:vAlign w:val="bottom"/>
            <w:tcBorders>
              <w:top w:val="single" w:sz="8" w:color="E6E6E6"/>
            </w:tcBorders>
            <w:shd w:val="clear" w:color="auto" w:fill="E6E6E6"/>
          </w:tcPr>
          <w:p>
            <w:pPr>
              <w:spacing w:after="0"/>
              <w:rPr>
                <w:sz w:val="21"/>
                <w:szCs w:val="21"/>
                <w:color w:val="auto"/>
              </w:rPr>
            </w:pPr>
          </w:p>
        </w:tc>
        <w:tc>
          <w:tcPr>
            <w:tcW w:w="124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1,603,643</w:t>
            </w:r>
          </w:p>
        </w:tc>
        <w:tc>
          <w:tcPr>
            <w:tcW w:w="80" w:type="dxa"/>
            <w:vAlign w:val="bottom"/>
            <w:tcBorders>
              <w:top w:val="single" w:sz="8" w:color="E6E6E6"/>
            </w:tcBorders>
            <w:shd w:val="clear" w:color="auto" w:fill="E6E6E6"/>
          </w:tcPr>
          <w:p>
            <w:pPr>
              <w:spacing w:after="0"/>
              <w:rPr>
                <w:sz w:val="21"/>
                <w:szCs w:val="21"/>
                <w:color w:val="auto"/>
              </w:rPr>
            </w:pPr>
          </w:p>
        </w:tc>
        <w:tc>
          <w:tcPr>
            <w:tcW w:w="160" w:type="dxa"/>
            <w:vAlign w:val="bottom"/>
            <w:tcBorders>
              <w:top w:val="single" w:sz="8" w:color="E6E6E6"/>
            </w:tcBorders>
            <w:shd w:val="clear" w:color="auto" w:fill="E6E6E6"/>
          </w:tcPr>
          <w:p>
            <w:pPr>
              <w:spacing w:after="0"/>
              <w:rPr>
                <w:sz w:val="21"/>
                <w:szCs w:val="21"/>
                <w:color w:val="auto"/>
              </w:rPr>
            </w:pPr>
          </w:p>
        </w:tc>
        <w:tc>
          <w:tcPr>
            <w:tcW w:w="1080" w:type="dxa"/>
            <w:vAlign w:val="bottom"/>
            <w:tcBorders>
              <w:top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67.36</w:t>
            </w:r>
          </w:p>
        </w:tc>
        <w:tc>
          <w:tcPr>
            <w:tcW w:w="1440" w:type="dxa"/>
            <w:vAlign w:val="bottom"/>
            <w:tcBorders>
              <w:top w:val="single" w:sz="8" w:color="E6E6E6"/>
            </w:tcBorders>
            <w:gridSpan w:val="2"/>
            <w:shd w:val="clear" w:color="auto" w:fill="E6E6E6"/>
          </w:tcPr>
          <w:p>
            <w:pPr>
              <w:jc w:val="center"/>
              <w:spacing w:after="0"/>
              <w:rPr>
                <w:sz w:val="20"/>
                <w:szCs w:val="20"/>
                <w:color w:val="auto"/>
              </w:rPr>
            </w:pPr>
            <w:r>
              <w:rPr>
                <w:rFonts w:ascii="Arial" w:cs="Arial" w:eastAsia="Arial" w:hAnsi="Arial"/>
                <w:sz w:val="20"/>
                <w:szCs w:val="20"/>
                <w:color w:val="auto"/>
                <w:w w:val="86"/>
              </w:rPr>
              <w:t>5.2</w:t>
            </w:r>
          </w:p>
        </w:tc>
        <w:tc>
          <w:tcPr>
            <w:tcW w:w="80" w:type="dxa"/>
            <w:vAlign w:val="bottom"/>
            <w:tcBorders>
              <w:top w:val="single" w:sz="8" w:color="E6E6E6"/>
            </w:tcBorders>
            <w:shd w:val="clear" w:color="auto" w:fill="E6E6E6"/>
          </w:tcPr>
          <w:p>
            <w:pPr>
              <w:spacing w:after="0"/>
              <w:rPr>
                <w:sz w:val="21"/>
                <w:szCs w:val="21"/>
                <w:color w:val="auto"/>
              </w:rPr>
            </w:pPr>
          </w:p>
        </w:tc>
        <w:tc>
          <w:tcPr>
            <w:tcW w:w="200" w:type="dxa"/>
            <w:vAlign w:val="bottom"/>
            <w:tcBorders>
              <w:top w:val="single" w:sz="8" w:color="E6E6E6"/>
            </w:tcBorders>
            <w:shd w:val="clear" w:color="auto" w:fill="E6E6E6"/>
          </w:tcPr>
          <w:p>
            <w:pPr>
              <w:spacing w:after="0"/>
              <w:rPr>
                <w:sz w:val="21"/>
                <w:szCs w:val="21"/>
                <w:color w:val="auto"/>
              </w:rPr>
            </w:pPr>
          </w:p>
        </w:tc>
        <w:tc>
          <w:tcPr>
            <w:tcW w:w="1160" w:type="dxa"/>
            <w:vAlign w:val="bottom"/>
            <w:tcBorders>
              <w:top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1,727</w:t>
            </w:r>
          </w:p>
        </w:tc>
        <w:tc>
          <w:tcPr>
            <w:tcW w:w="0" w:type="dxa"/>
            <w:vAlign w:val="bottom"/>
          </w:tcPr>
          <w:p>
            <w:pPr>
              <w:spacing w:after="0"/>
              <w:rPr>
                <w:sz w:val="1"/>
                <w:szCs w:val="1"/>
                <w:color w:val="auto"/>
              </w:rPr>
            </w:pPr>
          </w:p>
        </w:tc>
      </w:tr>
      <w:tr>
        <w:trPr>
          <w:trHeight w:val="359"/>
        </w:trPr>
        <w:tc>
          <w:tcPr>
            <w:tcW w:w="4520" w:type="dxa"/>
            <w:vAlign w:val="bottom"/>
          </w:tcPr>
          <w:p>
            <w:pPr>
              <w:ind w:left="40"/>
              <w:spacing w:after="0"/>
              <w:rPr>
                <w:sz w:val="20"/>
                <w:szCs w:val="20"/>
                <w:color w:val="auto"/>
              </w:rPr>
            </w:pPr>
            <w:r>
              <w:rPr>
                <w:rFonts w:ascii="Arial" w:cs="Arial" w:eastAsia="Arial" w:hAnsi="Arial"/>
                <w:sz w:val="20"/>
                <w:szCs w:val="20"/>
                <w:color w:val="auto"/>
                <w:w w:val="98"/>
              </w:rPr>
              <w:t xml:space="preserve">Fully vested and expected to vest — end of year </w:t>
            </w:r>
            <w:r>
              <w:rPr>
                <w:rFonts w:ascii="Arial" w:cs="Arial" w:eastAsia="Arial" w:hAnsi="Arial"/>
                <w:sz w:val="25"/>
                <w:szCs w:val="25"/>
                <w:color w:val="auto"/>
                <w:w w:val="98"/>
                <w:vertAlign w:val="superscript"/>
              </w:rPr>
              <w:t>(2)</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2,967,677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61.92</w:t>
            </w:r>
          </w:p>
        </w:tc>
        <w:tc>
          <w:tcPr>
            <w:tcW w:w="1440" w:type="dxa"/>
            <w:vAlign w:val="bottom"/>
            <w:gridSpan w:val="2"/>
          </w:tcPr>
          <w:p>
            <w:pPr>
              <w:jc w:val="center"/>
              <w:ind w:left="2"/>
              <w:spacing w:after="0"/>
              <w:rPr>
                <w:sz w:val="20"/>
                <w:szCs w:val="20"/>
                <w:color w:val="auto"/>
              </w:rPr>
            </w:pPr>
            <w:r>
              <w:rPr>
                <w:rFonts w:ascii="Arial" w:cs="Arial" w:eastAsia="Arial" w:hAnsi="Arial"/>
                <w:sz w:val="20"/>
                <w:szCs w:val="20"/>
                <w:color w:val="auto"/>
                <w:w w:val="87"/>
              </w:rPr>
              <w:t>6.69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3,492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-1499870</wp:posOffset>
            </wp:positionV>
            <wp:extent cx="641032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80">
                      <a:extLst>
                        <a:ext uri="{28A0092B-C50C-407E-A947-70E740481C1C}"/>
                      </a:extLst>
                    </a:blip>
                    <a:srcRect/>
                    <a:stretch>
                      <a:fillRect/>
                    </a:stretch>
                  </pic:blipFill>
                  <pic:spPr bwMode="auto">
                    <a:xfrm>
                      <a:off x="0" y="0"/>
                      <a:ext cx="6410325" cy="25400"/>
                    </a:xfrm>
                    <a:prstGeom prst="rect">
                      <a:avLst/>
                    </a:prstGeom>
                    <a:noFill/>
                  </pic:spPr>
                </pic:pic>
              </a:graphicData>
            </a:graphic>
          </wp:anchor>
        </w:drawing>
        <w:drawing>
          <wp:anchor simplePos="0" relativeHeight="251657728" behindDoc="1" locked="0" layoutInCell="0" allowOverlap="1">
            <wp:simplePos x="0" y="0"/>
            <wp:positionH relativeFrom="column">
              <wp:posOffset>2904490</wp:posOffset>
            </wp:positionH>
            <wp:positionV relativeFrom="paragraph">
              <wp:posOffset>-594360</wp:posOffset>
            </wp:positionV>
            <wp:extent cx="81851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81">
                      <a:extLst>
                        <a:ext uri="{28A0092B-C50C-407E-A947-70E740481C1C}"/>
                      </a:extLst>
                    </a:blip>
                    <a:srcRect/>
                    <a:stretch>
                      <a:fillRect/>
                    </a:stretch>
                  </pic:blipFill>
                  <pic:spPr bwMode="auto">
                    <a:xfrm>
                      <a:off x="0" y="0"/>
                      <a:ext cx="818515" cy="25400"/>
                    </a:xfrm>
                    <a:prstGeom prst="rect">
                      <a:avLst/>
                    </a:prstGeom>
                    <a:noFill/>
                  </pic:spPr>
                </pic:pic>
              </a:graphicData>
            </a:graphic>
          </wp:anchor>
        </w:drawing>
        <w:drawing>
          <wp:anchor simplePos="0" relativeHeight="251657728" behindDoc="1" locked="0" layoutInCell="0" allowOverlap="1">
            <wp:simplePos x="0" y="0"/>
            <wp:positionH relativeFrom="column">
              <wp:posOffset>2904490</wp:posOffset>
            </wp:positionH>
            <wp:positionV relativeFrom="paragraph">
              <wp:posOffset>-429895</wp:posOffset>
            </wp:positionV>
            <wp:extent cx="818515" cy="501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182">
                      <a:extLst>
                        <a:ext uri="{28A0092B-C50C-407E-A947-70E740481C1C}"/>
                      </a:extLst>
                    </a:blip>
                    <a:srcRect/>
                    <a:stretch>
                      <a:fillRect/>
                    </a:stretch>
                  </pic:blipFill>
                  <pic:spPr bwMode="auto">
                    <a:xfrm>
                      <a:off x="0" y="0"/>
                      <a:ext cx="818515" cy="50165"/>
                    </a:xfrm>
                    <a:prstGeom prst="rect">
                      <a:avLst/>
                    </a:prstGeom>
                    <a:noFill/>
                  </pic:spPr>
                </pic:pic>
              </a:graphicData>
            </a:graphic>
          </wp:anchor>
        </w:drawing>
      </w:r>
    </w:p>
    <w:p>
      <w:pPr>
        <w:spacing w:after="0" w:line="61" w:lineRule="exact"/>
        <w:rPr>
          <w:sz w:val="20"/>
          <w:szCs w:val="20"/>
          <w:color w:val="auto"/>
        </w:rPr>
      </w:pPr>
    </w:p>
    <w:p>
      <w:pPr>
        <w:jc w:val="both"/>
        <w:ind w:left="700" w:right="520" w:hanging="355"/>
        <w:spacing w:after="0" w:line="234" w:lineRule="auto"/>
        <w:tabs>
          <w:tab w:leader="none" w:pos="700"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The aggregate intrinsic value of SARs and stock options is based on the difference between the fair market value of the underlying stock at December 31, 2024, using the market closing stock price, and the exercise price for awards where the market closing stock price exceeds the exercise price.</w:t>
      </w:r>
    </w:p>
    <w:p>
      <w:pPr>
        <w:ind w:left="700" w:hanging="355"/>
        <w:spacing w:after="0" w:line="210" w:lineRule="auto"/>
        <w:tabs>
          <w:tab w:leader="none" w:pos="700"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Includes the impact of expected future forfeitures.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440" w:type="dxa"/>
            <w:vAlign w:val="bottom"/>
            <w:tcBorders>
              <w:bottom w:val="single" w:sz="8" w:color="E6E6E6"/>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2024</w:t>
            </w:r>
          </w:p>
        </w:tc>
        <w:tc>
          <w:tcPr>
            <w:tcW w:w="540" w:type="dxa"/>
            <w:vAlign w:val="bottom"/>
            <w:tcBorders>
              <w:bottom w:val="single" w:sz="8" w:color="auto"/>
            </w:tcBorders>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2023</w:t>
            </w:r>
          </w:p>
        </w:tc>
        <w:tc>
          <w:tcPr>
            <w:tcW w:w="8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2022</w:t>
            </w:r>
          </w:p>
        </w:tc>
        <w:tc>
          <w:tcPr>
            <w:tcW w:w="0" w:type="dxa"/>
            <w:vAlign w:val="bottom"/>
          </w:tcPr>
          <w:p>
            <w:pPr>
              <w:spacing w:after="0"/>
              <w:rPr>
                <w:sz w:val="1"/>
                <w:szCs w:val="1"/>
                <w:color w:val="auto"/>
              </w:rPr>
            </w:pPr>
          </w:p>
        </w:tc>
      </w:tr>
      <w:tr>
        <w:trPr>
          <w:trHeight w:val="178"/>
        </w:trPr>
        <w:tc>
          <w:tcPr>
            <w:tcW w:w="5440" w:type="dxa"/>
            <w:vAlign w:val="bottom"/>
            <w:shd w:val="clear" w:color="auto" w:fill="E6E6E6"/>
          </w:tcPr>
          <w:p>
            <w:pPr>
              <w:ind w:left="40"/>
              <w:spacing w:after="0" w:line="179" w:lineRule="exact"/>
              <w:rPr>
                <w:sz w:val="20"/>
                <w:szCs w:val="20"/>
                <w:color w:val="auto"/>
              </w:rPr>
            </w:pPr>
            <w:r>
              <w:rPr>
                <w:rFonts w:ascii="Arial" w:cs="Arial" w:eastAsia="Arial" w:hAnsi="Arial"/>
                <w:sz w:val="20"/>
                <w:szCs w:val="20"/>
                <w:color w:val="auto"/>
                <w:w w:val="90"/>
              </w:rPr>
              <w:t>Weighted-average grant date fair value of SARs granted during the</w:t>
            </w:r>
          </w:p>
        </w:tc>
        <w:tc>
          <w:tcPr>
            <w:tcW w:w="960" w:type="dxa"/>
            <w:vAlign w:val="bottom"/>
            <w:vMerge w:val="restart"/>
            <w:shd w:val="clear" w:color="auto" w:fill="E6E6E6"/>
          </w:tcPr>
          <w:p>
            <w:pPr>
              <w:jc w:val="right"/>
              <w:ind w:right="702"/>
              <w:spacing w:after="0"/>
              <w:rPr>
                <w:sz w:val="20"/>
                <w:szCs w:val="20"/>
                <w:color w:val="auto"/>
              </w:rPr>
            </w:pPr>
            <w:r>
              <w:rPr>
                <w:rFonts w:ascii="Arial" w:cs="Arial" w:eastAsia="Arial" w:hAnsi="Arial"/>
                <w:sz w:val="20"/>
                <w:szCs w:val="20"/>
                <w:color w:val="auto"/>
              </w:rPr>
              <w:t>$</w:t>
            </w:r>
          </w:p>
        </w:tc>
        <w:tc>
          <w:tcPr>
            <w:tcW w:w="54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w w:val="87"/>
              </w:rPr>
              <w:t>26.28</w:t>
            </w:r>
          </w:p>
        </w:tc>
        <w:tc>
          <w:tcPr>
            <w:tcW w:w="420" w:type="dxa"/>
            <w:vAlign w:val="bottom"/>
            <w:gridSpan w:val="2"/>
            <w:vMerge w:val="restart"/>
            <w:shd w:val="clear" w:color="auto" w:fill="E6E6E6"/>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19.44</w:t>
            </w:r>
          </w:p>
        </w:tc>
        <w:tc>
          <w:tcPr>
            <w:tcW w:w="440" w:type="dxa"/>
            <w:vAlign w:val="bottom"/>
            <w:gridSpan w:val="2"/>
            <w:vMerge w:val="restart"/>
            <w:shd w:val="clear" w:color="auto" w:fill="E6E6E6"/>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34.13</w:t>
            </w:r>
          </w:p>
        </w:tc>
        <w:tc>
          <w:tcPr>
            <w:tcW w:w="0" w:type="dxa"/>
            <w:vAlign w:val="bottom"/>
          </w:tcPr>
          <w:p>
            <w:pPr>
              <w:spacing w:after="0"/>
              <w:rPr>
                <w:sz w:val="1"/>
                <w:szCs w:val="1"/>
                <w:color w:val="auto"/>
              </w:rPr>
            </w:pPr>
          </w:p>
        </w:tc>
      </w:tr>
      <w:tr>
        <w:trPr>
          <w:trHeight w:val="268"/>
        </w:trPr>
        <w:tc>
          <w:tcPr>
            <w:tcW w:w="5440" w:type="dxa"/>
            <w:vAlign w:val="bottom"/>
            <w:shd w:val="clear" w:color="auto" w:fill="E6E6E6"/>
          </w:tcPr>
          <w:p>
            <w:pPr>
              <w:ind w:left="40"/>
              <w:spacing w:after="0"/>
              <w:rPr>
                <w:sz w:val="20"/>
                <w:szCs w:val="20"/>
                <w:color w:val="auto"/>
              </w:rPr>
            </w:pPr>
            <w:r>
              <w:rPr>
                <w:rFonts w:ascii="Arial" w:cs="Arial" w:eastAsia="Arial" w:hAnsi="Arial"/>
                <w:sz w:val="20"/>
                <w:szCs w:val="20"/>
                <w:color w:val="auto"/>
              </w:rPr>
              <w:t>year (per share)</w:t>
            </w:r>
          </w:p>
        </w:tc>
        <w:tc>
          <w:tcPr>
            <w:tcW w:w="960" w:type="dxa"/>
            <w:vAlign w:val="bottom"/>
            <w:vMerge w:val="continue"/>
            <w:shd w:val="clear" w:color="auto" w:fill="E6E6E6"/>
          </w:tcPr>
          <w:p>
            <w:pPr>
              <w:spacing w:after="0"/>
              <w:rPr>
                <w:sz w:val="23"/>
                <w:szCs w:val="23"/>
                <w:color w:val="auto"/>
              </w:rPr>
            </w:pPr>
          </w:p>
        </w:tc>
        <w:tc>
          <w:tcPr>
            <w:tcW w:w="540" w:type="dxa"/>
            <w:vAlign w:val="bottom"/>
            <w:vMerge w:val="continue"/>
            <w:shd w:val="clear" w:color="auto" w:fill="E6E6E6"/>
          </w:tcPr>
          <w:p>
            <w:pPr>
              <w:spacing w:after="0"/>
              <w:rPr>
                <w:sz w:val="23"/>
                <w:szCs w:val="23"/>
                <w:color w:val="auto"/>
              </w:rPr>
            </w:pPr>
          </w:p>
        </w:tc>
        <w:tc>
          <w:tcPr>
            <w:tcW w:w="420" w:type="dxa"/>
            <w:vAlign w:val="bottom"/>
            <w:gridSpan w:val="2"/>
            <w:vMerge w:val="continue"/>
            <w:shd w:val="clear" w:color="auto" w:fill="E6E6E6"/>
          </w:tcPr>
          <w:p>
            <w:pPr>
              <w:spacing w:after="0"/>
              <w:rPr>
                <w:sz w:val="23"/>
                <w:szCs w:val="23"/>
                <w:color w:val="auto"/>
              </w:rPr>
            </w:pPr>
          </w:p>
        </w:tc>
        <w:tc>
          <w:tcPr>
            <w:tcW w:w="1120" w:type="dxa"/>
            <w:vAlign w:val="bottom"/>
            <w:vMerge w:val="continue"/>
            <w:shd w:val="clear" w:color="auto" w:fill="E6E6E6"/>
          </w:tcPr>
          <w:p>
            <w:pPr>
              <w:spacing w:after="0"/>
              <w:rPr>
                <w:sz w:val="23"/>
                <w:szCs w:val="23"/>
                <w:color w:val="auto"/>
              </w:rPr>
            </w:pPr>
          </w:p>
        </w:tc>
        <w:tc>
          <w:tcPr>
            <w:tcW w:w="440" w:type="dxa"/>
            <w:vAlign w:val="bottom"/>
            <w:gridSpan w:val="2"/>
            <w:vMerge w:val="continue"/>
            <w:shd w:val="clear" w:color="auto" w:fill="E6E6E6"/>
          </w:tcPr>
          <w:p>
            <w:pPr>
              <w:spacing w:after="0"/>
              <w:rPr>
                <w:sz w:val="23"/>
                <w:szCs w:val="23"/>
                <w:color w:val="auto"/>
              </w:rPr>
            </w:pPr>
          </w:p>
        </w:tc>
        <w:tc>
          <w:tcPr>
            <w:tcW w:w="1120" w:type="dxa"/>
            <w:vAlign w:val="bottom"/>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5440" w:type="dxa"/>
            <w:vAlign w:val="bottom"/>
          </w:tcPr>
          <w:p>
            <w:pPr>
              <w:ind w:left="40"/>
              <w:spacing w:after="0" w:line="188" w:lineRule="exact"/>
              <w:rPr>
                <w:sz w:val="20"/>
                <w:szCs w:val="20"/>
                <w:color w:val="auto"/>
              </w:rPr>
            </w:pPr>
            <w:r>
              <w:rPr>
                <w:rFonts w:ascii="Arial" w:cs="Arial" w:eastAsia="Arial" w:hAnsi="Arial"/>
                <w:sz w:val="20"/>
                <w:szCs w:val="20"/>
                <w:color w:val="auto"/>
                <w:w w:val="97"/>
              </w:rPr>
              <w:t>Aggregate intrinsic value of SARs and stock options exercised</w:t>
            </w:r>
          </w:p>
        </w:tc>
        <w:tc>
          <w:tcPr>
            <w:tcW w:w="960" w:type="dxa"/>
            <w:vAlign w:val="bottom"/>
          </w:tcPr>
          <w:p>
            <w:pPr>
              <w:spacing w:after="0"/>
              <w:rPr>
                <w:sz w:val="16"/>
                <w:szCs w:val="16"/>
                <w:color w:val="auto"/>
              </w:rPr>
            </w:pPr>
          </w:p>
        </w:tc>
        <w:tc>
          <w:tcPr>
            <w:tcW w:w="540" w:type="dxa"/>
            <w:vAlign w:val="bottom"/>
            <w:vMerge w:val="restart"/>
          </w:tcPr>
          <w:p>
            <w:pPr>
              <w:jc w:val="right"/>
              <w:spacing w:after="0"/>
              <w:rPr>
                <w:sz w:val="20"/>
                <w:szCs w:val="20"/>
                <w:color w:val="auto"/>
              </w:rPr>
            </w:pPr>
            <w:r>
              <w:rPr>
                <w:rFonts w:ascii="Arial" w:cs="Arial" w:eastAsia="Arial" w:hAnsi="Arial"/>
                <w:sz w:val="20"/>
                <w:szCs w:val="20"/>
                <w:color w:val="auto"/>
                <w:w w:val="87"/>
              </w:rPr>
              <w:t>2,828</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20"/>
                <w:szCs w:val="20"/>
                <w:color w:val="auto"/>
              </w:rPr>
              <w:t>1,905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20"/>
                <w:szCs w:val="20"/>
                <w:color w:val="auto"/>
              </w:rPr>
              <w:t>2,143</w:t>
            </w:r>
          </w:p>
        </w:tc>
        <w:tc>
          <w:tcPr>
            <w:tcW w:w="0" w:type="dxa"/>
            <w:vAlign w:val="bottom"/>
          </w:tcPr>
          <w:p>
            <w:pPr>
              <w:spacing w:after="0"/>
              <w:rPr>
                <w:sz w:val="1"/>
                <w:szCs w:val="1"/>
                <w:color w:val="auto"/>
              </w:rPr>
            </w:pPr>
          </w:p>
        </w:tc>
      </w:tr>
      <w:tr>
        <w:trPr>
          <w:trHeight w:val="257"/>
        </w:trPr>
        <w:tc>
          <w:tcPr>
            <w:tcW w:w="5440" w:type="dxa"/>
            <w:vAlign w:val="bottom"/>
          </w:tcPr>
          <w:p>
            <w:pPr>
              <w:ind w:left="40"/>
              <w:spacing w:after="0"/>
              <w:rPr>
                <w:sz w:val="20"/>
                <w:szCs w:val="20"/>
                <w:color w:val="auto"/>
              </w:rPr>
            </w:pPr>
            <w:r>
              <w:rPr>
                <w:rFonts w:ascii="Arial" w:cs="Arial" w:eastAsia="Arial" w:hAnsi="Arial"/>
                <w:sz w:val="20"/>
                <w:szCs w:val="20"/>
                <w:color w:val="auto"/>
              </w:rPr>
              <w:t>during the year (in thousands)</w:t>
            </w:r>
          </w:p>
        </w:tc>
        <w:tc>
          <w:tcPr>
            <w:tcW w:w="960" w:type="dxa"/>
            <w:vAlign w:val="bottom"/>
          </w:tcPr>
          <w:p>
            <w:pPr>
              <w:spacing w:after="0"/>
              <w:rPr>
                <w:sz w:val="22"/>
                <w:szCs w:val="22"/>
                <w:color w:val="auto"/>
              </w:rPr>
            </w:pPr>
          </w:p>
        </w:tc>
        <w:tc>
          <w:tcPr>
            <w:tcW w:w="5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-584200</wp:posOffset>
            </wp:positionV>
            <wp:extent cx="294703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83">
                      <a:extLst>
                        <a:ext uri="{28A0092B-C50C-407E-A947-70E740481C1C}"/>
                      </a:extLst>
                    </a:blip>
                    <a:srcRect/>
                    <a:stretch>
                      <a:fillRect/>
                    </a:stretch>
                  </pic:blipFill>
                  <pic:spPr bwMode="auto">
                    <a:xfrm>
                      <a:off x="0" y="0"/>
                      <a:ext cx="2947035" cy="2540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color w:val="auto"/>
        </w:rPr>
        <w:t>Restricted Stock Units Awards</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present the activity for service-based RSU awards: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vMerge w:val="restart"/>
          </w:tcPr>
          <w:p>
            <w:pPr>
              <w:jc w:val="right"/>
              <w:ind w:right="182"/>
              <w:spacing w:after="0"/>
              <w:rPr>
                <w:sz w:val="20"/>
                <w:szCs w:val="20"/>
                <w:color w:val="auto"/>
              </w:rPr>
            </w:pPr>
            <w:r>
              <w:rPr>
                <w:rFonts w:ascii="Arial" w:cs="Arial" w:eastAsia="Arial" w:hAnsi="Arial"/>
                <w:sz w:val="20"/>
                <w:szCs w:val="20"/>
                <w:b w:val="1"/>
                <w:bCs w:val="1"/>
                <w:color w:val="auto"/>
              </w:rPr>
              <w:t>Number of</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center"/>
              <w:ind w:right="142"/>
              <w:spacing w:after="0"/>
              <w:rPr>
                <w:sz w:val="20"/>
                <w:szCs w:val="20"/>
                <w:color w:val="auto"/>
              </w:rPr>
            </w:pPr>
            <w:r>
              <w:rPr>
                <w:rFonts w:ascii="Arial" w:cs="Arial" w:eastAsia="Arial" w:hAnsi="Arial"/>
                <w:sz w:val="20"/>
                <w:szCs w:val="20"/>
                <w:b w:val="1"/>
                <w:bCs w:val="1"/>
                <w:color w:val="auto"/>
                <w:w w:val="94"/>
              </w:rPr>
              <w:t>Wtd.-Avg.</w:t>
            </w:r>
          </w:p>
        </w:tc>
        <w:tc>
          <w:tcPr>
            <w:tcW w:w="0" w:type="dxa"/>
            <w:vAlign w:val="bottom"/>
          </w:tcPr>
          <w:p>
            <w:pPr>
              <w:spacing w:after="0"/>
              <w:rPr>
                <w:sz w:val="1"/>
                <w:szCs w:val="1"/>
                <w:color w:val="auto"/>
              </w:rPr>
            </w:pPr>
          </w:p>
        </w:tc>
      </w:tr>
      <w:tr>
        <w:trPr>
          <w:trHeight w:val="196"/>
        </w:trPr>
        <w:tc>
          <w:tcPr>
            <w:tcW w:w="6940" w:type="dxa"/>
            <w:vAlign w:val="bottom"/>
            <w:vMerge w:val="restart"/>
          </w:tcPr>
          <w:p>
            <w:pPr>
              <w:ind w:left="40"/>
              <w:spacing w:after="0"/>
              <w:rPr>
                <w:sz w:val="20"/>
                <w:szCs w:val="20"/>
                <w:color w:val="auto"/>
              </w:rPr>
            </w:pPr>
            <w:r>
              <w:rPr>
                <w:rFonts w:ascii="Arial" w:cs="Arial" w:eastAsia="Arial" w:hAnsi="Arial"/>
                <w:sz w:val="20"/>
                <w:szCs w:val="20"/>
                <w:b w:val="1"/>
                <w:bCs w:val="1"/>
                <w:color w:val="auto"/>
              </w:rPr>
              <w:t>Service-based RSUs</w:t>
            </w:r>
          </w:p>
        </w:tc>
        <w:tc>
          <w:tcPr>
            <w:tcW w:w="6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2"/>
          </w:tcPr>
          <w:p>
            <w:pPr>
              <w:jc w:val="center"/>
              <w:spacing w:after="0" w:line="196" w:lineRule="exact"/>
              <w:rPr>
                <w:sz w:val="20"/>
                <w:szCs w:val="20"/>
                <w:color w:val="auto"/>
              </w:rPr>
            </w:pPr>
            <w:r>
              <w:rPr>
                <w:rFonts w:ascii="Arial" w:cs="Arial" w:eastAsia="Arial" w:hAnsi="Arial"/>
                <w:sz w:val="20"/>
                <w:szCs w:val="20"/>
                <w:b w:val="1"/>
                <w:bCs w:val="1"/>
                <w:color w:val="auto"/>
                <w:w w:val="94"/>
              </w:rPr>
              <w:t>Grant Date Fair</w:t>
            </w:r>
          </w:p>
        </w:tc>
        <w:tc>
          <w:tcPr>
            <w:tcW w:w="0" w:type="dxa"/>
            <w:vAlign w:val="bottom"/>
          </w:tcPr>
          <w:p>
            <w:pPr>
              <w:spacing w:after="0"/>
              <w:rPr>
                <w:sz w:val="1"/>
                <w:szCs w:val="1"/>
                <w:color w:val="auto"/>
              </w:rPr>
            </w:pPr>
          </w:p>
        </w:tc>
      </w:tr>
      <w:tr>
        <w:trPr>
          <w:trHeight w:val="258"/>
        </w:trPr>
        <w:tc>
          <w:tcPr>
            <w:tcW w:w="694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148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b w:val="1"/>
                <w:bCs w:val="1"/>
                <w:color w:val="auto"/>
              </w:rPr>
              <w:t>Shares</w:t>
            </w:r>
          </w:p>
        </w:tc>
        <w:tc>
          <w:tcPr>
            <w:tcW w:w="80" w:type="dxa"/>
            <w:vAlign w:val="bottom"/>
            <w:tcBorders>
              <w:bottom w:val="single" w:sz="8" w:color="E6E6E6"/>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22"/>
              <w:spacing w:after="0"/>
              <w:rPr>
                <w:sz w:val="20"/>
                <w:szCs w:val="20"/>
                <w:color w:val="auto"/>
              </w:rPr>
            </w:pPr>
            <w:r>
              <w:rPr>
                <w:rFonts w:ascii="Arial" w:cs="Arial" w:eastAsia="Arial" w:hAnsi="Arial"/>
                <w:sz w:val="20"/>
                <w:szCs w:val="20"/>
                <w:b w:val="1"/>
                <w:bCs w:val="1"/>
                <w:color w:val="auto"/>
                <w:w w:val="93"/>
              </w:rPr>
              <w:t>Value</w:t>
            </w:r>
          </w:p>
        </w:tc>
        <w:tc>
          <w:tcPr>
            <w:tcW w:w="0" w:type="dxa"/>
            <w:vAlign w:val="bottom"/>
          </w:tcPr>
          <w:p>
            <w:pPr>
              <w:spacing w:after="0"/>
              <w:rPr>
                <w:sz w:val="1"/>
                <w:szCs w:val="1"/>
                <w:color w:val="auto"/>
              </w:rPr>
            </w:pPr>
          </w:p>
        </w:tc>
      </w:tr>
      <w:tr>
        <w:trPr>
          <w:trHeight w:val="269"/>
        </w:trPr>
        <w:tc>
          <w:tcPr>
            <w:tcW w:w="6940" w:type="dxa"/>
            <w:vAlign w:val="bottom"/>
            <w:shd w:val="clear" w:color="auto" w:fill="E6E6E6"/>
          </w:tcPr>
          <w:p>
            <w:pPr>
              <w:ind w:left="40"/>
              <w:spacing w:after="0"/>
              <w:rPr>
                <w:sz w:val="20"/>
                <w:szCs w:val="20"/>
                <w:color w:val="auto"/>
              </w:rPr>
            </w:pPr>
            <w:r>
              <w:rPr>
                <w:rFonts w:ascii="Arial" w:cs="Arial" w:eastAsia="Arial" w:hAnsi="Arial"/>
                <w:sz w:val="20"/>
                <w:szCs w:val="20"/>
                <w:color w:val="auto"/>
              </w:rPr>
              <w:t>Non-vested shares as of December 31, 2023</w:t>
            </w:r>
          </w:p>
        </w:tc>
        <w:tc>
          <w:tcPr>
            <w:tcW w:w="154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782,537</w:t>
            </w:r>
          </w:p>
        </w:tc>
        <w:tc>
          <w:tcPr>
            <w:tcW w:w="32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2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54.40</w:t>
            </w:r>
          </w:p>
        </w:tc>
        <w:tc>
          <w:tcPr>
            <w:tcW w:w="0" w:type="dxa"/>
            <w:vAlign w:val="bottom"/>
          </w:tcPr>
          <w:p>
            <w:pPr>
              <w:spacing w:after="0"/>
              <w:rPr>
                <w:sz w:val="1"/>
                <w:szCs w:val="1"/>
                <w:color w:val="auto"/>
              </w:rPr>
            </w:pPr>
          </w:p>
        </w:tc>
      </w:tr>
      <w:tr>
        <w:trPr>
          <w:trHeight w:val="274"/>
        </w:trPr>
        <w:tc>
          <w:tcPr>
            <w:tcW w:w="6940" w:type="dxa"/>
            <w:vAlign w:val="bottom"/>
          </w:tcPr>
          <w:p>
            <w:pPr>
              <w:ind w:left="180"/>
              <w:spacing w:after="0"/>
              <w:rPr>
                <w:sz w:val="20"/>
                <w:szCs w:val="20"/>
                <w:color w:val="auto"/>
              </w:rPr>
            </w:pPr>
            <w:r>
              <w:rPr>
                <w:rFonts w:ascii="Arial" w:cs="Arial" w:eastAsia="Arial" w:hAnsi="Arial"/>
                <w:sz w:val="20"/>
                <w:szCs w:val="20"/>
                <w:color w:val="auto"/>
              </w:rPr>
              <w:t>Granted</w:t>
            </w:r>
          </w:p>
        </w:tc>
        <w:tc>
          <w:tcPr>
            <w:tcW w:w="1540" w:type="dxa"/>
            <w:vAlign w:val="bottom"/>
            <w:gridSpan w:val="2"/>
          </w:tcPr>
          <w:p>
            <w:pPr>
              <w:jc w:val="right"/>
              <w:spacing w:after="0"/>
              <w:rPr>
                <w:sz w:val="20"/>
                <w:szCs w:val="20"/>
                <w:color w:val="auto"/>
              </w:rPr>
            </w:pPr>
            <w:r>
              <w:rPr>
                <w:rFonts w:ascii="Arial" w:cs="Arial" w:eastAsia="Arial" w:hAnsi="Arial"/>
                <w:sz w:val="20"/>
                <w:szCs w:val="20"/>
                <w:color w:val="auto"/>
              </w:rPr>
              <w:t>423,081</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55.06</w:t>
            </w:r>
          </w:p>
        </w:tc>
        <w:tc>
          <w:tcPr>
            <w:tcW w:w="0" w:type="dxa"/>
            <w:vAlign w:val="bottom"/>
          </w:tcPr>
          <w:p>
            <w:pPr>
              <w:spacing w:after="0"/>
              <w:rPr>
                <w:sz w:val="1"/>
                <w:szCs w:val="1"/>
                <w:color w:val="auto"/>
              </w:rPr>
            </w:pPr>
          </w:p>
        </w:tc>
      </w:tr>
      <w:tr>
        <w:trPr>
          <w:trHeight w:val="285"/>
        </w:trPr>
        <w:tc>
          <w:tcPr>
            <w:tcW w:w="6940" w:type="dxa"/>
            <w:vAlign w:val="bottom"/>
            <w:shd w:val="clear" w:color="auto" w:fill="E6E6E6"/>
          </w:tcPr>
          <w:p>
            <w:pPr>
              <w:ind w:left="180"/>
              <w:spacing w:after="0"/>
              <w:rPr>
                <w:sz w:val="20"/>
                <w:szCs w:val="20"/>
                <w:color w:val="auto"/>
              </w:rPr>
            </w:pPr>
            <w:r>
              <w:rPr>
                <w:rFonts w:ascii="Arial" w:cs="Arial" w:eastAsia="Arial" w:hAnsi="Arial"/>
                <w:sz w:val="20"/>
                <w:szCs w:val="20"/>
                <w:color w:val="auto"/>
              </w:rPr>
              <w:t>Vested</w:t>
            </w:r>
          </w:p>
        </w:tc>
        <w:tc>
          <w:tcPr>
            <w:tcW w:w="154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(329,587)</w:t>
            </w:r>
          </w:p>
        </w:tc>
        <w:tc>
          <w:tcPr>
            <w:tcW w:w="8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2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54.17</w:t>
            </w:r>
          </w:p>
        </w:tc>
        <w:tc>
          <w:tcPr>
            <w:tcW w:w="0" w:type="dxa"/>
            <w:vAlign w:val="bottom"/>
          </w:tcPr>
          <w:p>
            <w:pPr>
              <w:spacing w:after="0"/>
              <w:rPr>
                <w:sz w:val="1"/>
                <w:szCs w:val="1"/>
                <w:color w:val="auto"/>
              </w:rPr>
            </w:pPr>
          </w:p>
        </w:tc>
      </w:tr>
      <w:tr>
        <w:trPr>
          <w:trHeight w:val="269"/>
        </w:trPr>
        <w:tc>
          <w:tcPr>
            <w:tcW w:w="6940" w:type="dxa"/>
            <w:vAlign w:val="bottom"/>
            <w:tcBorders>
              <w:bottom w:val="single" w:sz="8" w:color="E6E6E6"/>
            </w:tcBorders>
          </w:tcPr>
          <w:p>
            <w:pPr>
              <w:ind w:left="180"/>
              <w:spacing w:after="0"/>
              <w:rPr>
                <w:sz w:val="20"/>
                <w:szCs w:val="20"/>
                <w:color w:val="auto"/>
              </w:rPr>
            </w:pPr>
            <w:r>
              <w:rPr>
                <w:rFonts w:ascii="Arial" w:cs="Arial" w:eastAsia="Arial" w:hAnsi="Arial"/>
                <w:sz w:val="20"/>
                <w:szCs w:val="20"/>
                <w:color w:val="auto"/>
              </w:rPr>
              <w:t>Forfeited</w:t>
            </w:r>
          </w:p>
        </w:tc>
        <w:tc>
          <w:tcPr>
            <w:tcW w:w="60" w:type="dxa"/>
            <w:vAlign w:val="bottom"/>
            <w:tcBorders>
              <w:bottom w:val="single" w:sz="8" w:color="E6E6E6"/>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(113,719)</w:t>
            </w:r>
          </w:p>
        </w:tc>
        <w:tc>
          <w:tcPr>
            <w:tcW w:w="80" w:type="dxa"/>
            <w:vAlign w:val="bottom"/>
            <w:tcBorders>
              <w:bottom w:val="single" w:sz="8" w:color="E6E6E6"/>
            </w:tcBorders>
          </w:tcPr>
          <w:p>
            <w:pPr>
              <w:spacing w:after="0"/>
              <w:rPr>
                <w:sz w:val="23"/>
                <w:szCs w:val="23"/>
                <w:color w:val="auto"/>
              </w:rPr>
            </w:pPr>
          </w:p>
        </w:tc>
        <w:tc>
          <w:tcPr>
            <w:tcW w:w="240" w:type="dxa"/>
            <w:vAlign w:val="bottom"/>
            <w:tcBorders>
              <w:bottom w:val="single" w:sz="8" w:color="E6E6E6"/>
            </w:tcBorders>
          </w:tcPr>
          <w:p>
            <w:pPr>
              <w:spacing w:after="0"/>
              <w:rPr>
                <w:sz w:val="23"/>
                <w:szCs w:val="23"/>
                <w:color w:val="auto"/>
              </w:rPr>
            </w:pPr>
          </w:p>
        </w:tc>
        <w:tc>
          <w:tcPr>
            <w:tcW w:w="1240" w:type="dxa"/>
            <w:vAlign w:val="bottom"/>
            <w:tcBorders>
              <w:bottom w:val="single" w:sz="8" w:color="E6E6E6"/>
            </w:tcBorders>
          </w:tcPr>
          <w:p>
            <w:pPr>
              <w:jc w:val="right"/>
              <w:spacing w:after="0"/>
              <w:rPr>
                <w:sz w:val="20"/>
                <w:szCs w:val="20"/>
                <w:color w:val="auto"/>
              </w:rPr>
            </w:pPr>
            <w:r>
              <w:rPr>
                <w:rFonts w:ascii="Arial" w:cs="Arial" w:eastAsia="Arial" w:hAnsi="Arial"/>
                <w:sz w:val="20"/>
                <w:szCs w:val="20"/>
                <w:color w:val="auto"/>
              </w:rPr>
              <w:t>54.46</w:t>
            </w:r>
          </w:p>
        </w:tc>
        <w:tc>
          <w:tcPr>
            <w:tcW w:w="0" w:type="dxa"/>
            <w:vAlign w:val="bottom"/>
          </w:tcPr>
          <w:p>
            <w:pPr>
              <w:spacing w:after="0"/>
              <w:rPr>
                <w:sz w:val="1"/>
                <w:szCs w:val="1"/>
                <w:color w:val="auto"/>
              </w:rPr>
            </w:pPr>
          </w:p>
        </w:tc>
      </w:tr>
      <w:tr>
        <w:trPr>
          <w:trHeight w:val="279"/>
        </w:trPr>
        <w:tc>
          <w:tcPr>
            <w:tcW w:w="69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Non-vested shares as of December 31, 2024</w:t>
            </w:r>
          </w:p>
        </w:tc>
        <w:tc>
          <w:tcPr>
            <w:tcW w:w="60" w:type="dxa"/>
            <w:vAlign w:val="bottom"/>
            <w:tcBorders>
              <w:bottom w:val="single" w:sz="8" w:color="E6E6E6"/>
            </w:tcBorders>
            <w:shd w:val="clear" w:color="auto" w:fill="E6E6E6"/>
          </w:tcPr>
          <w:p>
            <w:pPr>
              <w:spacing w:after="0"/>
              <w:rPr>
                <w:sz w:val="24"/>
                <w:szCs w:val="24"/>
                <w:color w:val="auto"/>
              </w:rPr>
            </w:pPr>
          </w:p>
        </w:tc>
        <w:tc>
          <w:tcPr>
            <w:tcW w:w="14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762,312</w:t>
            </w:r>
          </w:p>
        </w:tc>
        <w:tc>
          <w:tcPr>
            <w:tcW w:w="8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E6E6E6"/>
            </w:tcBorders>
            <w:shd w:val="clear" w:color="auto" w:fill="E6E6E6"/>
          </w:tcPr>
          <w:p>
            <w:pPr>
              <w:spacing w:after="0"/>
              <w:rPr>
                <w:sz w:val="24"/>
                <w:szCs w:val="24"/>
                <w:color w:val="auto"/>
              </w:rPr>
            </w:pPr>
          </w:p>
        </w:tc>
        <w:tc>
          <w:tcPr>
            <w:tcW w:w="12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54.32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-917575</wp:posOffset>
            </wp:positionV>
            <wp:extent cx="641032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184">
                      <a:extLst>
                        <a:ext uri="{28A0092B-C50C-407E-A947-70E740481C1C}"/>
                      </a:extLst>
                    </a:blip>
                    <a:srcRect/>
                    <a:stretch>
                      <a:fillRect/>
                    </a:stretch>
                  </pic:blipFill>
                  <pic:spPr bwMode="auto">
                    <a:xfrm>
                      <a:off x="0" y="0"/>
                      <a:ext cx="6410325" cy="25400"/>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-208280</wp:posOffset>
            </wp:positionV>
            <wp:extent cx="96837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85">
                      <a:extLst>
                        <a:ext uri="{28A0092B-C50C-407E-A947-70E740481C1C}"/>
                      </a:extLst>
                    </a:blip>
                    <a:srcRect/>
                    <a:stretch>
                      <a:fillRect/>
                    </a:stretch>
                  </pic:blipFill>
                  <pic:spPr bwMode="auto">
                    <a:xfrm>
                      <a:off x="0" y="0"/>
                      <a:ext cx="968375" cy="25400"/>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-43180</wp:posOffset>
            </wp:positionV>
            <wp:extent cx="968375" cy="501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186">
                      <a:extLst>
                        <a:ext uri="{28A0092B-C50C-407E-A947-70E740481C1C}"/>
                      </a:extLst>
                    </a:blip>
                    <a:srcRect/>
                    <a:stretch>
                      <a:fillRect/>
                    </a:stretch>
                  </pic:blipFill>
                  <pic:spPr bwMode="auto">
                    <a:xfrm>
                      <a:off x="0" y="0"/>
                      <a:ext cx="968375" cy="50165"/>
                    </a:xfrm>
                    <a:prstGeom prst="rect">
                      <a:avLst/>
                    </a:prstGeom>
                    <a:noFill/>
                  </pic:spPr>
                </pic:pic>
              </a:graphicData>
            </a:graphic>
          </wp:anchor>
        </w:drawing>
      </w:r>
    </w:p>
    <w:p>
      <w:pPr>
        <w:sectPr>
          <w:pgSz w:w="11880" w:h="15480" w:orient="portrait"/>
          <w:cols w:equalWidth="0" w:num="1">
            <w:col w:w="10040"/>
          </w:cols>
          <w:pgMar w:left="920" w:top="65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F-35</w:t>
      </w:r>
    </w:p>
    <w:p>
      <w:pPr>
        <w:sectPr>
          <w:pgSz w:w="11880" w:h="15480" w:orient="portrait"/>
          <w:cols w:equalWidth="0" w:num="1">
            <w:col w:w="10040"/>
          </w:cols>
          <w:pgMar w:left="920" w:top="658" w:right="920" w:bottom="0"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262"/>
        </w:trPr>
        <w:tc>
          <w:tcPr>
            <w:tcW w:w="544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62"/>
              <w:spacing w:after="0"/>
              <w:rPr>
                <w:sz w:val="20"/>
                <w:szCs w:val="20"/>
                <w:color w:val="auto"/>
              </w:rPr>
            </w:pPr>
            <w:r>
              <w:rPr>
                <w:rFonts w:ascii="Arial" w:cs="Arial" w:eastAsia="Arial" w:hAnsi="Arial"/>
                <w:sz w:val="20"/>
                <w:szCs w:val="20"/>
                <w:b w:val="1"/>
                <w:bCs w:val="1"/>
                <w:color w:val="auto"/>
              </w:rPr>
              <w:t>2024</w:t>
            </w:r>
          </w:p>
        </w:tc>
        <w:tc>
          <w:tcPr>
            <w:tcW w:w="60" w:type="dxa"/>
            <w:vAlign w:val="bottom"/>
            <w:tcBorders>
              <w:bottom w:val="single" w:sz="8" w:color="E6E6E6"/>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02"/>
              <w:spacing w:after="0"/>
              <w:rPr>
                <w:sz w:val="20"/>
                <w:szCs w:val="20"/>
                <w:color w:val="auto"/>
              </w:rPr>
            </w:pPr>
            <w:r>
              <w:rPr>
                <w:rFonts w:ascii="Arial" w:cs="Arial" w:eastAsia="Arial" w:hAnsi="Arial"/>
                <w:sz w:val="20"/>
                <w:szCs w:val="20"/>
                <w:b w:val="1"/>
                <w:bCs w:val="1"/>
                <w:color w:val="auto"/>
                <w:w w:val="85"/>
              </w:rPr>
              <w:t>2023</w:t>
            </w:r>
          </w:p>
        </w:tc>
        <w:tc>
          <w:tcPr>
            <w:tcW w:w="80" w:type="dxa"/>
            <w:vAlign w:val="bottom"/>
            <w:tcBorders>
              <w:bottom w:val="single" w:sz="8" w:color="E6E6E6"/>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42"/>
              <w:spacing w:after="0"/>
              <w:rPr>
                <w:sz w:val="20"/>
                <w:szCs w:val="20"/>
                <w:color w:val="auto"/>
              </w:rPr>
            </w:pPr>
            <w:r>
              <w:rPr>
                <w:rFonts w:ascii="Arial" w:cs="Arial" w:eastAsia="Arial" w:hAnsi="Arial"/>
                <w:sz w:val="20"/>
                <w:szCs w:val="20"/>
                <w:b w:val="1"/>
                <w:bCs w:val="1"/>
                <w:color w:val="auto"/>
                <w:w w:val="89"/>
              </w:rPr>
              <w:t>2022</w:t>
            </w:r>
          </w:p>
        </w:tc>
        <w:tc>
          <w:tcPr>
            <w:tcW w:w="0" w:type="dxa"/>
            <w:vAlign w:val="bottom"/>
          </w:tcPr>
          <w:p>
            <w:pPr>
              <w:spacing w:after="0"/>
              <w:rPr>
                <w:sz w:val="1"/>
                <w:szCs w:val="1"/>
                <w:color w:val="auto"/>
              </w:rPr>
            </w:pPr>
          </w:p>
        </w:tc>
      </w:tr>
      <w:tr>
        <w:trPr>
          <w:trHeight w:val="178"/>
        </w:trPr>
        <w:tc>
          <w:tcPr>
            <w:tcW w:w="5440" w:type="dxa"/>
            <w:vAlign w:val="bottom"/>
            <w:shd w:val="clear" w:color="auto" w:fill="E6E6E6"/>
          </w:tcPr>
          <w:p>
            <w:pPr>
              <w:ind w:left="40"/>
              <w:spacing w:after="0" w:line="179" w:lineRule="exact"/>
              <w:rPr>
                <w:sz w:val="20"/>
                <w:szCs w:val="20"/>
                <w:color w:val="auto"/>
              </w:rPr>
            </w:pPr>
            <w:r>
              <w:rPr>
                <w:rFonts w:ascii="Arial" w:cs="Arial" w:eastAsia="Arial" w:hAnsi="Arial"/>
                <w:sz w:val="20"/>
                <w:szCs w:val="20"/>
                <w:color w:val="auto"/>
                <w:w w:val="96"/>
              </w:rPr>
              <w:t>Weighted-average grant date fair value of service-based RSUs</w:t>
            </w:r>
          </w:p>
        </w:tc>
        <w:tc>
          <w:tcPr>
            <w:tcW w:w="360" w:type="dxa"/>
            <w:vAlign w:val="bottom"/>
            <w:shd w:val="clear" w:color="auto" w:fill="E6E6E6"/>
          </w:tcPr>
          <w:p>
            <w:pPr>
              <w:jc w:val="right"/>
              <w:ind w:right="102"/>
              <w:spacing w:after="0" w:line="179" w:lineRule="exact"/>
              <w:rPr>
                <w:sz w:val="20"/>
                <w:szCs w:val="20"/>
                <w:color w:val="auto"/>
              </w:rPr>
            </w:pPr>
            <w:r>
              <w:rPr>
                <w:rFonts w:ascii="Arial" w:cs="Arial" w:eastAsia="Arial" w:hAnsi="Arial"/>
                <w:sz w:val="20"/>
                <w:szCs w:val="20"/>
                <w:color w:val="auto"/>
              </w:rPr>
              <w:t>$</w:t>
            </w:r>
          </w:p>
        </w:tc>
        <w:tc>
          <w:tcPr>
            <w:tcW w:w="1140" w:type="dxa"/>
            <w:vAlign w:val="bottom"/>
            <w:shd w:val="clear" w:color="auto" w:fill="E6E6E6"/>
          </w:tcPr>
          <w:p>
            <w:pPr>
              <w:jc w:val="right"/>
              <w:spacing w:after="0" w:line="179" w:lineRule="exact"/>
              <w:rPr>
                <w:sz w:val="20"/>
                <w:szCs w:val="20"/>
                <w:color w:val="auto"/>
              </w:rPr>
            </w:pPr>
            <w:r>
              <w:rPr>
                <w:rFonts w:ascii="Arial" w:cs="Arial" w:eastAsia="Arial" w:hAnsi="Arial"/>
                <w:sz w:val="20"/>
                <w:szCs w:val="20"/>
                <w:color w:val="auto"/>
              </w:rPr>
              <w:t>55.06</w:t>
            </w:r>
          </w:p>
        </w:tc>
        <w:tc>
          <w:tcPr>
            <w:tcW w:w="60" w:type="dxa"/>
            <w:vAlign w:val="bottom"/>
            <w:shd w:val="clear" w:color="auto" w:fill="E6E6E6"/>
          </w:tcPr>
          <w:p>
            <w:pPr>
              <w:spacing w:after="0"/>
              <w:rPr>
                <w:sz w:val="15"/>
                <w:szCs w:val="15"/>
                <w:color w:val="auto"/>
              </w:rPr>
            </w:pPr>
          </w:p>
        </w:tc>
        <w:tc>
          <w:tcPr>
            <w:tcW w:w="220" w:type="dxa"/>
            <w:vAlign w:val="bottom"/>
            <w:shd w:val="clear" w:color="auto" w:fill="E6E6E6"/>
          </w:tcPr>
          <w:p>
            <w:pPr>
              <w:jc w:val="right"/>
              <w:spacing w:after="0" w:line="179" w:lineRule="exact"/>
              <w:rPr>
                <w:sz w:val="20"/>
                <w:szCs w:val="20"/>
                <w:color w:val="auto"/>
              </w:rPr>
            </w:pPr>
            <w:r>
              <w:rPr>
                <w:rFonts w:ascii="Arial" w:cs="Arial" w:eastAsia="Arial" w:hAnsi="Arial"/>
                <w:sz w:val="20"/>
                <w:szCs w:val="20"/>
                <w:color w:val="auto"/>
              </w:rPr>
              <w:t>$</w:t>
            </w:r>
          </w:p>
        </w:tc>
        <w:tc>
          <w:tcPr>
            <w:tcW w:w="1260" w:type="dxa"/>
            <w:vAlign w:val="bottom"/>
            <w:shd w:val="clear" w:color="auto" w:fill="E6E6E6"/>
          </w:tcPr>
          <w:p>
            <w:pPr>
              <w:jc w:val="right"/>
              <w:spacing w:after="0" w:line="179" w:lineRule="exact"/>
              <w:rPr>
                <w:sz w:val="20"/>
                <w:szCs w:val="20"/>
                <w:color w:val="auto"/>
              </w:rPr>
            </w:pPr>
            <w:r>
              <w:rPr>
                <w:rFonts w:ascii="Arial" w:cs="Arial" w:eastAsia="Arial" w:hAnsi="Arial"/>
                <w:sz w:val="20"/>
                <w:szCs w:val="20"/>
                <w:color w:val="auto"/>
              </w:rPr>
              <w:t>43.31</w:t>
            </w:r>
          </w:p>
        </w:tc>
        <w:tc>
          <w:tcPr>
            <w:tcW w:w="80" w:type="dxa"/>
            <w:vAlign w:val="bottom"/>
            <w:shd w:val="clear" w:color="auto" w:fill="E6E6E6"/>
          </w:tcPr>
          <w:p>
            <w:pPr>
              <w:spacing w:after="0"/>
              <w:rPr>
                <w:sz w:val="15"/>
                <w:szCs w:val="15"/>
                <w:color w:val="auto"/>
              </w:rPr>
            </w:pPr>
          </w:p>
        </w:tc>
        <w:tc>
          <w:tcPr>
            <w:tcW w:w="240" w:type="dxa"/>
            <w:vAlign w:val="bottom"/>
            <w:shd w:val="clear" w:color="auto" w:fill="E6E6E6"/>
          </w:tcPr>
          <w:p>
            <w:pPr>
              <w:jc w:val="right"/>
              <w:spacing w:after="0" w:line="179" w:lineRule="exact"/>
              <w:rPr>
                <w:sz w:val="20"/>
                <w:szCs w:val="20"/>
                <w:color w:val="auto"/>
              </w:rPr>
            </w:pPr>
            <w:r>
              <w:rPr>
                <w:rFonts w:ascii="Arial" w:cs="Arial" w:eastAsia="Arial" w:hAnsi="Arial"/>
                <w:sz w:val="20"/>
                <w:szCs w:val="20"/>
                <w:color w:val="auto"/>
              </w:rPr>
              <w:t>$</w:t>
            </w:r>
          </w:p>
        </w:tc>
        <w:tc>
          <w:tcPr>
            <w:tcW w:w="1240" w:type="dxa"/>
            <w:vAlign w:val="bottom"/>
            <w:shd w:val="clear" w:color="auto" w:fill="E6E6E6"/>
          </w:tcPr>
          <w:p>
            <w:pPr>
              <w:jc w:val="right"/>
              <w:spacing w:after="0" w:line="179" w:lineRule="exact"/>
              <w:rPr>
                <w:sz w:val="20"/>
                <w:szCs w:val="20"/>
                <w:color w:val="auto"/>
              </w:rPr>
            </w:pPr>
            <w:r>
              <w:rPr>
                <w:rFonts w:ascii="Arial" w:cs="Arial" w:eastAsia="Arial" w:hAnsi="Arial"/>
                <w:sz w:val="20"/>
                <w:szCs w:val="20"/>
                <w:color w:val="auto"/>
              </w:rPr>
              <w:t>76.35</w:t>
            </w:r>
          </w:p>
        </w:tc>
        <w:tc>
          <w:tcPr>
            <w:tcW w:w="0" w:type="dxa"/>
            <w:vAlign w:val="bottom"/>
          </w:tcPr>
          <w:p>
            <w:pPr>
              <w:spacing w:after="0"/>
              <w:rPr>
                <w:sz w:val="1"/>
                <w:szCs w:val="1"/>
                <w:color w:val="auto"/>
              </w:rPr>
            </w:pPr>
          </w:p>
        </w:tc>
      </w:tr>
      <w:tr>
        <w:trPr>
          <w:trHeight w:val="268"/>
        </w:trPr>
        <w:tc>
          <w:tcPr>
            <w:tcW w:w="5440" w:type="dxa"/>
            <w:vAlign w:val="bottom"/>
            <w:shd w:val="clear" w:color="auto" w:fill="E6E6E6"/>
          </w:tcPr>
          <w:p>
            <w:pPr>
              <w:ind w:left="40"/>
              <w:spacing w:after="0"/>
              <w:rPr>
                <w:sz w:val="20"/>
                <w:szCs w:val="20"/>
                <w:color w:val="auto"/>
              </w:rPr>
            </w:pPr>
            <w:r>
              <w:rPr>
                <w:rFonts w:ascii="Arial" w:cs="Arial" w:eastAsia="Arial" w:hAnsi="Arial"/>
                <w:sz w:val="20"/>
                <w:szCs w:val="20"/>
                <w:color w:val="auto"/>
              </w:rPr>
              <w:t>issued during the year (per share)</w:t>
            </w:r>
          </w:p>
        </w:tc>
        <w:tc>
          <w:tcPr>
            <w:tcW w:w="360" w:type="dxa"/>
            <w:vAlign w:val="bottom"/>
            <w:shd w:val="clear" w:color="auto" w:fill="E6E6E6"/>
          </w:tcPr>
          <w:p>
            <w:pPr>
              <w:spacing w:after="0"/>
              <w:rPr>
                <w:sz w:val="23"/>
                <w:szCs w:val="23"/>
                <w:color w:val="auto"/>
              </w:rPr>
            </w:pPr>
          </w:p>
        </w:tc>
        <w:tc>
          <w:tcPr>
            <w:tcW w:w="114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220" w:type="dxa"/>
            <w:vAlign w:val="bottom"/>
            <w:shd w:val="clear" w:color="auto" w:fill="E6E6E6"/>
          </w:tcPr>
          <w:p>
            <w:pPr>
              <w:spacing w:after="0"/>
              <w:rPr>
                <w:sz w:val="23"/>
                <w:szCs w:val="23"/>
                <w:color w:val="auto"/>
              </w:rPr>
            </w:pPr>
          </w:p>
        </w:tc>
        <w:tc>
          <w:tcPr>
            <w:tcW w:w="126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40" w:type="dxa"/>
            <w:vAlign w:val="bottom"/>
            <w:shd w:val="clear" w:color="auto" w:fill="E6E6E6"/>
          </w:tcPr>
          <w:p>
            <w:pPr>
              <w:spacing w:after="0"/>
              <w:rPr>
                <w:sz w:val="23"/>
                <w:szCs w:val="23"/>
                <w:color w:val="auto"/>
              </w:rPr>
            </w:pPr>
          </w:p>
        </w:tc>
        <w:tc>
          <w:tcPr>
            <w:tcW w:w="124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5440" w:type="dxa"/>
            <w:vAlign w:val="bottom"/>
          </w:tcPr>
          <w:p>
            <w:pPr>
              <w:ind w:left="40"/>
              <w:spacing w:after="0" w:line="188" w:lineRule="exact"/>
              <w:rPr>
                <w:sz w:val="20"/>
                <w:szCs w:val="20"/>
                <w:color w:val="auto"/>
              </w:rPr>
            </w:pPr>
            <w:r>
              <w:rPr>
                <w:rFonts w:ascii="Arial" w:cs="Arial" w:eastAsia="Arial" w:hAnsi="Arial"/>
                <w:sz w:val="20"/>
                <w:szCs w:val="20"/>
                <w:color w:val="auto"/>
              </w:rPr>
              <w:t>Aggregate fair value of RSUs that vested during the year (in</w:t>
            </w:r>
          </w:p>
        </w:tc>
        <w:tc>
          <w:tcPr>
            <w:tcW w:w="360" w:type="dxa"/>
            <w:vAlign w:val="bottom"/>
          </w:tcPr>
          <w:p>
            <w:pPr>
              <w:spacing w:after="0"/>
              <w:rPr>
                <w:sz w:val="16"/>
                <w:szCs w:val="16"/>
                <w:color w:val="auto"/>
              </w:rPr>
            </w:pPr>
          </w:p>
        </w:tc>
        <w:tc>
          <w:tcPr>
            <w:tcW w:w="1140" w:type="dxa"/>
            <w:vAlign w:val="bottom"/>
          </w:tcPr>
          <w:p>
            <w:pPr>
              <w:jc w:val="right"/>
              <w:spacing w:after="0" w:line="188" w:lineRule="exact"/>
              <w:rPr>
                <w:sz w:val="20"/>
                <w:szCs w:val="20"/>
                <w:color w:val="auto"/>
              </w:rPr>
            </w:pPr>
            <w:r>
              <w:rPr>
                <w:rFonts w:ascii="Arial" w:cs="Arial" w:eastAsia="Arial" w:hAnsi="Arial"/>
                <w:sz w:val="20"/>
                <w:szCs w:val="20"/>
                <w:color w:val="auto"/>
              </w:rPr>
              <w:t>18,119</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line="188" w:lineRule="exact"/>
              <w:rPr>
                <w:sz w:val="20"/>
                <w:szCs w:val="20"/>
                <w:color w:val="auto"/>
              </w:rPr>
            </w:pPr>
            <w:r>
              <w:rPr>
                <w:rFonts w:ascii="Arial" w:cs="Arial" w:eastAsia="Arial" w:hAnsi="Arial"/>
                <w:sz w:val="20"/>
                <w:szCs w:val="20"/>
                <w:color w:val="auto"/>
              </w:rPr>
              <w:t>14,853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line="188" w:lineRule="exact"/>
              <w:rPr>
                <w:sz w:val="20"/>
                <w:szCs w:val="20"/>
                <w:color w:val="auto"/>
              </w:rPr>
            </w:pPr>
            <w:r>
              <w:rPr>
                <w:rFonts w:ascii="Arial" w:cs="Arial" w:eastAsia="Arial" w:hAnsi="Arial"/>
                <w:sz w:val="20"/>
                <w:szCs w:val="20"/>
                <w:color w:val="auto"/>
              </w:rPr>
              <w:t>22,793</w:t>
            </w:r>
          </w:p>
        </w:tc>
        <w:tc>
          <w:tcPr>
            <w:tcW w:w="0" w:type="dxa"/>
            <w:vAlign w:val="bottom"/>
          </w:tcPr>
          <w:p>
            <w:pPr>
              <w:spacing w:after="0"/>
              <w:rPr>
                <w:sz w:val="1"/>
                <w:szCs w:val="1"/>
                <w:color w:val="auto"/>
              </w:rPr>
            </w:pPr>
          </w:p>
        </w:tc>
      </w:tr>
      <w:tr>
        <w:trPr>
          <w:trHeight w:val="257"/>
        </w:trPr>
        <w:tc>
          <w:tcPr>
            <w:tcW w:w="5440" w:type="dxa"/>
            <w:vAlign w:val="bottom"/>
          </w:tcPr>
          <w:p>
            <w:pPr>
              <w:ind w:left="40"/>
              <w:spacing w:after="0"/>
              <w:rPr>
                <w:sz w:val="20"/>
                <w:szCs w:val="20"/>
                <w:color w:val="auto"/>
              </w:rPr>
            </w:pPr>
            <w:r>
              <w:rPr>
                <w:rFonts w:ascii="Arial" w:cs="Arial" w:eastAsia="Arial" w:hAnsi="Arial"/>
                <w:sz w:val="20"/>
                <w:szCs w:val="20"/>
                <w:color w:val="auto"/>
              </w:rPr>
              <w:t>thousands)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2"/>
        </w:trPr>
        <w:tc>
          <w:tcPr>
            <w:tcW w:w="6940" w:type="dxa"/>
            <w:vAlign w:val="bottom"/>
            <w:gridSpan w:val="3"/>
          </w:tcPr>
          <w:p>
            <w:pPr>
              <w:spacing w:after="0"/>
              <w:rPr>
                <w:sz w:val="20"/>
                <w:szCs w:val="20"/>
                <w:color w:val="auto"/>
              </w:rPr>
            </w:pPr>
            <w:r>
              <w:rPr>
                <w:rFonts w:ascii="Arial" w:cs="Arial" w:eastAsia="Arial" w:hAnsi="Arial"/>
                <w:sz w:val="20"/>
                <w:szCs w:val="20"/>
                <w:color w:val="auto"/>
              </w:rPr>
              <w:t>The following tables present the activity for performance-based RSU awards:</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vMerge w:val="restart"/>
          </w:tcPr>
          <w:p>
            <w:pPr>
              <w:jc w:val="center"/>
              <w:ind w:right="102"/>
              <w:spacing w:after="0"/>
              <w:rPr>
                <w:sz w:val="20"/>
                <w:szCs w:val="20"/>
                <w:color w:val="auto"/>
              </w:rPr>
            </w:pPr>
            <w:r>
              <w:rPr>
                <w:rFonts w:ascii="Arial" w:cs="Arial" w:eastAsia="Arial" w:hAnsi="Arial"/>
                <w:sz w:val="20"/>
                <w:szCs w:val="20"/>
                <w:b w:val="1"/>
                <w:bCs w:val="1"/>
                <w:color w:val="auto"/>
                <w:w w:val="89"/>
              </w:rPr>
              <w:t>Number of</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center"/>
              <w:ind w:right="142"/>
              <w:spacing w:after="0"/>
              <w:rPr>
                <w:sz w:val="20"/>
                <w:szCs w:val="20"/>
                <w:color w:val="auto"/>
              </w:rPr>
            </w:pPr>
            <w:r>
              <w:rPr>
                <w:rFonts w:ascii="Arial" w:cs="Arial" w:eastAsia="Arial" w:hAnsi="Arial"/>
                <w:sz w:val="20"/>
                <w:szCs w:val="20"/>
                <w:b w:val="1"/>
                <w:bCs w:val="1"/>
                <w:color w:val="auto"/>
                <w:w w:val="94"/>
              </w:rPr>
              <w:t>Wtd.-Avg.</w:t>
            </w:r>
          </w:p>
        </w:tc>
        <w:tc>
          <w:tcPr>
            <w:tcW w:w="0" w:type="dxa"/>
            <w:vAlign w:val="bottom"/>
          </w:tcPr>
          <w:p>
            <w:pPr>
              <w:spacing w:after="0"/>
              <w:rPr>
                <w:sz w:val="1"/>
                <w:szCs w:val="1"/>
                <w:color w:val="auto"/>
              </w:rPr>
            </w:pPr>
          </w:p>
        </w:tc>
      </w:tr>
      <w:tr>
        <w:trPr>
          <w:trHeight w:val="196"/>
        </w:trPr>
        <w:tc>
          <w:tcPr>
            <w:tcW w:w="5440" w:type="dxa"/>
            <w:vAlign w:val="bottom"/>
            <w:vMerge w:val="restart"/>
          </w:tcPr>
          <w:p>
            <w:pPr>
              <w:ind w:left="40"/>
              <w:spacing w:after="0"/>
              <w:rPr>
                <w:sz w:val="20"/>
                <w:szCs w:val="20"/>
                <w:color w:val="auto"/>
              </w:rPr>
            </w:pPr>
            <w:r>
              <w:rPr>
                <w:rFonts w:ascii="Arial" w:cs="Arial" w:eastAsia="Arial" w:hAnsi="Arial"/>
                <w:sz w:val="20"/>
                <w:szCs w:val="20"/>
                <w:b w:val="1"/>
                <w:bCs w:val="1"/>
                <w:color w:val="auto"/>
              </w:rPr>
              <w:t>Performance-based RSUs</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2"/>
          </w:tcPr>
          <w:p>
            <w:pPr>
              <w:jc w:val="center"/>
              <w:spacing w:after="0" w:line="196" w:lineRule="exact"/>
              <w:rPr>
                <w:sz w:val="20"/>
                <w:szCs w:val="20"/>
                <w:color w:val="auto"/>
              </w:rPr>
            </w:pPr>
            <w:r>
              <w:rPr>
                <w:rFonts w:ascii="Arial" w:cs="Arial" w:eastAsia="Arial" w:hAnsi="Arial"/>
                <w:sz w:val="20"/>
                <w:szCs w:val="20"/>
                <w:b w:val="1"/>
                <w:bCs w:val="1"/>
                <w:color w:val="auto"/>
                <w:w w:val="94"/>
              </w:rPr>
              <w:t>Grant Date Fair</w:t>
            </w:r>
          </w:p>
        </w:tc>
        <w:tc>
          <w:tcPr>
            <w:tcW w:w="0" w:type="dxa"/>
            <w:vAlign w:val="bottom"/>
          </w:tcPr>
          <w:p>
            <w:pPr>
              <w:spacing w:after="0"/>
              <w:rPr>
                <w:sz w:val="1"/>
                <w:szCs w:val="1"/>
                <w:color w:val="auto"/>
              </w:rPr>
            </w:pPr>
          </w:p>
        </w:tc>
      </w:tr>
      <w:tr>
        <w:trPr>
          <w:trHeight w:val="258"/>
        </w:trPr>
        <w:tc>
          <w:tcPr>
            <w:tcW w:w="5440" w:type="dxa"/>
            <w:vAlign w:val="bottom"/>
            <w:tcBorders>
              <w:bottom w:val="single" w:sz="8" w:color="auto"/>
            </w:tcBorders>
            <w:vMerge w:val="continue"/>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22"/>
              <w:spacing w:after="0"/>
              <w:rPr>
                <w:sz w:val="20"/>
                <w:szCs w:val="20"/>
                <w:color w:val="auto"/>
              </w:rPr>
            </w:pPr>
            <w:r>
              <w:rPr>
                <w:rFonts w:ascii="Arial" w:cs="Arial" w:eastAsia="Arial" w:hAnsi="Arial"/>
                <w:sz w:val="20"/>
                <w:szCs w:val="20"/>
                <w:b w:val="1"/>
                <w:bCs w:val="1"/>
                <w:color w:val="auto"/>
                <w:w w:val="83"/>
              </w:rPr>
              <w:t>Shares</w:t>
            </w:r>
          </w:p>
        </w:tc>
        <w:tc>
          <w:tcPr>
            <w:tcW w:w="80" w:type="dxa"/>
            <w:vAlign w:val="bottom"/>
            <w:tcBorders>
              <w:bottom w:val="single" w:sz="8" w:color="E6E6E6"/>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22"/>
              <w:spacing w:after="0"/>
              <w:rPr>
                <w:sz w:val="20"/>
                <w:szCs w:val="20"/>
                <w:color w:val="auto"/>
              </w:rPr>
            </w:pPr>
            <w:r>
              <w:rPr>
                <w:rFonts w:ascii="Arial" w:cs="Arial" w:eastAsia="Arial" w:hAnsi="Arial"/>
                <w:sz w:val="20"/>
                <w:szCs w:val="20"/>
                <w:b w:val="1"/>
                <w:bCs w:val="1"/>
                <w:color w:val="auto"/>
                <w:w w:val="93"/>
              </w:rPr>
              <w:t>Value</w:t>
            </w:r>
          </w:p>
        </w:tc>
        <w:tc>
          <w:tcPr>
            <w:tcW w:w="0" w:type="dxa"/>
            <w:vAlign w:val="bottom"/>
          </w:tcPr>
          <w:p>
            <w:pPr>
              <w:spacing w:after="0"/>
              <w:rPr>
                <w:sz w:val="1"/>
                <w:szCs w:val="1"/>
                <w:color w:val="auto"/>
              </w:rPr>
            </w:pPr>
          </w:p>
        </w:tc>
      </w:tr>
      <w:tr>
        <w:trPr>
          <w:trHeight w:val="269"/>
        </w:trPr>
        <w:tc>
          <w:tcPr>
            <w:tcW w:w="5440" w:type="dxa"/>
            <w:vAlign w:val="bottom"/>
            <w:shd w:val="clear" w:color="auto" w:fill="E6E6E6"/>
          </w:tcPr>
          <w:p>
            <w:pPr>
              <w:ind w:left="40"/>
              <w:spacing w:after="0"/>
              <w:rPr>
                <w:sz w:val="20"/>
                <w:szCs w:val="20"/>
                <w:color w:val="auto"/>
              </w:rPr>
            </w:pPr>
            <w:r>
              <w:rPr>
                <w:rFonts w:ascii="Arial" w:cs="Arial" w:eastAsia="Arial" w:hAnsi="Arial"/>
                <w:sz w:val="20"/>
                <w:szCs w:val="20"/>
                <w:color w:val="auto"/>
              </w:rPr>
              <w:t>Non-vested shares as of December 31, 2023</w:t>
            </w:r>
          </w:p>
        </w:tc>
        <w:tc>
          <w:tcPr>
            <w:tcW w:w="360" w:type="dxa"/>
            <w:vAlign w:val="bottom"/>
            <w:shd w:val="clear" w:color="auto" w:fill="E6E6E6"/>
          </w:tcPr>
          <w:p>
            <w:pPr>
              <w:spacing w:after="0"/>
              <w:rPr>
                <w:sz w:val="23"/>
                <w:szCs w:val="23"/>
                <w:color w:val="auto"/>
              </w:rPr>
            </w:pPr>
          </w:p>
        </w:tc>
        <w:tc>
          <w:tcPr>
            <w:tcW w:w="114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220" w:type="dxa"/>
            <w:vAlign w:val="bottom"/>
            <w:shd w:val="clear" w:color="auto" w:fill="E6E6E6"/>
          </w:tcPr>
          <w:p>
            <w:pPr>
              <w:spacing w:after="0"/>
              <w:rPr>
                <w:sz w:val="23"/>
                <w:szCs w:val="23"/>
                <w:color w:val="auto"/>
              </w:rPr>
            </w:pPr>
          </w:p>
        </w:tc>
        <w:tc>
          <w:tcPr>
            <w:tcW w:w="12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207,020</w:t>
            </w:r>
          </w:p>
        </w:tc>
        <w:tc>
          <w:tcPr>
            <w:tcW w:w="32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2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66.84</w:t>
            </w:r>
          </w:p>
        </w:tc>
        <w:tc>
          <w:tcPr>
            <w:tcW w:w="0" w:type="dxa"/>
            <w:vAlign w:val="bottom"/>
          </w:tcPr>
          <w:p>
            <w:pPr>
              <w:spacing w:after="0"/>
              <w:rPr>
                <w:sz w:val="1"/>
                <w:szCs w:val="1"/>
                <w:color w:val="auto"/>
              </w:rPr>
            </w:pPr>
          </w:p>
        </w:tc>
      </w:tr>
      <w:tr>
        <w:trPr>
          <w:trHeight w:val="274"/>
        </w:trPr>
        <w:tc>
          <w:tcPr>
            <w:tcW w:w="5440" w:type="dxa"/>
            <w:vAlign w:val="bottom"/>
          </w:tcPr>
          <w:p>
            <w:pPr>
              <w:ind w:left="180"/>
              <w:spacing w:after="0"/>
              <w:rPr>
                <w:sz w:val="20"/>
                <w:szCs w:val="20"/>
                <w:color w:val="auto"/>
              </w:rPr>
            </w:pPr>
            <w:r>
              <w:rPr>
                <w:rFonts w:ascii="Arial" w:cs="Arial" w:eastAsia="Arial" w:hAnsi="Arial"/>
                <w:sz w:val="20"/>
                <w:szCs w:val="20"/>
                <w:color w:val="auto"/>
              </w:rPr>
              <w:t>Granted</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139,587</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64.83</w:t>
            </w:r>
          </w:p>
        </w:tc>
        <w:tc>
          <w:tcPr>
            <w:tcW w:w="0" w:type="dxa"/>
            <w:vAlign w:val="bottom"/>
          </w:tcPr>
          <w:p>
            <w:pPr>
              <w:spacing w:after="0"/>
              <w:rPr>
                <w:sz w:val="1"/>
                <w:szCs w:val="1"/>
                <w:color w:val="auto"/>
              </w:rPr>
            </w:pPr>
          </w:p>
        </w:tc>
      </w:tr>
      <w:tr>
        <w:trPr>
          <w:trHeight w:val="285"/>
        </w:trPr>
        <w:tc>
          <w:tcPr>
            <w:tcW w:w="5440" w:type="dxa"/>
            <w:vAlign w:val="bottom"/>
            <w:shd w:val="clear" w:color="auto" w:fill="E6E6E6"/>
          </w:tcPr>
          <w:p>
            <w:pPr>
              <w:ind w:left="180"/>
              <w:spacing w:after="0"/>
              <w:rPr>
                <w:sz w:val="20"/>
                <w:szCs w:val="20"/>
                <w:color w:val="auto"/>
              </w:rPr>
            </w:pPr>
            <w:r>
              <w:rPr>
                <w:rFonts w:ascii="Arial" w:cs="Arial" w:eastAsia="Arial" w:hAnsi="Arial"/>
                <w:sz w:val="20"/>
                <w:szCs w:val="20"/>
                <w:color w:val="auto"/>
              </w:rPr>
              <w:t>Vested</w:t>
            </w:r>
          </w:p>
        </w:tc>
        <w:tc>
          <w:tcPr>
            <w:tcW w:w="360" w:type="dxa"/>
            <w:vAlign w:val="bottom"/>
            <w:shd w:val="clear" w:color="auto" w:fill="E6E6E6"/>
          </w:tcPr>
          <w:p>
            <w:pPr>
              <w:spacing w:after="0"/>
              <w:rPr>
                <w:sz w:val="24"/>
                <w:szCs w:val="24"/>
                <w:color w:val="auto"/>
              </w:rPr>
            </w:pPr>
          </w:p>
        </w:tc>
        <w:tc>
          <w:tcPr>
            <w:tcW w:w="11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2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(79,737)</w:t>
            </w:r>
          </w:p>
        </w:tc>
        <w:tc>
          <w:tcPr>
            <w:tcW w:w="8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2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84.62</w:t>
            </w:r>
          </w:p>
        </w:tc>
        <w:tc>
          <w:tcPr>
            <w:tcW w:w="0" w:type="dxa"/>
            <w:vAlign w:val="bottom"/>
          </w:tcPr>
          <w:p>
            <w:pPr>
              <w:spacing w:after="0"/>
              <w:rPr>
                <w:sz w:val="1"/>
                <w:szCs w:val="1"/>
                <w:color w:val="auto"/>
              </w:rPr>
            </w:pPr>
          </w:p>
        </w:tc>
      </w:tr>
      <w:tr>
        <w:trPr>
          <w:trHeight w:val="274"/>
        </w:trPr>
        <w:tc>
          <w:tcPr>
            <w:tcW w:w="5440" w:type="dxa"/>
            <w:vAlign w:val="bottom"/>
          </w:tcPr>
          <w:p>
            <w:pPr>
              <w:ind w:left="180"/>
              <w:spacing w:after="0"/>
              <w:rPr>
                <w:sz w:val="20"/>
                <w:szCs w:val="20"/>
                <w:color w:val="auto"/>
              </w:rPr>
            </w:pPr>
            <w:r>
              <w:rPr>
                <w:rFonts w:ascii="Arial" w:cs="Arial" w:eastAsia="Arial" w:hAnsi="Arial"/>
                <w:sz w:val="20"/>
                <w:szCs w:val="20"/>
                <w:color w:val="auto"/>
              </w:rPr>
              <w:t>Forfeited</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(66,508)</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52.46</w:t>
            </w:r>
          </w:p>
        </w:tc>
        <w:tc>
          <w:tcPr>
            <w:tcW w:w="0" w:type="dxa"/>
            <w:vAlign w:val="bottom"/>
          </w:tcPr>
          <w:p>
            <w:pPr>
              <w:spacing w:after="0"/>
              <w:rPr>
                <w:sz w:val="1"/>
                <w:szCs w:val="1"/>
                <w:color w:val="auto"/>
              </w:rPr>
            </w:pPr>
          </w:p>
        </w:tc>
      </w:tr>
      <w:tr>
        <w:trPr>
          <w:trHeight w:val="295"/>
        </w:trPr>
        <w:tc>
          <w:tcPr>
            <w:tcW w:w="5440" w:type="dxa"/>
            <w:vAlign w:val="bottom"/>
            <w:tcBorders>
              <w:bottom w:val="single" w:sz="8" w:color="E6E6E6"/>
            </w:tcBorders>
            <w:shd w:val="clear" w:color="auto" w:fill="E6E6E6"/>
          </w:tcPr>
          <w:p>
            <w:pPr>
              <w:ind w:left="180"/>
              <w:spacing w:after="0" w:line="275" w:lineRule="exact"/>
              <w:rPr>
                <w:sz w:val="20"/>
                <w:szCs w:val="20"/>
                <w:color w:val="auto"/>
              </w:rPr>
            </w:pPr>
            <w:r>
              <w:rPr>
                <w:rFonts w:ascii="Arial" w:cs="Arial" w:eastAsia="Arial" w:hAnsi="Arial"/>
                <w:sz w:val="20"/>
                <w:szCs w:val="20"/>
                <w:color w:val="auto"/>
              </w:rPr>
              <w:t xml:space="preserve">Performance adjustments </w:t>
            </w:r>
            <w:r>
              <w:rPr>
                <w:rFonts w:ascii="Arial" w:cs="Arial" w:eastAsia="Arial" w:hAnsi="Arial"/>
                <w:sz w:val="25"/>
                <w:szCs w:val="25"/>
                <w:color w:val="auto"/>
                <w:vertAlign w:val="superscript"/>
              </w:rPr>
              <w:t>(1)</w:t>
            </w:r>
          </w:p>
        </w:tc>
        <w:tc>
          <w:tcPr>
            <w:tcW w:w="360" w:type="dxa"/>
            <w:vAlign w:val="bottom"/>
            <w:tcBorders>
              <w:bottom w:val="single" w:sz="8" w:color="E6E6E6"/>
            </w:tcBorders>
            <w:shd w:val="clear" w:color="auto" w:fill="E6E6E6"/>
          </w:tcPr>
          <w:p>
            <w:pPr>
              <w:spacing w:after="0"/>
              <w:rPr>
                <w:sz w:val="24"/>
                <w:szCs w:val="24"/>
                <w:color w:val="auto"/>
              </w:rPr>
            </w:pPr>
          </w:p>
        </w:tc>
        <w:tc>
          <w:tcPr>
            <w:tcW w:w="114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12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24,862</w:t>
            </w:r>
          </w:p>
        </w:tc>
        <w:tc>
          <w:tcPr>
            <w:tcW w:w="8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E6E6E6"/>
            </w:tcBorders>
            <w:shd w:val="clear" w:color="auto" w:fill="E6E6E6"/>
          </w:tcPr>
          <w:p>
            <w:pPr>
              <w:spacing w:after="0"/>
              <w:rPr>
                <w:sz w:val="24"/>
                <w:szCs w:val="24"/>
                <w:color w:val="auto"/>
              </w:rPr>
            </w:pPr>
          </w:p>
        </w:tc>
        <w:tc>
          <w:tcPr>
            <w:tcW w:w="12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76.86</w:t>
            </w:r>
          </w:p>
        </w:tc>
        <w:tc>
          <w:tcPr>
            <w:tcW w:w="0" w:type="dxa"/>
            <w:vAlign w:val="bottom"/>
          </w:tcPr>
          <w:p>
            <w:pPr>
              <w:spacing w:after="0"/>
              <w:rPr>
                <w:sz w:val="1"/>
                <w:szCs w:val="1"/>
                <w:color w:val="auto"/>
              </w:rPr>
            </w:pPr>
          </w:p>
        </w:tc>
      </w:tr>
      <w:tr>
        <w:trPr>
          <w:trHeight w:val="220"/>
        </w:trPr>
        <w:tc>
          <w:tcPr>
            <w:tcW w:w="5440" w:type="dxa"/>
            <w:vAlign w:val="bottom"/>
          </w:tcPr>
          <w:p>
            <w:pPr>
              <w:ind w:left="40"/>
              <w:spacing w:after="0" w:line="220" w:lineRule="exact"/>
              <w:rPr>
                <w:sz w:val="20"/>
                <w:szCs w:val="20"/>
                <w:color w:val="auto"/>
              </w:rPr>
            </w:pPr>
            <w:r>
              <w:rPr>
                <w:rFonts w:ascii="Arial" w:cs="Arial" w:eastAsia="Arial" w:hAnsi="Arial"/>
                <w:sz w:val="20"/>
                <w:szCs w:val="20"/>
                <w:color w:val="auto"/>
              </w:rPr>
              <w:t>Non-vested shares as of December 31, 2024</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225,224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line="220" w:lineRule="exact"/>
              <w:rPr>
                <w:sz w:val="20"/>
                <w:szCs w:val="20"/>
                <w:color w:val="auto"/>
              </w:rPr>
            </w:pPr>
            <w:r>
              <w:rPr>
                <w:rFonts w:ascii="Arial" w:cs="Arial" w:eastAsia="Arial" w:hAnsi="Arial"/>
                <w:sz w:val="20"/>
                <w:szCs w:val="20"/>
                <w:color w:val="auto"/>
              </w:rPr>
              <w:t>63.42</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-2460625</wp:posOffset>
            </wp:positionV>
            <wp:extent cx="294703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87">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-1094740</wp:posOffset>
            </wp:positionV>
            <wp:extent cx="641032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188">
                      <a:extLst>
                        <a:ext uri="{28A0092B-C50C-407E-A947-70E740481C1C}"/>
                      </a:extLst>
                    </a:blip>
                    <a:srcRect/>
                    <a:stretch>
                      <a:fillRect/>
                    </a:stretch>
                  </pic:blipFill>
                  <pic:spPr bwMode="auto">
                    <a:xfrm>
                      <a:off x="0" y="0"/>
                      <a:ext cx="6410325" cy="25400"/>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-208280</wp:posOffset>
            </wp:positionV>
            <wp:extent cx="96837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189">
                      <a:extLst>
                        <a:ext uri="{28A0092B-C50C-407E-A947-70E740481C1C}"/>
                      </a:extLst>
                    </a:blip>
                    <a:srcRect/>
                    <a:stretch>
                      <a:fillRect/>
                    </a:stretch>
                  </pic:blipFill>
                  <pic:spPr bwMode="auto">
                    <a:xfrm>
                      <a:off x="0" y="0"/>
                      <a:ext cx="968375" cy="25400"/>
                    </a:xfrm>
                    <a:prstGeom prst="rect">
                      <a:avLst/>
                    </a:prstGeom>
                    <a:noFill/>
                  </pic:spPr>
                </pic:pic>
              </a:graphicData>
            </a:graphic>
          </wp:anchor>
        </w:drawing>
      </w:r>
    </w:p>
    <w:p>
      <w:pPr>
        <w:spacing w:after="0" w:line="111" w:lineRule="exact"/>
        <w:rPr>
          <w:sz w:val="20"/>
          <w:szCs w:val="20"/>
          <w:color w:val="auto"/>
        </w:rPr>
      </w:pPr>
    </w:p>
    <w:p>
      <w:pPr>
        <w:ind w:left="700" w:right="520" w:hanging="355"/>
        <w:spacing w:after="0" w:line="230" w:lineRule="auto"/>
        <w:tabs>
          <w:tab w:leader="none" w:pos="700"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Represents the difference between the target units granted and the actual units awarded based upon the attainment of performance goals for the Company.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44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62"/>
              <w:spacing w:after="0"/>
              <w:rPr>
                <w:sz w:val="20"/>
                <w:szCs w:val="20"/>
                <w:color w:val="auto"/>
              </w:rPr>
            </w:pPr>
            <w:r>
              <w:rPr>
                <w:rFonts w:ascii="Arial" w:cs="Arial" w:eastAsia="Arial" w:hAnsi="Arial"/>
                <w:sz w:val="20"/>
                <w:szCs w:val="20"/>
                <w:b w:val="1"/>
                <w:bCs w:val="1"/>
                <w:color w:val="auto"/>
              </w:rPr>
              <w:t>2024</w:t>
            </w:r>
          </w:p>
        </w:tc>
        <w:tc>
          <w:tcPr>
            <w:tcW w:w="6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2023</w:t>
            </w:r>
          </w:p>
        </w:tc>
        <w:tc>
          <w:tcPr>
            <w:tcW w:w="8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2022</w:t>
            </w:r>
          </w:p>
        </w:tc>
      </w:tr>
      <w:tr>
        <w:trPr>
          <w:trHeight w:val="178"/>
        </w:trPr>
        <w:tc>
          <w:tcPr>
            <w:tcW w:w="5440" w:type="dxa"/>
            <w:vAlign w:val="bottom"/>
            <w:shd w:val="clear" w:color="auto" w:fill="E6E6E6"/>
          </w:tcPr>
          <w:p>
            <w:pPr>
              <w:ind w:left="40"/>
              <w:spacing w:after="0" w:line="179" w:lineRule="exact"/>
              <w:rPr>
                <w:sz w:val="20"/>
                <w:szCs w:val="20"/>
                <w:color w:val="auto"/>
              </w:rPr>
            </w:pPr>
            <w:r>
              <w:rPr>
                <w:rFonts w:ascii="Arial" w:cs="Arial" w:eastAsia="Arial" w:hAnsi="Arial"/>
                <w:sz w:val="20"/>
                <w:szCs w:val="20"/>
                <w:color w:val="auto"/>
                <w:w w:val="98"/>
              </w:rPr>
              <w:t>Weighted-average grant date fair value of performance-based</w:t>
            </w:r>
          </w:p>
        </w:tc>
        <w:tc>
          <w:tcPr>
            <w:tcW w:w="360" w:type="dxa"/>
            <w:vAlign w:val="bottom"/>
            <w:shd w:val="clear" w:color="auto" w:fill="E6E6E6"/>
          </w:tcPr>
          <w:p>
            <w:pPr>
              <w:jc w:val="right"/>
              <w:ind w:right="102"/>
              <w:spacing w:after="0" w:line="179" w:lineRule="exact"/>
              <w:rPr>
                <w:sz w:val="20"/>
                <w:szCs w:val="20"/>
                <w:color w:val="auto"/>
              </w:rPr>
            </w:pPr>
            <w:r>
              <w:rPr>
                <w:rFonts w:ascii="Arial" w:cs="Arial" w:eastAsia="Arial" w:hAnsi="Arial"/>
                <w:sz w:val="20"/>
                <w:szCs w:val="20"/>
                <w:color w:val="auto"/>
              </w:rPr>
              <w:t>$</w:t>
            </w:r>
          </w:p>
        </w:tc>
        <w:tc>
          <w:tcPr>
            <w:tcW w:w="1140" w:type="dxa"/>
            <w:vAlign w:val="bottom"/>
            <w:shd w:val="clear" w:color="auto" w:fill="E6E6E6"/>
          </w:tcPr>
          <w:p>
            <w:pPr>
              <w:jc w:val="right"/>
              <w:spacing w:after="0" w:line="179" w:lineRule="exact"/>
              <w:rPr>
                <w:sz w:val="20"/>
                <w:szCs w:val="20"/>
                <w:color w:val="auto"/>
              </w:rPr>
            </w:pPr>
            <w:r>
              <w:rPr>
                <w:rFonts w:ascii="Arial" w:cs="Arial" w:eastAsia="Arial" w:hAnsi="Arial"/>
                <w:sz w:val="20"/>
                <w:szCs w:val="20"/>
                <w:color w:val="auto"/>
              </w:rPr>
              <w:t>64.83</w:t>
            </w:r>
          </w:p>
        </w:tc>
        <w:tc>
          <w:tcPr>
            <w:tcW w:w="60" w:type="dxa"/>
            <w:vAlign w:val="bottom"/>
            <w:shd w:val="clear" w:color="auto" w:fill="E6E6E6"/>
          </w:tcPr>
          <w:p>
            <w:pPr>
              <w:spacing w:after="0"/>
              <w:rPr>
                <w:sz w:val="15"/>
                <w:szCs w:val="15"/>
                <w:color w:val="auto"/>
              </w:rPr>
            </w:pPr>
          </w:p>
        </w:tc>
        <w:tc>
          <w:tcPr>
            <w:tcW w:w="360" w:type="dxa"/>
            <w:vAlign w:val="bottom"/>
            <w:shd w:val="clear" w:color="auto" w:fill="E6E6E6"/>
          </w:tcPr>
          <w:p>
            <w:pPr>
              <w:jc w:val="right"/>
              <w:ind w:right="102"/>
              <w:spacing w:after="0" w:line="179" w:lineRule="exact"/>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line="179" w:lineRule="exact"/>
              <w:rPr>
                <w:sz w:val="20"/>
                <w:szCs w:val="20"/>
                <w:color w:val="auto"/>
              </w:rPr>
            </w:pPr>
            <w:r>
              <w:rPr>
                <w:rFonts w:ascii="Arial" w:cs="Arial" w:eastAsia="Arial" w:hAnsi="Arial"/>
                <w:sz w:val="20"/>
                <w:szCs w:val="20"/>
                <w:color w:val="auto"/>
              </w:rPr>
              <w:t>40.63</w:t>
            </w:r>
          </w:p>
        </w:tc>
        <w:tc>
          <w:tcPr>
            <w:tcW w:w="80" w:type="dxa"/>
            <w:vAlign w:val="bottom"/>
            <w:shd w:val="clear" w:color="auto" w:fill="E6E6E6"/>
          </w:tcPr>
          <w:p>
            <w:pPr>
              <w:spacing w:after="0"/>
              <w:rPr>
                <w:sz w:val="15"/>
                <w:szCs w:val="15"/>
                <w:color w:val="auto"/>
              </w:rPr>
            </w:pPr>
          </w:p>
        </w:tc>
        <w:tc>
          <w:tcPr>
            <w:tcW w:w="360" w:type="dxa"/>
            <w:vAlign w:val="bottom"/>
            <w:shd w:val="clear" w:color="auto" w:fill="E6E6E6"/>
          </w:tcPr>
          <w:p>
            <w:pPr>
              <w:jc w:val="right"/>
              <w:ind w:right="102"/>
              <w:spacing w:after="0" w:line="179" w:lineRule="exact"/>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line="179" w:lineRule="exact"/>
              <w:rPr>
                <w:sz w:val="20"/>
                <w:szCs w:val="20"/>
                <w:color w:val="auto"/>
              </w:rPr>
            </w:pPr>
            <w:r>
              <w:rPr>
                <w:rFonts w:ascii="Arial" w:cs="Arial" w:eastAsia="Arial" w:hAnsi="Arial"/>
                <w:sz w:val="20"/>
                <w:szCs w:val="20"/>
                <w:color w:val="auto"/>
              </w:rPr>
              <w:t>92.53</w:t>
            </w:r>
          </w:p>
        </w:tc>
      </w:tr>
      <w:tr>
        <w:trPr>
          <w:trHeight w:val="268"/>
        </w:trPr>
        <w:tc>
          <w:tcPr>
            <w:tcW w:w="5440" w:type="dxa"/>
            <w:vAlign w:val="bottom"/>
            <w:shd w:val="clear" w:color="auto" w:fill="E6E6E6"/>
          </w:tcPr>
          <w:p>
            <w:pPr>
              <w:ind w:left="40"/>
              <w:spacing w:after="0"/>
              <w:rPr>
                <w:sz w:val="20"/>
                <w:szCs w:val="20"/>
                <w:color w:val="auto"/>
              </w:rPr>
            </w:pPr>
            <w:r>
              <w:rPr>
                <w:rFonts w:ascii="Arial" w:cs="Arial" w:eastAsia="Arial" w:hAnsi="Arial"/>
                <w:sz w:val="20"/>
                <w:szCs w:val="20"/>
                <w:color w:val="auto"/>
              </w:rPr>
              <w:t>RSUs granted during the year (per share)</w:t>
            </w:r>
          </w:p>
        </w:tc>
        <w:tc>
          <w:tcPr>
            <w:tcW w:w="360" w:type="dxa"/>
            <w:vAlign w:val="bottom"/>
            <w:shd w:val="clear" w:color="auto" w:fill="E6E6E6"/>
          </w:tcPr>
          <w:p>
            <w:pPr>
              <w:spacing w:after="0"/>
              <w:rPr>
                <w:sz w:val="23"/>
                <w:szCs w:val="23"/>
                <w:color w:val="auto"/>
              </w:rPr>
            </w:pPr>
          </w:p>
        </w:tc>
        <w:tc>
          <w:tcPr>
            <w:tcW w:w="114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360" w:type="dxa"/>
            <w:vAlign w:val="bottom"/>
            <w:shd w:val="clear" w:color="auto" w:fill="E6E6E6"/>
          </w:tcPr>
          <w:p>
            <w:pPr>
              <w:spacing w:after="0"/>
              <w:rPr>
                <w:sz w:val="23"/>
                <w:szCs w:val="23"/>
                <w:color w:val="auto"/>
              </w:rPr>
            </w:pPr>
          </w:p>
        </w:tc>
        <w:tc>
          <w:tcPr>
            <w:tcW w:w="112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360" w:type="dxa"/>
            <w:vAlign w:val="bottom"/>
            <w:shd w:val="clear" w:color="auto" w:fill="E6E6E6"/>
          </w:tcPr>
          <w:p>
            <w:pPr>
              <w:spacing w:after="0"/>
              <w:rPr>
                <w:sz w:val="23"/>
                <w:szCs w:val="23"/>
                <w:color w:val="auto"/>
              </w:rPr>
            </w:pPr>
          </w:p>
        </w:tc>
        <w:tc>
          <w:tcPr>
            <w:tcW w:w="1120" w:type="dxa"/>
            <w:vAlign w:val="bottom"/>
            <w:shd w:val="clear" w:color="auto" w:fill="E6E6E6"/>
          </w:tcPr>
          <w:p>
            <w:pPr>
              <w:spacing w:after="0"/>
              <w:rPr>
                <w:sz w:val="23"/>
                <w:szCs w:val="23"/>
                <w:color w:val="auto"/>
              </w:rPr>
            </w:pPr>
          </w:p>
        </w:tc>
      </w:tr>
      <w:tr>
        <w:trPr>
          <w:trHeight w:val="188"/>
        </w:trPr>
        <w:tc>
          <w:tcPr>
            <w:tcW w:w="5440" w:type="dxa"/>
            <w:vAlign w:val="bottom"/>
          </w:tcPr>
          <w:p>
            <w:pPr>
              <w:ind w:left="40"/>
              <w:spacing w:after="0" w:line="188" w:lineRule="exact"/>
              <w:rPr>
                <w:sz w:val="20"/>
                <w:szCs w:val="20"/>
                <w:color w:val="auto"/>
              </w:rPr>
            </w:pPr>
            <w:r>
              <w:rPr>
                <w:rFonts w:ascii="Arial" w:cs="Arial" w:eastAsia="Arial" w:hAnsi="Arial"/>
                <w:sz w:val="20"/>
                <w:szCs w:val="20"/>
                <w:color w:val="auto"/>
                <w:w w:val="99"/>
              </w:rPr>
              <w:t>Aggregate fair value of performance-based RSUs that vested</w:t>
            </w:r>
          </w:p>
        </w:tc>
        <w:tc>
          <w:tcPr>
            <w:tcW w:w="360" w:type="dxa"/>
            <w:vAlign w:val="bottom"/>
          </w:tcPr>
          <w:p>
            <w:pPr>
              <w:spacing w:after="0"/>
              <w:rPr>
                <w:sz w:val="16"/>
                <w:szCs w:val="16"/>
                <w:color w:val="auto"/>
              </w:rPr>
            </w:pPr>
          </w:p>
        </w:tc>
        <w:tc>
          <w:tcPr>
            <w:tcW w:w="1140" w:type="dxa"/>
            <w:vAlign w:val="bottom"/>
          </w:tcPr>
          <w:p>
            <w:pPr>
              <w:jc w:val="right"/>
              <w:spacing w:after="0" w:line="188" w:lineRule="exact"/>
              <w:rPr>
                <w:sz w:val="20"/>
                <w:szCs w:val="20"/>
                <w:color w:val="auto"/>
              </w:rPr>
            </w:pPr>
            <w:r>
              <w:rPr>
                <w:rFonts w:ascii="Arial" w:cs="Arial" w:eastAsia="Arial" w:hAnsi="Arial"/>
                <w:sz w:val="20"/>
                <w:szCs w:val="20"/>
                <w:color w:val="auto"/>
              </w:rPr>
              <w:t>4,460</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line="188" w:lineRule="exact"/>
              <w:rPr>
                <w:sz w:val="20"/>
                <w:szCs w:val="20"/>
                <w:color w:val="auto"/>
              </w:rPr>
            </w:pPr>
            <w:r>
              <w:rPr>
                <w:rFonts w:ascii="Arial" w:cs="Arial" w:eastAsia="Arial" w:hAnsi="Arial"/>
                <w:sz w:val="20"/>
                <w:szCs w:val="20"/>
                <w:color w:val="auto"/>
              </w:rPr>
              <w:t>3,641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line="188" w:lineRule="exact"/>
              <w:rPr>
                <w:sz w:val="20"/>
                <w:szCs w:val="20"/>
                <w:color w:val="auto"/>
              </w:rPr>
            </w:pPr>
            <w:r>
              <w:rPr>
                <w:rFonts w:ascii="Arial" w:cs="Arial" w:eastAsia="Arial" w:hAnsi="Arial"/>
                <w:sz w:val="20"/>
                <w:szCs w:val="20"/>
                <w:color w:val="auto"/>
              </w:rPr>
              <w:t>877</w:t>
            </w:r>
          </w:p>
        </w:tc>
      </w:tr>
      <w:tr>
        <w:trPr>
          <w:trHeight w:val="257"/>
        </w:trPr>
        <w:tc>
          <w:tcPr>
            <w:tcW w:w="5440" w:type="dxa"/>
            <w:vAlign w:val="bottom"/>
          </w:tcPr>
          <w:p>
            <w:pPr>
              <w:ind w:left="40"/>
              <w:spacing w:after="0"/>
              <w:rPr>
                <w:sz w:val="20"/>
                <w:szCs w:val="20"/>
                <w:color w:val="auto"/>
              </w:rPr>
            </w:pPr>
            <w:r>
              <w:rPr>
                <w:rFonts w:ascii="Arial" w:cs="Arial" w:eastAsia="Arial" w:hAnsi="Arial"/>
                <w:sz w:val="20"/>
                <w:szCs w:val="20"/>
                <w:color w:val="auto"/>
              </w:rPr>
              <w:t>during the year (in thousands)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4435475</wp:posOffset>
            </wp:positionH>
            <wp:positionV relativeFrom="paragraph">
              <wp:posOffset>-584200</wp:posOffset>
            </wp:positionV>
            <wp:extent cx="195770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190">
                      <a:extLst>
                        <a:ext uri="{28A0092B-C50C-407E-A947-70E740481C1C}"/>
                      </a:extLst>
                    </a:blip>
                    <a:srcRect/>
                    <a:stretch>
                      <a:fillRect/>
                    </a:stretch>
                  </pic:blipFill>
                  <pic:spPr bwMode="auto">
                    <a:xfrm>
                      <a:off x="0" y="0"/>
                      <a:ext cx="1957705" cy="25400"/>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Employee Retirement Plans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Defined Benefit Plans</w:t>
      </w:r>
    </w:p>
    <w:p>
      <w:pPr>
        <w:spacing w:after="0" w:line="140" w:lineRule="exact"/>
        <w:rPr>
          <w:sz w:val="20"/>
          <w:szCs w:val="20"/>
          <w:color w:val="auto"/>
        </w:rPr>
      </w:pPr>
    </w:p>
    <w:p>
      <w:pPr>
        <w:jc w:val="both"/>
        <w:spacing w:after="0" w:line="316" w:lineRule="auto"/>
        <w:rPr>
          <w:sz w:val="20"/>
          <w:szCs w:val="20"/>
          <w:color w:val="auto"/>
        </w:rPr>
      </w:pPr>
      <w:r>
        <w:rPr>
          <w:rFonts w:ascii="Arial" w:cs="Arial" w:eastAsia="Arial" w:hAnsi="Arial"/>
          <w:sz w:val="17"/>
          <w:szCs w:val="17"/>
          <w:color w:val="auto"/>
        </w:rPr>
        <w:t>LivaNova sponsors several defined benefit pension plans, which include plans in the U.S., Italy, Germany, Japan, and France. The Company maintains a frozen cash balance retirement plan in the U.S. that is a contributory, defined benefit plan designed to provide the benefit in terms of a stated account balance dependent on the employer’s promised interest-crediting rate. In Italy and France, LivaNova maintains a severance pay defined benefit plan that obligates the employer to pay a severance payment in case of resignation, dismissal, or retirement. In other jurisdictions, LivaNova sponsors non-contributory, defined benefit plans designated to provide guaranteed minimum retirement benefits to eligible employees.</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Risks Related to Defined Benefit Plans</w:t>
      </w:r>
    </w:p>
    <w:p>
      <w:pPr>
        <w:spacing w:after="0" w:line="144" w:lineRule="exact"/>
        <w:rPr>
          <w:sz w:val="20"/>
          <w:szCs w:val="20"/>
          <w:color w:val="auto"/>
        </w:rPr>
      </w:pPr>
    </w:p>
    <w:p>
      <w:pPr>
        <w:jc w:val="both"/>
        <w:spacing w:after="0" w:line="326" w:lineRule="auto"/>
        <w:rPr>
          <w:sz w:val="20"/>
          <w:szCs w:val="20"/>
          <w:color w:val="auto"/>
        </w:rPr>
      </w:pPr>
      <w:r>
        <w:rPr>
          <w:rFonts w:ascii="Arial" w:cs="Arial" w:eastAsia="Arial" w:hAnsi="Arial"/>
          <w:sz w:val="17"/>
          <w:szCs w:val="17"/>
          <w:color w:val="auto"/>
        </w:rPr>
        <w:t>The defined benefit plans expose LivaNova to various demographic and economic risks such as longevity risk, investment risks, currency and interest rate risks, and in some cases inflation risk. Pension fund Trustees are responsible for and have full discretion over the investment strategy of the plan assets. In general, Trustees manage pension fund risks by diversifying the investments of plan assets and in some cases by matching the interest rate risk of liabilities in whole or in part.</w:t>
      </w:r>
    </w:p>
    <w:p>
      <w:pPr>
        <w:spacing w:after="0" w:line="36"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Company has an active de-risking strategy in which it consistently looks for opportunities to reduce the risks associated with its defined benefit plans. The plans are governed by Trustees who have a legal obligation to evenly balance the interests of all stakeholders and operate under the local regulatory framework.</w:t>
      </w:r>
    </w:p>
    <w:p>
      <w:pPr>
        <w:sectPr>
          <w:pgSz w:w="11880" w:h="15480" w:orient="portrait"/>
          <w:cols w:equalWidth="0" w:num="1">
            <w:col w:w="10040"/>
          </w:cols>
          <w:pgMar w:left="920" w:top="73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F-36</w:t>
      </w:r>
    </w:p>
    <w:p>
      <w:pPr>
        <w:sectPr>
          <w:pgSz w:w="11880" w:h="15480" w:orient="portrait"/>
          <w:cols w:equalWidth="0" w:num="1">
            <w:col w:w="10040"/>
          </w:cols>
          <w:pgMar w:left="920" w:top="732" w:right="920" w:bottom="0" w:gutter="0" w:footer="0" w:header="0"/>
          <w:type w:val="continuous"/>
        </w:sectPr>
      </w:pPr>
    </w:p>
    <w:bookmarkStart w:id="94" w:name="page95"/>
    <w:bookmarkEnd w:id="94"/>
    <w:p>
      <w:pPr>
        <w:spacing w:after="0" w:line="284" w:lineRule="auto"/>
        <w:rPr>
          <w:sz w:val="20"/>
          <w:szCs w:val="20"/>
          <w:color w:val="auto"/>
        </w:rPr>
      </w:pPr>
      <w:r>
        <w:rPr>
          <w:rFonts w:ascii="Arial" w:cs="Arial" w:eastAsia="Arial" w:hAnsi="Arial"/>
          <w:sz w:val="20"/>
          <w:szCs w:val="20"/>
          <w:color w:val="auto"/>
        </w:rPr>
        <w:t>The following table presents the change in benefit obligations and funded status of LivaNova’s U.S. pension benefits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4"/>
          </w:tcPr>
          <w:p>
            <w:pPr>
              <w:ind w:left="60"/>
              <w:spacing w:after="0"/>
              <w:rPr>
                <w:sz w:val="20"/>
                <w:szCs w:val="20"/>
                <w:color w:val="auto"/>
              </w:rPr>
            </w:pPr>
            <w:r>
              <w:rPr>
                <w:rFonts w:ascii="Arial" w:cs="Arial" w:eastAsia="Arial" w:hAnsi="Arial"/>
                <w:sz w:val="20"/>
                <w:szCs w:val="20"/>
                <w:b w:val="1"/>
                <w:bCs w:val="1"/>
                <w:color w:val="auto"/>
                <w:w w:val="88"/>
              </w:rPr>
              <w:t>U.S. Pension Benefits</w:t>
            </w: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60"/>
        </w:trPr>
        <w:tc>
          <w:tcPr>
            <w:tcW w:w="460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2024</w:t>
            </w:r>
          </w:p>
        </w:tc>
        <w:tc>
          <w:tcPr>
            <w:tcW w:w="620" w:type="dxa"/>
            <w:vAlign w:val="bottom"/>
            <w:tcBorders>
              <w:bottom w:val="single" w:sz="8" w:color="auto"/>
            </w:tcBorders>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82"/>
              <w:spacing w:after="0"/>
              <w:rPr>
                <w:sz w:val="20"/>
                <w:szCs w:val="20"/>
                <w:color w:val="auto"/>
              </w:rPr>
            </w:pPr>
            <w:r>
              <w:rPr>
                <w:rFonts w:ascii="Arial" w:cs="Arial" w:eastAsia="Arial" w:hAnsi="Arial"/>
                <w:sz w:val="20"/>
                <w:szCs w:val="20"/>
                <w:b w:val="1"/>
                <w:bCs w:val="1"/>
                <w:color w:val="auto"/>
              </w:rPr>
              <w:t>2023</w:t>
            </w:r>
          </w:p>
        </w:tc>
        <w:tc>
          <w:tcPr>
            <w:tcW w:w="80" w:type="dxa"/>
            <w:vAlign w:val="bottom"/>
            <w:tcBorders>
              <w:bottom w:val="single" w:sz="8" w:color="E6E6E6"/>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82"/>
              <w:spacing w:after="0"/>
              <w:rPr>
                <w:sz w:val="20"/>
                <w:szCs w:val="20"/>
                <w:color w:val="auto"/>
              </w:rPr>
            </w:pPr>
            <w:r>
              <w:rPr>
                <w:rFonts w:ascii="Arial" w:cs="Arial" w:eastAsia="Arial" w:hAnsi="Arial"/>
                <w:sz w:val="20"/>
                <w:szCs w:val="20"/>
                <w:b w:val="1"/>
                <w:bCs w:val="1"/>
                <w:color w:val="auto"/>
              </w:rPr>
              <w:t>2022</w:t>
            </w:r>
          </w:p>
        </w:tc>
        <w:tc>
          <w:tcPr>
            <w:tcW w:w="20" w:type="dxa"/>
            <w:vAlign w:val="bottom"/>
            <w:tcBorders>
              <w:bottom w:val="single" w:sz="8" w:color="auto"/>
            </w:tcBorders>
          </w:tcPr>
          <w:p>
            <w:pPr>
              <w:spacing w:after="0"/>
              <w:rPr>
                <w:sz w:val="22"/>
                <w:szCs w:val="22"/>
                <w:color w:val="auto"/>
              </w:rPr>
            </w:pPr>
          </w:p>
        </w:tc>
      </w:tr>
      <w:tr>
        <w:trPr>
          <w:trHeight w:val="269"/>
        </w:trPr>
        <w:tc>
          <w:tcPr>
            <w:tcW w:w="4640" w:type="dxa"/>
            <w:vAlign w:val="bottom"/>
            <w:gridSpan w:val="3"/>
            <w:shd w:val="clear" w:color="auto" w:fill="E6E6E6"/>
          </w:tcPr>
          <w:p>
            <w:pPr>
              <w:ind w:left="40"/>
              <w:spacing w:after="0"/>
              <w:rPr>
                <w:sz w:val="20"/>
                <w:szCs w:val="20"/>
                <w:color w:val="auto"/>
              </w:rPr>
            </w:pPr>
            <w:r>
              <w:rPr>
                <w:rFonts w:ascii="Arial" w:cs="Arial" w:eastAsia="Arial" w:hAnsi="Arial"/>
                <w:sz w:val="20"/>
                <w:szCs w:val="20"/>
                <w:color w:val="auto"/>
              </w:rPr>
              <w:t>Accumulated benefit obligations at year-end</w:t>
            </w:r>
          </w:p>
        </w:tc>
        <w:tc>
          <w:tcPr>
            <w:tcW w:w="1120" w:type="dxa"/>
            <w:vAlign w:val="bottom"/>
            <w:shd w:val="clear" w:color="auto" w:fill="E6E6E6"/>
          </w:tcPr>
          <w:p>
            <w:pPr>
              <w:jc w:val="right"/>
              <w:ind w:right="902"/>
              <w:spacing w:after="0"/>
              <w:rPr>
                <w:sz w:val="20"/>
                <w:szCs w:val="20"/>
                <w:color w:val="auto"/>
              </w:rPr>
            </w:pPr>
            <w:r>
              <w:rPr>
                <w:rFonts w:ascii="Arial" w:cs="Arial" w:eastAsia="Arial" w:hAnsi="Arial"/>
                <w:sz w:val="20"/>
                <w:szCs w:val="20"/>
                <w:color w:val="auto"/>
                <w:w w:val="89"/>
              </w:rPr>
              <w:t>$</w:t>
            </w:r>
          </w:p>
        </w:tc>
        <w:tc>
          <w:tcPr>
            <w:tcW w:w="6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7,944</w:t>
            </w:r>
          </w:p>
        </w:tc>
        <w:tc>
          <w:tcPr>
            <w:tcW w:w="480" w:type="dxa"/>
            <w:vAlign w:val="bottom"/>
            <w:gridSpan w:val="2"/>
            <w:shd w:val="clear" w:color="auto" w:fill="E6E6E6"/>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9,222</w:t>
            </w:r>
          </w:p>
        </w:tc>
        <w:tc>
          <w:tcPr>
            <w:tcW w:w="80" w:type="dxa"/>
            <w:vAlign w:val="bottom"/>
            <w:shd w:val="clear" w:color="auto" w:fill="E6E6E6"/>
          </w:tcPr>
          <w:p>
            <w:pPr>
              <w:spacing w:after="0"/>
              <w:rPr>
                <w:sz w:val="23"/>
                <w:szCs w:val="23"/>
                <w:color w:val="auto"/>
              </w:rPr>
            </w:pPr>
          </w:p>
        </w:tc>
        <w:tc>
          <w:tcPr>
            <w:tcW w:w="420" w:type="dxa"/>
            <w:vAlign w:val="bottom"/>
            <w:shd w:val="clear" w:color="auto" w:fill="E6E6E6"/>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9,790</w:t>
            </w:r>
          </w:p>
        </w:tc>
        <w:tc>
          <w:tcPr>
            <w:tcW w:w="20" w:type="dxa"/>
            <w:vAlign w:val="bottom"/>
            <w:shd w:val="clear" w:color="auto" w:fill="E6E6E6"/>
          </w:tcPr>
          <w:p>
            <w:pPr>
              <w:spacing w:after="0"/>
              <w:rPr>
                <w:sz w:val="23"/>
                <w:szCs w:val="23"/>
                <w:color w:val="auto"/>
              </w:rPr>
            </w:pPr>
          </w:p>
        </w:tc>
      </w:tr>
      <w:tr>
        <w:trPr>
          <w:trHeight w:val="274"/>
        </w:trPr>
        <w:tc>
          <w:tcPr>
            <w:tcW w:w="4640" w:type="dxa"/>
            <w:vAlign w:val="bottom"/>
            <w:gridSpan w:val="3"/>
          </w:tcPr>
          <w:p>
            <w:pPr>
              <w:ind w:left="40"/>
              <w:spacing w:after="0"/>
              <w:rPr>
                <w:sz w:val="20"/>
                <w:szCs w:val="20"/>
                <w:color w:val="auto"/>
              </w:rPr>
            </w:pPr>
            <w:r>
              <w:rPr>
                <w:rFonts w:ascii="Arial" w:cs="Arial" w:eastAsia="Arial" w:hAnsi="Arial"/>
                <w:sz w:val="20"/>
                <w:szCs w:val="20"/>
                <w:color w:val="auto"/>
              </w:rPr>
              <w:t>Change in projected benefit obligation:</w:t>
            </w:r>
          </w:p>
        </w:tc>
        <w:tc>
          <w:tcPr>
            <w:tcW w:w="1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85"/>
        </w:trPr>
        <w:tc>
          <w:tcPr>
            <w:tcW w:w="4640" w:type="dxa"/>
            <w:vAlign w:val="bottom"/>
            <w:gridSpan w:val="3"/>
            <w:shd w:val="clear" w:color="auto" w:fill="E6E6E6"/>
          </w:tcPr>
          <w:p>
            <w:pPr>
              <w:ind w:left="40"/>
              <w:spacing w:after="0"/>
              <w:rPr>
                <w:sz w:val="20"/>
                <w:szCs w:val="20"/>
                <w:color w:val="auto"/>
              </w:rPr>
            </w:pPr>
            <w:r>
              <w:rPr>
                <w:rFonts w:ascii="Arial" w:cs="Arial" w:eastAsia="Arial" w:hAnsi="Arial"/>
                <w:sz w:val="20"/>
                <w:szCs w:val="20"/>
                <w:color w:val="auto"/>
              </w:rPr>
              <w:t>Projected benefit obligation at beginning of year</w:t>
            </w:r>
          </w:p>
        </w:tc>
        <w:tc>
          <w:tcPr>
            <w:tcW w:w="1120" w:type="dxa"/>
            <w:vAlign w:val="bottom"/>
            <w:shd w:val="clear" w:color="auto" w:fill="E6E6E6"/>
          </w:tcPr>
          <w:p>
            <w:pPr>
              <w:jc w:val="right"/>
              <w:ind w:right="902"/>
              <w:spacing w:after="0"/>
              <w:rPr>
                <w:sz w:val="20"/>
                <w:szCs w:val="20"/>
                <w:color w:val="auto"/>
              </w:rPr>
            </w:pPr>
            <w:r>
              <w:rPr>
                <w:rFonts w:ascii="Arial" w:cs="Arial" w:eastAsia="Arial" w:hAnsi="Arial"/>
                <w:sz w:val="20"/>
                <w:szCs w:val="20"/>
                <w:color w:val="auto"/>
                <w:w w:val="89"/>
              </w:rPr>
              <w:t>$</w:t>
            </w:r>
          </w:p>
        </w:tc>
        <w:tc>
          <w:tcPr>
            <w:tcW w:w="6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9,222</w:t>
            </w:r>
          </w:p>
        </w:tc>
        <w:tc>
          <w:tcPr>
            <w:tcW w:w="480" w:type="dxa"/>
            <w:vAlign w:val="bottom"/>
            <w:gridSpan w:val="2"/>
            <w:shd w:val="clear" w:color="auto" w:fill="E6E6E6"/>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9,790</w:t>
            </w:r>
          </w:p>
        </w:tc>
        <w:tc>
          <w:tcPr>
            <w:tcW w:w="80" w:type="dxa"/>
            <w:vAlign w:val="bottom"/>
            <w:shd w:val="clear" w:color="auto" w:fill="E6E6E6"/>
          </w:tcPr>
          <w:p>
            <w:pPr>
              <w:spacing w:after="0"/>
              <w:rPr>
                <w:sz w:val="24"/>
                <w:szCs w:val="24"/>
                <w:color w:val="auto"/>
              </w:rPr>
            </w:pPr>
          </w:p>
        </w:tc>
        <w:tc>
          <w:tcPr>
            <w:tcW w:w="420" w:type="dxa"/>
            <w:vAlign w:val="bottom"/>
            <w:shd w:val="clear" w:color="auto" w:fill="E6E6E6"/>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12,578</w:t>
            </w:r>
          </w:p>
        </w:tc>
        <w:tc>
          <w:tcPr>
            <w:tcW w:w="20" w:type="dxa"/>
            <w:vAlign w:val="bottom"/>
            <w:shd w:val="clear" w:color="auto" w:fill="E6E6E6"/>
          </w:tcPr>
          <w:p>
            <w:pPr>
              <w:spacing w:after="0"/>
              <w:rPr>
                <w:sz w:val="24"/>
                <w:szCs w:val="24"/>
                <w:color w:val="auto"/>
              </w:rPr>
            </w:pPr>
          </w:p>
        </w:tc>
      </w:tr>
      <w:tr>
        <w:trPr>
          <w:trHeight w:val="274"/>
        </w:trPr>
        <w:tc>
          <w:tcPr>
            <w:tcW w:w="4640" w:type="dxa"/>
            <w:vAlign w:val="bottom"/>
            <w:gridSpan w:val="3"/>
          </w:tcPr>
          <w:p>
            <w:pPr>
              <w:ind w:left="40"/>
              <w:spacing w:after="0"/>
              <w:rPr>
                <w:sz w:val="20"/>
                <w:szCs w:val="20"/>
                <w:color w:val="auto"/>
              </w:rPr>
            </w:pPr>
            <w:r>
              <w:rPr>
                <w:rFonts w:ascii="Arial" w:cs="Arial" w:eastAsia="Arial" w:hAnsi="Arial"/>
                <w:sz w:val="20"/>
                <w:szCs w:val="20"/>
                <w:color w:val="auto"/>
              </w:rPr>
              <w:t>Interest cost</w:t>
            </w:r>
          </w:p>
        </w:tc>
        <w:tc>
          <w:tcPr>
            <w:tcW w:w="1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347</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409</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254</w:t>
            </w:r>
          </w:p>
        </w:tc>
        <w:tc>
          <w:tcPr>
            <w:tcW w:w="20" w:type="dxa"/>
            <w:vAlign w:val="bottom"/>
          </w:tcPr>
          <w:p>
            <w:pPr>
              <w:spacing w:after="0"/>
              <w:rPr>
                <w:sz w:val="23"/>
                <w:szCs w:val="23"/>
                <w:color w:val="auto"/>
              </w:rPr>
            </w:pPr>
          </w:p>
        </w:tc>
      </w:tr>
      <w:tr>
        <w:trPr>
          <w:trHeight w:val="285"/>
        </w:trPr>
        <w:tc>
          <w:tcPr>
            <w:tcW w:w="4640" w:type="dxa"/>
            <w:vAlign w:val="bottom"/>
            <w:gridSpan w:val="3"/>
            <w:shd w:val="clear" w:color="auto" w:fill="E6E6E6"/>
          </w:tcPr>
          <w:p>
            <w:pPr>
              <w:ind w:left="40"/>
              <w:spacing w:after="0"/>
              <w:rPr>
                <w:sz w:val="20"/>
                <w:szCs w:val="20"/>
                <w:color w:val="auto"/>
              </w:rPr>
            </w:pPr>
            <w:r>
              <w:rPr>
                <w:rFonts w:ascii="Arial" w:cs="Arial" w:eastAsia="Arial" w:hAnsi="Arial"/>
                <w:sz w:val="20"/>
                <w:szCs w:val="20"/>
                <w:color w:val="auto"/>
              </w:rPr>
              <w:t>Plan settlement</w:t>
            </w:r>
          </w:p>
        </w:tc>
        <w:tc>
          <w:tcPr>
            <w:tcW w:w="1120" w:type="dxa"/>
            <w:vAlign w:val="bottom"/>
            <w:shd w:val="clear" w:color="auto" w:fill="E6E6E6"/>
          </w:tcPr>
          <w:p>
            <w:pPr>
              <w:spacing w:after="0"/>
              <w:rPr>
                <w:sz w:val="24"/>
                <w:szCs w:val="24"/>
                <w:color w:val="auto"/>
              </w:rPr>
            </w:pPr>
          </w:p>
        </w:tc>
        <w:tc>
          <w:tcPr>
            <w:tcW w:w="6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(326)</w:t>
            </w:r>
          </w:p>
        </w:tc>
        <w:tc>
          <w:tcPr>
            <w:tcW w:w="6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(245)</w:t>
            </w:r>
          </w:p>
        </w:tc>
        <w:tc>
          <w:tcPr>
            <w:tcW w:w="8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(1,369)</w:t>
            </w:r>
          </w:p>
        </w:tc>
        <w:tc>
          <w:tcPr>
            <w:tcW w:w="20" w:type="dxa"/>
            <w:vAlign w:val="bottom"/>
            <w:shd w:val="clear" w:color="auto" w:fill="E6E6E6"/>
          </w:tcPr>
          <w:p>
            <w:pPr>
              <w:spacing w:after="0"/>
              <w:rPr>
                <w:sz w:val="24"/>
                <w:szCs w:val="24"/>
                <w:color w:val="auto"/>
              </w:rPr>
            </w:pPr>
          </w:p>
        </w:tc>
      </w:tr>
      <w:tr>
        <w:trPr>
          <w:trHeight w:val="274"/>
        </w:trPr>
        <w:tc>
          <w:tcPr>
            <w:tcW w:w="4640" w:type="dxa"/>
            <w:vAlign w:val="bottom"/>
            <w:gridSpan w:val="3"/>
          </w:tcPr>
          <w:p>
            <w:pPr>
              <w:ind w:left="40"/>
              <w:spacing w:after="0"/>
              <w:rPr>
                <w:sz w:val="20"/>
                <w:szCs w:val="20"/>
                <w:color w:val="auto"/>
              </w:rPr>
            </w:pPr>
            <w:r>
              <w:rPr>
                <w:rFonts w:ascii="Arial" w:cs="Arial" w:eastAsia="Arial" w:hAnsi="Arial"/>
                <w:sz w:val="20"/>
                <w:szCs w:val="20"/>
                <w:color w:val="auto"/>
              </w:rPr>
              <w:t>Actuarial gain</w:t>
            </w:r>
          </w:p>
        </w:tc>
        <w:tc>
          <w:tcPr>
            <w:tcW w:w="1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(976)</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(416)</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(1,361)</w:t>
            </w:r>
          </w:p>
        </w:tc>
        <w:tc>
          <w:tcPr>
            <w:tcW w:w="20" w:type="dxa"/>
            <w:vAlign w:val="bottom"/>
          </w:tcPr>
          <w:p>
            <w:pPr>
              <w:spacing w:after="0"/>
              <w:rPr>
                <w:sz w:val="23"/>
                <w:szCs w:val="23"/>
                <w:color w:val="auto"/>
              </w:rPr>
            </w:pPr>
          </w:p>
        </w:tc>
      </w:tr>
      <w:tr>
        <w:trPr>
          <w:trHeight w:val="294"/>
        </w:trPr>
        <w:tc>
          <w:tcPr>
            <w:tcW w:w="4640" w:type="dxa"/>
            <w:vAlign w:val="bottom"/>
            <w:tcBorders>
              <w:bottom w:val="single" w:sz="8" w:color="E6E6E6"/>
            </w:tcBorders>
            <w:gridSpan w:val="3"/>
            <w:shd w:val="clear" w:color="auto" w:fill="E6E6E6"/>
          </w:tcPr>
          <w:p>
            <w:pPr>
              <w:ind w:left="40"/>
              <w:spacing w:after="0"/>
              <w:rPr>
                <w:sz w:val="20"/>
                <w:szCs w:val="20"/>
                <w:color w:val="auto"/>
              </w:rPr>
            </w:pPr>
            <w:r>
              <w:rPr>
                <w:rFonts w:ascii="Arial" w:cs="Arial" w:eastAsia="Arial" w:hAnsi="Arial"/>
                <w:sz w:val="20"/>
                <w:szCs w:val="20"/>
                <w:color w:val="auto"/>
              </w:rPr>
              <w:t>Benefits paid</w:t>
            </w:r>
          </w:p>
        </w:tc>
        <w:tc>
          <w:tcPr>
            <w:tcW w:w="1120" w:type="dxa"/>
            <w:vAlign w:val="bottom"/>
            <w:tcBorders>
              <w:bottom w:val="single" w:sz="8" w:color="auto"/>
            </w:tcBorders>
            <w:shd w:val="clear" w:color="auto" w:fill="E6E6E6"/>
          </w:tcPr>
          <w:p>
            <w:pPr>
              <w:spacing w:after="0"/>
              <w:rPr>
                <w:sz w:val="24"/>
                <w:szCs w:val="24"/>
                <w:color w:val="auto"/>
              </w:rPr>
            </w:pPr>
          </w:p>
        </w:tc>
        <w:tc>
          <w:tcPr>
            <w:tcW w:w="6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(323)</w:t>
            </w:r>
          </w:p>
        </w:tc>
        <w:tc>
          <w:tcPr>
            <w:tcW w:w="60" w:type="dxa"/>
            <w:vAlign w:val="bottom"/>
            <w:tcBorders>
              <w:bottom w:val="single" w:sz="8" w:color="E6E6E6"/>
            </w:tcBorders>
            <w:shd w:val="clear" w:color="auto" w:fill="E6E6E6"/>
          </w:tcPr>
          <w:p>
            <w:pPr>
              <w:spacing w:after="0"/>
              <w:rPr>
                <w:sz w:val="24"/>
                <w:szCs w:val="24"/>
                <w:color w:val="auto"/>
              </w:rPr>
            </w:pPr>
          </w:p>
        </w:tc>
        <w:tc>
          <w:tcPr>
            <w:tcW w:w="420" w:type="dxa"/>
            <w:vAlign w:val="bottom"/>
            <w:tcBorders>
              <w:bottom w:val="single" w:sz="8" w:color="auto"/>
            </w:tcBorders>
            <w:shd w:val="clear" w:color="auto" w:fill="E6E6E6"/>
          </w:tcPr>
          <w:p>
            <w:pPr>
              <w:spacing w:after="0"/>
              <w:rPr>
                <w:sz w:val="24"/>
                <w:szCs w:val="24"/>
                <w:color w:val="auto"/>
              </w:rPr>
            </w:pPr>
          </w:p>
        </w:tc>
        <w:tc>
          <w:tcPr>
            <w:tcW w:w="13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(316)</w:t>
            </w:r>
          </w:p>
        </w:tc>
        <w:tc>
          <w:tcPr>
            <w:tcW w:w="80" w:type="dxa"/>
            <w:vAlign w:val="bottom"/>
            <w:tcBorders>
              <w:bottom w:val="single" w:sz="8" w:color="E6E6E6"/>
            </w:tcBorders>
            <w:shd w:val="clear" w:color="auto" w:fill="E6E6E6"/>
          </w:tcPr>
          <w:p>
            <w:pPr>
              <w:spacing w:after="0"/>
              <w:rPr>
                <w:sz w:val="24"/>
                <w:szCs w:val="24"/>
                <w:color w:val="auto"/>
              </w:rPr>
            </w:pPr>
          </w:p>
        </w:tc>
        <w:tc>
          <w:tcPr>
            <w:tcW w:w="420" w:type="dxa"/>
            <w:vAlign w:val="bottom"/>
            <w:tcBorders>
              <w:bottom w:val="single" w:sz="8" w:color="auto"/>
            </w:tcBorders>
            <w:shd w:val="clear" w:color="auto" w:fill="E6E6E6"/>
          </w:tcPr>
          <w:p>
            <w:pPr>
              <w:spacing w:after="0"/>
              <w:rPr>
                <w:sz w:val="24"/>
                <w:szCs w:val="24"/>
                <w:color w:val="auto"/>
              </w:rPr>
            </w:pPr>
          </w:p>
        </w:tc>
        <w:tc>
          <w:tcPr>
            <w:tcW w:w="13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(312)</w:t>
            </w:r>
          </w:p>
        </w:tc>
        <w:tc>
          <w:tcPr>
            <w:tcW w:w="20" w:type="dxa"/>
            <w:vAlign w:val="bottom"/>
            <w:tcBorders>
              <w:bottom w:val="single" w:sz="8" w:color="auto"/>
            </w:tcBorders>
            <w:shd w:val="clear" w:color="auto" w:fill="E6E6E6"/>
          </w:tcPr>
          <w:p>
            <w:pPr>
              <w:spacing w:after="0"/>
              <w:rPr>
                <w:sz w:val="24"/>
                <w:szCs w:val="24"/>
                <w:color w:val="auto"/>
              </w:rPr>
            </w:pPr>
          </w:p>
        </w:tc>
      </w:tr>
      <w:tr>
        <w:trPr>
          <w:trHeight w:val="259"/>
        </w:trPr>
        <w:tc>
          <w:tcPr>
            <w:tcW w:w="4640" w:type="dxa"/>
            <w:vAlign w:val="bottom"/>
            <w:gridSpan w:val="3"/>
          </w:tcPr>
          <w:p>
            <w:pPr>
              <w:ind w:left="40"/>
              <w:spacing w:after="0" w:line="221" w:lineRule="exact"/>
              <w:rPr>
                <w:sz w:val="20"/>
                <w:szCs w:val="20"/>
                <w:color w:val="auto"/>
              </w:rPr>
            </w:pPr>
            <w:r>
              <w:rPr>
                <w:rFonts w:ascii="Arial" w:cs="Arial" w:eastAsia="Arial" w:hAnsi="Arial"/>
                <w:sz w:val="20"/>
                <w:szCs w:val="20"/>
                <w:color w:val="auto"/>
              </w:rPr>
              <w:t>Projected benefit obligation at end of year</w:t>
            </w:r>
          </w:p>
        </w:tc>
        <w:tc>
          <w:tcPr>
            <w:tcW w:w="1120" w:type="dxa"/>
            <w:vAlign w:val="bottom"/>
          </w:tcPr>
          <w:p>
            <w:pPr>
              <w:jc w:val="right"/>
              <w:ind w:right="902"/>
              <w:spacing w:after="0" w:line="221" w:lineRule="exact"/>
              <w:rPr>
                <w:sz w:val="20"/>
                <w:szCs w:val="20"/>
                <w:color w:val="auto"/>
              </w:rPr>
            </w:pPr>
            <w:r>
              <w:rPr>
                <w:rFonts w:ascii="Arial" w:cs="Arial" w:eastAsia="Arial" w:hAnsi="Arial"/>
                <w:sz w:val="20"/>
                <w:szCs w:val="20"/>
                <w:color w:val="auto"/>
                <w:w w:val="89"/>
              </w:rPr>
              <w:t>$</w:t>
            </w:r>
          </w:p>
        </w:tc>
        <w:tc>
          <w:tcPr>
            <w:tcW w:w="620" w:type="dxa"/>
            <w:vAlign w:val="bottom"/>
          </w:tcPr>
          <w:p>
            <w:pPr>
              <w:jc w:val="right"/>
              <w:spacing w:after="0" w:line="221" w:lineRule="exact"/>
              <w:rPr>
                <w:sz w:val="20"/>
                <w:szCs w:val="20"/>
                <w:color w:val="auto"/>
              </w:rPr>
            </w:pPr>
            <w:r>
              <w:rPr>
                <w:rFonts w:ascii="Arial" w:cs="Arial" w:eastAsia="Arial" w:hAnsi="Arial"/>
                <w:sz w:val="20"/>
                <w:szCs w:val="20"/>
                <w:color w:val="auto"/>
              </w:rPr>
              <w:t>7,944</w:t>
            </w:r>
          </w:p>
        </w:tc>
        <w:tc>
          <w:tcPr>
            <w:tcW w:w="480" w:type="dxa"/>
            <w:vAlign w:val="bottom"/>
            <w:gridSpan w:val="2"/>
          </w:tcPr>
          <w:p>
            <w:pPr>
              <w:jc w:val="right"/>
              <w:ind w:right="162"/>
              <w:spacing w:after="0" w:line="221" w:lineRule="exact"/>
              <w:rPr>
                <w:sz w:val="20"/>
                <w:szCs w:val="20"/>
                <w:color w:val="auto"/>
              </w:rPr>
            </w:pPr>
            <w:r>
              <w:rPr>
                <w:rFonts w:ascii="Arial" w:cs="Arial" w:eastAsia="Arial" w:hAnsi="Arial"/>
                <w:sz w:val="20"/>
                <w:szCs w:val="20"/>
                <w:color w:val="auto"/>
              </w:rPr>
              <w:t>$</w:t>
            </w:r>
          </w:p>
        </w:tc>
        <w:tc>
          <w:tcPr>
            <w:tcW w:w="1340" w:type="dxa"/>
            <w:vAlign w:val="bottom"/>
          </w:tcPr>
          <w:p>
            <w:pPr>
              <w:jc w:val="right"/>
              <w:spacing w:after="0" w:line="221" w:lineRule="exact"/>
              <w:rPr>
                <w:sz w:val="20"/>
                <w:szCs w:val="20"/>
                <w:color w:val="auto"/>
              </w:rPr>
            </w:pPr>
            <w:r>
              <w:rPr>
                <w:rFonts w:ascii="Arial" w:cs="Arial" w:eastAsia="Arial" w:hAnsi="Arial"/>
                <w:sz w:val="20"/>
                <w:szCs w:val="20"/>
                <w:color w:val="auto"/>
              </w:rPr>
              <w:t>9,222</w:t>
            </w:r>
          </w:p>
        </w:tc>
        <w:tc>
          <w:tcPr>
            <w:tcW w:w="80" w:type="dxa"/>
            <w:vAlign w:val="bottom"/>
          </w:tcPr>
          <w:p>
            <w:pPr>
              <w:spacing w:after="0"/>
              <w:rPr>
                <w:sz w:val="22"/>
                <w:szCs w:val="22"/>
                <w:color w:val="auto"/>
              </w:rPr>
            </w:pPr>
          </w:p>
        </w:tc>
        <w:tc>
          <w:tcPr>
            <w:tcW w:w="420" w:type="dxa"/>
            <w:vAlign w:val="bottom"/>
          </w:tcPr>
          <w:p>
            <w:pPr>
              <w:jc w:val="right"/>
              <w:ind w:right="162"/>
              <w:spacing w:after="0" w:line="221" w:lineRule="exact"/>
              <w:rPr>
                <w:sz w:val="20"/>
                <w:szCs w:val="20"/>
                <w:color w:val="auto"/>
              </w:rPr>
            </w:pPr>
            <w:r>
              <w:rPr>
                <w:rFonts w:ascii="Arial" w:cs="Arial" w:eastAsia="Arial" w:hAnsi="Arial"/>
                <w:sz w:val="20"/>
                <w:szCs w:val="20"/>
                <w:color w:val="auto"/>
              </w:rPr>
              <w:t>$</w:t>
            </w:r>
          </w:p>
        </w:tc>
        <w:tc>
          <w:tcPr>
            <w:tcW w:w="1340" w:type="dxa"/>
            <w:vAlign w:val="bottom"/>
          </w:tcPr>
          <w:p>
            <w:pPr>
              <w:jc w:val="right"/>
              <w:spacing w:after="0" w:line="221" w:lineRule="exact"/>
              <w:rPr>
                <w:sz w:val="20"/>
                <w:szCs w:val="20"/>
                <w:color w:val="auto"/>
              </w:rPr>
            </w:pPr>
            <w:r>
              <w:rPr>
                <w:rFonts w:ascii="Arial" w:cs="Arial" w:eastAsia="Arial" w:hAnsi="Arial"/>
                <w:sz w:val="20"/>
                <w:szCs w:val="20"/>
                <w:color w:val="auto"/>
              </w:rPr>
              <w:t>9,790</w:t>
            </w:r>
          </w:p>
        </w:tc>
        <w:tc>
          <w:tcPr>
            <w:tcW w:w="20" w:type="dxa"/>
            <w:vAlign w:val="bottom"/>
          </w:tcPr>
          <w:p>
            <w:pPr>
              <w:spacing w:after="0"/>
              <w:rPr>
                <w:sz w:val="22"/>
                <w:szCs w:val="22"/>
                <w:color w:val="auto"/>
              </w:rPr>
            </w:pPr>
          </w:p>
        </w:tc>
      </w:tr>
      <w:tr>
        <w:trPr>
          <w:trHeight w:val="250"/>
        </w:trPr>
        <w:tc>
          <w:tcPr>
            <w:tcW w:w="4620" w:type="dxa"/>
            <w:vAlign w:val="bottom"/>
            <w:tcBorders>
              <w:top w:val="single" w:sz="8" w:color="E6E6E6"/>
            </w:tcBorders>
            <w:gridSpan w:val="2"/>
            <w:shd w:val="clear" w:color="auto" w:fill="E6E6E6"/>
          </w:tcPr>
          <w:p>
            <w:pPr>
              <w:ind w:left="40"/>
              <w:spacing w:after="0"/>
              <w:rPr>
                <w:sz w:val="20"/>
                <w:szCs w:val="20"/>
                <w:color w:val="auto"/>
              </w:rPr>
            </w:pPr>
            <w:r>
              <w:rPr>
                <w:rFonts w:ascii="Arial" w:cs="Arial" w:eastAsia="Arial" w:hAnsi="Arial"/>
                <w:sz w:val="20"/>
                <w:szCs w:val="20"/>
                <w:color w:val="auto"/>
              </w:rPr>
              <w:t>Change in plan assets:</w:t>
            </w:r>
          </w:p>
        </w:tc>
        <w:tc>
          <w:tcPr>
            <w:tcW w:w="20" w:type="dxa"/>
            <w:vAlign w:val="bottom"/>
            <w:tcBorders>
              <w:top w:val="single" w:sz="8" w:color="auto"/>
            </w:tcBorders>
            <w:shd w:val="clear" w:color="auto" w:fill="E6E6E6"/>
          </w:tcPr>
          <w:p>
            <w:pPr>
              <w:spacing w:after="0"/>
              <w:rPr>
                <w:sz w:val="21"/>
                <w:szCs w:val="21"/>
                <w:color w:val="auto"/>
              </w:rPr>
            </w:pPr>
          </w:p>
        </w:tc>
        <w:tc>
          <w:tcPr>
            <w:tcW w:w="1120" w:type="dxa"/>
            <w:vAlign w:val="bottom"/>
            <w:tcBorders>
              <w:top w:val="single" w:sz="8" w:color="auto"/>
            </w:tcBorders>
            <w:shd w:val="clear" w:color="auto" w:fill="E6E6E6"/>
          </w:tcPr>
          <w:p>
            <w:pPr>
              <w:spacing w:after="0"/>
              <w:rPr>
                <w:sz w:val="21"/>
                <w:szCs w:val="21"/>
                <w:color w:val="auto"/>
              </w:rPr>
            </w:pPr>
          </w:p>
        </w:tc>
        <w:tc>
          <w:tcPr>
            <w:tcW w:w="620" w:type="dxa"/>
            <w:vAlign w:val="bottom"/>
            <w:tcBorders>
              <w:top w:val="single" w:sz="8" w:color="auto"/>
            </w:tcBorders>
            <w:shd w:val="clear" w:color="auto" w:fill="E6E6E6"/>
          </w:tcPr>
          <w:p>
            <w:pPr>
              <w:spacing w:after="0"/>
              <w:rPr>
                <w:sz w:val="21"/>
                <w:szCs w:val="21"/>
                <w:color w:val="auto"/>
              </w:rPr>
            </w:pPr>
          </w:p>
        </w:tc>
        <w:tc>
          <w:tcPr>
            <w:tcW w:w="60" w:type="dxa"/>
            <w:vAlign w:val="bottom"/>
            <w:tcBorders>
              <w:top w:val="single" w:sz="8" w:color="E6E6E6"/>
            </w:tcBorders>
            <w:shd w:val="clear" w:color="auto" w:fill="E6E6E6"/>
          </w:tcPr>
          <w:p>
            <w:pPr>
              <w:spacing w:after="0"/>
              <w:rPr>
                <w:sz w:val="21"/>
                <w:szCs w:val="21"/>
                <w:color w:val="auto"/>
              </w:rPr>
            </w:pPr>
          </w:p>
        </w:tc>
        <w:tc>
          <w:tcPr>
            <w:tcW w:w="420" w:type="dxa"/>
            <w:vAlign w:val="bottom"/>
            <w:tcBorders>
              <w:top w:val="single" w:sz="8" w:color="auto"/>
            </w:tcBorders>
            <w:shd w:val="clear" w:color="auto" w:fill="E6E6E6"/>
          </w:tcPr>
          <w:p>
            <w:pPr>
              <w:spacing w:after="0"/>
              <w:rPr>
                <w:sz w:val="21"/>
                <w:szCs w:val="21"/>
                <w:color w:val="auto"/>
              </w:rPr>
            </w:pPr>
          </w:p>
        </w:tc>
        <w:tc>
          <w:tcPr>
            <w:tcW w:w="1340" w:type="dxa"/>
            <w:vAlign w:val="bottom"/>
            <w:tcBorders>
              <w:top w:val="single" w:sz="8" w:color="auto"/>
            </w:tcBorders>
            <w:shd w:val="clear" w:color="auto" w:fill="E6E6E6"/>
          </w:tcPr>
          <w:p>
            <w:pPr>
              <w:spacing w:after="0"/>
              <w:rPr>
                <w:sz w:val="21"/>
                <w:szCs w:val="21"/>
                <w:color w:val="auto"/>
              </w:rPr>
            </w:pPr>
          </w:p>
        </w:tc>
        <w:tc>
          <w:tcPr>
            <w:tcW w:w="80" w:type="dxa"/>
            <w:vAlign w:val="bottom"/>
            <w:tcBorders>
              <w:top w:val="single" w:sz="8" w:color="E6E6E6"/>
            </w:tcBorders>
            <w:shd w:val="clear" w:color="auto" w:fill="E6E6E6"/>
          </w:tcPr>
          <w:p>
            <w:pPr>
              <w:spacing w:after="0"/>
              <w:rPr>
                <w:sz w:val="21"/>
                <w:szCs w:val="21"/>
                <w:color w:val="auto"/>
              </w:rPr>
            </w:pPr>
          </w:p>
        </w:tc>
        <w:tc>
          <w:tcPr>
            <w:tcW w:w="420" w:type="dxa"/>
            <w:vAlign w:val="bottom"/>
            <w:tcBorders>
              <w:top w:val="single" w:sz="8" w:color="auto"/>
            </w:tcBorders>
            <w:shd w:val="clear" w:color="auto" w:fill="E6E6E6"/>
          </w:tcPr>
          <w:p>
            <w:pPr>
              <w:spacing w:after="0"/>
              <w:rPr>
                <w:sz w:val="21"/>
                <w:szCs w:val="21"/>
                <w:color w:val="auto"/>
              </w:rPr>
            </w:pPr>
          </w:p>
        </w:tc>
        <w:tc>
          <w:tcPr>
            <w:tcW w:w="1340" w:type="dxa"/>
            <w:vAlign w:val="bottom"/>
            <w:tcBorders>
              <w:top w:val="single" w:sz="8" w:color="auto"/>
            </w:tcBorders>
            <w:shd w:val="clear" w:color="auto" w:fill="E6E6E6"/>
          </w:tcPr>
          <w:p>
            <w:pPr>
              <w:spacing w:after="0"/>
              <w:rPr>
                <w:sz w:val="21"/>
                <w:szCs w:val="21"/>
                <w:color w:val="auto"/>
              </w:rPr>
            </w:pPr>
          </w:p>
        </w:tc>
        <w:tc>
          <w:tcPr>
            <w:tcW w:w="20" w:type="dxa"/>
            <w:vAlign w:val="bottom"/>
            <w:tcBorders>
              <w:top w:val="single" w:sz="8" w:color="auto"/>
            </w:tcBorders>
            <w:shd w:val="clear" w:color="auto" w:fill="E6E6E6"/>
          </w:tcPr>
          <w:p>
            <w:pPr>
              <w:spacing w:after="0"/>
              <w:rPr>
                <w:sz w:val="21"/>
                <w:szCs w:val="21"/>
                <w:color w:val="auto"/>
              </w:rPr>
            </w:pPr>
          </w:p>
        </w:tc>
      </w:tr>
      <w:tr>
        <w:trPr>
          <w:trHeight w:val="274"/>
        </w:trPr>
        <w:tc>
          <w:tcPr>
            <w:tcW w:w="4640" w:type="dxa"/>
            <w:vAlign w:val="bottom"/>
            <w:gridSpan w:val="3"/>
          </w:tcPr>
          <w:p>
            <w:pPr>
              <w:ind w:left="40"/>
              <w:spacing w:after="0"/>
              <w:rPr>
                <w:sz w:val="20"/>
                <w:szCs w:val="20"/>
                <w:color w:val="auto"/>
              </w:rPr>
            </w:pPr>
            <w:r>
              <w:rPr>
                <w:rFonts w:ascii="Arial" w:cs="Arial" w:eastAsia="Arial" w:hAnsi="Arial"/>
                <w:sz w:val="20"/>
                <w:szCs w:val="20"/>
                <w:color w:val="auto"/>
              </w:rPr>
              <w:t>Fair value of plan assets at beginning of year</w:t>
            </w:r>
          </w:p>
        </w:tc>
        <w:tc>
          <w:tcPr>
            <w:tcW w:w="1120" w:type="dxa"/>
            <w:vAlign w:val="bottom"/>
          </w:tcPr>
          <w:p>
            <w:pPr>
              <w:jc w:val="right"/>
              <w:ind w:right="902"/>
              <w:spacing w:after="0"/>
              <w:rPr>
                <w:sz w:val="20"/>
                <w:szCs w:val="20"/>
                <w:color w:val="auto"/>
              </w:rPr>
            </w:pPr>
            <w:r>
              <w:rPr>
                <w:rFonts w:ascii="Arial" w:cs="Arial" w:eastAsia="Arial" w:hAnsi="Arial"/>
                <w:sz w:val="20"/>
                <w:szCs w:val="20"/>
                <w:color w:val="auto"/>
                <w:w w:val="89"/>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6,671</w:t>
            </w:r>
          </w:p>
        </w:tc>
        <w:tc>
          <w:tcPr>
            <w:tcW w:w="480" w:type="dxa"/>
            <w:vAlign w:val="bottom"/>
            <w:gridSpan w:val="2"/>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5,516</w:t>
            </w:r>
          </w:p>
        </w:tc>
        <w:tc>
          <w:tcPr>
            <w:tcW w:w="80" w:type="dxa"/>
            <w:vAlign w:val="bottom"/>
          </w:tcPr>
          <w:p>
            <w:pPr>
              <w:spacing w:after="0"/>
              <w:rPr>
                <w:sz w:val="23"/>
                <w:szCs w:val="23"/>
                <w:color w:val="auto"/>
              </w:rPr>
            </w:pPr>
          </w:p>
        </w:tc>
        <w:tc>
          <w:tcPr>
            <w:tcW w:w="420" w:type="dxa"/>
            <w:vAlign w:val="bottom"/>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8,020</w:t>
            </w:r>
          </w:p>
        </w:tc>
        <w:tc>
          <w:tcPr>
            <w:tcW w:w="20" w:type="dxa"/>
            <w:vAlign w:val="bottom"/>
          </w:tcPr>
          <w:p>
            <w:pPr>
              <w:spacing w:after="0"/>
              <w:rPr>
                <w:sz w:val="23"/>
                <w:szCs w:val="23"/>
                <w:color w:val="auto"/>
              </w:rPr>
            </w:pPr>
          </w:p>
        </w:tc>
      </w:tr>
      <w:tr>
        <w:trPr>
          <w:trHeight w:val="285"/>
        </w:trPr>
        <w:tc>
          <w:tcPr>
            <w:tcW w:w="4640" w:type="dxa"/>
            <w:vAlign w:val="bottom"/>
            <w:gridSpan w:val="3"/>
            <w:shd w:val="clear" w:color="auto" w:fill="E6E6E6"/>
          </w:tcPr>
          <w:p>
            <w:pPr>
              <w:ind w:left="40"/>
              <w:spacing w:after="0"/>
              <w:rPr>
                <w:sz w:val="20"/>
                <w:szCs w:val="20"/>
                <w:color w:val="auto"/>
              </w:rPr>
            </w:pPr>
            <w:r>
              <w:rPr>
                <w:rFonts w:ascii="Arial" w:cs="Arial" w:eastAsia="Arial" w:hAnsi="Arial"/>
                <w:sz w:val="20"/>
                <w:szCs w:val="20"/>
                <w:color w:val="auto"/>
              </w:rPr>
              <w:t>Actual return on plan assets</w:t>
            </w:r>
          </w:p>
        </w:tc>
        <w:tc>
          <w:tcPr>
            <w:tcW w:w="1120" w:type="dxa"/>
            <w:vAlign w:val="bottom"/>
            <w:shd w:val="clear" w:color="auto" w:fill="E6E6E6"/>
          </w:tcPr>
          <w:p>
            <w:pPr>
              <w:spacing w:after="0"/>
              <w:rPr>
                <w:sz w:val="24"/>
                <w:szCs w:val="24"/>
                <w:color w:val="auto"/>
              </w:rPr>
            </w:pPr>
          </w:p>
        </w:tc>
        <w:tc>
          <w:tcPr>
            <w:tcW w:w="6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352</w:t>
            </w:r>
          </w:p>
        </w:tc>
        <w:tc>
          <w:tcPr>
            <w:tcW w:w="6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598</w:t>
            </w:r>
          </w:p>
        </w:tc>
        <w:tc>
          <w:tcPr>
            <w:tcW w:w="8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(1,189)</w:t>
            </w:r>
          </w:p>
        </w:tc>
        <w:tc>
          <w:tcPr>
            <w:tcW w:w="20" w:type="dxa"/>
            <w:vAlign w:val="bottom"/>
            <w:shd w:val="clear" w:color="auto" w:fill="E6E6E6"/>
          </w:tcPr>
          <w:p>
            <w:pPr>
              <w:spacing w:after="0"/>
              <w:rPr>
                <w:sz w:val="24"/>
                <w:szCs w:val="24"/>
                <w:color w:val="auto"/>
              </w:rPr>
            </w:pPr>
          </w:p>
        </w:tc>
      </w:tr>
      <w:tr>
        <w:trPr>
          <w:trHeight w:val="274"/>
        </w:trPr>
        <w:tc>
          <w:tcPr>
            <w:tcW w:w="4640" w:type="dxa"/>
            <w:vAlign w:val="bottom"/>
            <w:gridSpan w:val="3"/>
          </w:tcPr>
          <w:p>
            <w:pPr>
              <w:ind w:left="40"/>
              <w:spacing w:after="0"/>
              <w:rPr>
                <w:sz w:val="20"/>
                <w:szCs w:val="20"/>
                <w:color w:val="auto"/>
              </w:rPr>
            </w:pPr>
            <w:r>
              <w:rPr>
                <w:rFonts w:ascii="Arial" w:cs="Arial" w:eastAsia="Arial" w:hAnsi="Arial"/>
                <w:sz w:val="20"/>
                <w:szCs w:val="20"/>
                <w:color w:val="auto"/>
              </w:rPr>
              <w:t>Employer contributions</w:t>
            </w:r>
          </w:p>
        </w:tc>
        <w:tc>
          <w:tcPr>
            <w:tcW w:w="1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1,549</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1,118</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367</w:t>
            </w:r>
          </w:p>
        </w:tc>
        <w:tc>
          <w:tcPr>
            <w:tcW w:w="20" w:type="dxa"/>
            <w:vAlign w:val="bottom"/>
          </w:tcPr>
          <w:p>
            <w:pPr>
              <w:spacing w:after="0"/>
              <w:rPr>
                <w:sz w:val="23"/>
                <w:szCs w:val="23"/>
                <w:color w:val="auto"/>
              </w:rPr>
            </w:pPr>
          </w:p>
        </w:tc>
      </w:tr>
      <w:tr>
        <w:trPr>
          <w:trHeight w:val="285"/>
        </w:trPr>
        <w:tc>
          <w:tcPr>
            <w:tcW w:w="4640" w:type="dxa"/>
            <w:vAlign w:val="bottom"/>
            <w:gridSpan w:val="3"/>
            <w:shd w:val="clear" w:color="auto" w:fill="E6E6E6"/>
          </w:tcPr>
          <w:p>
            <w:pPr>
              <w:ind w:left="40"/>
              <w:spacing w:after="0"/>
              <w:rPr>
                <w:sz w:val="20"/>
                <w:szCs w:val="20"/>
                <w:color w:val="auto"/>
              </w:rPr>
            </w:pPr>
            <w:r>
              <w:rPr>
                <w:rFonts w:ascii="Arial" w:cs="Arial" w:eastAsia="Arial" w:hAnsi="Arial"/>
                <w:sz w:val="20"/>
                <w:szCs w:val="20"/>
                <w:color w:val="auto"/>
              </w:rPr>
              <w:t>Plan settlement</w:t>
            </w:r>
          </w:p>
        </w:tc>
        <w:tc>
          <w:tcPr>
            <w:tcW w:w="1120" w:type="dxa"/>
            <w:vAlign w:val="bottom"/>
            <w:shd w:val="clear" w:color="auto" w:fill="E6E6E6"/>
          </w:tcPr>
          <w:p>
            <w:pPr>
              <w:spacing w:after="0"/>
              <w:rPr>
                <w:sz w:val="24"/>
                <w:szCs w:val="24"/>
                <w:color w:val="auto"/>
              </w:rPr>
            </w:pPr>
          </w:p>
        </w:tc>
        <w:tc>
          <w:tcPr>
            <w:tcW w:w="6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(326)</w:t>
            </w:r>
          </w:p>
        </w:tc>
        <w:tc>
          <w:tcPr>
            <w:tcW w:w="6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(245)</w:t>
            </w:r>
          </w:p>
        </w:tc>
        <w:tc>
          <w:tcPr>
            <w:tcW w:w="8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(1,369)</w:t>
            </w:r>
          </w:p>
        </w:tc>
        <w:tc>
          <w:tcPr>
            <w:tcW w:w="20" w:type="dxa"/>
            <w:vAlign w:val="bottom"/>
            <w:shd w:val="clear" w:color="auto" w:fill="E6E6E6"/>
          </w:tcPr>
          <w:p>
            <w:pPr>
              <w:spacing w:after="0"/>
              <w:rPr>
                <w:sz w:val="24"/>
                <w:szCs w:val="24"/>
                <w:color w:val="auto"/>
              </w:rPr>
            </w:pPr>
          </w:p>
        </w:tc>
      </w:tr>
      <w:tr>
        <w:trPr>
          <w:trHeight w:val="269"/>
        </w:trPr>
        <w:tc>
          <w:tcPr>
            <w:tcW w:w="4620" w:type="dxa"/>
            <w:vAlign w:val="bottom"/>
            <w:tcBorders>
              <w:bottom w:val="single" w:sz="8" w:color="E6E6E6"/>
            </w:tcBorders>
            <w:gridSpan w:val="2"/>
          </w:tcPr>
          <w:p>
            <w:pPr>
              <w:ind w:left="40"/>
              <w:spacing w:after="0"/>
              <w:rPr>
                <w:sz w:val="20"/>
                <w:szCs w:val="20"/>
                <w:color w:val="auto"/>
              </w:rPr>
            </w:pPr>
            <w:r>
              <w:rPr>
                <w:rFonts w:ascii="Arial" w:cs="Arial" w:eastAsia="Arial" w:hAnsi="Arial"/>
                <w:sz w:val="20"/>
                <w:szCs w:val="20"/>
                <w:color w:val="auto"/>
              </w:rPr>
              <w:t>Benefits paid</w:t>
            </w:r>
          </w:p>
        </w:tc>
        <w:tc>
          <w:tcPr>
            <w:tcW w:w="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(323)</w:t>
            </w:r>
          </w:p>
        </w:tc>
        <w:tc>
          <w:tcPr>
            <w:tcW w:w="60" w:type="dxa"/>
            <w:vAlign w:val="bottom"/>
            <w:tcBorders>
              <w:bottom w:val="single" w:sz="8" w:color="E6E6E6"/>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(316)</w:t>
            </w:r>
          </w:p>
        </w:tc>
        <w:tc>
          <w:tcPr>
            <w:tcW w:w="80" w:type="dxa"/>
            <w:vAlign w:val="bottom"/>
            <w:tcBorders>
              <w:bottom w:val="single" w:sz="8" w:color="E6E6E6"/>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(313)</w:t>
            </w:r>
          </w:p>
        </w:tc>
        <w:tc>
          <w:tcPr>
            <w:tcW w:w="20" w:type="dxa"/>
            <w:vAlign w:val="bottom"/>
            <w:tcBorders>
              <w:bottom w:val="single" w:sz="8" w:color="auto"/>
            </w:tcBorders>
          </w:tcPr>
          <w:p>
            <w:pPr>
              <w:spacing w:after="0"/>
              <w:rPr>
                <w:sz w:val="23"/>
                <w:szCs w:val="23"/>
                <w:color w:val="auto"/>
              </w:rPr>
            </w:pPr>
          </w:p>
        </w:tc>
      </w:tr>
      <w:tr>
        <w:trPr>
          <w:trHeight w:val="279"/>
        </w:trPr>
        <w:tc>
          <w:tcPr>
            <w:tcW w:w="4640" w:type="dxa"/>
            <w:vAlign w:val="bottom"/>
            <w:gridSpan w:val="3"/>
            <w:shd w:val="clear" w:color="auto" w:fill="E6E6E6"/>
          </w:tcPr>
          <w:p>
            <w:pPr>
              <w:ind w:left="40"/>
              <w:spacing w:after="0"/>
              <w:rPr>
                <w:sz w:val="20"/>
                <w:szCs w:val="20"/>
                <w:color w:val="auto"/>
              </w:rPr>
            </w:pPr>
            <w:r>
              <w:rPr>
                <w:rFonts w:ascii="Arial" w:cs="Arial" w:eastAsia="Arial" w:hAnsi="Arial"/>
                <w:sz w:val="20"/>
                <w:szCs w:val="20"/>
                <w:color w:val="auto"/>
              </w:rPr>
              <w:t>Fair value of plan assets at end of year</w:t>
            </w:r>
          </w:p>
        </w:tc>
        <w:tc>
          <w:tcPr>
            <w:tcW w:w="1120" w:type="dxa"/>
            <w:vAlign w:val="bottom"/>
            <w:shd w:val="clear" w:color="auto" w:fill="E6E6E6"/>
          </w:tcPr>
          <w:p>
            <w:pPr>
              <w:jc w:val="right"/>
              <w:ind w:right="902"/>
              <w:spacing w:after="0"/>
              <w:rPr>
                <w:sz w:val="20"/>
                <w:szCs w:val="20"/>
                <w:color w:val="auto"/>
              </w:rPr>
            </w:pPr>
            <w:r>
              <w:rPr>
                <w:rFonts w:ascii="Arial" w:cs="Arial" w:eastAsia="Arial" w:hAnsi="Arial"/>
                <w:sz w:val="20"/>
                <w:szCs w:val="20"/>
                <w:color w:val="auto"/>
                <w:w w:val="89"/>
              </w:rPr>
              <w:t>$</w:t>
            </w:r>
          </w:p>
        </w:tc>
        <w:tc>
          <w:tcPr>
            <w:tcW w:w="6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7,923</w:t>
            </w:r>
          </w:p>
        </w:tc>
        <w:tc>
          <w:tcPr>
            <w:tcW w:w="480" w:type="dxa"/>
            <w:vAlign w:val="bottom"/>
            <w:gridSpan w:val="2"/>
            <w:shd w:val="clear" w:color="auto" w:fill="E6E6E6"/>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6,671</w:t>
            </w:r>
          </w:p>
        </w:tc>
        <w:tc>
          <w:tcPr>
            <w:tcW w:w="80" w:type="dxa"/>
            <w:vAlign w:val="bottom"/>
            <w:shd w:val="clear" w:color="auto" w:fill="E6E6E6"/>
          </w:tcPr>
          <w:p>
            <w:pPr>
              <w:spacing w:after="0"/>
              <w:rPr>
                <w:sz w:val="24"/>
                <w:szCs w:val="24"/>
                <w:color w:val="auto"/>
              </w:rPr>
            </w:pPr>
          </w:p>
        </w:tc>
        <w:tc>
          <w:tcPr>
            <w:tcW w:w="420" w:type="dxa"/>
            <w:vAlign w:val="bottom"/>
            <w:shd w:val="clear" w:color="auto" w:fill="E6E6E6"/>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5,516</w:t>
            </w:r>
          </w:p>
        </w:tc>
        <w:tc>
          <w:tcPr>
            <w:tcW w:w="20" w:type="dxa"/>
            <w:vAlign w:val="bottom"/>
            <w:shd w:val="clear" w:color="auto" w:fill="E6E6E6"/>
          </w:tcPr>
          <w:p>
            <w:pPr>
              <w:spacing w:after="0"/>
              <w:rPr>
                <w:sz w:val="24"/>
                <w:szCs w:val="24"/>
                <w:color w:val="auto"/>
              </w:rPr>
            </w:pPr>
          </w:p>
        </w:tc>
      </w:tr>
      <w:tr>
        <w:trPr>
          <w:trHeight w:val="244"/>
        </w:trPr>
        <w:tc>
          <w:tcPr>
            <w:tcW w:w="4620" w:type="dxa"/>
            <w:vAlign w:val="bottom"/>
            <w:tcBorders>
              <w:top w:val="single" w:sz="8" w:color="E6E6E6"/>
            </w:tcBorders>
            <w:gridSpan w:val="2"/>
          </w:tcPr>
          <w:p>
            <w:pPr>
              <w:ind w:left="40"/>
              <w:spacing w:after="0"/>
              <w:rPr>
                <w:sz w:val="20"/>
                <w:szCs w:val="20"/>
                <w:color w:val="auto"/>
              </w:rPr>
            </w:pPr>
            <w:r>
              <w:rPr>
                <w:rFonts w:ascii="Arial" w:cs="Arial" w:eastAsia="Arial" w:hAnsi="Arial"/>
                <w:sz w:val="20"/>
                <w:szCs w:val="20"/>
                <w:color w:val="auto"/>
              </w:rPr>
              <w:t>Funded status at end of year:</w:t>
            </w:r>
          </w:p>
        </w:tc>
        <w:tc>
          <w:tcPr>
            <w:tcW w:w="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60" w:type="dxa"/>
            <w:vAlign w:val="bottom"/>
            <w:tcBorders>
              <w:top w:val="single" w:sz="8" w:color="E6E6E6"/>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80" w:type="dxa"/>
            <w:vAlign w:val="bottom"/>
            <w:tcBorders>
              <w:top w:val="single" w:sz="8" w:color="E6E6E6"/>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r>
      <w:tr>
        <w:trPr>
          <w:trHeight w:val="285"/>
        </w:trPr>
        <w:tc>
          <w:tcPr>
            <w:tcW w:w="4640" w:type="dxa"/>
            <w:vAlign w:val="bottom"/>
            <w:gridSpan w:val="3"/>
            <w:shd w:val="clear" w:color="auto" w:fill="E6E6E6"/>
          </w:tcPr>
          <w:p>
            <w:pPr>
              <w:ind w:left="40"/>
              <w:spacing w:after="0"/>
              <w:rPr>
                <w:sz w:val="20"/>
                <w:szCs w:val="20"/>
                <w:color w:val="auto"/>
              </w:rPr>
            </w:pPr>
            <w:r>
              <w:rPr>
                <w:rFonts w:ascii="Arial" w:cs="Arial" w:eastAsia="Arial" w:hAnsi="Arial"/>
                <w:sz w:val="20"/>
                <w:szCs w:val="20"/>
                <w:color w:val="auto"/>
              </w:rPr>
              <w:t>Fair value of plan assets</w:t>
            </w:r>
          </w:p>
        </w:tc>
        <w:tc>
          <w:tcPr>
            <w:tcW w:w="1120" w:type="dxa"/>
            <w:vAlign w:val="bottom"/>
            <w:shd w:val="clear" w:color="auto" w:fill="E6E6E6"/>
          </w:tcPr>
          <w:p>
            <w:pPr>
              <w:jc w:val="right"/>
              <w:ind w:right="902"/>
              <w:spacing w:after="0"/>
              <w:rPr>
                <w:sz w:val="20"/>
                <w:szCs w:val="20"/>
                <w:color w:val="auto"/>
              </w:rPr>
            </w:pPr>
            <w:r>
              <w:rPr>
                <w:rFonts w:ascii="Arial" w:cs="Arial" w:eastAsia="Arial" w:hAnsi="Arial"/>
                <w:sz w:val="20"/>
                <w:szCs w:val="20"/>
                <w:color w:val="auto"/>
                <w:w w:val="89"/>
              </w:rPr>
              <w:t>$</w:t>
            </w:r>
          </w:p>
        </w:tc>
        <w:tc>
          <w:tcPr>
            <w:tcW w:w="6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7,923</w:t>
            </w:r>
          </w:p>
        </w:tc>
        <w:tc>
          <w:tcPr>
            <w:tcW w:w="480" w:type="dxa"/>
            <w:vAlign w:val="bottom"/>
            <w:gridSpan w:val="2"/>
            <w:shd w:val="clear" w:color="auto" w:fill="E6E6E6"/>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6,671</w:t>
            </w:r>
          </w:p>
        </w:tc>
        <w:tc>
          <w:tcPr>
            <w:tcW w:w="80" w:type="dxa"/>
            <w:vAlign w:val="bottom"/>
            <w:shd w:val="clear" w:color="auto" w:fill="E6E6E6"/>
          </w:tcPr>
          <w:p>
            <w:pPr>
              <w:spacing w:after="0"/>
              <w:rPr>
                <w:sz w:val="24"/>
                <w:szCs w:val="24"/>
                <w:color w:val="auto"/>
              </w:rPr>
            </w:pPr>
          </w:p>
        </w:tc>
        <w:tc>
          <w:tcPr>
            <w:tcW w:w="420" w:type="dxa"/>
            <w:vAlign w:val="bottom"/>
            <w:shd w:val="clear" w:color="auto" w:fill="E6E6E6"/>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5,516</w:t>
            </w:r>
          </w:p>
        </w:tc>
        <w:tc>
          <w:tcPr>
            <w:tcW w:w="20" w:type="dxa"/>
            <w:vAlign w:val="bottom"/>
            <w:shd w:val="clear" w:color="auto" w:fill="E6E6E6"/>
          </w:tcPr>
          <w:p>
            <w:pPr>
              <w:spacing w:after="0"/>
              <w:rPr>
                <w:sz w:val="24"/>
                <w:szCs w:val="24"/>
                <w:color w:val="auto"/>
              </w:rPr>
            </w:pPr>
          </w:p>
        </w:tc>
      </w:tr>
      <w:tr>
        <w:trPr>
          <w:trHeight w:val="269"/>
        </w:trPr>
        <w:tc>
          <w:tcPr>
            <w:tcW w:w="4620" w:type="dxa"/>
            <w:vAlign w:val="bottom"/>
            <w:tcBorders>
              <w:bottom w:val="single" w:sz="8" w:color="E6E6E6"/>
            </w:tcBorders>
            <w:gridSpan w:val="2"/>
          </w:tcPr>
          <w:p>
            <w:pPr>
              <w:ind w:left="40"/>
              <w:spacing w:after="0"/>
              <w:rPr>
                <w:sz w:val="20"/>
                <w:szCs w:val="20"/>
                <w:color w:val="auto"/>
              </w:rPr>
            </w:pPr>
            <w:r>
              <w:rPr>
                <w:rFonts w:ascii="Arial" w:cs="Arial" w:eastAsia="Arial" w:hAnsi="Arial"/>
                <w:sz w:val="20"/>
                <w:szCs w:val="20"/>
                <w:color w:val="auto"/>
              </w:rPr>
              <w:t>Projected benefit obligations</w:t>
            </w:r>
          </w:p>
        </w:tc>
        <w:tc>
          <w:tcPr>
            <w:tcW w:w="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7,944</w:t>
            </w:r>
          </w:p>
        </w:tc>
        <w:tc>
          <w:tcPr>
            <w:tcW w:w="60" w:type="dxa"/>
            <w:vAlign w:val="bottom"/>
            <w:tcBorders>
              <w:bottom w:val="single" w:sz="8" w:color="E6E6E6"/>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9,222</w:t>
            </w:r>
          </w:p>
        </w:tc>
        <w:tc>
          <w:tcPr>
            <w:tcW w:w="80" w:type="dxa"/>
            <w:vAlign w:val="bottom"/>
            <w:tcBorders>
              <w:bottom w:val="single" w:sz="8" w:color="E6E6E6"/>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9,790</w:t>
            </w:r>
          </w:p>
        </w:tc>
        <w:tc>
          <w:tcPr>
            <w:tcW w:w="20" w:type="dxa"/>
            <w:vAlign w:val="bottom"/>
            <w:tcBorders>
              <w:bottom w:val="single" w:sz="8" w:color="auto"/>
            </w:tcBorders>
          </w:tcPr>
          <w:p>
            <w:pPr>
              <w:spacing w:after="0"/>
              <w:rPr>
                <w:sz w:val="23"/>
                <w:szCs w:val="23"/>
                <w:color w:val="auto"/>
              </w:rPr>
            </w:pPr>
          </w:p>
        </w:tc>
      </w:tr>
      <w:tr>
        <w:trPr>
          <w:trHeight w:val="279"/>
        </w:trPr>
        <w:tc>
          <w:tcPr>
            <w:tcW w:w="4640" w:type="dxa"/>
            <w:vAlign w:val="bottom"/>
            <w:gridSpan w:val="3"/>
            <w:shd w:val="clear" w:color="auto" w:fill="E6E6E6"/>
          </w:tcPr>
          <w:p>
            <w:pPr>
              <w:ind w:left="40"/>
              <w:spacing w:after="0"/>
              <w:rPr>
                <w:sz w:val="20"/>
                <w:szCs w:val="20"/>
                <w:color w:val="auto"/>
              </w:rPr>
            </w:pPr>
            <w:r>
              <w:rPr>
                <w:rFonts w:ascii="Arial" w:cs="Arial" w:eastAsia="Arial" w:hAnsi="Arial"/>
                <w:sz w:val="20"/>
                <w:szCs w:val="20"/>
                <w:color w:val="auto"/>
              </w:rPr>
              <w:t>Underfunded status of the plan</w:t>
            </w:r>
          </w:p>
        </w:tc>
        <w:tc>
          <w:tcPr>
            <w:tcW w:w="1120" w:type="dxa"/>
            <w:vAlign w:val="bottom"/>
            <w:shd w:val="clear" w:color="auto" w:fill="E6E6E6"/>
          </w:tcPr>
          <w:p>
            <w:pPr>
              <w:jc w:val="right"/>
              <w:ind w:right="902"/>
              <w:spacing w:after="0"/>
              <w:rPr>
                <w:sz w:val="20"/>
                <w:szCs w:val="20"/>
                <w:color w:val="auto"/>
              </w:rPr>
            </w:pPr>
            <w:r>
              <w:rPr>
                <w:rFonts w:ascii="Arial" w:cs="Arial" w:eastAsia="Arial" w:hAnsi="Arial"/>
                <w:sz w:val="20"/>
                <w:szCs w:val="20"/>
                <w:color w:val="auto"/>
                <w:w w:val="89"/>
              </w:rPr>
              <w:t>$</w:t>
            </w:r>
          </w:p>
        </w:tc>
        <w:tc>
          <w:tcPr>
            <w:tcW w:w="6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21</w:t>
            </w:r>
          </w:p>
        </w:tc>
        <w:tc>
          <w:tcPr>
            <w:tcW w:w="480" w:type="dxa"/>
            <w:vAlign w:val="bottom"/>
            <w:gridSpan w:val="2"/>
            <w:shd w:val="clear" w:color="auto" w:fill="E6E6E6"/>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2,551</w:t>
            </w:r>
          </w:p>
        </w:tc>
        <w:tc>
          <w:tcPr>
            <w:tcW w:w="80" w:type="dxa"/>
            <w:vAlign w:val="bottom"/>
            <w:shd w:val="clear" w:color="auto" w:fill="E6E6E6"/>
          </w:tcPr>
          <w:p>
            <w:pPr>
              <w:spacing w:after="0"/>
              <w:rPr>
                <w:sz w:val="24"/>
                <w:szCs w:val="24"/>
                <w:color w:val="auto"/>
              </w:rPr>
            </w:pPr>
          </w:p>
        </w:tc>
        <w:tc>
          <w:tcPr>
            <w:tcW w:w="420" w:type="dxa"/>
            <w:vAlign w:val="bottom"/>
            <w:shd w:val="clear" w:color="auto" w:fill="E6E6E6"/>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4,274</w:t>
            </w:r>
          </w:p>
        </w:tc>
        <w:tc>
          <w:tcPr>
            <w:tcW w:w="20" w:type="dxa"/>
            <w:vAlign w:val="bottom"/>
            <w:shd w:val="clear" w:color="auto" w:fill="E6E6E6"/>
          </w:tcPr>
          <w:p>
            <w:pPr>
              <w:spacing w:after="0"/>
              <w:rPr>
                <w:sz w:val="24"/>
                <w:szCs w:val="24"/>
                <w:color w:val="auto"/>
              </w:rPr>
            </w:pPr>
          </w:p>
        </w:tc>
      </w:tr>
      <w:tr>
        <w:trPr>
          <w:trHeight w:val="250"/>
        </w:trPr>
        <w:tc>
          <w:tcPr>
            <w:tcW w:w="4600" w:type="dxa"/>
            <w:vAlign w:val="bottom"/>
            <w:tcBorders>
              <w:top w:val="single" w:sz="8" w:color="E6E6E6"/>
            </w:tcBorders>
          </w:tcPr>
          <w:p>
            <w:pPr>
              <w:ind w:left="40"/>
              <w:spacing w:after="0"/>
              <w:rPr>
                <w:sz w:val="20"/>
                <w:szCs w:val="20"/>
                <w:color w:val="auto"/>
              </w:rPr>
            </w:pPr>
            <w:r>
              <w:rPr>
                <w:rFonts w:ascii="Arial" w:cs="Arial" w:eastAsia="Arial" w:hAnsi="Arial"/>
                <w:sz w:val="20"/>
                <w:szCs w:val="20"/>
                <w:color w:val="auto"/>
              </w:rPr>
              <w:t>Recognized liability</w:t>
            </w:r>
          </w:p>
        </w:tc>
        <w:tc>
          <w:tcPr>
            <w:tcW w:w="40" w:type="dxa"/>
            <w:vAlign w:val="bottom"/>
            <w:tcBorders>
              <w:top w:val="single" w:sz="8" w:color="auto"/>
            </w:tcBorders>
            <w:gridSpan w:val="2"/>
          </w:tcPr>
          <w:p>
            <w:pPr>
              <w:spacing w:after="0"/>
              <w:rPr>
                <w:sz w:val="21"/>
                <w:szCs w:val="21"/>
                <w:color w:val="auto"/>
              </w:rPr>
            </w:pPr>
          </w:p>
        </w:tc>
        <w:tc>
          <w:tcPr>
            <w:tcW w:w="1120" w:type="dxa"/>
            <w:vAlign w:val="bottom"/>
            <w:tcBorders>
              <w:top w:val="single" w:sz="8" w:color="auto"/>
            </w:tcBorders>
          </w:tcPr>
          <w:p>
            <w:pPr>
              <w:jc w:val="right"/>
              <w:ind w:right="902"/>
              <w:spacing w:after="0"/>
              <w:rPr>
                <w:sz w:val="20"/>
                <w:szCs w:val="20"/>
                <w:color w:val="auto"/>
              </w:rPr>
            </w:pPr>
            <w:r>
              <w:rPr>
                <w:rFonts w:ascii="Arial" w:cs="Arial" w:eastAsia="Arial" w:hAnsi="Arial"/>
                <w:sz w:val="20"/>
                <w:szCs w:val="20"/>
                <w:color w:val="auto"/>
                <w:w w:val="8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21</w:t>
            </w:r>
          </w:p>
        </w:tc>
        <w:tc>
          <w:tcPr>
            <w:tcW w:w="60" w:type="dxa"/>
            <w:vAlign w:val="bottom"/>
            <w:tcBorders>
              <w:top w:val="single" w:sz="8" w:color="E6E6E6"/>
            </w:tcBorders>
          </w:tcPr>
          <w:p>
            <w:pPr>
              <w:spacing w:after="0"/>
              <w:rPr>
                <w:sz w:val="21"/>
                <w:szCs w:val="21"/>
                <w:color w:val="auto"/>
              </w:rPr>
            </w:pPr>
          </w:p>
        </w:tc>
        <w:tc>
          <w:tcPr>
            <w:tcW w:w="420" w:type="dxa"/>
            <w:vAlign w:val="bottom"/>
            <w:tcBorders>
              <w:top w:val="single" w:sz="8" w:color="auto"/>
            </w:tcBorders>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2,551</w:t>
            </w:r>
          </w:p>
        </w:tc>
        <w:tc>
          <w:tcPr>
            <w:tcW w:w="80" w:type="dxa"/>
            <w:vAlign w:val="bottom"/>
            <w:tcBorders>
              <w:top w:val="single" w:sz="8" w:color="E6E6E6"/>
            </w:tcBorders>
          </w:tcPr>
          <w:p>
            <w:pPr>
              <w:spacing w:after="0"/>
              <w:rPr>
                <w:sz w:val="21"/>
                <w:szCs w:val="21"/>
                <w:color w:val="auto"/>
              </w:rPr>
            </w:pPr>
          </w:p>
        </w:tc>
        <w:tc>
          <w:tcPr>
            <w:tcW w:w="420" w:type="dxa"/>
            <w:vAlign w:val="bottom"/>
            <w:tcBorders>
              <w:top w:val="single" w:sz="8" w:color="auto"/>
            </w:tcBorders>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4,274</w:t>
            </w:r>
          </w:p>
        </w:tc>
        <w:tc>
          <w:tcPr>
            <w:tcW w:w="20" w:type="dxa"/>
            <w:vAlign w:val="bottom"/>
            <w:tcBorders>
              <w:top w:val="single" w:sz="8" w:color="E6E6E6"/>
            </w:tcBorders>
          </w:tcPr>
          <w:p>
            <w:pPr>
              <w:spacing w:after="0"/>
              <w:rPr>
                <w:sz w:val="21"/>
                <w:szCs w:val="21"/>
                <w:color w:val="auto"/>
              </w:rPr>
            </w:pPr>
          </w:p>
        </w:tc>
      </w:tr>
      <w:tr>
        <w:trPr>
          <w:trHeight w:val="188"/>
        </w:trPr>
        <w:tc>
          <w:tcPr>
            <w:tcW w:w="4640" w:type="dxa"/>
            <w:vAlign w:val="bottom"/>
            <w:gridSpan w:val="3"/>
            <w:shd w:val="clear" w:color="auto" w:fill="E6E6E6"/>
          </w:tcPr>
          <w:p>
            <w:pPr>
              <w:ind w:left="40"/>
              <w:spacing w:after="0" w:line="188" w:lineRule="exact"/>
              <w:rPr>
                <w:sz w:val="20"/>
                <w:szCs w:val="20"/>
                <w:color w:val="auto"/>
              </w:rPr>
            </w:pPr>
            <w:r>
              <w:rPr>
                <w:rFonts w:ascii="Arial" w:cs="Arial" w:eastAsia="Arial" w:hAnsi="Arial"/>
                <w:sz w:val="20"/>
                <w:szCs w:val="20"/>
                <w:color w:val="auto"/>
                <w:w w:val="91"/>
              </w:rPr>
              <w:t>Amounts recognized on the consolidated balance sheets</w:t>
            </w:r>
          </w:p>
        </w:tc>
        <w:tc>
          <w:tcPr>
            <w:tcW w:w="1120" w:type="dxa"/>
            <w:vAlign w:val="bottom"/>
            <w:shd w:val="clear" w:color="auto" w:fill="E6E6E6"/>
          </w:tcPr>
          <w:p>
            <w:pPr>
              <w:spacing w:after="0"/>
              <w:rPr>
                <w:sz w:val="16"/>
                <w:szCs w:val="16"/>
                <w:color w:val="auto"/>
              </w:rPr>
            </w:pPr>
          </w:p>
        </w:tc>
        <w:tc>
          <w:tcPr>
            <w:tcW w:w="62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420" w:type="dxa"/>
            <w:vAlign w:val="bottom"/>
            <w:shd w:val="clear" w:color="auto" w:fill="E6E6E6"/>
          </w:tcPr>
          <w:p>
            <w:pPr>
              <w:spacing w:after="0"/>
              <w:rPr>
                <w:sz w:val="16"/>
                <w:szCs w:val="16"/>
                <w:color w:val="auto"/>
              </w:rPr>
            </w:pPr>
          </w:p>
        </w:tc>
        <w:tc>
          <w:tcPr>
            <w:tcW w:w="1340" w:type="dxa"/>
            <w:vAlign w:val="bottom"/>
            <w:shd w:val="clear" w:color="auto" w:fill="E6E6E6"/>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420" w:type="dxa"/>
            <w:vAlign w:val="bottom"/>
            <w:shd w:val="clear" w:color="auto" w:fill="E6E6E6"/>
          </w:tcPr>
          <w:p>
            <w:pPr>
              <w:spacing w:after="0"/>
              <w:rPr>
                <w:sz w:val="16"/>
                <w:szCs w:val="16"/>
                <w:color w:val="auto"/>
              </w:rPr>
            </w:pPr>
          </w:p>
        </w:tc>
        <w:tc>
          <w:tcPr>
            <w:tcW w:w="13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r>
      <w:tr>
        <w:trPr>
          <w:trHeight w:val="268"/>
        </w:trPr>
        <w:tc>
          <w:tcPr>
            <w:tcW w:w="4640" w:type="dxa"/>
            <w:vAlign w:val="bottom"/>
            <w:gridSpan w:val="3"/>
            <w:shd w:val="clear" w:color="auto" w:fill="E6E6E6"/>
          </w:tcPr>
          <w:p>
            <w:pPr>
              <w:ind w:left="40"/>
              <w:spacing w:after="0"/>
              <w:rPr>
                <w:sz w:val="20"/>
                <w:szCs w:val="20"/>
                <w:color w:val="auto"/>
              </w:rPr>
            </w:pPr>
            <w:r>
              <w:rPr>
                <w:rFonts w:ascii="Arial" w:cs="Arial" w:eastAsia="Arial" w:hAnsi="Arial"/>
                <w:sz w:val="20"/>
                <w:szCs w:val="20"/>
                <w:color w:val="auto"/>
              </w:rPr>
              <w:t>consist of:</w:t>
            </w:r>
          </w:p>
        </w:tc>
        <w:tc>
          <w:tcPr>
            <w:tcW w:w="1120" w:type="dxa"/>
            <w:vAlign w:val="bottom"/>
            <w:shd w:val="clear" w:color="auto" w:fill="E6E6E6"/>
          </w:tcPr>
          <w:p>
            <w:pPr>
              <w:spacing w:after="0"/>
              <w:rPr>
                <w:sz w:val="23"/>
                <w:szCs w:val="23"/>
                <w:color w:val="auto"/>
              </w:rPr>
            </w:pPr>
          </w:p>
        </w:tc>
        <w:tc>
          <w:tcPr>
            <w:tcW w:w="62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420" w:type="dxa"/>
            <w:vAlign w:val="bottom"/>
            <w:shd w:val="clear" w:color="auto" w:fill="E6E6E6"/>
          </w:tcPr>
          <w:p>
            <w:pPr>
              <w:spacing w:after="0"/>
              <w:rPr>
                <w:sz w:val="23"/>
                <w:szCs w:val="23"/>
                <w:color w:val="auto"/>
              </w:rPr>
            </w:pPr>
          </w:p>
        </w:tc>
        <w:tc>
          <w:tcPr>
            <w:tcW w:w="134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420" w:type="dxa"/>
            <w:vAlign w:val="bottom"/>
            <w:shd w:val="clear" w:color="auto" w:fill="E6E6E6"/>
          </w:tcPr>
          <w:p>
            <w:pPr>
              <w:spacing w:after="0"/>
              <w:rPr>
                <w:sz w:val="23"/>
                <w:szCs w:val="23"/>
                <w:color w:val="auto"/>
              </w:rPr>
            </w:pPr>
          </w:p>
        </w:tc>
        <w:tc>
          <w:tcPr>
            <w:tcW w:w="134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r>
      <w:tr>
        <w:trPr>
          <w:trHeight w:val="269"/>
        </w:trPr>
        <w:tc>
          <w:tcPr>
            <w:tcW w:w="4600" w:type="dxa"/>
            <w:vAlign w:val="bottom"/>
            <w:tcBorders>
              <w:bottom w:val="single" w:sz="8" w:color="E6E6E6"/>
            </w:tcBorders>
          </w:tcPr>
          <w:p>
            <w:pPr>
              <w:ind w:left="40"/>
              <w:spacing w:after="0"/>
              <w:rPr>
                <w:sz w:val="20"/>
                <w:szCs w:val="20"/>
                <w:color w:val="auto"/>
              </w:rPr>
            </w:pPr>
            <w:r>
              <w:rPr>
                <w:rFonts w:ascii="Arial" w:cs="Arial" w:eastAsia="Arial" w:hAnsi="Arial"/>
                <w:sz w:val="20"/>
                <w:szCs w:val="20"/>
                <w:color w:val="auto"/>
              </w:rPr>
              <w:t>Non-current liabilities</w:t>
            </w:r>
          </w:p>
        </w:tc>
        <w:tc>
          <w:tcPr>
            <w:tcW w:w="40" w:type="dxa"/>
            <w:vAlign w:val="bottom"/>
            <w:tcBorders>
              <w:bottom w:val="single" w:sz="8" w:color="auto"/>
            </w:tcBorders>
            <w:gridSpan w:val="2"/>
          </w:tcPr>
          <w:p>
            <w:pPr>
              <w:spacing w:after="0"/>
              <w:rPr>
                <w:sz w:val="23"/>
                <w:szCs w:val="23"/>
                <w:color w:val="auto"/>
              </w:rPr>
            </w:pPr>
          </w:p>
        </w:tc>
        <w:tc>
          <w:tcPr>
            <w:tcW w:w="1120" w:type="dxa"/>
            <w:vAlign w:val="bottom"/>
            <w:tcBorders>
              <w:bottom w:val="single" w:sz="8" w:color="auto"/>
            </w:tcBorders>
          </w:tcPr>
          <w:p>
            <w:pPr>
              <w:jc w:val="right"/>
              <w:ind w:right="902"/>
              <w:spacing w:after="0"/>
              <w:rPr>
                <w:sz w:val="20"/>
                <w:szCs w:val="20"/>
                <w:color w:val="auto"/>
              </w:rPr>
            </w:pPr>
            <w:r>
              <w:rPr>
                <w:rFonts w:ascii="Arial" w:cs="Arial" w:eastAsia="Arial" w:hAnsi="Arial"/>
                <w:sz w:val="20"/>
                <w:szCs w:val="20"/>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w:t>
            </w:r>
          </w:p>
        </w:tc>
        <w:tc>
          <w:tcPr>
            <w:tcW w:w="60" w:type="dxa"/>
            <w:vAlign w:val="bottom"/>
            <w:tcBorders>
              <w:bottom w:val="single" w:sz="8" w:color="E6E6E6"/>
            </w:tcBorders>
          </w:tcPr>
          <w:p>
            <w:pPr>
              <w:spacing w:after="0"/>
              <w:rPr>
                <w:sz w:val="23"/>
                <w:szCs w:val="23"/>
                <w:color w:val="auto"/>
              </w:rPr>
            </w:pPr>
          </w:p>
        </w:tc>
        <w:tc>
          <w:tcPr>
            <w:tcW w:w="420" w:type="dxa"/>
            <w:vAlign w:val="bottom"/>
            <w:tcBorders>
              <w:bottom w:val="single" w:sz="8" w:color="auto"/>
            </w:tcBorders>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2,551</w:t>
            </w:r>
          </w:p>
        </w:tc>
        <w:tc>
          <w:tcPr>
            <w:tcW w:w="80" w:type="dxa"/>
            <w:vAlign w:val="bottom"/>
            <w:tcBorders>
              <w:bottom w:val="single" w:sz="8" w:color="E6E6E6"/>
            </w:tcBorders>
          </w:tcPr>
          <w:p>
            <w:pPr>
              <w:spacing w:after="0"/>
              <w:rPr>
                <w:sz w:val="23"/>
                <w:szCs w:val="23"/>
                <w:color w:val="auto"/>
              </w:rPr>
            </w:pPr>
          </w:p>
        </w:tc>
        <w:tc>
          <w:tcPr>
            <w:tcW w:w="420" w:type="dxa"/>
            <w:vAlign w:val="bottom"/>
            <w:tcBorders>
              <w:bottom w:val="single" w:sz="8" w:color="auto"/>
            </w:tcBorders>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4,274</w:t>
            </w:r>
          </w:p>
        </w:tc>
        <w:tc>
          <w:tcPr>
            <w:tcW w:w="20" w:type="dxa"/>
            <w:vAlign w:val="bottom"/>
            <w:tcBorders>
              <w:bottom w:val="single" w:sz="8" w:color="E6E6E6"/>
            </w:tcBorders>
          </w:tcPr>
          <w:p>
            <w:pPr>
              <w:spacing w:after="0"/>
              <w:rPr>
                <w:sz w:val="23"/>
                <w:szCs w:val="23"/>
                <w:color w:val="auto"/>
              </w:rPr>
            </w:pPr>
          </w:p>
        </w:tc>
      </w:tr>
      <w:tr>
        <w:trPr>
          <w:trHeight w:val="279"/>
        </w:trPr>
        <w:tc>
          <w:tcPr>
            <w:tcW w:w="46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Recognized liability</w:t>
            </w:r>
          </w:p>
        </w:tc>
        <w:tc>
          <w:tcPr>
            <w:tcW w:w="40" w:type="dxa"/>
            <w:vAlign w:val="bottom"/>
            <w:tcBorders>
              <w:bottom w:val="single" w:sz="8" w:color="auto"/>
            </w:tcBorders>
            <w:gridSpan w:val="2"/>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ind w:right="902"/>
              <w:spacing w:after="0"/>
              <w:rPr>
                <w:sz w:val="20"/>
                <w:szCs w:val="20"/>
                <w:color w:val="auto"/>
              </w:rPr>
            </w:pPr>
            <w:r>
              <w:rPr>
                <w:rFonts w:ascii="Arial" w:cs="Arial" w:eastAsia="Arial" w:hAnsi="Arial"/>
                <w:sz w:val="20"/>
                <w:szCs w:val="20"/>
                <w:color w:val="auto"/>
                <w:w w:val="89"/>
              </w:rPr>
              <w:t>$</w:t>
            </w:r>
          </w:p>
        </w:tc>
        <w:tc>
          <w:tcPr>
            <w:tcW w:w="6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21</w:t>
            </w:r>
          </w:p>
        </w:tc>
        <w:tc>
          <w:tcPr>
            <w:tcW w:w="60" w:type="dxa"/>
            <w:vAlign w:val="bottom"/>
            <w:tcBorders>
              <w:bottom w:val="single" w:sz="8" w:color="E6E6E6"/>
            </w:tcBorders>
            <w:shd w:val="clear" w:color="auto" w:fill="E6E6E6"/>
          </w:tcPr>
          <w:p>
            <w:pPr>
              <w:spacing w:after="0"/>
              <w:rPr>
                <w:sz w:val="24"/>
                <w:szCs w:val="24"/>
                <w:color w:val="auto"/>
              </w:rPr>
            </w:pPr>
          </w:p>
        </w:tc>
        <w:tc>
          <w:tcPr>
            <w:tcW w:w="420" w:type="dxa"/>
            <w:vAlign w:val="bottom"/>
            <w:tcBorders>
              <w:bottom w:val="single" w:sz="8" w:color="auto"/>
            </w:tcBorders>
            <w:shd w:val="clear" w:color="auto" w:fill="E6E6E6"/>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2,551</w:t>
            </w:r>
          </w:p>
        </w:tc>
        <w:tc>
          <w:tcPr>
            <w:tcW w:w="80" w:type="dxa"/>
            <w:vAlign w:val="bottom"/>
            <w:tcBorders>
              <w:bottom w:val="single" w:sz="8" w:color="E6E6E6"/>
            </w:tcBorders>
            <w:shd w:val="clear" w:color="auto" w:fill="E6E6E6"/>
          </w:tcPr>
          <w:p>
            <w:pPr>
              <w:spacing w:after="0"/>
              <w:rPr>
                <w:sz w:val="24"/>
                <w:szCs w:val="24"/>
                <w:color w:val="auto"/>
              </w:rPr>
            </w:pPr>
          </w:p>
        </w:tc>
        <w:tc>
          <w:tcPr>
            <w:tcW w:w="420" w:type="dxa"/>
            <w:vAlign w:val="bottom"/>
            <w:tcBorders>
              <w:bottom w:val="single" w:sz="8" w:color="auto"/>
            </w:tcBorders>
            <w:shd w:val="clear" w:color="auto" w:fill="E6E6E6"/>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4,274</w:t>
            </w:r>
          </w:p>
        </w:tc>
        <w:tc>
          <w:tcPr>
            <w:tcW w:w="20" w:type="dxa"/>
            <w:vAlign w:val="bottom"/>
            <w:tcBorders>
              <w:bottom w:val="single" w:sz="8" w:color="E6E6E6"/>
            </w:tcBorders>
            <w:shd w:val="clear" w:color="auto" w:fill="E6E6E6"/>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2913380</wp:posOffset>
            </wp:positionH>
            <wp:positionV relativeFrom="paragraph">
              <wp:posOffset>-4222115</wp:posOffset>
            </wp:positionV>
            <wp:extent cx="347916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91">
                      <a:extLst>
                        <a:ext uri="{28A0092B-C50C-407E-A947-70E740481C1C}"/>
                      </a:extLst>
                    </a:blip>
                    <a:srcRect/>
                    <a:stretch>
                      <a:fillRect/>
                    </a:stretch>
                  </pic:blipFill>
                  <pic:spPr bwMode="auto">
                    <a:xfrm>
                      <a:off x="0" y="0"/>
                      <a:ext cx="3479165" cy="25400"/>
                    </a:xfrm>
                    <a:prstGeom prst="rect">
                      <a:avLst/>
                    </a:prstGeom>
                    <a:noFill/>
                  </pic:spPr>
                </pic:pic>
              </a:graphicData>
            </a:graphic>
          </wp:anchor>
        </w:drawing>
        <w:drawing>
          <wp:anchor simplePos="0" relativeHeight="251657728" behindDoc="1" locked="0" layoutInCell="0" allowOverlap="1">
            <wp:simplePos x="0" y="0"/>
            <wp:positionH relativeFrom="column">
              <wp:posOffset>2913380</wp:posOffset>
            </wp:positionH>
            <wp:positionV relativeFrom="paragraph">
              <wp:posOffset>-2980690</wp:posOffset>
            </wp:positionV>
            <wp:extent cx="347916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192">
                      <a:extLst>
                        <a:ext uri="{28A0092B-C50C-407E-A947-70E740481C1C}"/>
                      </a:extLst>
                    </a:blip>
                    <a:srcRect/>
                    <a:stretch>
                      <a:fillRect/>
                    </a:stretch>
                  </pic:blipFill>
                  <pic:spPr bwMode="auto">
                    <a:xfrm>
                      <a:off x="0" y="0"/>
                      <a:ext cx="3479165" cy="25400"/>
                    </a:xfrm>
                    <a:prstGeom prst="rect">
                      <a:avLst/>
                    </a:prstGeom>
                    <a:noFill/>
                  </pic:spPr>
                </pic:pic>
              </a:graphicData>
            </a:graphic>
          </wp:anchor>
        </w:drawing>
        <w:drawing>
          <wp:anchor simplePos="0" relativeHeight="251657728" behindDoc="1" locked="0" layoutInCell="0" allowOverlap="1">
            <wp:simplePos x="0" y="0"/>
            <wp:positionH relativeFrom="column">
              <wp:posOffset>2913380</wp:posOffset>
            </wp:positionH>
            <wp:positionV relativeFrom="paragraph">
              <wp:posOffset>-2815590</wp:posOffset>
            </wp:positionV>
            <wp:extent cx="3479165" cy="501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93">
                      <a:extLst>
                        <a:ext uri="{28A0092B-C50C-407E-A947-70E740481C1C}"/>
                      </a:extLst>
                    </a:blip>
                    <a:srcRect/>
                    <a:stretch>
                      <a:fillRect/>
                    </a:stretch>
                  </pic:blipFill>
                  <pic:spPr bwMode="auto">
                    <a:xfrm>
                      <a:off x="0" y="0"/>
                      <a:ext cx="3479165" cy="50165"/>
                    </a:xfrm>
                    <a:prstGeom prst="rect">
                      <a:avLst/>
                    </a:prstGeom>
                    <a:noFill/>
                  </pic:spPr>
                </pic:pic>
              </a:graphicData>
            </a:graphic>
          </wp:anchor>
        </w:drawing>
        <w:drawing>
          <wp:anchor simplePos="0" relativeHeight="251657728" behindDoc="1" locked="0" layoutInCell="0" allowOverlap="1">
            <wp:simplePos x="0" y="0"/>
            <wp:positionH relativeFrom="column">
              <wp:posOffset>2913380</wp:posOffset>
            </wp:positionH>
            <wp:positionV relativeFrom="paragraph">
              <wp:posOffset>-1739265</wp:posOffset>
            </wp:positionV>
            <wp:extent cx="347916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194">
                      <a:extLst>
                        <a:ext uri="{28A0092B-C50C-407E-A947-70E740481C1C}"/>
                      </a:extLst>
                    </a:blip>
                    <a:srcRect/>
                    <a:stretch>
                      <a:fillRect/>
                    </a:stretch>
                  </pic:blipFill>
                  <pic:spPr bwMode="auto">
                    <a:xfrm>
                      <a:off x="0" y="0"/>
                      <a:ext cx="3479165" cy="25400"/>
                    </a:xfrm>
                    <a:prstGeom prst="rect">
                      <a:avLst/>
                    </a:prstGeom>
                    <a:noFill/>
                  </pic:spPr>
                </pic:pic>
              </a:graphicData>
            </a:graphic>
          </wp:anchor>
        </w:drawing>
        <w:drawing>
          <wp:anchor simplePos="0" relativeHeight="251657728" behindDoc="1" locked="0" layoutInCell="0" allowOverlap="1">
            <wp:simplePos x="0" y="0"/>
            <wp:positionH relativeFrom="column">
              <wp:posOffset>2913380</wp:posOffset>
            </wp:positionH>
            <wp:positionV relativeFrom="paragraph">
              <wp:posOffset>-1574165</wp:posOffset>
            </wp:positionV>
            <wp:extent cx="3479165" cy="501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95">
                      <a:extLst>
                        <a:ext uri="{28A0092B-C50C-407E-A947-70E740481C1C}"/>
                      </a:extLst>
                    </a:blip>
                    <a:srcRect/>
                    <a:stretch>
                      <a:fillRect/>
                    </a:stretch>
                  </pic:blipFill>
                  <pic:spPr bwMode="auto">
                    <a:xfrm>
                      <a:off x="0" y="0"/>
                      <a:ext cx="3479165" cy="50165"/>
                    </a:xfrm>
                    <a:prstGeom prst="rect">
                      <a:avLst/>
                    </a:prstGeom>
                    <a:noFill/>
                  </pic:spPr>
                </pic:pic>
              </a:graphicData>
            </a:graphic>
          </wp:anchor>
        </w:drawing>
        <w:drawing>
          <wp:anchor simplePos="0" relativeHeight="251657728" behindDoc="1" locked="0" layoutInCell="0" allowOverlap="1">
            <wp:simplePos x="0" y="0"/>
            <wp:positionH relativeFrom="column">
              <wp:posOffset>2913380</wp:posOffset>
            </wp:positionH>
            <wp:positionV relativeFrom="paragraph">
              <wp:posOffset>-1029335</wp:posOffset>
            </wp:positionV>
            <wp:extent cx="347916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96">
                      <a:extLst>
                        <a:ext uri="{28A0092B-C50C-407E-A947-70E740481C1C}"/>
                      </a:extLst>
                    </a:blip>
                    <a:srcRect/>
                    <a:stretch>
                      <a:fillRect/>
                    </a:stretch>
                  </pic:blipFill>
                  <pic:spPr bwMode="auto">
                    <a:xfrm>
                      <a:off x="0" y="0"/>
                      <a:ext cx="3479165" cy="25400"/>
                    </a:xfrm>
                    <a:prstGeom prst="rect">
                      <a:avLst/>
                    </a:prstGeom>
                    <a:noFill/>
                  </pic:spPr>
                </pic:pic>
              </a:graphicData>
            </a:graphic>
          </wp:anchor>
        </w:drawing>
        <w:drawing>
          <wp:anchor simplePos="0" relativeHeight="251657728" behindDoc="1" locked="0" layoutInCell="0" allowOverlap="1">
            <wp:simplePos x="0" y="0"/>
            <wp:positionH relativeFrom="column">
              <wp:posOffset>2913380</wp:posOffset>
            </wp:positionH>
            <wp:positionV relativeFrom="paragraph">
              <wp:posOffset>-864870</wp:posOffset>
            </wp:positionV>
            <wp:extent cx="3479165" cy="501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97">
                      <a:extLst>
                        <a:ext uri="{28A0092B-C50C-407E-A947-70E740481C1C}"/>
                      </a:extLst>
                    </a:blip>
                    <a:srcRect/>
                    <a:stretch>
                      <a:fillRect/>
                    </a:stretch>
                  </pic:blipFill>
                  <pic:spPr bwMode="auto">
                    <a:xfrm>
                      <a:off x="0" y="0"/>
                      <a:ext cx="3479165" cy="50165"/>
                    </a:xfrm>
                    <a:prstGeom prst="rect">
                      <a:avLst/>
                    </a:prstGeom>
                    <a:noFill/>
                  </pic:spPr>
                </pic:pic>
              </a:graphicData>
            </a:graphic>
          </wp:anchor>
        </w:drawing>
        <w:drawing>
          <wp:anchor simplePos="0" relativeHeight="251657728" behindDoc="1" locked="0" layoutInCell="0" allowOverlap="1">
            <wp:simplePos x="0" y="0"/>
            <wp:positionH relativeFrom="column">
              <wp:posOffset>2913380</wp:posOffset>
            </wp:positionH>
            <wp:positionV relativeFrom="paragraph">
              <wp:posOffset>-208280</wp:posOffset>
            </wp:positionV>
            <wp:extent cx="347916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198">
                      <a:extLst>
                        <a:ext uri="{28A0092B-C50C-407E-A947-70E740481C1C}"/>
                      </a:extLst>
                    </a:blip>
                    <a:srcRect/>
                    <a:stretch>
                      <a:fillRect/>
                    </a:stretch>
                  </pic:blipFill>
                  <pic:spPr bwMode="auto">
                    <a:xfrm>
                      <a:off x="0" y="0"/>
                      <a:ext cx="3479165" cy="25400"/>
                    </a:xfrm>
                    <a:prstGeom prst="rect">
                      <a:avLst/>
                    </a:prstGeom>
                    <a:noFill/>
                  </pic:spPr>
                </pic:pic>
              </a:graphicData>
            </a:graphic>
          </wp:anchor>
        </w:drawing>
        <w:drawing>
          <wp:anchor simplePos="0" relativeHeight="251657728" behindDoc="1" locked="0" layoutInCell="0" allowOverlap="1">
            <wp:simplePos x="0" y="0"/>
            <wp:positionH relativeFrom="column">
              <wp:posOffset>2913380</wp:posOffset>
            </wp:positionH>
            <wp:positionV relativeFrom="paragraph">
              <wp:posOffset>-43180</wp:posOffset>
            </wp:positionV>
            <wp:extent cx="3479165" cy="501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99">
                      <a:extLst>
                        <a:ext uri="{28A0092B-C50C-407E-A947-70E740481C1C}"/>
                      </a:extLst>
                    </a:blip>
                    <a:srcRect/>
                    <a:stretch>
                      <a:fillRect/>
                    </a:stretch>
                  </pic:blipFill>
                  <pic:spPr bwMode="auto">
                    <a:xfrm>
                      <a:off x="0" y="0"/>
                      <a:ext cx="3479165" cy="50165"/>
                    </a:xfrm>
                    <a:prstGeom prst="rect">
                      <a:avLst/>
                    </a:prstGeom>
                    <a:noFill/>
                  </pic:spPr>
                </pic:pic>
              </a:graphicData>
            </a:graphic>
          </wp:anchor>
        </w:drawing>
      </w:r>
    </w:p>
    <w:p>
      <w:pPr>
        <w:sectPr>
          <w:pgSz w:w="11880" w:h="15480" w:orient="portrait"/>
          <w:cols w:equalWidth="0" w:num="1">
            <w:col w:w="10040"/>
          </w:cols>
          <w:pgMar w:left="920" w:top="66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F-37</w:t>
      </w:r>
    </w:p>
    <w:p>
      <w:pPr>
        <w:sectPr>
          <w:pgSz w:w="11880" w:h="15480" w:orient="portrait"/>
          <w:cols w:equalWidth="0" w:num="1">
            <w:col w:w="10040"/>
          </w:cols>
          <w:pgMar w:left="920" w:top="664" w:right="920" w:bottom="0" w:gutter="0" w:footer="0" w:header="0"/>
          <w:type w:val="continuous"/>
        </w:sectPr>
      </w:pPr>
    </w:p>
    <w:bookmarkStart w:id="95" w:name="page96"/>
    <w:bookmarkEnd w:id="95"/>
    <w:p>
      <w:pPr>
        <w:spacing w:after="0" w:line="284" w:lineRule="auto"/>
        <w:rPr>
          <w:sz w:val="20"/>
          <w:szCs w:val="20"/>
          <w:color w:val="auto"/>
        </w:rPr>
      </w:pPr>
      <w:r>
        <w:rPr>
          <w:rFonts w:ascii="Arial" w:cs="Arial" w:eastAsia="Arial" w:hAnsi="Arial"/>
          <w:sz w:val="20"/>
          <w:szCs w:val="20"/>
          <w:color w:val="auto"/>
        </w:rPr>
        <w:t>The following table presents the change in benefit obligations and funded status of LivaNova’s non-U.S. pension benefits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2940" w:type="dxa"/>
            <w:vAlign w:val="bottom"/>
            <w:tcBorders>
              <w:bottom w:val="single" w:sz="8" w:color="auto"/>
            </w:tcBorders>
            <w:gridSpan w:val="6"/>
          </w:tcPr>
          <w:p>
            <w:pPr>
              <w:jc w:val="right"/>
              <w:ind w:right="182"/>
              <w:spacing w:after="0"/>
              <w:rPr>
                <w:sz w:val="20"/>
                <w:szCs w:val="20"/>
                <w:color w:val="auto"/>
              </w:rPr>
            </w:pPr>
            <w:r>
              <w:rPr>
                <w:rFonts w:ascii="Arial" w:cs="Arial" w:eastAsia="Arial" w:hAnsi="Arial"/>
                <w:sz w:val="20"/>
                <w:szCs w:val="20"/>
                <w:b w:val="1"/>
                <w:bCs w:val="1"/>
                <w:color w:val="auto"/>
              </w:rPr>
              <w:t>Non-U.S. Pension Benefits</w:t>
            </w:r>
          </w:p>
        </w:tc>
        <w:tc>
          <w:tcPr>
            <w:tcW w:w="13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60"/>
        </w:trPr>
        <w:tc>
          <w:tcPr>
            <w:tcW w:w="460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2024</w:t>
            </w:r>
          </w:p>
        </w:tc>
        <w:tc>
          <w:tcPr>
            <w:tcW w:w="620" w:type="dxa"/>
            <w:vAlign w:val="bottom"/>
            <w:tcBorders>
              <w:bottom w:val="single" w:sz="8" w:color="auto"/>
            </w:tcBorders>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82"/>
              <w:spacing w:after="0"/>
              <w:rPr>
                <w:sz w:val="20"/>
                <w:szCs w:val="20"/>
                <w:color w:val="auto"/>
              </w:rPr>
            </w:pPr>
            <w:r>
              <w:rPr>
                <w:rFonts w:ascii="Arial" w:cs="Arial" w:eastAsia="Arial" w:hAnsi="Arial"/>
                <w:sz w:val="20"/>
                <w:szCs w:val="20"/>
                <w:b w:val="1"/>
                <w:bCs w:val="1"/>
                <w:color w:val="auto"/>
              </w:rPr>
              <w:t>2023</w:t>
            </w:r>
          </w:p>
        </w:tc>
        <w:tc>
          <w:tcPr>
            <w:tcW w:w="80" w:type="dxa"/>
            <w:vAlign w:val="bottom"/>
            <w:tcBorders>
              <w:bottom w:val="single" w:sz="8" w:color="E6E6E6"/>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82"/>
              <w:spacing w:after="0"/>
              <w:rPr>
                <w:sz w:val="20"/>
                <w:szCs w:val="20"/>
                <w:color w:val="auto"/>
              </w:rPr>
            </w:pPr>
            <w:r>
              <w:rPr>
                <w:rFonts w:ascii="Arial" w:cs="Arial" w:eastAsia="Arial" w:hAnsi="Arial"/>
                <w:sz w:val="20"/>
                <w:szCs w:val="20"/>
                <w:b w:val="1"/>
                <w:bCs w:val="1"/>
                <w:color w:val="auto"/>
              </w:rPr>
              <w:t>2022</w:t>
            </w:r>
          </w:p>
        </w:tc>
        <w:tc>
          <w:tcPr>
            <w:tcW w:w="20" w:type="dxa"/>
            <w:vAlign w:val="bottom"/>
            <w:tcBorders>
              <w:bottom w:val="single" w:sz="8" w:color="auto"/>
            </w:tcBorders>
          </w:tcPr>
          <w:p>
            <w:pPr>
              <w:spacing w:after="0"/>
              <w:rPr>
                <w:sz w:val="22"/>
                <w:szCs w:val="22"/>
                <w:color w:val="auto"/>
              </w:rPr>
            </w:pPr>
          </w:p>
        </w:tc>
      </w:tr>
      <w:tr>
        <w:trPr>
          <w:trHeight w:val="269"/>
        </w:trPr>
        <w:tc>
          <w:tcPr>
            <w:tcW w:w="4640" w:type="dxa"/>
            <w:vAlign w:val="bottom"/>
            <w:gridSpan w:val="3"/>
            <w:shd w:val="clear" w:color="auto" w:fill="E6E6E6"/>
          </w:tcPr>
          <w:p>
            <w:pPr>
              <w:ind w:left="40"/>
              <w:spacing w:after="0"/>
              <w:rPr>
                <w:sz w:val="20"/>
                <w:szCs w:val="20"/>
                <w:color w:val="auto"/>
              </w:rPr>
            </w:pPr>
            <w:r>
              <w:rPr>
                <w:rFonts w:ascii="Arial" w:cs="Arial" w:eastAsia="Arial" w:hAnsi="Arial"/>
                <w:sz w:val="20"/>
                <w:szCs w:val="20"/>
                <w:color w:val="auto"/>
              </w:rPr>
              <w:t>Accumulated benefit obligations at year-end</w:t>
            </w:r>
          </w:p>
        </w:tc>
        <w:tc>
          <w:tcPr>
            <w:tcW w:w="1120" w:type="dxa"/>
            <w:vAlign w:val="bottom"/>
            <w:shd w:val="clear" w:color="auto" w:fill="E6E6E6"/>
          </w:tcPr>
          <w:p>
            <w:pPr>
              <w:jc w:val="right"/>
              <w:ind w:right="902"/>
              <w:spacing w:after="0"/>
              <w:rPr>
                <w:sz w:val="20"/>
                <w:szCs w:val="20"/>
                <w:color w:val="auto"/>
              </w:rPr>
            </w:pPr>
            <w:r>
              <w:rPr>
                <w:rFonts w:ascii="Arial" w:cs="Arial" w:eastAsia="Arial" w:hAnsi="Arial"/>
                <w:sz w:val="20"/>
                <w:szCs w:val="20"/>
                <w:color w:val="auto"/>
                <w:w w:val="89"/>
              </w:rPr>
              <w:t>$</w:t>
            </w:r>
          </w:p>
        </w:tc>
        <w:tc>
          <w:tcPr>
            <w:tcW w:w="6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7,215</w:t>
            </w:r>
          </w:p>
        </w:tc>
        <w:tc>
          <w:tcPr>
            <w:tcW w:w="480" w:type="dxa"/>
            <w:vAlign w:val="bottom"/>
            <w:gridSpan w:val="2"/>
            <w:shd w:val="clear" w:color="auto" w:fill="E6E6E6"/>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8,099</w:t>
            </w:r>
          </w:p>
        </w:tc>
        <w:tc>
          <w:tcPr>
            <w:tcW w:w="500" w:type="dxa"/>
            <w:vAlign w:val="bottom"/>
            <w:gridSpan w:val="2"/>
            <w:shd w:val="clear" w:color="auto" w:fill="E6E6E6"/>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8,248</w:t>
            </w:r>
          </w:p>
        </w:tc>
        <w:tc>
          <w:tcPr>
            <w:tcW w:w="20" w:type="dxa"/>
            <w:vAlign w:val="bottom"/>
            <w:shd w:val="clear" w:color="auto" w:fill="E6E6E6"/>
          </w:tcPr>
          <w:p>
            <w:pPr>
              <w:spacing w:after="0"/>
              <w:rPr>
                <w:sz w:val="23"/>
                <w:szCs w:val="23"/>
                <w:color w:val="auto"/>
              </w:rPr>
            </w:pPr>
          </w:p>
        </w:tc>
      </w:tr>
      <w:tr>
        <w:trPr>
          <w:trHeight w:val="274"/>
        </w:trPr>
        <w:tc>
          <w:tcPr>
            <w:tcW w:w="4640" w:type="dxa"/>
            <w:vAlign w:val="bottom"/>
            <w:gridSpan w:val="3"/>
          </w:tcPr>
          <w:p>
            <w:pPr>
              <w:ind w:left="40"/>
              <w:spacing w:after="0"/>
              <w:rPr>
                <w:sz w:val="20"/>
                <w:szCs w:val="20"/>
                <w:color w:val="auto"/>
              </w:rPr>
            </w:pPr>
            <w:r>
              <w:rPr>
                <w:rFonts w:ascii="Arial" w:cs="Arial" w:eastAsia="Arial" w:hAnsi="Arial"/>
                <w:sz w:val="20"/>
                <w:szCs w:val="20"/>
                <w:color w:val="auto"/>
              </w:rPr>
              <w:t>Change in projected benefit obligation:</w:t>
            </w:r>
          </w:p>
        </w:tc>
        <w:tc>
          <w:tcPr>
            <w:tcW w:w="1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85"/>
        </w:trPr>
        <w:tc>
          <w:tcPr>
            <w:tcW w:w="4640" w:type="dxa"/>
            <w:vAlign w:val="bottom"/>
            <w:gridSpan w:val="3"/>
            <w:shd w:val="clear" w:color="auto" w:fill="E6E6E6"/>
          </w:tcPr>
          <w:p>
            <w:pPr>
              <w:ind w:left="40"/>
              <w:spacing w:after="0"/>
              <w:rPr>
                <w:sz w:val="20"/>
                <w:szCs w:val="20"/>
                <w:color w:val="auto"/>
              </w:rPr>
            </w:pPr>
            <w:r>
              <w:rPr>
                <w:rFonts w:ascii="Arial" w:cs="Arial" w:eastAsia="Arial" w:hAnsi="Arial"/>
                <w:sz w:val="20"/>
                <w:szCs w:val="20"/>
                <w:color w:val="auto"/>
              </w:rPr>
              <w:t>Projected benefit obligation at beginning of year</w:t>
            </w:r>
          </w:p>
        </w:tc>
        <w:tc>
          <w:tcPr>
            <w:tcW w:w="1120" w:type="dxa"/>
            <w:vAlign w:val="bottom"/>
            <w:shd w:val="clear" w:color="auto" w:fill="E6E6E6"/>
          </w:tcPr>
          <w:p>
            <w:pPr>
              <w:jc w:val="right"/>
              <w:ind w:right="902"/>
              <w:spacing w:after="0"/>
              <w:rPr>
                <w:sz w:val="20"/>
                <w:szCs w:val="20"/>
                <w:color w:val="auto"/>
              </w:rPr>
            </w:pPr>
            <w:r>
              <w:rPr>
                <w:rFonts w:ascii="Arial" w:cs="Arial" w:eastAsia="Arial" w:hAnsi="Arial"/>
                <w:sz w:val="20"/>
                <w:szCs w:val="20"/>
                <w:color w:val="auto"/>
                <w:w w:val="89"/>
              </w:rPr>
              <w:t>$</w:t>
            </w:r>
          </w:p>
        </w:tc>
        <w:tc>
          <w:tcPr>
            <w:tcW w:w="6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8,260</w:t>
            </w:r>
          </w:p>
        </w:tc>
        <w:tc>
          <w:tcPr>
            <w:tcW w:w="480" w:type="dxa"/>
            <w:vAlign w:val="bottom"/>
            <w:gridSpan w:val="2"/>
            <w:shd w:val="clear" w:color="auto" w:fill="E6E6E6"/>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8,532</w:t>
            </w:r>
          </w:p>
        </w:tc>
        <w:tc>
          <w:tcPr>
            <w:tcW w:w="500" w:type="dxa"/>
            <w:vAlign w:val="bottom"/>
            <w:gridSpan w:val="2"/>
            <w:shd w:val="clear" w:color="auto" w:fill="E6E6E6"/>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10,817</w:t>
            </w:r>
          </w:p>
        </w:tc>
        <w:tc>
          <w:tcPr>
            <w:tcW w:w="20" w:type="dxa"/>
            <w:vAlign w:val="bottom"/>
            <w:shd w:val="clear" w:color="auto" w:fill="E6E6E6"/>
          </w:tcPr>
          <w:p>
            <w:pPr>
              <w:spacing w:after="0"/>
              <w:rPr>
                <w:sz w:val="24"/>
                <w:szCs w:val="24"/>
                <w:color w:val="auto"/>
              </w:rPr>
            </w:pPr>
          </w:p>
        </w:tc>
      </w:tr>
      <w:tr>
        <w:trPr>
          <w:trHeight w:val="274"/>
        </w:trPr>
        <w:tc>
          <w:tcPr>
            <w:tcW w:w="4640" w:type="dxa"/>
            <w:vAlign w:val="bottom"/>
            <w:gridSpan w:val="3"/>
          </w:tcPr>
          <w:p>
            <w:pPr>
              <w:ind w:left="40"/>
              <w:spacing w:after="0"/>
              <w:rPr>
                <w:sz w:val="20"/>
                <w:szCs w:val="20"/>
                <w:color w:val="auto"/>
              </w:rPr>
            </w:pPr>
            <w:r>
              <w:rPr>
                <w:rFonts w:ascii="Arial" w:cs="Arial" w:eastAsia="Arial" w:hAnsi="Arial"/>
                <w:sz w:val="20"/>
                <w:szCs w:val="20"/>
                <w:color w:val="auto"/>
              </w:rPr>
              <w:t>Service cost</w:t>
            </w:r>
          </w:p>
        </w:tc>
        <w:tc>
          <w:tcPr>
            <w:tcW w:w="1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225</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239</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259</w:t>
            </w:r>
          </w:p>
        </w:tc>
        <w:tc>
          <w:tcPr>
            <w:tcW w:w="20" w:type="dxa"/>
            <w:vAlign w:val="bottom"/>
          </w:tcPr>
          <w:p>
            <w:pPr>
              <w:spacing w:after="0"/>
              <w:rPr>
                <w:sz w:val="23"/>
                <w:szCs w:val="23"/>
                <w:color w:val="auto"/>
              </w:rPr>
            </w:pPr>
          </w:p>
        </w:tc>
      </w:tr>
      <w:tr>
        <w:trPr>
          <w:trHeight w:val="285"/>
        </w:trPr>
        <w:tc>
          <w:tcPr>
            <w:tcW w:w="4640" w:type="dxa"/>
            <w:vAlign w:val="bottom"/>
            <w:gridSpan w:val="3"/>
            <w:shd w:val="clear" w:color="auto" w:fill="E6E6E6"/>
          </w:tcPr>
          <w:p>
            <w:pPr>
              <w:ind w:left="40"/>
              <w:spacing w:after="0"/>
              <w:rPr>
                <w:sz w:val="20"/>
                <w:szCs w:val="20"/>
                <w:color w:val="auto"/>
              </w:rPr>
            </w:pPr>
            <w:r>
              <w:rPr>
                <w:rFonts w:ascii="Arial" w:cs="Arial" w:eastAsia="Arial" w:hAnsi="Arial"/>
                <w:sz w:val="20"/>
                <w:szCs w:val="20"/>
                <w:color w:val="auto"/>
              </w:rPr>
              <w:t>Interest cost</w:t>
            </w:r>
          </w:p>
        </w:tc>
        <w:tc>
          <w:tcPr>
            <w:tcW w:w="1120" w:type="dxa"/>
            <w:vAlign w:val="bottom"/>
            <w:shd w:val="clear" w:color="auto" w:fill="E6E6E6"/>
          </w:tcPr>
          <w:p>
            <w:pPr>
              <w:spacing w:after="0"/>
              <w:rPr>
                <w:sz w:val="24"/>
                <w:szCs w:val="24"/>
                <w:color w:val="auto"/>
              </w:rPr>
            </w:pPr>
          </w:p>
        </w:tc>
        <w:tc>
          <w:tcPr>
            <w:tcW w:w="6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205</w:t>
            </w:r>
          </w:p>
        </w:tc>
        <w:tc>
          <w:tcPr>
            <w:tcW w:w="6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239</w:t>
            </w:r>
          </w:p>
        </w:tc>
        <w:tc>
          <w:tcPr>
            <w:tcW w:w="8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83</w:t>
            </w:r>
          </w:p>
        </w:tc>
        <w:tc>
          <w:tcPr>
            <w:tcW w:w="20" w:type="dxa"/>
            <w:vAlign w:val="bottom"/>
            <w:shd w:val="clear" w:color="auto" w:fill="E6E6E6"/>
          </w:tcPr>
          <w:p>
            <w:pPr>
              <w:spacing w:after="0"/>
              <w:rPr>
                <w:sz w:val="24"/>
                <w:szCs w:val="24"/>
                <w:color w:val="auto"/>
              </w:rPr>
            </w:pPr>
          </w:p>
        </w:tc>
      </w:tr>
      <w:tr>
        <w:trPr>
          <w:trHeight w:val="274"/>
        </w:trPr>
        <w:tc>
          <w:tcPr>
            <w:tcW w:w="4640" w:type="dxa"/>
            <w:vAlign w:val="bottom"/>
            <w:gridSpan w:val="3"/>
          </w:tcPr>
          <w:p>
            <w:pPr>
              <w:ind w:left="40"/>
              <w:spacing w:after="0"/>
              <w:rPr>
                <w:sz w:val="20"/>
                <w:szCs w:val="20"/>
                <w:color w:val="auto"/>
              </w:rPr>
            </w:pPr>
            <w:r>
              <w:rPr>
                <w:rFonts w:ascii="Arial" w:cs="Arial" w:eastAsia="Arial" w:hAnsi="Arial"/>
                <w:sz w:val="20"/>
                <w:szCs w:val="20"/>
                <w:color w:val="auto"/>
              </w:rPr>
              <w:t>Actuarial (gain)/loss</w:t>
            </w:r>
          </w:p>
        </w:tc>
        <w:tc>
          <w:tcPr>
            <w:tcW w:w="1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(208)</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86</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(831)</w:t>
            </w:r>
          </w:p>
        </w:tc>
        <w:tc>
          <w:tcPr>
            <w:tcW w:w="20" w:type="dxa"/>
            <w:vAlign w:val="bottom"/>
          </w:tcPr>
          <w:p>
            <w:pPr>
              <w:spacing w:after="0"/>
              <w:rPr>
                <w:sz w:val="23"/>
                <w:szCs w:val="23"/>
                <w:color w:val="auto"/>
              </w:rPr>
            </w:pPr>
          </w:p>
        </w:tc>
      </w:tr>
      <w:tr>
        <w:trPr>
          <w:trHeight w:val="285"/>
        </w:trPr>
        <w:tc>
          <w:tcPr>
            <w:tcW w:w="4640" w:type="dxa"/>
            <w:vAlign w:val="bottom"/>
            <w:gridSpan w:val="3"/>
            <w:shd w:val="clear" w:color="auto" w:fill="E6E6E6"/>
          </w:tcPr>
          <w:p>
            <w:pPr>
              <w:ind w:left="40"/>
              <w:spacing w:after="0"/>
              <w:rPr>
                <w:sz w:val="20"/>
                <w:szCs w:val="20"/>
                <w:color w:val="auto"/>
              </w:rPr>
            </w:pPr>
            <w:r>
              <w:rPr>
                <w:rFonts w:ascii="Arial" w:cs="Arial" w:eastAsia="Arial" w:hAnsi="Arial"/>
                <w:sz w:val="20"/>
                <w:szCs w:val="20"/>
                <w:color w:val="auto"/>
              </w:rPr>
              <w:t>Benefits paid</w:t>
            </w:r>
          </w:p>
        </w:tc>
        <w:tc>
          <w:tcPr>
            <w:tcW w:w="1120" w:type="dxa"/>
            <w:vAlign w:val="bottom"/>
            <w:shd w:val="clear" w:color="auto" w:fill="E6E6E6"/>
          </w:tcPr>
          <w:p>
            <w:pPr>
              <w:spacing w:after="0"/>
              <w:rPr>
                <w:sz w:val="24"/>
                <w:szCs w:val="24"/>
                <w:color w:val="auto"/>
              </w:rPr>
            </w:pPr>
          </w:p>
        </w:tc>
        <w:tc>
          <w:tcPr>
            <w:tcW w:w="6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(316)</w:t>
            </w:r>
          </w:p>
        </w:tc>
        <w:tc>
          <w:tcPr>
            <w:tcW w:w="6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(972)</w:t>
            </w:r>
          </w:p>
        </w:tc>
        <w:tc>
          <w:tcPr>
            <w:tcW w:w="8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(1,060)</w:t>
            </w:r>
          </w:p>
        </w:tc>
        <w:tc>
          <w:tcPr>
            <w:tcW w:w="20" w:type="dxa"/>
            <w:vAlign w:val="bottom"/>
            <w:shd w:val="clear" w:color="auto" w:fill="E6E6E6"/>
          </w:tcPr>
          <w:p>
            <w:pPr>
              <w:spacing w:after="0"/>
              <w:rPr>
                <w:sz w:val="24"/>
                <w:szCs w:val="24"/>
                <w:color w:val="auto"/>
              </w:rPr>
            </w:pPr>
          </w:p>
        </w:tc>
      </w:tr>
      <w:tr>
        <w:trPr>
          <w:trHeight w:val="269"/>
        </w:trPr>
        <w:tc>
          <w:tcPr>
            <w:tcW w:w="4640" w:type="dxa"/>
            <w:vAlign w:val="bottom"/>
            <w:tcBorders>
              <w:bottom w:val="single" w:sz="8" w:color="E6E6E6"/>
            </w:tcBorders>
            <w:gridSpan w:val="3"/>
          </w:tcPr>
          <w:p>
            <w:pPr>
              <w:ind w:left="40"/>
              <w:spacing w:after="0"/>
              <w:rPr>
                <w:sz w:val="20"/>
                <w:szCs w:val="20"/>
                <w:color w:val="auto"/>
              </w:rPr>
            </w:pPr>
            <w:r>
              <w:rPr>
                <w:rFonts w:ascii="Arial" w:cs="Arial" w:eastAsia="Arial" w:hAnsi="Arial"/>
                <w:sz w:val="20"/>
                <w:szCs w:val="20"/>
                <w:color w:val="auto"/>
              </w:rPr>
              <w:t>Foreign currency exchange rate changes and other</w:t>
            </w:r>
          </w:p>
        </w:tc>
        <w:tc>
          <w:tcPr>
            <w:tcW w:w="11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(572)</w:t>
            </w:r>
          </w:p>
        </w:tc>
        <w:tc>
          <w:tcPr>
            <w:tcW w:w="60" w:type="dxa"/>
            <w:vAlign w:val="bottom"/>
            <w:tcBorders>
              <w:bottom w:val="single" w:sz="8" w:color="E6E6E6"/>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136</w:t>
            </w:r>
          </w:p>
        </w:tc>
        <w:tc>
          <w:tcPr>
            <w:tcW w:w="80" w:type="dxa"/>
            <w:vAlign w:val="bottom"/>
            <w:tcBorders>
              <w:bottom w:val="single" w:sz="8" w:color="E6E6E6"/>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(736)</w:t>
            </w:r>
          </w:p>
        </w:tc>
        <w:tc>
          <w:tcPr>
            <w:tcW w:w="20" w:type="dxa"/>
            <w:vAlign w:val="bottom"/>
            <w:tcBorders>
              <w:bottom w:val="single" w:sz="8" w:color="auto"/>
            </w:tcBorders>
          </w:tcPr>
          <w:p>
            <w:pPr>
              <w:spacing w:after="0"/>
              <w:rPr>
                <w:sz w:val="23"/>
                <w:szCs w:val="23"/>
                <w:color w:val="auto"/>
              </w:rPr>
            </w:pPr>
          </w:p>
        </w:tc>
      </w:tr>
      <w:tr>
        <w:trPr>
          <w:trHeight w:val="279"/>
        </w:trPr>
        <w:tc>
          <w:tcPr>
            <w:tcW w:w="4640" w:type="dxa"/>
            <w:vAlign w:val="bottom"/>
            <w:gridSpan w:val="3"/>
            <w:shd w:val="clear" w:color="auto" w:fill="E6E6E6"/>
          </w:tcPr>
          <w:p>
            <w:pPr>
              <w:ind w:left="40"/>
              <w:spacing w:after="0"/>
              <w:rPr>
                <w:sz w:val="20"/>
                <w:szCs w:val="20"/>
                <w:color w:val="auto"/>
              </w:rPr>
            </w:pPr>
            <w:r>
              <w:rPr>
                <w:rFonts w:ascii="Arial" w:cs="Arial" w:eastAsia="Arial" w:hAnsi="Arial"/>
                <w:sz w:val="20"/>
                <w:szCs w:val="20"/>
                <w:color w:val="auto"/>
              </w:rPr>
              <w:t>Projected benefit obligation at end of year</w:t>
            </w:r>
          </w:p>
        </w:tc>
        <w:tc>
          <w:tcPr>
            <w:tcW w:w="1120" w:type="dxa"/>
            <w:vAlign w:val="bottom"/>
            <w:shd w:val="clear" w:color="auto" w:fill="E6E6E6"/>
          </w:tcPr>
          <w:p>
            <w:pPr>
              <w:jc w:val="right"/>
              <w:ind w:right="902"/>
              <w:spacing w:after="0"/>
              <w:rPr>
                <w:sz w:val="20"/>
                <w:szCs w:val="20"/>
                <w:color w:val="auto"/>
              </w:rPr>
            </w:pPr>
            <w:r>
              <w:rPr>
                <w:rFonts w:ascii="Arial" w:cs="Arial" w:eastAsia="Arial" w:hAnsi="Arial"/>
                <w:sz w:val="20"/>
                <w:szCs w:val="20"/>
                <w:color w:val="auto"/>
                <w:w w:val="89"/>
              </w:rPr>
              <w:t>$</w:t>
            </w:r>
          </w:p>
        </w:tc>
        <w:tc>
          <w:tcPr>
            <w:tcW w:w="6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7,594</w:t>
            </w:r>
          </w:p>
        </w:tc>
        <w:tc>
          <w:tcPr>
            <w:tcW w:w="480" w:type="dxa"/>
            <w:vAlign w:val="bottom"/>
            <w:gridSpan w:val="2"/>
            <w:shd w:val="clear" w:color="auto" w:fill="E6E6E6"/>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8,260</w:t>
            </w:r>
          </w:p>
        </w:tc>
        <w:tc>
          <w:tcPr>
            <w:tcW w:w="500" w:type="dxa"/>
            <w:vAlign w:val="bottom"/>
            <w:gridSpan w:val="2"/>
            <w:shd w:val="clear" w:color="auto" w:fill="E6E6E6"/>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8,532</w:t>
            </w:r>
          </w:p>
        </w:tc>
        <w:tc>
          <w:tcPr>
            <w:tcW w:w="20" w:type="dxa"/>
            <w:vAlign w:val="bottom"/>
            <w:shd w:val="clear" w:color="auto" w:fill="E6E6E6"/>
          </w:tcPr>
          <w:p>
            <w:pPr>
              <w:spacing w:after="0"/>
              <w:rPr>
                <w:sz w:val="24"/>
                <w:szCs w:val="24"/>
                <w:color w:val="auto"/>
              </w:rPr>
            </w:pPr>
          </w:p>
        </w:tc>
      </w:tr>
      <w:tr>
        <w:trPr>
          <w:trHeight w:val="244"/>
        </w:trPr>
        <w:tc>
          <w:tcPr>
            <w:tcW w:w="4620" w:type="dxa"/>
            <w:vAlign w:val="bottom"/>
            <w:tcBorders>
              <w:top w:val="single" w:sz="8" w:color="E6E6E6"/>
            </w:tcBorders>
            <w:gridSpan w:val="2"/>
          </w:tcPr>
          <w:p>
            <w:pPr>
              <w:ind w:left="40"/>
              <w:spacing w:after="0"/>
              <w:rPr>
                <w:sz w:val="20"/>
                <w:szCs w:val="20"/>
                <w:color w:val="auto"/>
              </w:rPr>
            </w:pPr>
            <w:r>
              <w:rPr>
                <w:rFonts w:ascii="Arial" w:cs="Arial" w:eastAsia="Arial" w:hAnsi="Arial"/>
                <w:sz w:val="20"/>
                <w:szCs w:val="20"/>
                <w:color w:val="auto"/>
              </w:rPr>
              <w:t>Change in plan assets:</w:t>
            </w:r>
          </w:p>
        </w:tc>
        <w:tc>
          <w:tcPr>
            <w:tcW w:w="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60" w:type="dxa"/>
            <w:vAlign w:val="bottom"/>
            <w:tcBorders>
              <w:top w:val="single" w:sz="8" w:color="E6E6E6"/>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80" w:type="dxa"/>
            <w:vAlign w:val="bottom"/>
            <w:tcBorders>
              <w:top w:val="single" w:sz="8" w:color="E6E6E6"/>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r>
      <w:tr>
        <w:trPr>
          <w:trHeight w:val="285"/>
        </w:trPr>
        <w:tc>
          <w:tcPr>
            <w:tcW w:w="4640" w:type="dxa"/>
            <w:vAlign w:val="bottom"/>
            <w:gridSpan w:val="3"/>
            <w:shd w:val="clear" w:color="auto" w:fill="E6E6E6"/>
          </w:tcPr>
          <w:p>
            <w:pPr>
              <w:ind w:left="40"/>
              <w:spacing w:after="0"/>
              <w:rPr>
                <w:sz w:val="20"/>
                <w:szCs w:val="20"/>
                <w:color w:val="auto"/>
              </w:rPr>
            </w:pPr>
            <w:r>
              <w:rPr>
                <w:rFonts w:ascii="Arial" w:cs="Arial" w:eastAsia="Arial" w:hAnsi="Arial"/>
                <w:sz w:val="20"/>
                <w:szCs w:val="20"/>
                <w:color w:val="auto"/>
              </w:rPr>
              <w:t>Fair value of plan assets at beginning of year</w:t>
            </w:r>
          </w:p>
        </w:tc>
        <w:tc>
          <w:tcPr>
            <w:tcW w:w="1120" w:type="dxa"/>
            <w:vAlign w:val="bottom"/>
            <w:shd w:val="clear" w:color="auto" w:fill="E6E6E6"/>
          </w:tcPr>
          <w:p>
            <w:pPr>
              <w:jc w:val="right"/>
              <w:ind w:right="902"/>
              <w:spacing w:after="0"/>
              <w:rPr>
                <w:sz w:val="20"/>
                <w:szCs w:val="20"/>
                <w:color w:val="auto"/>
              </w:rPr>
            </w:pPr>
            <w:r>
              <w:rPr>
                <w:rFonts w:ascii="Arial" w:cs="Arial" w:eastAsia="Arial" w:hAnsi="Arial"/>
                <w:sz w:val="20"/>
                <w:szCs w:val="20"/>
                <w:color w:val="auto"/>
                <w:w w:val="89"/>
              </w:rPr>
              <w:t>$</w:t>
            </w:r>
          </w:p>
        </w:tc>
        <w:tc>
          <w:tcPr>
            <w:tcW w:w="6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3,290</w:t>
            </w:r>
          </w:p>
        </w:tc>
        <w:tc>
          <w:tcPr>
            <w:tcW w:w="480" w:type="dxa"/>
            <w:vAlign w:val="bottom"/>
            <w:gridSpan w:val="2"/>
            <w:shd w:val="clear" w:color="auto" w:fill="E6E6E6"/>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3,232</w:t>
            </w:r>
          </w:p>
        </w:tc>
        <w:tc>
          <w:tcPr>
            <w:tcW w:w="500" w:type="dxa"/>
            <w:vAlign w:val="bottom"/>
            <w:gridSpan w:val="2"/>
            <w:shd w:val="clear" w:color="auto" w:fill="E6E6E6"/>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3,142</w:t>
            </w:r>
          </w:p>
        </w:tc>
        <w:tc>
          <w:tcPr>
            <w:tcW w:w="20" w:type="dxa"/>
            <w:vAlign w:val="bottom"/>
            <w:shd w:val="clear" w:color="auto" w:fill="E6E6E6"/>
          </w:tcPr>
          <w:p>
            <w:pPr>
              <w:spacing w:after="0"/>
              <w:rPr>
                <w:sz w:val="24"/>
                <w:szCs w:val="24"/>
                <w:color w:val="auto"/>
              </w:rPr>
            </w:pPr>
          </w:p>
        </w:tc>
      </w:tr>
      <w:tr>
        <w:trPr>
          <w:trHeight w:val="274"/>
        </w:trPr>
        <w:tc>
          <w:tcPr>
            <w:tcW w:w="4640" w:type="dxa"/>
            <w:vAlign w:val="bottom"/>
            <w:gridSpan w:val="3"/>
          </w:tcPr>
          <w:p>
            <w:pPr>
              <w:ind w:left="40"/>
              <w:spacing w:after="0"/>
              <w:rPr>
                <w:sz w:val="20"/>
                <w:szCs w:val="20"/>
                <w:color w:val="auto"/>
              </w:rPr>
            </w:pPr>
            <w:r>
              <w:rPr>
                <w:rFonts w:ascii="Arial" w:cs="Arial" w:eastAsia="Arial" w:hAnsi="Arial"/>
                <w:sz w:val="20"/>
                <w:szCs w:val="20"/>
                <w:color w:val="auto"/>
              </w:rPr>
              <w:t>Actual return on plan assets</w:t>
            </w:r>
          </w:p>
        </w:tc>
        <w:tc>
          <w:tcPr>
            <w:tcW w:w="1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(20)</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(78)</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(80)</w:t>
            </w:r>
          </w:p>
        </w:tc>
        <w:tc>
          <w:tcPr>
            <w:tcW w:w="20" w:type="dxa"/>
            <w:vAlign w:val="bottom"/>
          </w:tcPr>
          <w:p>
            <w:pPr>
              <w:spacing w:after="0"/>
              <w:rPr>
                <w:sz w:val="23"/>
                <w:szCs w:val="23"/>
                <w:color w:val="auto"/>
              </w:rPr>
            </w:pPr>
          </w:p>
        </w:tc>
      </w:tr>
      <w:tr>
        <w:trPr>
          <w:trHeight w:val="285"/>
        </w:trPr>
        <w:tc>
          <w:tcPr>
            <w:tcW w:w="4640" w:type="dxa"/>
            <w:vAlign w:val="bottom"/>
            <w:gridSpan w:val="3"/>
            <w:shd w:val="clear" w:color="auto" w:fill="E6E6E6"/>
          </w:tcPr>
          <w:p>
            <w:pPr>
              <w:ind w:left="40"/>
              <w:spacing w:after="0"/>
              <w:rPr>
                <w:sz w:val="20"/>
                <w:szCs w:val="20"/>
                <w:color w:val="auto"/>
              </w:rPr>
            </w:pPr>
            <w:r>
              <w:rPr>
                <w:rFonts w:ascii="Arial" w:cs="Arial" w:eastAsia="Arial" w:hAnsi="Arial"/>
                <w:sz w:val="20"/>
                <w:szCs w:val="20"/>
                <w:color w:val="auto"/>
              </w:rPr>
              <w:t>Employer contributions</w:t>
            </w:r>
          </w:p>
        </w:tc>
        <w:tc>
          <w:tcPr>
            <w:tcW w:w="1120" w:type="dxa"/>
            <w:vAlign w:val="bottom"/>
            <w:shd w:val="clear" w:color="auto" w:fill="E6E6E6"/>
          </w:tcPr>
          <w:p>
            <w:pPr>
              <w:spacing w:after="0"/>
              <w:rPr>
                <w:sz w:val="24"/>
                <w:szCs w:val="24"/>
                <w:color w:val="auto"/>
              </w:rPr>
            </w:pPr>
          </w:p>
        </w:tc>
        <w:tc>
          <w:tcPr>
            <w:tcW w:w="6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6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263</w:t>
            </w:r>
          </w:p>
        </w:tc>
        <w:tc>
          <w:tcPr>
            <w:tcW w:w="8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265</w:t>
            </w:r>
          </w:p>
        </w:tc>
        <w:tc>
          <w:tcPr>
            <w:tcW w:w="20" w:type="dxa"/>
            <w:vAlign w:val="bottom"/>
            <w:shd w:val="clear" w:color="auto" w:fill="E6E6E6"/>
          </w:tcPr>
          <w:p>
            <w:pPr>
              <w:spacing w:after="0"/>
              <w:rPr>
                <w:sz w:val="24"/>
                <w:szCs w:val="24"/>
                <w:color w:val="auto"/>
              </w:rPr>
            </w:pPr>
          </w:p>
        </w:tc>
      </w:tr>
      <w:tr>
        <w:trPr>
          <w:trHeight w:val="274"/>
        </w:trPr>
        <w:tc>
          <w:tcPr>
            <w:tcW w:w="4640" w:type="dxa"/>
            <w:vAlign w:val="bottom"/>
            <w:gridSpan w:val="3"/>
          </w:tcPr>
          <w:p>
            <w:pPr>
              <w:ind w:left="40"/>
              <w:spacing w:after="0"/>
              <w:rPr>
                <w:sz w:val="20"/>
                <w:szCs w:val="20"/>
                <w:color w:val="auto"/>
              </w:rPr>
            </w:pPr>
            <w:r>
              <w:rPr>
                <w:rFonts w:ascii="Arial" w:cs="Arial" w:eastAsia="Arial" w:hAnsi="Arial"/>
                <w:sz w:val="20"/>
                <w:szCs w:val="20"/>
                <w:color w:val="auto"/>
              </w:rPr>
              <w:t>Benefits paid</w:t>
            </w:r>
          </w:p>
        </w:tc>
        <w:tc>
          <w:tcPr>
            <w:tcW w:w="1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(78)</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(26)</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(37)</w:t>
            </w:r>
          </w:p>
        </w:tc>
        <w:tc>
          <w:tcPr>
            <w:tcW w:w="20" w:type="dxa"/>
            <w:vAlign w:val="bottom"/>
          </w:tcPr>
          <w:p>
            <w:pPr>
              <w:spacing w:after="0"/>
              <w:rPr>
                <w:sz w:val="23"/>
                <w:szCs w:val="23"/>
                <w:color w:val="auto"/>
              </w:rPr>
            </w:pPr>
          </w:p>
        </w:tc>
      </w:tr>
      <w:tr>
        <w:trPr>
          <w:trHeight w:val="275"/>
        </w:trPr>
        <w:tc>
          <w:tcPr>
            <w:tcW w:w="4620" w:type="dxa"/>
            <w:vAlign w:val="bottom"/>
            <w:tcBorders>
              <w:bottom w:val="single" w:sz="8" w:color="E6E6E6"/>
            </w:tcBorders>
            <w:gridSpan w:val="2"/>
            <w:shd w:val="clear" w:color="auto" w:fill="E6E6E6"/>
          </w:tcPr>
          <w:p>
            <w:pPr>
              <w:ind w:left="40"/>
              <w:spacing w:after="0"/>
              <w:rPr>
                <w:sz w:val="20"/>
                <w:szCs w:val="20"/>
                <w:color w:val="auto"/>
              </w:rPr>
            </w:pPr>
            <w:r>
              <w:rPr>
                <w:rFonts w:ascii="Arial" w:cs="Arial" w:eastAsia="Arial" w:hAnsi="Arial"/>
                <w:sz w:val="20"/>
                <w:szCs w:val="20"/>
                <w:color w:val="auto"/>
              </w:rPr>
              <w:t>Foreign currency exchange rate changes and other</w:t>
            </w:r>
          </w:p>
        </w:tc>
        <w:tc>
          <w:tcPr>
            <w:tcW w:w="20" w:type="dxa"/>
            <w:vAlign w:val="bottom"/>
            <w:tcBorders>
              <w:bottom w:val="single" w:sz="8" w:color="auto"/>
            </w:tcBorders>
            <w:shd w:val="clear" w:color="auto" w:fill="E6E6E6"/>
          </w:tcPr>
          <w:p>
            <w:pPr>
              <w:spacing w:after="0"/>
              <w:rPr>
                <w:sz w:val="23"/>
                <w:szCs w:val="23"/>
                <w:color w:val="auto"/>
              </w:rPr>
            </w:pPr>
          </w:p>
        </w:tc>
        <w:tc>
          <w:tcPr>
            <w:tcW w:w="1120" w:type="dxa"/>
            <w:vAlign w:val="bottom"/>
            <w:tcBorders>
              <w:bottom w:val="single" w:sz="8" w:color="auto"/>
            </w:tcBorders>
            <w:shd w:val="clear" w:color="auto" w:fill="E6E6E6"/>
          </w:tcPr>
          <w:p>
            <w:pPr>
              <w:spacing w:after="0"/>
              <w:rPr>
                <w:sz w:val="23"/>
                <w:szCs w:val="23"/>
                <w:color w:val="auto"/>
              </w:rPr>
            </w:pPr>
          </w:p>
        </w:tc>
        <w:tc>
          <w:tcPr>
            <w:tcW w:w="6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(176)</w:t>
            </w:r>
          </w:p>
        </w:tc>
        <w:tc>
          <w:tcPr>
            <w:tcW w:w="60" w:type="dxa"/>
            <w:vAlign w:val="bottom"/>
            <w:tcBorders>
              <w:bottom w:val="single" w:sz="8" w:color="E6E6E6"/>
            </w:tcBorders>
            <w:shd w:val="clear" w:color="auto" w:fill="E6E6E6"/>
          </w:tcPr>
          <w:p>
            <w:pPr>
              <w:spacing w:after="0"/>
              <w:rPr>
                <w:sz w:val="23"/>
                <w:szCs w:val="23"/>
                <w:color w:val="auto"/>
              </w:rPr>
            </w:pPr>
          </w:p>
        </w:tc>
        <w:tc>
          <w:tcPr>
            <w:tcW w:w="420" w:type="dxa"/>
            <w:vAlign w:val="bottom"/>
            <w:tcBorders>
              <w:bottom w:val="single" w:sz="8" w:color="auto"/>
            </w:tcBorders>
            <w:shd w:val="clear" w:color="auto" w:fill="E6E6E6"/>
          </w:tcPr>
          <w:p>
            <w:pPr>
              <w:spacing w:after="0"/>
              <w:rPr>
                <w:sz w:val="23"/>
                <w:szCs w:val="23"/>
                <w:color w:val="auto"/>
              </w:rPr>
            </w:pPr>
          </w:p>
        </w:tc>
        <w:tc>
          <w:tcPr>
            <w:tcW w:w="13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(101)</w:t>
            </w:r>
          </w:p>
        </w:tc>
        <w:tc>
          <w:tcPr>
            <w:tcW w:w="80" w:type="dxa"/>
            <w:vAlign w:val="bottom"/>
            <w:tcBorders>
              <w:bottom w:val="single" w:sz="8" w:color="E6E6E6"/>
            </w:tcBorders>
            <w:shd w:val="clear" w:color="auto" w:fill="E6E6E6"/>
          </w:tcPr>
          <w:p>
            <w:pPr>
              <w:spacing w:after="0"/>
              <w:rPr>
                <w:sz w:val="23"/>
                <w:szCs w:val="23"/>
                <w:color w:val="auto"/>
              </w:rPr>
            </w:pPr>
          </w:p>
        </w:tc>
        <w:tc>
          <w:tcPr>
            <w:tcW w:w="420" w:type="dxa"/>
            <w:vAlign w:val="bottom"/>
            <w:tcBorders>
              <w:bottom w:val="single" w:sz="8" w:color="auto"/>
            </w:tcBorders>
            <w:shd w:val="clear" w:color="auto" w:fill="E6E6E6"/>
          </w:tcPr>
          <w:p>
            <w:pPr>
              <w:spacing w:after="0"/>
              <w:rPr>
                <w:sz w:val="23"/>
                <w:szCs w:val="23"/>
                <w:color w:val="auto"/>
              </w:rPr>
            </w:pPr>
          </w:p>
        </w:tc>
        <w:tc>
          <w:tcPr>
            <w:tcW w:w="13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(58)</w:t>
            </w:r>
          </w:p>
        </w:tc>
        <w:tc>
          <w:tcPr>
            <w:tcW w:w="20" w:type="dxa"/>
            <w:vAlign w:val="bottom"/>
            <w:tcBorders>
              <w:bottom w:val="single" w:sz="8" w:color="auto"/>
            </w:tcBorders>
            <w:shd w:val="clear" w:color="auto" w:fill="E6E6E6"/>
          </w:tcPr>
          <w:p>
            <w:pPr>
              <w:spacing w:after="0"/>
              <w:rPr>
                <w:sz w:val="23"/>
                <w:szCs w:val="23"/>
                <w:color w:val="auto"/>
              </w:rPr>
            </w:pPr>
          </w:p>
        </w:tc>
      </w:tr>
      <w:tr>
        <w:trPr>
          <w:trHeight w:val="279"/>
        </w:trPr>
        <w:tc>
          <w:tcPr>
            <w:tcW w:w="4640" w:type="dxa"/>
            <w:vAlign w:val="bottom"/>
            <w:gridSpan w:val="3"/>
          </w:tcPr>
          <w:p>
            <w:pPr>
              <w:ind w:left="40"/>
              <w:spacing w:after="0"/>
              <w:rPr>
                <w:sz w:val="20"/>
                <w:szCs w:val="20"/>
                <w:color w:val="auto"/>
              </w:rPr>
            </w:pPr>
            <w:r>
              <w:rPr>
                <w:rFonts w:ascii="Arial" w:cs="Arial" w:eastAsia="Arial" w:hAnsi="Arial"/>
                <w:sz w:val="20"/>
                <w:szCs w:val="20"/>
                <w:color w:val="auto"/>
              </w:rPr>
              <w:t>Fair value of plan assets at end of year</w:t>
            </w:r>
          </w:p>
        </w:tc>
        <w:tc>
          <w:tcPr>
            <w:tcW w:w="1120" w:type="dxa"/>
            <w:vAlign w:val="bottom"/>
          </w:tcPr>
          <w:p>
            <w:pPr>
              <w:jc w:val="right"/>
              <w:ind w:right="902"/>
              <w:spacing w:after="0"/>
              <w:rPr>
                <w:sz w:val="20"/>
                <w:szCs w:val="20"/>
                <w:color w:val="auto"/>
              </w:rPr>
            </w:pPr>
            <w:r>
              <w:rPr>
                <w:rFonts w:ascii="Arial" w:cs="Arial" w:eastAsia="Arial" w:hAnsi="Arial"/>
                <w:sz w:val="20"/>
                <w:szCs w:val="20"/>
                <w:color w:val="auto"/>
                <w:w w:val="89"/>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3,016</w:t>
            </w:r>
          </w:p>
        </w:tc>
        <w:tc>
          <w:tcPr>
            <w:tcW w:w="480" w:type="dxa"/>
            <w:vAlign w:val="bottom"/>
            <w:gridSpan w:val="2"/>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3,290</w:t>
            </w:r>
          </w:p>
        </w:tc>
        <w:tc>
          <w:tcPr>
            <w:tcW w:w="500" w:type="dxa"/>
            <w:vAlign w:val="bottom"/>
            <w:gridSpan w:val="2"/>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3,232</w:t>
            </w:r>
          </w:p>
        </w:tc>
        <w:tc>
          <w:tcPr>
            <w:tcW w:w="20" w:type="dxa"/>
            <w:vAlign w:val="bottom"/>
          </w:tcPr>
          <w:p>
            <w:pPr>
              <w:spacing w:after="0"/>
              <w:rPr>
                <w:sz w:val="24"/>
                <w:szCs w:val="24"/>
                <w:color w:val="auto"/>
              </w:rPr>
            </w:pPr>
          </w:p>
        </w:tc>
      </w:tr>
      <w:tr>
        <w:trPr>
          <w:trHeight w:val="250"/>
        </w:trPr>
        <w:tc>
          <w:tcPr>
            <w:tcW w:w="4620" w:type="dxa"/>
            <w:vAlign w:val="bottom"/>
            <w:tcBorders>
              <w:top w:val="single" w:sz="8" w:color="E6E6E6"/>
            </w:tcBorders>
            <w:gridSpan w:val="2"/>
            <w:shd w:val="clear" w:color="auto" w:fill="E6E6E6"/>
          </w:tcPr>
          <w:p>
            <w:pPr>
              <w:ind w:left="40"/>
              <w:spacing w:after="0"/>
              <w:rPr>
                <w:sz w:val="20"/>
                <w:szCs w:val="20"/>
                <w:color w:val="auto"/>
              </w:rPr>
            </w:pPr>
            <w:r>
              <w:rPr>
                <w:rFonts w:ascii="Arial" w:cs="Arial" w:eastAsia="Arial" w:hAnsi="Arial"/>
                <w:sz w:val="20"/>
                <w:szCs w:val="20"/>
                <w:color w:val="auto"/>
              </w:rPr>
              <w:t>Funded status at end of year:</w:t>
            </w:r>
          </w:p>
        </w:tc>
        <w:tc>
          <w:tcPr>
            <w:tcW w:w="20" w:type="dxa"/>
            <w:vAlign w:val="bottom"/>
            <w:tcBorders>
              <w:top w:val="single" w:sz="8" w:color="auto"/>
            </w:tcBorders>
            <w:shd w:val="clear" w:color="auto" w:fill="E6E6E6"/>
          </w:tcPr>
          <w:p>
            <w:pPr>
              <w:spacing w:after="0"/>
              <w:rPr>
                <w:sz w:val="21"/>
                <w:szCs w:val="21"/>
                <w:color w:val="auto"/>
              </w:rPr>
            </w:pPr>
          </w:p>
        </w:tc>
        <w:tc>
          <w:tcPr>
            <w:tcW w:w="1120" w:type="dxa"/>
            <w:vAlign w:val="bottom"/>
            <w:tcBorders>
              <w:top w:val="single" w:sz="8" w:color="auto"/>
            </w:tcBorders>
            <w:shd w:val="clear" w:color="auto" w:fill="E6E6E6"/>
          </w:tcPr>
          <w:p>
            <w:pPr>
              <w:spacing w:after="0"/>
              <w:rPr>
                <w:sz w:val="21"/>
                <w:szCs w:val="21"/>
                <w:color w:val="auto"/>
              </w:rPr>
            </w:pPr>
          </w:p>
        </w:tc>
        <w:tc>
          <w:tcPr>
            <w:tcW w:w="620" w:type="dxa"/>
            <w:vAlign w:val="bottom"/>
            <w:tcBorders>
              <w:top w:val="single" w:sz="8" w:color="auto"/>
            </w:tcBorders>
            <w:shd w:val="clear" w:color="auto" w:fill="E6E6E6"/>
          </w:tcPr>
          <w:p>
            <w:pPr>
              <w:spacing w:after="0"/>
              <w:rPr>
                <w:sz w:val="21"/>
                <w:szCs w:val="21"/>
                <w:color w:val="auto"/>
              </w:rPr>
            </w:pPr>
          </w:p>
        </w:tc>
        <w:tc>
          <w:tcPr>
            <w:tcW w:w="60" w:type="dxa"/>
            <w:vAlign w:val="bottom"/>
            <w:tcBorders>
              <w:top w:val="single" w:sz="8" w:color="E6E6E6"/>
            </w:tcBorders>
            <w:shd w:val="clear" w:color="auto" w:fill="E6E6E6"/>
          </w:tcPr>
          <w:p>
            <w:pPr>
              <w:spacing w:after="0"/>
              <w:rPr>
                <w:sz w:val="21"/>
                <w:szCs w:val="21"/>
                <w:color w:val="auto"/>
              </w:rPr>
            </w:pPr>
          </w:p>
        </w:tc>
        <w:tc>
          <w:tcPr>
            <w:tcW w:w="420" w:type="dxa"/>
            <w:vAlign w:val="bottom"/>
            <w:tcBorders>
              <w:top w:val="single" w:sz="8" w:color="auto"/>
            </w:tcBorders>
            <w:shd w:val="clear" w:color="auto" w:fill="E6E6E6"/>
          </w:tcPr>
          <w:p>
            <w:pPr>
              <w:spacing w:after="0"/>
              <w:rPr>
                <w:sz w:val="21"/>
                <w:szCs w:val="21"/>
                <w:color w:val="auto"/>
              </w:rPr>
            </w:pPr>
          </w:p>
        </w:tc>
        <w:tc>
          <w:tcPr>
            <w:tcW w:w="1340" w:type="dxa"/>
            <w:vAlign w:val="bottom"/>
            <w:tcBorders>
              <w:top w:val="single" w:sz="8" w:color="auto"/>
            </w:tcBorders>
            <w:shd w:val="clear" w:color="auto" w:fill="E6E6E6"/>
          </w:tcPr>
          <w:p>
            <w:pPr>
              <w:spacing w:after="0"/>
              <w:rPr>
                <w:sz w:val="21"/>
                <w:szCs w:val="21"/>
                <w:color w:val="auto"/>
              </w:rPr>
            </w:pPr>
          </w:p>
        </w:tc>
        <w:tc>
          <w:tcPr>
            <w:tcW w:w="80" w:type="dxa"/>
            <w:vAlign w:val="bottom"/>
            <w:tcBorders>
              <w:top w:val="single" w:sz="8" w:color="E6E6E6"/>
            </w:tcBorders>
            <w:shd w:val="clear" w:color="auto" w:fill="E6E6E6"/>
          </w:tcPr>
          <w:p>
            <w:pPr>
              <w:spacing w:after="0"/>
              <w:rPr>
                <w:sz w:val="21"/>
                <w:szCs w:val="21"/>
                <w:color w:val="auto"/>
              </w:rPr>
            </w:pPr>
          </w:p>
        </w:tc>
        <w:tc>
          <w:tcPr>
            <w:tcW w:w="420" w:type="dxa"/>
            <w:vAlign w:val="bottom"/>
            <w:tcBorders>
              <w:top w:val="single" w:sz="8" w:color="auto"/>
            </w:tcBorders>
            <w:shd w:val="clear" w:color="auto" w:fill="E6E6E6"/>
          </w:tcPr>
          <w:p>
            <w:pPr>
              <w:spacing w:after="0"/>
              <w:rPr>
                <w:sz w:val="21"/>
                <w:szCs w:val="21"/>
                <w:color w:val="auto"/>
              </w:rPr>
            </w:pPr>
          </w:p>
        </w:tc>
        <w:tc>
          <w:tcPr>
            <w:tcW w:w="1340" w:type="dxa"/>
            <w:vAlign w:val="bottom"/>
            <w:tcBorders>
              <w:top w:val="single" w:sz="8" w:color="auto"/>
            </w:tcBorders>
            <w:shd w:val="clear" w:color="auto" w:fill="E6E6E6"/>
          </w:tcPr>
          <w:p>
            <w:pPr>
              <w:spacing w:after="0"/>
              <w:rPr>
                <w:sz w:val="21"/>
                <w:szCs w:val="21"/>
                <w:color w:val="auto"/>
              </w:rPr>
            </w:pPr>
          </w:p>
        </w:tc>
        <w:tc>
          <w:tcPr>
            <w:tcW w:w="20" w:type="dxa"/>
            <w:vAlign w:val="bottom"/>
            <w:tcBorders>
              <w:top w:val="single" w:sz="8" w:color="auto"/>
            </w:tcBorders>
            <w:shd w:val="clear" w:color="auto" w:fill="E6E6E6"/>
          </w:tcPr>
          <w:p>
            <w:pPr>
              <w:spacing w:after="0"/>
              <w:rPr>
                <w:sz w:val="21"/>
                <w:szCs w:val="21"/>
                <w:color w:val="auto"/>
              </w:rPr>
            </w:pPr>
          </w:p>
        </w:tc>
      </w:tr>
      <w:tr>
        <w:trPr>
          <w:trHeight w:val="274"/>
        </w:trPr>
        <w:tc>
          <w:tcPr>
            <w:tcW w:w="4640" w:type="dxa"/>
            <w:vAlign w:val="bottom"/>
            <w:gridSpan w:val="3"/>
          </w:tcPr>
          <w:p>
            <w:pPr>
              <w:ind w:left="40"/>
              <w:spacing w:after="0"/>
              <w:rPr>
                <w:sz w:val="20"/>
                <w:szCs w:val="20"/>
                <w:color w:val="auto"/>
              </w:rPr>
            </w:pPr>
            <w:r>
              <w:rPr>
                <w:rFonts w:ascii="Arial" w:cs="Arial" w:eastAsia="Arial" w:hAnsi="Arial"/>
                <w:sz w:val="20"/>
                <w:szCs w:val="20"/>
                <w:color w:val="auto"/>
              </w:rPr>
              <w:t>Fair value of plan assets</w:t>
            </w:r>
          </w:p>
        </w:tc>
        <w:tc>
          <w:tcPr>
            <w:tcW w:w="1120" w:type="dxa"/>
            <w:vAlign w:val="bottom"/>
          </w:tcPr>
          <w:p>
            <w:pPr>
              <w:jc w:val="right"/>
              <w:ind w:right="902"/>
              <w:spacing w:after="0"/>
              <w:rPr>
                <w:sz w:val="20"/>
                <w:szCs w:val="20"/>
                <w:color w:val="auto"/>
              </w:rPr>
            </w:pPr>
            <w:r>
              <w:rPr>
                <w:rFonts w:ascii="Arial" w:cs="Arial" w:eastAsia="Arial" w:hAnsi="Arial"/>
                <w:sz w:val="20"/>
                <w:szCs w:val="20"/>
                <w:color w:val="auto"/>
                <w:w w:val="89"/>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3,016</w:t>
            </w:r>
          </w:p>
        </w:tc>
        <w:tc>
          <w:tcPr>
            <w:tcW w:w="480" w:type="dxa"/>
            <w:vAlign w:val="bottom"/>
            <w:gridSpan w:val="2"/>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3,290</w:t>
            </w:r>
          </w:p>
        </w:tc>
        <w:tc>
          <w:tcPr>
            <w:tcW w:w="500" w:type="dxa"/>
            <w:vAlign w:val="bottom"/>
            <w:gridSpan w:val="2"/>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3,232</w:t>
            </w:r>
          </w:p>
        </w:tc>
        <w:tc>
          <w:tcPr>
            <w:tcW w:w="20" w:type="dxa"/>
            <w:vAlign w:val="bottom"/>
          </w:tcPr>
          <w:p>
            <w:pPr>
              <w:spacing w:after="0"/>
              <w:rPr>
                <w:sz w:val="23"/>
                <w:szCs w:val="23"/>
                <w:color w:val="auto"/>
              </w:rPr>
            </w:pPr>
          </w:p>
        </w:tc>
      </w:tr>
      <w:tr>
        <w:trPr>
          <w:trHeight w:val="294"/>
        </w:trPr>
        <w:tc>
          <w:tcPr>
            <w:tcW w:w="4620" w:type="dxa"/>
            <w:vAlign w:val="bottom"/>
            <w:tcBorders>
              <w:bottom w:val="single" w:sz="8" w:color="E6E6E6"/>
            </w:tcBorders>
            <w:gridSpan w:val="2"/>
            <w:shd w:val="clear" w:color="auto" w:fill="E6E6E6"/>
          </w:tcPr>
          <w:p>
            <w:pPr>
              <w:ind w:left="40"/>
              <w:spacing w:after="0"/>
              <w:rPr>
                <w:sz w:val="20"/>
                <w:szCs w:val="20"/>
                <w:color w:val="auto"/>
              </w:rPr>
            </w:pPr>
            <w:r>
              <w:rPr>
                <w:rFonts w:ascii="Arial" w:cs="Arial" w:eastAsia="Arial" w:hAnsi="Arial"/>
                <w:sz w:val="20"/>
                <w:szCs w:val="20"/>
                <w:color w:val="auto"/>
              </w:rPr>
              <w:t>Projected benefit obligations</w:t>
            </w:r>
          </w:p>
        </w:tc>
        <w:tc>
          <w:tcPr>
            <w:tcW w:w="2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spacing w:after="0"/>
              <w:rPr>
                <w:sz w:val="24"/>
                <w:szCs w:val="24"/>
                <w:color w:val="auto"/>
              </w:rPr>
            </w:pPr>
          </w:p>
        </w:tc>
        <w:tc>
          <w:tcPr>
            <w:tcW w:w="6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7,594</w:t>
            </w:r>
          </w:p>
        </w:tc>
        <w:tc>
          <w:tcPr>
            <w:tcW w:w="60" w:type="dxa"/>
            <w:vAlign w:val="bottom"/>
            <w:tcBorders>
              <w:bottom w:val="single" w:sz="8" w:color="E6E6E6"/>
            </w:tcBorders>
            <w:shd w:val="clear" w:color="auto" w:fill="E6E6E6"/>
          </w:tcPr>
          <w:p>
            <w:pPr>
              <w:spacing w:after="0"/>
              <w:rPr>
                <w:sz w:val="24"/>
                <w:szCs w:val="24"/>
                <w:color w:val="auto"/>
              </w:rPr>
            </w:pPr>
          </w:p>
        </w:tc>
        <w:tc>
          <w:tcPr>
            <w:tcW w:w="420" w:type="dxa"/>
            <w:vAlign w:val="bottom"/>
            <w:tcBorders>
              <w:bottom w:val="single" w:sz="8" w:color="auto"/>
            </w:tcBorders>
            <w:shd w:val="clear" w:color="auto" w:fill="E6E6E6"/>
          </w:tcPr>
          <w:p>
            <w:pPr>
              <w:spacing w:after="0"/>
              <w:rPr>
                <w:sz w:val="24"/>
                <w:szCs w:val="24"/>
                <w:color w:val="auto"/>
              </w:rPr>
            </w:pPr>
          </w:p>
        </w:tc>
        <w:tc>
          <w:tcPr>
            <w:tcW w:w="13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8,260</w:t>
            </w:r>
          </w:p>
        </w:tc>
        <w:tc>
          <w:tcPr>
            <w:tcW w:w="80" w:type="dxa"/>
            <w:vAlign w:val="bottom"/>
            <w:tcBorders>
              <w:bottom w:val="single" w:sz="8" w:color="E6E6E6"/>
            </w:tcBorders>
            <w:shd w:val="clear" w:color="auto" w:fill="E6E6E6"/>
          </w:tcPr>
          <w:p>
            <w:pPr>
              <w:spacing w:after="0"/>
              <w:rPr>
                <w:sz w:val="24"/>
                <w:szCs w:val="24"/>
                <w:color w:val="auto"/>
              </w:rPr>
            </w:pPr>
          </w:p>
        </w:tc>
        <w:tc>
          <w:tcPr>
            <w:tcW w:w="420" w:type="dxa"/>
            <w:vAlign w:val="bottom"/>
            <w:tcBorders>
              <w:bottom w:val="single" w:sz="8" w:color="auto"/>
            </w:tcBorders>
            <w:shd w:val="clear" w:color="auto" w:fill="E6E6E6"/>
          </w:tcPr>
          <w:p>
            <w:pPr>
              <w:spacing w:after="0"/>
              <w:rPr>
                <w:sz w:val="24"/>
                <w:szCs w:val="24"/>
                <w:color w:val="auto"/>
              </w:rPr>
            </w:pPr>
          </w:p>
        </w:tc>
        <w:tc>
          <w:tcPr>
            <w:tcW w:w="13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8,532</w:t>
            </w:r>
          </w:p>
        </w:tc>
        <w:tc>
          <w:tcPr>
            <w:tcW w:w="20" w:type="dxa"/>
            <w:vAlign w:val="bottom"/>
            <w:tcBorders>
              <w:bottom w:val="single" w:sz="8" w:color="auto"/>
            </w:tcBorders>
            <w:shd w:val="clear" w:color="auto" w:fill="E6E6E6"/>
          </w:tcPr>
          <w:p>
            <w:pPr>
              <w:spacing w:after="0"/>
              <w:rPr>
                <w:sz w:val="24"/>
                <w:szCs w:val="24"/>
                <w:color w:val="auto"/>
              </w:rPr>
            </w:pPr>
          </w:p>
        </w:tc>
      </w:tr>
      <w:tr>
        <w:trPr>
          <w:trHeight w:val="259"/>
        </w:trPr>
        <w:tc>
          <w:tcPr>
            <w:tcW w:w="4620" w:type="dxa"/>
            <w:vAlign w:val="bottom"/>
            <w:gridSpan w:val="2"/>
          </w:tcPr>
          <w:p>
            <w:pPr>
              <w:ind w:left="40"/>
              <w:spacing w:after="0" w:line="221" w:lineRule="exact"/>
              <w:rPr>
                <w:sz w:val="20"/>
                <w:szCs w:val="20"/>
                <w:color w:val="auto"/>
              </w:rPr>
            </w:pPr>
            <w:r>
              <w:rPr>
                <w:rFonts w:ascii="Arial" w:cs="Arial" w:eastAsia="Arial" w:hAnsi="Arial"/>
                <w:sz w:val="20"/>
                <w:szCs w:val="20"/>
                <w:color w:val="auto"/>
              </w:rPr>
              <w:t xml:space="preserve">Underfunded status of the plans </w:t>
            </w:r>
            <w:r>
              <w:rPr>
                <w:rFonts w:ascii="Arial" w:cs="Arial" w:eastAsia="Arial" w:hAnsi="Arial"/>
                <w:sz w:val="25"/>
                <w:szCs w:val="25"/>
                <w:color w:val="auto"/>
                <w:vertAlign w:val="superscript"/>
              </w:rPr>
              <w:t>(1)</w:t>
            </w:r>
          </w:p>
        </w:tc>
        <w:tc>
          <w:tcPr>
            <w:tcW w:w="20" w:type="dxa"/>
            <w:vAlign w:val="bottom"/>
          </w:tcPr>
          <w:p>
            <w:pPr>
              <w:spacing w:after="0"/>
              <w:rPr>
                <w:sz w:val="22"/>
                <w:szCs w:val="22"/>
                <w:color w:val="auto"/>
              </w:rPr>
            </w:pPr>
          </w:p>
        </w:tc>
        <w:tc>
          <w:tcPr>
            <w:tcW w:w="1120" w:type="dxa"/>
            <w:vAlign w:val="bottom"/>
          </w:tcPr>
          <w:p>
            <w:pPr>
              <w:jc w:val="right"/>
              <w:ind w:right="902"/>
              <w:spacing w:after="0" w:line="221" w:lineRule="exact"/>
              <w:rPr>
                <w:sz w:val="20"/>
                <w:szCs w:val="20"/>
                <w:color w:val="auto"/>
              </w:rPr>
            </w:pPr>
            <w:r>
              <w:rPr>
                <w:rFonts w:ascii="Arial" w:cs="Arial" w:eastAsia="Arial" w:hAnsi="Arial"/>
                <w:sz w:val="20"/>
                <w:szCs w:val="20"/>
                <w:color w:val="auto"/>
                <w:w w:val="89"/>
              </w:rPr>
              <w:t>$</w:t>
            </w:r>
          </w:p>
        </w:tc>
        <w:tc>
          <w:tcPr>
            <w:tcW w:w="620" w:type="dxa"/>
            <w:vAlign w:val="bottom"/>
          </w:tcPr>
          <w:p>
            <w:pPr>
              <w:jc w:val="right"/>
              <w:spacing w:after="0" w:line="221" w:lineRule="exact"/>
              <w:rPr>
                <w:sz w:val="20"/>
                <w:szCs w:val="20"/>
                <w:color w:val="auto"/>
              </w:rPr>
            </w:pPr>
            <w:r>
              <w:rPr>
                <w:rFonts w:ascii="Arial" w:cs="Arial" w:eastAsia="Arial" w:hAnsi="Arial"/>
                <w:sz w:val="20"/>
                <w:szCs w:val="20"/>
                <w:color w:val="auto"/>
              </w:rPr>
              <w:t>4,578</w:t>
            </w:r>
          </w:p>
        </w:tc>
        <w:tc>
          <w:tcPr>
            <w:tcW w:w="480" w:type="dxa"/>
            <w:vAlign w:val="bottom"/>
            <w:gridSpan w:val="2"/>
          </w:tcPr>
          <w:p>
            <w:pPr>
              <w:jc w:val="right"/>
              <w:ind w:right="162"/>
              <w:spacing w:after="0" w:line="221" w:lineRule="exact"/>
              <w:rPr>
                <w:sz w:val="20"/>
                <w:szCs w:val="20"/>
                <w:color w:val="auto"/>
              </w:rPr>
            </w:pPr>
            <w:r>
              <w:rPr>
                <w:rFonts w:ascii="Arial" w:cs="Arial" w:eastAsia="Arial" w:hAnsi="Arial"/>
                <w:sz w:val="20"/>
                <w:szCs w:val="20"/>
                <w:color w:val="auto"/>
              </w:rPr>
              <w:t>$</w:t>
            </w:r>
          </w:p>
        </w:tc>
        <w:tc>
          <w:tcPr>
            <w:tcW w:w="1340" w:type="dxa"/>
            <w:vAlign w:val="bottom"/>
          </w:tcPr>
          <w:p>
            <w:pPr>
              <w:jc w:val="right"/>
              <w:spacing w:after="0" w:line="221" w:lineRule="exact"/>
              <w:rPr>
                <w:sz w:val="20"/>
                <w:szCs w:val="20"/>
                <w:color w:val="auto"/>
              </w:rPr>
            </w:pPr>
            <w:r>
              <w:rPr>
                <w:rFonts w:ascii="Arial" w:cs="Arial" w:eastAsia="Arial" w:hAnsi="Arial"/>
                <w:sz w:val="20"/>
                <w:szCs w:val="20"/>
                <w:color w:val="auto"/>
              </w:rPr>
              <w:t>4,970</w:t>
            </w:r>
          </w:p>
        </w:tc>
        <w:tc>
          <w:tcPr>
            <w:tcW w:w="500" w:type="dxa"/>
            <w:vAlign w:val="bottom"/>
            <w:gridSpan w:val="2"/>
          </w:tcPr>
          <w:p>
            <w:pPr>
              <w:jc w:val="right"/>
              <w:ind w:right="162"/>
              <w:spacing w:after="0" w:line="221" w:lineRule="exact"/>
              <w:rPr>
                <w:sz w:val="20"/>
                <w:szCs w:val="20"/>
                <w:color w:val="auto"/>
              </w:rPr>
            </w:pPr>
            <w:r>
              <w:rPr>
                <w:rFonts w:ascii="Arial" w:cs="Arial" w:eastAsia="Arial" w:hAnsi="Arial"/>
                <w:sz w:val="20"/>
                <w:szCs w:val="20"/>
                <w:color w:val="auto"/>
              </w:rPr>
              <w:t>$</w:t>
            </w:r>
          </w:p>
        </w:tc>
        <w:tc>
          <w:tcPr>
            <w:tcW w:w="1340" w:type="dxa"/>
            <w:vAlign w:val="bottom"/>
          </w:tcPr>
          <w:p>
            <w:pPr>
              <w:jc w:val="right"/>
              <w:spacing w:after="0" w:line="221" w:lineRule="exact"/>
              <w:rPr>
                <w:sz w:val="20"/>
                <w:szCs w:val="20"/>
                <w:color w:val="auto"/>
              </w:rPr>
            </w:pPr>
            <w:r>
              <w:rPr>
                <w:rFonts w:ascii="Arial" w:cs="Arial" w:eastAsia="Arial" w:hAnsi="Arial"/>
                <w:sz w:val="20"/>
                <w:szCs w:val="20"/>
                <w:color w:val="auto"/>
              </w:rPr>
              <w:t>5,300</w:t>
            </w:r>
          </w:p>
        </w:tc>
        <w:tc>
          <w:tcPr>
            <w:tcW w:w="20" w:type="dxa"/>
            <w:vAlign w:val="bottom"/>
          </w:tcPr>
          <w:p>
            <w:pPr>
              <w:spacing w:after="0"/>
              <w:rPr>
                <w:sz w:val="22"/>
                <w:szCs w:val="22"/>
                <w:color w:val="auto"/>
              </w:rPr>
            </w:pPr>
          </w:p>
        </w:tc>
      </w:tr>
      <w:tr>
        <w:trPr>
          <w:trHeight w:val="250"/>
        </w:trPr>
        <w:tc>
          <w:tcPr>
            <w:tcW w:w="4600" w:type="dxa"/>
            <w:vAlign w:val="bottom"/>
            <w:tcBorders>
              <w:top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Recognized liability</w:t>
            </w:r>
          </w:p>
        </w:tc>
        <w:tc>
          <w:tcPr>
            <w:tcW w:w="40" w:type="dxa"/>
            <w:vAlign w:val="bottom"/>
            <w:tcBorders>
              <w:top w:val="single" w:sz="8" w:color="auto"/>
            </w:tcBorders>
            <w:gridSpan w:val="2"/>
            <w:shd w:val="clear" w:color="auto" w:fill="E6E6E6"/>
          </w:tcPr>
          <w:p>
            <w:pPr>
              <w:spacing w:after="0"/>
              <w:rPr>
                <w:sz w:val="21"/>
                <w:szCs w:val="21"/>
                <w:color w:val="auto"/>
              </w:rPr>
            </w:pPr>
          </w:p>
        </w:tc>
        <w:tc>
          <w:tcPr>
            <w:tcW w:w="1120" w:type="dxa"/>
            <w:vAlign w:val="bottom"/>
            <w:tcBorders>
              <w:top w:val="single" w:sz="8" w:color="auto"/>
            </w:tcBorders>
            <w:shd w:val="clear" w:color="auto" w:fill="E6E6E6"/>
          </w:tcPr>
          <w:p>
            <w:pPr>
              <w:jc w:val="right"/>
              <w:ind w:right="902"/>
              <w:spacing w:after="0"/>
              <w:rPr>
                <w:sz w:val="20"/>
                <w:szCs w:val="20"/>
                <w:color w:val="auto"/>
              </w:rPr>
            </w:pPr>
            <w:r>
              <w:rPr>
                <w:rFonts w:ascii="Arial" w:cs="Arial" w:eastAsia="Arial" w:hAnsi="Arial"/>
                <w:sz w:val="20"/>
                <w:szCs w:val="20"/>
                <w:color w:val="auto"/>
                <w:w w:val="89"/>
              </w:rPr>
              <w:t>$</w:t>
            </w:r>
          </w:p>
        </w:tc>
        <w:tc>
          <w:tcPr>
            <w:tcW w:w="62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5,682</w:t>
            </w:r>
          </w:p>
        </w:tc>
        <w:tc>
          <w:tcPr>
            <w:tcW w:w="60" w:type="dxa"/>
            <w:vAlign w:val="bottom"/>
            <w:tcBorders>
              <w:top w:val="single" w:sz="8" w:color="E6E6E6"/>
            </w:tcBorders>
            <w:shd w:val="clear" w:color="auto" w:fill="E6E6E6"/>
          </w:tcPr>
          <w:p>
            <w:pPr>
              <w:spacing w:after="0"/>
              <w:rPr>
                <w:sz w:val="21"/>
                <w:szCs w:val="21"/>
                <w:color w:val="auto"/>
              </w:rPr>
            </w:pPr>
          </w:p>
        </w:tc>
        <w:tc>
          <w:tcPr>
            <w:tcW w:w="420" w:type="dxa"/>
            <w:vAlign w:val="bottom"/>
            <w:tcBorders>
              <w:top w:val="single" w:sz="8" w:color="auto"/>
            </w:tcBorders>
            <w:shd w:val="clear" w:color="auto" w:fill="E6E6E6"/>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6,367</w:t>
            </w:r>
          </w:p>
        </w:tc>
        <w:tc>
          <w:tcPr>
            <w:tcW w:w="80" w:type="dxa"/>
            <w:vAlign w:val="bottom"/>
            <w:tcBorders>
              <w:top w:val="single" w:sz="8" w:color="E6E6E6"/>
            </w:tcBorders>
            <w:shd w:val="clear" w:color="auto" w:fill="E6E6E6"/>
          </w:tcPr>
          <w:p>
            <w:pPr>
              <w:spacing w:after="0"/>
              <w:rPr>
                <w:sz w:val="21"/>
                <w:szCs w:val="21"/>
                <w:color w:val="auto"/>
              </w:rPr>
            </w:pPr>
          </w:p>
        </w:tc>
        <w:tc>
          <w:tcPr>
            <w:tcW w:w="420" w:type="dxa"/>
            <w:vAlign w:val="bottom"/>
            <w:tcBorders>
              <w:top w:val="single" w:sz="8" w:color="auto"/>
            </w:tcBorders>
            <w:shd w:val="clear" w:color="auto" w:fill="E6E6E6"/>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5,300</w:t>
            </w:r>
          </w:p>
        </w:tc>
        <w:tc>
          <w:tcPr>
            <w:tcW w:w="20" w:type="dxa"/>
            <w:vAlign w:val="bottom"/>
            <w:tcBorders>
              <w:top w:val="single" w:sz="8" w:color="E6E6E6"/>
            </w:tcBorders>
            <w:shd w:val="clear" w:color="auto" w:fill="E6E6E6"/>
          </w:tcPr>
          <w:p>
            <w:pPr>
              <w:spacing w:after="0"/>
              <w:rPr>
                <w:sz w:val="21"/>
                <w:szCs w:val="21"/>
                <w:color w:val="auto"/>
              </w:rPr>
            </w:pPr>
          </w:p>
        </w:tc>
      </w:tr>
      <w:tr>
        <w:trPr>
          <w:trHeight w:val="188"/>
        </w:trPr>
        <w:tc>
          <w:tcPr>
            <w:tcW w:w="4640" w:type="dxa"/>
            <w:vAlign w:val="bottom"/>
            <w:gridSpan w:val="3"/>
          </w:tcPr>
          <w:p>
            <w:pPr>
              <w:ind w:left="40"/>
              <w:spacing w:after="0" w:line="188" w:lineRule="exact"/>
              <w:rPr>
                <w:sz w:val="20"/>
                <w:szCs w:val="20"/>
                <w:color w:val="auto"/>
              </w:rPr>
            </w:pPr>
            <w:r>
              <w:rPr>
                <w:rFonts w:ascii="Arial" w:cs="Arial" w:eastAsia="Arial" w:hAnsi="Arial"/>
                <w:sz w:val="20"/>
                <w:szCs w:val="20"/>
                <w:color w:val="auto"/>
                <w:w w:val="91"/>
              </w:rPr>
              <w:t>Amounts recognized on the consolidated balance sheets</w:t>
            </w: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2"/>
        </w:trPr>
        <w:tc>
          <w:tcPr>
            <w:tcW w:w="4640" w:type="dxa"/>
            <w:vAlign w:val="bottom"/>
            <w:gridSpan w:val="3"/>
          </w:tcPr>
          <w:p>
            <w:pPr>
              <w:ind w:left="40"/>
              <w:spacing w:after="0"/>
              <w:rPr>
                <w:sz w:val="20"/>
                <w:szCs w:val="20"/>
                <w:color w:val="auto"/>
              </w:rPr>
            </w:pPr>
            <w:r>
              <w:rPr>
                <w:rFonts w:ascii="Arial" w:cs="Arial" w:eastAsia="Arial" w:hAnsi="Arial"/>
                <w:sz w:val="20"/>
                <w:szCs w:val="20"/>
                <w:color w:val="auto"/>
              </w:rPr>
              <w:t>consist of:</w:t>
            </w:r>
          </w:p>
        </w:tc>
        <w:tc>
          <w:tcPr>
            <w:tcW w:w="1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4"/>
        </w:trPr>
        <w:tc>
          <w:tcPr>
            <w:tcW w:w="46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Non-current liabilities</w:t>
            </w:r>
          </w:p>
        </w:tc>
        <w:tc>
          <w:tcPr>
            <w:tcW w:w="40" w:type="dxa"/>
            <w:vAlign w:val="bottom"/>
            <w:tcBorders>
              <w:bottom w:val="single" w:sz="8" w:color="auto"/>
            </w:tcBorders>
            <w:gridSpan w:val="2"/>
            <w:shd w:val="clear" w:color="auto" w:fill="E6E6E6"/>
          </w:tcPr>
          <w:p>
            <w:pPr>
              <w:spacing w:after="0"/>
              <w:rPr>
                <w:sz w:val="23"/>
                <w:szCs w:val="23"/>
                <w:color w:val="auto"/>
              </w:rPr>
            </w:pPr>
          </w:p>
        </w:tc>
        <w:tc>
          <w:tcPr>
            <w:tcW w:w="1120" w:type="dxa"/>
            <w:vAlign w:val="bottom"/>
            <w:tcBorders>
              <w:bottom w:val="single" w:sz="8" w:color="auto"/>
            </w:tcBorders>
            <w:shd w:val="clear" w:color="auto" w:fill="E6E6E6"/>
          </w:tcPr>
          <w:p>
            <w:pPr>
              <w:jc w:val="right"/>
              <w:ind w:right="902"/>
              <w:spacing w:after="0"/>
              <w:rPr>
                <w:sz w:val="20"/>
                <w:szCs w:val="20"/>
                <w:color w:val="auto"/>
              </w:rPr>
            </w:pPr>
            <w:r>
              <w:rPr>
                <w:rFonts w:ascii="Arial" w:cs="Arial" w:eastAsia="Arial" w:hAnsi="Arial"/>
                <w:sz w:val="20"/>
                <w:szCs w:val="20"/>
                <w:color w:val="auto"/>
                <w:w w:val="89"/>
              </w:rPr>
              <w:t>$</w:t>
            </w:r>
          </w:p>
        </w:tc>
        <w:tc>
          <w:tcPr>
            <w:tcW w:w="6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5,682</w:t>
            </w:r>
          </w:p>
        </w:tc>
        <w:tc>
          <w:tcPr>
            <w:tcW w:w="60" w:type="dxa"/>
            <w:vAlign w:val="bottom"/>
            <w:tcBorders>
              <w:bottom w:val="single" w:sz="8" w:color="E6E6E6"/>
            </w:tcBorders>
            <w:shd w:val="clear" w:color="auto" w:fill="E6E6E6"/>
          </w:tcPr>
          <w:p>
            <w:pPr>
              <w:spacing w:after="0"/>
              <w:rPr>
                <w:sz w:val="23"/>
                <w:szCs w:val="23"/>
                <w:color w:val="auto"/>
              </w:rPr>
            </w:pPr>
          </w:p>
        </w:tc>
        <w:tc>
          <w:tcPr>
            <w:tcW w:w="420" w:type="dxa"/>
            <w:vAlign w:val="bottom"/>
            <w:tcBorders>
              <w:bottom w:val="single" w:sz="8" w:color="auto"/>
            </w:tcBorders>
            <w:shd w:val="clear" w:color="auto" w:fill="E6E6E6"/>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6,367</w:t>
            </w:r>
          </w:p>
        </w:tc>
        <w:tc>
          <w:tcPr>
            <w:tcW w:w="80" w:type="dxa"/>
            <w:vAlign w:val="bottom"/>
            <w:tcBorders>
              <w:bottom w:val="single" w:sz="8" w:color="E6E6E6"/>
            </w:tcBorders>
            <w:shd w:val="clear" w:color="auto" w:fill="E6E6E6"/>
          </w:tcPr>
          <w:p>
            <w:pPr>
              <w:spacing w:after="0"/>
              <w:rPr>
                <w:sz w:val="23"/>
                <w:szCs w:val="23"/>
                <w:color w:val="auto"/>
              </w:rPr>
            </w:pPr>
          </w:p>
        </w:tc>
        <w:tc>
          <w:tcPr>
            <w:tcW w:w="420" w:type="dxa"/>
            <w:vAlign w:val="bottom"/>
            <w:tcBorders>
              <w:bottom w:val="single" w:sz="8" w:color="auto"/>
            </w:tcBorders>
            <w:shd w:val="clear" w:color="auto" w:fill="E6E6E6"/>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5,300</w:t>
            </w:r>
          </w:p>
        </w:tc>
        <w:tc>
          <w:tcPr>
            <w:tcW w:w="20" w:type="dxa"/>
            <w:vAlign w:val="bottom"/>
            <w:tcBorders>
              <w:bottom w:val="single" w:sz="8" w:color="E6E6E6"/>
            </w:tcBorders>
            <w:shd w:val="clear" w:color="auto" w:fill="E6E6E6"/>
          </w:tcPr>
          <w:p>
            <w:pPr>
              <w:spacing w:after="0"/>
              <w:rPr>
                <w:sz w:val="23"/>
                <w:szCs w:val="23"/>
                <w:color w:val="auto"/>
              </w:rPr>
            </w:pPr>
          </w:p>
        </w:tc>
      </w:tr>
      <w:tr>
        <w:trPr>
          <w:trHeight w:val="240"/>
        </w:trPr>
        <w:tc>
          <w:tcPr>
            <w:tcW w:w="4640" w:type="dxa"/>
            <w:vAlign w:val="bottom"/>
            <w:gridSpan w:val="3"/>
          </w:tcPr>
          <w:p>
            <w:pPr>
              <w:ind w:left="40"/>
              <w:spacing w:after="0"/>
              <w:rPr>
                <w:sz w:val="20"/>
                <w:szCs w:val="20"/>
                <w:color w:val="auto"/>
              </w:rPr>
            </w:pPr>
            <w:r>
              <w:rPr>
                <w:rFonts w:ascii="Arial" w:cs="Arial" w:eastAsia="Arial" w:hAnsi="Arial"/>
                <w:sz w:val="20"/>
                <w:szCs w:val="20"/>
                <w:color w:val="auto"/>
              </w:rPr>
              <w:t>Recognized liability</w:t>
            </w:r>
          </w:p>
        </w:tc>
        <w:tc>
          <w:tcPr>
            <w:tcW w:w="1120" w:type="dxa"/>
            <w:vAlign w:val="bottom"/>
          </w:tcPr>
          <w:p>
            <w:pPr>
              <w:jc w:val="right"/>
              <w:ind w:right="902"/>
              <w:spacing w:after="0"/>
              <w:rPr>
                <w:sz w:val="20"/>
                <w:szCs w:val="20"/>
                <w:color w:val="auto"/>
              </w:rPr>
            </w:pPr>
            <w:r>
              <w:rPr>
                <w:rFonts w:ascii="Arial" w:cs="Arial" w:eastAsia="Arial" w:hAnsi="Arial"/>
                <w:sz w:val="20"/>
                <w:szCs w:val="20"/>
                <w:color w:val="auto"/>
                <w:w w:val="89"/>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5,682</w:t>
            </w:r>
          </w:p>
        </w:tc>
        <w:tc>
          <w:tcPr>
            <w:tcW w:w="480" w:type="dxa"/>
            <w:vAlign w:val="bottom"/>
            <w:gridSpan w:val="2"/>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6,367</w:t>
            </w:r>
          </w:p>
        </w:tc>
        <w:tc>
          <w:tcPr>
            <w:tcW w:w="500" w:type="dxa"/>
            <w:vAlign w:val="bottom"/>
            <w:gridSpan w:val="2"/>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5,300</w:t>
            </w:r>
          </w:p>
        </w:tc>
        <w:tc>
          <w:tcPr>
            <w:tcW w:w="20" w:type="dxa"/>
            <w:vAlign w:val="bottom"/>
          </w:tcPr>
          <w:p>
            <w:pPr>
              <w:spacing w:after="0"/>
              <w:rPr>
                <w:sz w:val="20"/>
                <w:szCs w:val="20"/>
                <w:color w:val="auto"/>
              </w:rPr>
            </w:pPr>
          </w:p>
        </w:tc>
      </w:tr>
      <w:tr>
        <w:trPr>
          <w:trHeight w:val="20"/>
        </w:trPr>
        <w:tc>
          <w:tcPr>
            <w:tcW w:w="4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2913380</wp:posOffset>
            </wp:positionH>
            <wp:positionV relativeFrom="paragraph">
              <wp:posOffset>-4399280</wp:posOffset>
            </wp:positionV>
            <wp:extent cx="347916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00">
                      <a:extLst>
                        <a:ext uri="{28A0092B-C50C-407E-A947-70E740481C1C}"/>
                      </a:extLst>
                    </a:blip>
                    <a:srcRect/>
                    <a:stretch>
                      <a:fillRect/>
                    </a:stretch>
                  </pic:blipFill>
                  <pic:spPr bwMode="auto">
                    <a:xfrm>
                      <a:off x="0" y="0"/>
                      <a:ext cx="3479165" cy="25400"/>
                    </a:xfrm>
                    <a:prstGeom prst="rect">
                      <a:avLst/>
                    </a:prstGeom>
                    <a:noFill/>
                  </pic:spPr>
                </pic:pic>
              </a:graphicData>
            </a:graphic>
          </wp:anchor>
        </w:drawing>
        <w:drawing>
          <wp:anchor simplePos="0" relativeHeight="251657728" behindDoc="1" locked="0" layoutInCell="0" allowOverlap="1">
            <wp:simplePos x="0" y="0"/>
            <wp:positionH relativeFrom="column">
              <wp:posOffset>2913380</wp:posOffset>
            </wp:positionH>
            <wp:positionV relativeFrom="paragraph">
              <wp:posOffset>-2980690</wp:posOffset>
            </wp:positionV>
            <wp:extent cx="347916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01">
                      <a:extLst>
                        <a:ext uri="{28A0092B-C50C-407E-A947-70E740481C1C}"/>
                      </a:extLst>
                    </a:blip>
                    <a:srcRect/>
                    <a:stretch>
                      <a:fillRect/>
                    </a:stretch>
                  </pic:blipFill>
                  <pic:spPr bwMode="auto">
                    <a:xfrm>
                      <a:off x="0" y="0"/>
                      <a:ext cx="3479165" cy="25400"/>
                    </a:xfrm>
                    <a:prstGeom prst="rect">
                      <a:avLst/>
                    </a:prstGeom>
                    <a:noFill/>
                  </pic:spPr>
                </pic:pic>
              </a:graphicData>
            </a:graphic>
          </wp:anchor>
        </w:drawing>
        <w:drawing>
          <wp:anchor simplePos="0" relativeHeight="251657728" behindDoc="1" locked="0" layoutInCell="0" allowOverlap="1">
            <wp:simplePos x="0" y="0"/>
            <wp:positionH relativeFrom="column">
              <wp:posOffset>2913380</wp:posOffset>
            </wp:positionH>
            <wp:positionV relativeFrom="paragraph">
              <wp:posOffset>-2815590</wp:posOffset>
            </wp:positionV>
            <wp:extent cx="3479165" cy="501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02">
                      <a:extLst>
                        <a:ext uri="{28A0092B-C50C-407E-A947-70E740481C1C}"/>
                      </a:extLst>
                    </a:blip>
                    <a:srcRect/>
                    <a:stretch>
                      <a:fillRect/>
                    </a:stretch>
                  </pic:blipFill>
                  <pic:spPr bwMode="auto">
                    <a:xfrm>
                      <a:off x="0" y="0"/>
                      <a:ext cx="3479165" cy="50165"/>
                    </a:xfrm>
                    <a:prstGeom prst="rect">
                      <a:avLst/>
                    </a:prstGeom>
                    <a:noFill/>
                  </pic:spPr>
                </pic:pic>
              </a:graphicData>
            </a:graphic>
          </wp:anchor>
        </w:drawing>
        <w:drawing>
          <wp:anchor simplePos="0" relativeHeight="251657728" behindDoc="1" locked="0" layoutInCell="0" allowOverlap="1">
            <wp:simplePos x="0" y="0"/>
            <wp:positionH relativeFrom="column">
              <wp:posOffset>2913380</wp:posOffset>
            </wp:positionH>
            <wp:positionV relativeFrom="paragraph">
              <wp:posOffset>-1738630</wp:posOffset>
            </wp:positionV>
            <wp:extent cx="347916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03">
                      <a:extLst>
                        <a:ext uri="{28A0092B-C50C-407E-A947-70E740481C1C}"/>
                      </a:extLst>
                    </a:blip>
                    <a:srcRect/>
                    <a:stretch>
                      <a:fillRect/>
                    </a:stretch>
                  </pic:blipFill>
                  <pic:spPr bwMode="auto">
                    <a:xfrm>
                      <a:off x="0" y="0"/>
                      <a:ext cx="3479165" cy="25400"/>
                    </a:xfrm>
                    <a:prstGeom prst="rect">
                      <a:avLst/>
                    </a:prstGeom>
                    <a:noFill/>
                  </pic:spPr>
                </pic:pic>
              </a:graphicData>
            </a:graphic>
          </wp:anchor>
        </w:drawing>
        <w:drawing>
          <wp:anchor simplePos="0" relativeHeight="251657728" behindDoc="1" locked="0" layoutInCell="0" allowOverlap="1">
            <wp:simplePos x="0" y="0"/>
            <wp:positionH relativeFrom="column">
              <wp:posOffset>2913380</wp:posOffset>
            </wp:positionH>
            <wp:positionV relativeFrom="paragraph">
              <wp:posOffset>-1574165</wp:posOffset>
            </wp:positionV>
            <wp:extent cx="3479165" cy="501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04">
                      <a:extLst>
                        <a:ext uri="{28A0092B-C50C-407E-A947-70E740481C1C}"/>
                      </a:extLst>
                    </a:blip>
                    <a:srcRect/>
                    <a:stretch>
                      <a:fillRect/>
                    </a:stretch>
                  </pic:blipFill>
                  <pic:spPr bwMode="auto">
                    <a:xfrm>
                      <a:off x="0" y="0"/>
                      <a:ext cx="3479165" cy="50165"/>
                    </a:xfrm>
                    <a:prstGeom prst="rect">
                      <a:avLst/>
                    </a:prstGeom>
                    <a:noFill/>
                  </pic:spPr>
                </pic:pic>
              </a:graphicData>
            </a:graphic>
          </wp:anchor>
        </w:drawing>
        <w:drawing>
          <wp:anchor simplePos="0" relativeHeight="251657728" behindDoc="1" locked="0" layoutInCell="0" allowOverlap="1">
            <wp:simplePos x="0" y="0"/>
            <wp:positionH relativeFrom="column">
              <wp:posOffset>2913380</wp:posOffset>
            </wp:positionH>
            <wp:positionV relativeFrom="paragraph">
              <wp:posOffset>-1029335</wp:posOffset>
            </wp:positionV>
            <wp:extent cx="347916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05">
                      <a:extLst>
                        <a:ext uri="{28A0092B-C50C-407E-A947-70E740481C1C}"/>
                      </a:extLst>
                    </a:blip>
                    <a:srcRect/>
                    <a:stretch>
                      <a:fillRect/>
                    </a:stretch>
                  </pic:blipFill>
                  <pic:spPr bwMode="auto">
                    <a:xfrm>
                      <a:off x="0" y="0"/>
                      <a:ext cx="3479165" cy="25400"/>
                    </a:xfrm>
                    <a:prstGeom prst="rect">
                      <a:avLst/>
                    </a:prstGeom>
                    <a:noFill/>
                  </pic:spPr>
                </pic:pic>
              </a:graphicData>
            </a:graphic>
          </wp:anchor>
        </w:drawing>
        <w:drawing>
          <wp:anchor simplePos="0" relativeHeight="251657728" behindDoc="1" locked="0" layoutInCell="0" allowOverlap="1">
            <wp:simplePos x="0" y="0"/>
            <wp:positionH relativeFrom="column">
              <wp:posOffset>2913380</wp:posOffset>
            </wp:positionH>
            <wp:positionV relativeFrom="paragraph">
              <wp:posOffset>-864870</wp:posOffset>
            </wp:positionV>
            <wp:extent cx="3479165" cy="501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06">
                      <a:extLst>
                        <a:ext uri="{28A0092B-C50C-407E-A947-70E740481C1C}"/>
                      </a:extLst>
                    </a:blip>
                    <a:srcRect/>
                    <a:stretch>
                      <a:fillRect/>
                    </a:stretch>
                  </pic:blipFill>
                  <pic:spPr bwMode="auto">
                    <a:xfrm>
                      <a:off x="0" y="0"/>
                      <a:ext cx="3479165" cy="50165"/>
                    </a:xfrm>
                    <a:prstGeom prst="rect">
                      <a:avLst/>
                    </a:prstGeom>
                    <a:noFill/>
                  </pic:spPr>
                </pic:pic>
              </a:graphicData>
            </a:graphic>
          </wp:anchor>
        </w:drawing>
        <w:drawing>
          <wp:anchor simplePos="0" relativeHeight="251657728" behindDoc="1" locked="0" layoutInCell="0" allowOverlap="1">
            <wp:simplePos x="0" y="0"/>
            <wp:positionH relativeFrom="column">
              <wp:posOffset>2913380</wp:posOffset>
            </wp:positionH>
            <wp:positionV relativeFrom="paragraph">
              <wp:posOffset>-208280</wp:posOffset>
            </wp:positionV>
            <wp:extent cx="347916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07">
                      <a:extLst>
                        <a:ext uri="{28A0092B-C50C-407E-A947-70E740481C1C}"/>
                      </a:extLst>
                    </a:blip>
                    <a:srcRect/>
                    <a:stretch>
                      <a:fillRect/>
                    </a:stretch>
                  </pic:blipFill>
                  <pic:spPr bwMode="auto">
                    <a:xfrm>
                      <a:off x="0" y="0"/>
                      <a:ext cx="3479165" cy="25400"/>
                    </a:xfrm>
                    <a:prstGeom prst="rect">
                      <a:avLst/>
                    </a:prstGeom>
                    <a:noFill/>
                  </pic:spPr>
                </pic:pic>
              </a:graphicData>
            </a:graphic>
          </wp:anchor>
        </w:drawing>
      </w:r>
    </w:p>
    <w:p>
      <w:pPr>
        <w:spacing w:after="0" w:line="111" w:lineRule="exact"/>
        <w:rPr>
          <w:sz w:val="20"/>
          <w:szCs w:val="20"/>
          <w:color w:val="auto"/>
        </w:rPr>
      </w:pPr>
    </w:p>
    <w:p>
      <w:pPr>
        <w:ind w:left="700" w:right="520" w:hanging="355"/>
        <w:spacing w:after="0" w:line="230" w:lineRule="auto"/>
        <w:tabs>
          <w:tab w:leader="none" w:pos="700"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In certain non-U.S. countries, fully funding pension plans is not a common practice. Consequently, certain pension plans have been partially funded.</w:t>
      </w:r>
    </w:p>
    <w:p>
      <w:pPr>
        <w:spacing w:after="0" w:line="101" w:lineRule="exact"/>
        <w:rPr>
          <w:sz w:val="20"/>
          <w:szCs w:val="20"/>
          <w:color w:val="auto"/>
        </w:rPr>
      </w:pPr>
    </w:p>
    <w:p>
      <w:pPr>
        <w:spacing w:after="0" w:line="284" w:lineRule="auto"/>
        <w:rPr>
          <w:sz w:val="20"/>
          <w:szCs w:val="20"/>
          <w:color w:val="auto"/>
        </w:rPr>
      </w:pPr>
      <w:r>
        <w:rPr>
          <w:rFonts w:ascii="Arial" w:cs="Arial" w:eastAsia="Arial" w:hAnsi="Arial"/>
          <w:sz w:val="20"/>
          <w:szCs w:val="20"/>
          <w:color w:val="auto"/>
        </w:rPr>
        <w:t>The following tables present U.S. and non-U.S. net periodic benefit cost of LivaNova’s defined benefit pension plans by component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4"/>
          </w:tcPr>
          <w:p>
            <w:pPr>
              <w:ind w:left="60"/>
              <w:spacing w:after="0"/>
              <w:rPr>
                <w:sz w:val="20"/>
                <w:szCs w:val="20"/>
                <w:color w:val="auto"/>
              </w:rPr>
            </w:pPr>
            <w:r>
              <w:rPr>
                <w:rFonts w:ascii="Arial" w:cs="Arial" w:eastAsia="Arial" w:hAnsi="Arial"/>
                <w:sz w:val="20"/>
                <w:szCs w:val="20"/>
                <w:b w:val="1"/>
                <w:bCs w:val="1"/>
                <w:color w:val="auto"/>
                <w:w w:val="88"/>
              </w:rPr>
              <w:t>U.S. Pension Benefits</w:t>
            </w: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r>
      <w:tr>
        <w:trPr>
          <w:trHeight w:val="260"/>
        </w:trPr>
        <w:tc>
          <w:tcPr>
            <w:tcW w:w="460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b w:val="1"/>
                <w:bCs w:val="1"/>
                <w:color w:val="auto"/>
              </w:rPr>
              <w:t>2024</w:t>
            </w:r>
          </w:p>
        </w:tc>
        <w:tc>
          <w:tcPr>
            <w:tcW w:w="580" w:type="dxa"/>
            <w:vAlign w:val="bottom"/>
            <w:tcBorders>
              <w:bottom w:val="single" w:sz="8" w:color="auto"/>
            </w:tcBorders>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82"/>
              <w:spacing w:after="0"/>
              <w:rPr>
                <w:sz w:val="20"/>
                <w:szCs w:val="20"/>
                <w:color w:val="auto"/>
              </w:rPr>
            </w:pPr>
            <w:r>
              <w:rPr>
                <w:rFonts w:ascii="Arial" w:cs="Arial" w:eastAsia="Arial" w:hAnsi="Arial"/>
                <w:sz w:val="20"/>
                <w:szCs w:val="20"/>
                <w:b w:val="1"/>
                <w:bCs w:val="1"/>
                <w:color w:val="auto"/>
              </w:rPr>
              <w:t>2023</w:t>
            </w:r>
          </w:p>
        </w:tc>
        <w:tc>
          <w:tcPr>
            <w:tcW w:w="80" w:type="dxa"/>
            <w:vAlign w:val="bottom"/>
            <w:tcBorders>
              <w:bottom w:val="single" w:sz="8" w:color="E6E6E6"/>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82"/>
              <w:spacing w:after="0"/>
              <w:rPr>
                <w:sz w:val="20"/>
                <w:szCs w:val="20"/>
                <w:color w:val="auto"/>
              </w:rPr>
            </w:pPr>
            <w:r>
              <w:rPr>
                <w:rFonts w:ascii="Arial" w:cs="Arial" w:eastAsia="Arial" w:hAnsi="Arial"/>
                <w:sz w:val="20"/>
                <w:szCs w:val="20"/>
                <w:b w:val="1"/>
                <w:bCs w:val="1"/>
                <w:color w:val="auto"/>
              </w:rPr>
              <w:t>2022</w:t>
            </w:r>
          </w:p>
        </w:tc>
      </w:tr>
      <w:tr>
        <w:trPr>
          <w:trHeight w:val="269"/>
        </w:trPr>
        <w:tc>
          <w:tcPr>
            <w:tcW w:w="4620" w:type="dxa"/>
            <w:vAlign w:val="bottom"/>
            <w:gridSpan w:val="2"/>
            <w:shd w:val="clear" w:color="auto" w:fill="E6E6E6"/>
          </w:tcPr>
          <w:p>
            <w:pPr>
              <w:ind w:left="40"/>
              <w:spacing w:after="0"/>
              <w:rPr>
                <w:sz w:val="20"/>
                <w:szCs w:val="20"/>
                <w:color w:val="auto"/>
              </w:rPr>
            </w:pPr>
            <w:r>
              <w:rPr>
                <w:rFonts w:ascii="Arial" w:cs="Arial" w:eastAsia="Arial" w:hAnsi="Arial"/>
                <w:sz w:val="20"/>
                <w:szCs w:val="20"/>
                <w:color w:val="auto"/>
              </w:rPr>
              <w:t>Interest cost</w:t>
            </w:r>
          </w:p>
        </w:tc>
        <w:tc>
          <w:tcPr>
            <w:tcW w:w="1180" w:type="dxa"/>
            <w:vAlign w:val="bottom"/>
            <w:shd w:val="clear" w:color="auto" w:fill="E6E6E6"/>
          </w:tcPr>
          <w:p>
            <w:pPr>
              <w:jc w:val="right"/>
              <w:ind w:right="942"/>
              <w:spacing w:after="0"/>
              <w:rPr>
                <w:sz w:val="20"/>
                <w:szCs w:val="20"/>
                <w:color w:val="auto"/>
              </w:rPr>
            </w:pPr>
            <w:r>
              <w:rPr>
                <w:rFonts w:ascii="Arial" w:cs="Arial" w:eastAsia="Arial" w:hAnsi="Arial"/>
                <w:sz w:val="20"/>
                <w:szCs w:val="20"/>
                <w:color w:val="auto"/>
              </w:rPr>
              <w:t>$</w:t>
            </w:r>
          </w:p>
        </w:tc>
        <w:tc>
          <w:tcPr>
            <w:tcW w:w="5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347</w:t>
            </w:r>
          </w:p>
        </w:tc>
        <w:tc>
          <w:tcPr>
            <w:tcW w:w="480" w:type="dxa"/>
            <w:vAlign w:val="bottom"/>
            <w:gridSpan w:val="2"/>
            <w:shd w:val="clear" w:color="auto" w:fill="E6E6E6"/>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409</w:t>
            </w:r>
          </w:p>
        </w:tc>
        <w:tc>
          <w:tcPr>
            <w:tcW w:w="80" w:type="dxa"/>
            <w:vAlign w:val="bottom"/>
            <w:shd w:val="clear" w:color="auto" w:fill="E6E6E6"/>
          </w:tcPr>
          <w:p>
            <w:pPr>
              <w:spacing w:after="0"/>
              <w:rPr>
                <w:sz w:val="23"/>
                <w:szCs w:val="23"/>
                <w:color w:val="auto"/>
              </w:rPr>
            </w:pPr>
          </w:p>
        </w:tc>
        <w:tc>
          <w:tcPr>
            <w:tcW w:w="420" w:type="dxa"/>
            <w:vAlign w:val="bottom"/>
            <w:shd w:val="clear" w:color="auto" w:fill="E6E6E6"/>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254</w:t>
            </w:r>
          </w:p>
        </w:tc>
      </w:tr>
      <w:tr>
        <w:trPr>
          <w:trHeight w:val="274"/>
        </w:trPr>
        <w:tc>
          <w:tcPr>
            <w:tcW w:w="4620" w:type="dxa"/>
            <w:vAlign w:val="bottom"/>
            <w:gridSpan w:val="2"/>
          </w:tcPr>
          <w:p>
            <w:pPr>
              <w:ind w:left="40"/>
              <w:spacing w:after="0"/>
              <w:rPr>
                <w:sz w:val="20"/>
                <w:szCs w:val="20"/>
                <w:color w:val="auto"/>
              </w:rPr>
            </w:pPr>
            <w:r>
              <w:rPr>
                <w:rFonts w:ascii="Arial" w:cs="Arial" w:eastAsia="Arial" w:hAnsi="Arial"/>
                <w:sz w:val="20"/>
                <w:szCs w:val="20"/>
                <w:color w:val="auto"/>
              </w:rPr>
              <w:t>Expected return on plan assets</w:t>
            </w:r>
          </w:p>
        </w:tc>
        <w:tc>
          <w:tcPr>
            <w:tcW w:w="1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(289)</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(209)</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(298)</w:t>
            </w:r>
          </w:p>
        </w:tc>
      </w:tr>
      <w:tr>
        <w:trPr>
          <w:trHeight w:val="285"/>
        </w:trPr>
        <w:tc>
          <w:tcPr>
            <w:tcW w:w="4620" w:type="dxa"/>
            <w:vAlign w:val="bottom"/>
            <w:gridSpan w:val="2"/>
            <w:shd w:val="clear" w:color="auto" w:fill="E6E6E6"/>
          </w:tcPr>
          <w:p>
            <w:pPr>
              <w:ind w:left="40"/>
              <w:spacing w:after="0"/>
              <w:rPr>
                <w:sz w:val="20"/>
                <w:szCs w:val="20"/>
                <w:color w:val="auto"/>
              </w:rPr>
            </w:pPr>
            <w:r>
              <w:rPr>
                <w:rFonts w:ascii="Arial" w:cs="Arial" w:eastAsia="Arial" w:hAnsi="Arial"/>
                <w:sz w:val="20"/>
                <w:szCs w:val="20"/>
                <w:color w:val="auto"/>
              </w:rPr>
              <w:t>Settlement and curtailment loss</w:t>
            </w:r>
          </w:p>
        </w:tc>
        <w:tc>
          <w:tcPr>
            <w:tcW w:w="1180" w:type="dxa"/>
            <w:vAlign w:val="bottom"/>
            <w:shd w:val="clear" w:color="auto" w:fill="E6E6E6"/>
          </w:tcPr>
          <w:p>
            <w:pPr>
              <w:spacing w:after="0"/>
              <w:rPr>
                <w:sz w:val="24"/>
                <w:szCs w:val="24"/>
                <w:color w:val="auto"/>
              </w:rPr>
            </w:pPr>
          </w:p>
        </w:tc>
        <w:tc>
          <w:tcPr>
            <w:tcW w:w="5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6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1420" w:type="dxa"/>
            <w:vAlign w:val="bottom"/>
            <w:gridSpan w:val="2"/>
            <w:shd w:val="clear" w:color="auto" w:fill="E6E6E6"/>
          </w:tcPr>
          <w:p>
            <w:pPr>
              <w:jc w:val="right"/>
              <w:ind w:right="140"/>
              <w:spacing w:after="0"/>
              <w:rPr>
                <w:sz w:val="20"/>
                <w:szCs w:val="20"/>
                <w:color w:val="auto"/>
              </w:rPr>
            </w:pPr>
            <w:r>
              <w:rPr>
                <w:rFonts w:ascii="Arial" w:cs="Arial" w:eastAsia="Arial" w:hAnsi="Arial"/>
                <w:sz w:val="20"/>
                <w:szCs w:val="20"/>
                <w:color w:val="auto"/>
              </w:rPr>
              <w:t>—</w:t>
            </w:r>
          </w:p>
        </w:tc>
        <w:tc>
          <w:tcPr>
            <w:tcW w:w="420" w:type="dxa"/>
            <w:vAlign w:val="bottom"/>
            <w:shd w:val="clear" w:color="auto" w:fill="E6E6E6"/>
          </w:tcPr>
          <w:p>
            <w:pPr>
              <w:spacing w:after="0"/>
              <w:rPr>
                <w:sz w:val="24"/>
                <w:szCs w:val="24"/>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731</w:t>
            </w:r>
          </w:p>
        </w:tc>
      </w:tr>
      <w:tr>
        <w:trPr>
          <w:trHeight w:val="269"/>
        </w:trPr>
        <w:tc>
          <w:tcPr>
            <w:tcW w:w="4600" w:type="dxa"/>
            <w:vAlign w:val="bottom"/>
            <w:tcBorders>
              <w:bottom w:val="single" w:sz="8" w:color="E6E6E6"/>
            </w:tcBorders>
          </w:tcPr>
          <w:p>
            <w:pPr>
              <w:ind w:left="40"/>
              <w:spacing w:after="0"/>
              <w:rPr>
                <w:sz w:val="20"/>
                <w:szCs w:val="20"/>
                <w:color w:val="auto"/>
              </w:rPr>
            </w:pPr>
            <w:r>
              <w:rPr>
                <w:rFonts w:ascii="Arial" w:cs="Arial" w:eastAsia="Arial" w:hAnsi="Arial"/>
                <w:sz w:val="20"/>
                <w:szCs w:val="20"/>
                <w:color w:val="auto"/>
              </w:rPr>
              <w:t>Amortization of net actuarial loss</w:t>
            </w:r>
          </w:p>
        </w:tc>
        <w:tc>
          <w:tcPr>
            <w:tcW w:w="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148</w:t>
            </w:r>
          </w:p>
        </w:tc>
        <w:tc>
          <w:tcPr>
            <w:tcW w:w="60" w:type="dxa"/>
            <w:vAlign w:val="bottom"/>
            <w:tcBorders>
              <w:bottom w:val="single" w:sz="8" w:color="E6E6E6"/>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233</w:t>
            </w:r>
          </w:p>
        </w:tc>
        <w:tc>
          <w:tcPr>
            <w:tcW w:w="80" w:type="dxa"/>
            <w:vAlign w:val="bottom"/>
            <w:tcBorders>
              <w:bottom w:val="single" w:sz="8" w:color="E6E6E6"/>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262</w:t>
            </w:r>
          </w:p>
        </w:tc>
      </w:tr>
      <w:tr>
        <w:trPr>
          <w:trHeight w:val="279"/>
        </w:trPr>
        <w:tc>
          <w:tcPr>
            <w:tcW w:w="460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1180" w:type="dxa"/>
            <w:vAlign w:val="bottom"/>
            <w:tcBorders>
              <w:bottom w:val="single" w:sz="8" w:color="auto"/>
            </w:tcBorders>
            <w:shd w:val="clear" w:color="auto" w:fill="E6E6E6"/>
          </w:tcPr>
          <w:p>
            <w:pPr>
              <w:jc w:val="right"/>
              <w:ind w:right="942"/>
              <w:spacing w:after="0"/>
              <w:rPr>
                <w:sz w:val="20"/>
                <w:szCs w:val="20"/>
                <w:color w:val="auto"/>
              </w:rPr>
            </w:pPr>
            <w:r>
              <w:rPr>
                <w:rFonts w:ascii="Arial" w:cs="Arial" w:eastAsia="Arial" w:hAnsi="Arial"/>
                <w:sz w:val="20"/>
                <w:szCs w:val="20"/>
                <w:color w:val="auto"/>
              </w:rPr>
              <w:t>$</w:t>
            </w:r>
          </w:p>
        </w:tc>
        <w:tc>
          <w:tcPr>
            <w:tcW w:w="5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206</w:t>
            </w:r>
          </w:p>
        </w:tc>
        <w:tc>
          <w:tcPr>
            <w:tcW w:w="60" w:type="dxa"/>
            <w:vAlign w:val="bottom"/>
            <w:tcBorders>
              <w:bottom w:val="single" w:sz="8" w:color="E6E6E6"/>
            </w:tcBorders>
            <w:shd w:val="clear" w:color="auto" w:fill="E6E6E6"/>
          </w:tcPr>
          <w:p>
            <w:pPr>
              <w:spacing w:after="0"/>
              <w:rPr>
                <w:sz w:val="24"/>
                <w:szCs w:val="24"/>
                <w:color w:val="auto"/>
              </w:rPr>
            </w:pPr>
          </w:p>
        </w:tc>
        <w:tc>
          <w:tcPr>
            <w:tcW w:w="420" w:type="dxa"/>
            <w:vAlign w:val="bottom"/>
            <w:tcBorders>
              <w:bottom w:val="single" w:sz="8" w:color="auto"/>
            </w:tcBorders>
            <w:shd w:val="clear" w:color="auto" w:fill="E6E6E6"/>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433</w:t>
            </w:r>
          </w:p>
        </w:tc>
        <w:tc>
          <w:tcPr>
            <w:tcW w:w="80" w:type="dxa"/>
            <w:vAlign w:val="bottom"/>
            <w:tcBorders>
              <w:bottom w:val="single" w:sz="8" w:color="E6E6E6"/>
            </w:tcBorders>
            <w:shd w:val="clear" w:color="auto" w:fill="E6E6E6"/>
          </w:tcPr>
          <w:p>
            <w:pPr>
              <w:spacing w:after="0"/>
              <w:rPr>
                <w:sz w:val="24"/>
                <w:szCs w:val="24"/>
                <w:color w:val="auto"/>
              </w:rPr>
            </w:pPr>
          </w:p>
        </w:tc>
        <w:tc>
          <w:tcPr>
            <w:tcW w:w="420" w:type="dxa"/>
            <w:vAlign w:val="bottom"/>
            <w:tcBorders>
              <w:bottom w:val="single" w:sz="8" w:color="auto"/>
            </w:tcBorders>
            <w:shd w:val="clear" w:color="auto" w:fill="E6E6E6"/>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949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2913380</wp:posOffset>
            </wp:positionH>
            <wp:positionV relativeFrom="paragraph">
              <wp:posOffset>-917575</wp:posOffset>
            </wp:positionV>
            <wp:extent cx="347916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08">
                      <a:extLst>
                        <a:ext uri="{28A0092B-C50C-407E-A947-70E740481C1C}"/>
                      </a:extLst>
                    </a:blip>
                    <a:srcRect/>
                    <a:stretch>
                      <a:fillRect/>
                    </a:stretch>
                  </pic:blipFill>
                  <pic:spPr bwMode="auto">
                    <a:xfrm>
                      <a:off x="0" y="0"/>
                      <a:ext cx="3479165" cy="25400"/>
                    </a:xfrm>
                    <a:prstGeom prst="rect">
                      <a:avLst/>
                    </a:prstGeom>
                    <a:noFill/>
                  </pic:spPr>
                </pic:pic>
              </a:graphicData>
            </a:graphic>
          </wp:anchor>
        </w:drawing>
        <w:drawing>
          <wp:anchor simplePos="0" relativeHeight="251657728" behindDoc="1" locked="0" layoutInCell="0" allowOverlap="1">
            <wp:simplePos x="0" y="0"/>
            <wp:positionH relativeFrom="column">
              <wp:posOffset>2913380</wp:posOffset>
            </wp:positionH>
            <wp:positionV relativeFrom="paragraph">
              <wp:posOffset>-208280</wp:posOffset>
            </wp:positionV>
            <wp:extent cx="347916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09">
                      <a:extLst>
                        <a:ext uri="{28A0092B-C50C-407E-A947-70E740481C1C}"/>
                      </a:extLst>
                    </a:blip>
                    <a:srcRect/>
                    <a:stretch>
                      <a:fillRect/>
                    </a:stretch>
                  </pic:blipFill>
                  <pic:spPr bwMode="auto">
                    <a:xfrm>
                      <a:off x="0" y="0"/>
                      <a:ext cx="3479165" cy="25400"/>
                    </a:xfrm>
                    <a:prstGeom prst="rect">
                      <a:avLst/>
                    </a:prstGeom>
                    <a:noFill/>
                  </pic:spPr>
                </pic:pic>
              </a:graphicData>
            </a:graphic>
          </wp:anchor>
        </w:drawing>
        <w:drawing>
          <wp:anchor simplePos="0" relativeHeight="251657728" behindDoc="1" locked="0" layoutInCell="0" allowOverlap="1">
            <wp:simplePos x="0" y="0"/>
            <wp:positionH relativeFrom="column">
              <wp:posOffset>2913380</wp:posOffset>
            </wp:positionH>
            <wp:positionV relativeFrom="paragraph">
              <wp:posOffset>-43180</wp:posOffset>
            </wp:positionV>
            <wp:extent cx="3479165" cy="501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10">
                      <a:extLst>
                        <a:ext uri="{28A0092B-C50C-407E-A947-70E740481C1C}"/>
                      </a:extLst>
                    </a:blip>
                    <a:srcRect/>
                    <a:stretch>
                      <a:fillRect/>
                    </a:stretch>
                  </pic:blipFill>
                  <pic:spPr bwMode="auto">
                    <a:xfrm>
                      <a:off x="0" y="0"/>
                      <a:ext cx="3479165" cy="50165"/>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2900" w:type="dxa"/>
            <w:vAlign w:val="bottom"/>
            <w:tcBorders>
              <w:bottom w:val="single" w:sz="8" w:color="auto"/>
            </w:tcBorders>
            <w:gridSpan w:val="6"/>
          </w:tcPr>
          <w:p>
            <w:pPr>
              <w:jc w:val="right"/>
              <w:ind w:right="182"/>
              <w:spacing w:after="0"/>
              <w:rPr>
                <w:sz w:val="20"/>
                <w:szCs w:val="20"/>
                <w:color w:val="auto"/>
              </w:rPr>
            </w:pPr>
            <w:r>
              <w:rPr>
                <w:rFonts w:ascii="Arial" w:cs="Arial" w:eastAsia="Arial" w:hAnsi="Arial"/>
                <w:sz w:val="20"/>
                <w:szCs w:val="20"/>
                <w:b w:val="1"/>
                <w:bCs w:val="1"/>
                <w:color w:val="auto"/>
              </w:rPr>
              <w:t>Non-U.S. Pension Benefits</w:t>
            </w:r>
          </w:p>
        </w:tc>
        <w:tc>
          <w:tcPr>
            <w:tcW w:w="1340" w:type="dxa"/>
            <w:vAlign w:val="bottom"/>
            <w:tcBorders>
              <w:bottom w:val="single" w:sz="8" w:color="auto"/>
            </w:tcBorders>
          </w:tcPr>
          <w:p>
            <w:pPr>
              <w:spacing w:after="0"/>
              <w:rPr>
                <w:sz w:val="22"/>
                <w:szCs w:val="22"/>
                <w:color w:val="auto"/>
              </w:rPr>
            </w:pPr>
          </w:p>
        </w:tc>
      </w:tr>
      <w:tr>
        <w:trPr>
          <w:trHeight w:val="260"/>
        </w:trPr>
        <w:tc>
          <w:tcPr>
            <w:tcW w:w="460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b w:val="1"/>
                <w:bCs w:val="1"/>
                <w:color w:val="auto"/>
              </w:rPr>
              <w:t>2024</w:t>
            </w:r>
          </w:p>
        </w:tc>
        <w:tc>
          <w:tcPr>
            <w:tcW w:w="580" w:type="dxa"/>
            <w:vAlign w:val="bottom"/>
            <w:tcBorders>
              <w:bottom w:val="single" w:sz="8" w:color="auto"/>
            </w:tcBorders>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82"/>
              <w:spacing w:after="0"/>
              <w:rPr>
                <w:sz w:val="20"/>
                <w:szCs w:val="20"/>
                <w:color w:val="auto"/>
              </w:rPr>
            </w:pPr>
            <w:r>
              <w:rPr>
                <w:rFonts w:ascii="Arial" w:cs="Arial" w:eastAsia="Arial" w:hAnsi="Arial"/>
                <w:sz w:val="20"/>
                <w:szCs w:val="20"/>
                <w:b w:val="1"/>
                <w:bCs w:val="1"/>
                <w:color w:val="auto"/>
              </w:rPr>
              <w:t>2023</w:t>
            </w:r>
          </w:p>
        </w:tc>
        <w:tc>
          <w:tcPr>
            <w:tcW w:w="80" w:type="dxa"/>
            <w:vAlign w:val="bottom"/>
            <w:tcBorders>
              <w:bottom w:val="single" w:sz="8" w:color="E6E6E6"/>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82"/>
              <w:spacing w:after="0"/>
              <w:rPr>
                <w:sz w:val="20"/>
                <w:szCs w:val="20"/>
                <w:color w:val="auto"/>
              </w:rPr>
            </w:pPr>
            <w:r>
              <w:rPr>
                <w:rFonts w:ascii="Arial" w:cs="Arial" w:eastAsia="Arial" w:hAnsi="Arial"/>
                <w:sz w:val="20"/>
                <w:szCs w:val="20"/>
                <w:b w:val="1"/>
                <w:bCs w:val="1"/>
                <w:color w:val="auto"/>
              </w:rPr>
              <w:t>2022</w:t>
            </w:r>
          </w:p>
        </w:tc>
      </w:tr>
      <w:tr>
        <w:trPr>
          <w:trHeight w:val="269"/>
        </w:trPr>
        <w:tc>
          <w:tcPr>
            <w:tcW w:w="4620" w:type="dxa"/>
            <w:vAlign w:val="bottom"/>
            <w:gridSpan w:val="2"/>
            <w:shd w:val="clear" w:color="auto" w:fill="E6E6E6"/>
          </w:tcPr>
          <w:p>
            <w:pPr>
              <w:ind w:left="40"/>
              <w:spacing w:after="0"/>
              <w:rPr>
                <w:sz w:val="20"/>
                <w:szCs w:val="20"/>
                <w:color w:val="auto"/>
              </w:rPr>
            </w:pPr>
            <w:r>
              <w:rPr>
                <w:rFonts w:ascii="Arial" w:cs="Arial" w:eastAsia="Arial" w:hAnsi="Arial"/>
                <w:sz w:val="20"/>
                <w:szCs w:val="20"/>
                <w:color w:val="auto"/>
              </w:rPr>
              <w:t>Service cost</w:t>
            </w:r>
          </w:p>
        </w:tc>
        <w:tc>
          <w:tcPr>
            <w:tcW w:w="1180" w:type="dxa"/>
            <w:vAlign w:val="bottom"/>
            <w:shd w:val="clear" w:color="auto" w:fill="E6E6E6"/>
          </w:tcPr>
          <w:p>
            <w:pPr>
              <w:jc w:val="right"/>
              <w:ind w:right="942"/>
              <w:spacing w:after="0"/>
              <w:rPr>
                <w:sz w:val="20"/>
                <w:szCs w:val="20"/>
                <w:color w:val="auto"/>
              </w:rPr>
            </w:pPr>
            <w:r>
              <w:rPr>
                <w:rFonts w:ascii="Arial" w:cs="Arial" w:eastAsia="Arial" w:hAnsi="Arial"/>
                <w:sz w:val="20"/>
                <w:szCs w:val="20"/>
                <w:color w:val="auto"/>
              </w:rPr>
              <w:t>$</w:t>
            </w:r>
          </w:p>
        </w:tc>
        <w:tc>
          <w:tcPr>
            <w:tcW w:w="5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225</w:t>
            </w:r>
          </w:p>
        </w:tc>
        <w:tc>
          <w:tcPr>
            <w:tcW w:w="480" w:type="dxa"/>
            <w:vAlign w:val="bottom"/>
            <w:gridSpan w:val="2"/>
            <w:shd w:val="clear" w:color="auto" w:fill="E6E6E6"/>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239</w:t>
            </w:r>
          </w:p>
        </w:tc>
        <w:tc>
          <w:tcPr>
            <w:tcW w:w="500" w:type="dxa"/>
            <w:vAlign w:val="bottom"/>
            <w:gridSpan w:val="2"/>
            <w:shd w:val="clear" w:color="auto" w:fill="E6E6E6"/>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259</w:t>
            </w:r>
          </w:p>
        </w:tc>
      </w:tr>
      <w:tr>
        <w:trPr>
          <w:trHeight w:val="274"/>
        </w:trPr>
        <w:tc>
          <w:tcPr>
            <w:tcW w:w="4620" w:type="dxa"/>
            <w:vAlign w:val="bottom"/>
            <w:gridSpan w:val="2"/>
          </w:tcPr>
          <w:p>
            <w:pPr>
              <w:ind w:left="40"/>
              <w:spacing w:after="0"/>
              <w:rPr>
                <w:sz w:val="20"/>
                <w:szCs w:val="20"/>
                <w:color w:val="auto"/>
              </w:rPr>
            </w:pPr>
            <w:r>
              <w:rPr>
                <w:rFonts w:ascii="Arial" w:cs="Arial" w:eastAsia="Arial" w:hAnsi="Arial"/>
                <w:sz w:val="20"/>
                <w:szCs w:val="20"/>
                <w:color w:val="auto"/>
              </w:rPr>
              <w:t>Interest cost</w:t>
            </w:r>
          </w:p>
        </w:tc>
        <w:tc>
          <w:tcPr>
            <w:tcW w:w="1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205</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239</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83</w:t>
            </w:r>
          </w:p>
        </w:tc>
      </w:tr>
      <w:tr>
        <w:trPr>
          <w:trHeight w:val="285"/>
        </w:trPr>
        <w:tc>
          <w:tcPr>
            <w:tcW w:w="4620" w:type="dxa"/>
            <w:vAlign w:val="bottom"/>
            <w:gridSpan w:val="2"/>
            <w:shd w:val="clear" w:color="auto" w:fill="E6E6E6"/>
          </w:tcPr>
          <w:p>
            <w:pPr>
              <w:ind w:left="40"/>
              <w:spacing w:after="0"/>
              <w:rPr>
                <w:sz w:val="20"/>
                <w:szCs w:val="20"/>
                <w:color w:val="auto"/>
              </w:rPr>
            </w:pPr>
            <w:r>
              <w:rPr>
                <w:rFonts w:ascii="Arial" w:cs="Arial" w:eastAsia="Arial" w:hAnsi="Arial"/>
                <w:sz w:val="20"/>
                <w:szCs w:val="20"/>
                <w:color w:val="auto"/>
              </w:rPr>
              <w:t>Expected return on plan assets</w:t>
            </w:r>
          </w:p>
        </w:tc>
        <w:tc>
          <w:tcPr>
            <w:tcW w:w="1180" w:type="dxa"/>
            <w:vAlign w:val="bottom"/>
            <w:shd w:val="clear" w:color="auto" w:fill="E6E6E6"/>
          </w:tcPr>
          <w:p>
            <w:pPr>
              <w:spacing w:after="0"/>
              <w:rPr>
                <w:sz w:val="24"/>
                <w:szCs w:val="24"/>
                <w:color w:val="auto"/>
              </w:rPr>
            </w:pPr>
          </w:p>
        </w:tc>
        <w:tc>
          <w:tcPr>
            <w:tcW w:w="5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20</w:t>
            </w:r>
          </w:p>
        </w:tc>
        <w:tc>
          <w:tcPr>
            <w:tcW w:w="6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78</w:t>
            </w:r>
          </w:p>
        </w:tc>
        <w:tc>
          <w:tcPr>
            <w:tcW w:w="8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80</w:t>
            </w:r>
          </w:p>
        </w:tc>
      </w:tr>
      <w:tr>
        <w:trPr>
          <w:trHeight w:val="269"/>
        </w:trPr>
        <w:tc>
          <w:tcPr>
            <w:tcW w:w="4620" w:type="dxa"/>
            <w:vAlign w:val="bottom"/>
            <w:tcBorders>
              <w:bottom w:val="single" w:sz="8" w:color="E6E6E6"/>
            </w:tcBorders>
            <w:gridSpan w:val="2"/>
          </w:tcPr>
          <w:p>
            <w:pPr>
              <w:ind w:left="40"/>
              <w:spacing w:after="0"/>
              <w:rPr>
                <w:sz w:val="20"/>
                <w:szCs w:val="20"/>
                <w:color w:val="auto"/>
              </w:rPr>
            </w:pPr>
            <w:r>
              <w:rPr>
                <w:rFonts w:ascii="Arial" w:cs="Arial" w:eastAsia="Arial" w:hAnsi="Arial"/>
                <w:sz w:val="20"/>
                <w:szCs w:val="20"/>
                <w:color w:val="auto"/>
              </w:rPr>
              <w:t>Amortization of net actuarial (gain) loss</w:t>
            </w:r>
          </w:p>
        </w:tc>
        <w:tc>
          <w:tcPr>
            <w:tcW w:w="11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(208)</w:t>
            </w:r>
          </w:p>
        </w:tc>
        <w:tc>
          <w:tcPr>
            <w:tcW w:w="60" w:type="dxa"/>
            <w:vAlign w:val="bottom"/>
            <w:tcBorders>
              <w:bottom w:val="single" w:sz="8" w:color="E6E6E6"/>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86</w:t>
            </w:r>
          </w:p>
        </w:tc>
        <w:tc>
          <w:tcPr>
            <w:tcW w:w="80" w:type="dxa"/>
            <w:vAlign w:val="bottom"/>
            <w:tcBorders>
              <w:bottom w:val="single" w:sz="8" w:color="E6E6E6"/>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(831)</w:t>
            </w:r>
          </w:p>
        </w:tc>
      </w:tr>
      <w:tr>
        <w:trPr>
          <w:trHeight w:val="279"/>
        </w:trPr>
        <w:tc>
          <w:tcPr>
            <w:tcW w:w="460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1180" w:type="dxa"/>
            <w:vAlign w:val="bottom"/>
            <w:tcBorders>
              <w:bottom w:val="single" w:sz="8" w:color="auto"/>
            </w:tcBorders>
            <w:shd w:val="clear" w:color="auto" w:fill="E6E6E6"/>
          </w:tcPr>
          <w:p>
            <w:pPr>
              <w:jc w:val="right"/>
              <w:ind w:right="942"/>
              <w:spacing w:after="0"/>
              <w:rPr>
                <w:sz w:val="20"/>
                <w:szCs w:val="20"/>
                <w:color w:val="auto"/>
              </w:rPr>
            </w:pPr>
            <w:r>
              <w:rPr>
                <w:rFonts w:ascii="Arial" w:cs="Arial" w:eastAsia="Arial" w:hAnsi="Arial"/>
                <w:sz w:val="20"/>
                <w:szCs w:val="20"/>
                <w:color w:val="auto"/>
              </w:rPr>
              <w:t>$</w:t>
            </w:r>
          </w:p>
        </w:tc>
        <w:tc>
          <w:tcPr>
            <w:tcW w:w="5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242</w:t>
            </w:r>
          </w:p>
        </w:tc>
        <w:tc>
          <w:tcPr>
            <w:tcW w:w="60" w:type="dxa"/>
            <w:vAlign w:val="bottom"/>
            <w:tcBorders>
              <w:bottom w:val="single" w:sz="8" w:color="E6E6E6"/>
            </w:tcBorders>
            <w:shd w:val="clear" w:color="auto" w:fill="E6E6E6"/>
          </w:tcPr>
          <w:p>
            <w:pPr>
              <w:spacing w:after="0"/>
              <w:rPr>
                <w:sz w:val="24"/>
                <w:szCs w:val="24"/>
                <w:color w:val="auto"/>
              </w:rPr>
            </w:pPr>
          </w:p>
        </w:tc>
        <w:tc>
          <w:tcPr>
            <w:tcW w:w="420" w:type="dxa"/>
            <w:vAlign w:val="bottom"/>
            <w:tcBorders>
              <w:bottom w:val="single" w:sz="8" w:color="auto"/>
            </w:tcBorders>
            <w:shd w:val="clear" w:color="auto" w:fill="E6E6E6"/>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642</w:t>
            </w:r>
          </w:p>
        </w:tc>
        <w:tc>
          <w:tcPr>
            <w:tcW w:w="80" w:type="dxa"/>
            <w:vAlign w:val="bottom"/>
            <w:tcBorders>
              <w:bottom w:val="single" w:sz="8" w:color="E6E6E6"/>
            </w:tcBorders>
            <w:shd w:val="clear" w:color="auto" w:fill="E6E6E6"/>
          </w:tcPr>
          <w:p>
            <w:pPr>
              <w:spacing w:after="0"/>
              <w:rPr>
                <w:sz w:val="24"/>
                <w:szCs w:val="24"/>
                <w:color w:val="auto"/>
              </w:rPr>
            </w:pPr>
          </w:p>
        </w:tc>
        <w:tc>
          <w:tcPr>
            <w:tcW w:w="420" w:type="dxa"/>
            <w:vAlign w:val="bottom"/>
            <w:tcBorders>
              <w:bottom w:val="single" w:sz="8" w:color="auto"/>
            </w:tcBorders>
            <w:shd w:val="clear" w:color="auto" w:fill="E6E6E6"/>
          </w:tcPr>
          <w:p>
            <w:pPr>
              <w:jc w:val="right"/>
              <w:ind w:right="162"/>
              <w:spacing w:after="0"/>
              <w:rPr>
                <w:sz w:val="20"/>
                <w:szCs w:val="20"/>
                <w:color w:val="auto"/>
              </w:rPr>
            </w:pPr>
            <w:r>
              <w:rPr>
                <w:rFonts w:ascii="Arial" w:cs="Arial" w:eastAsia="Arial" w:hAnsi="Arial"/>
                <w:sz w:val="20"/>
                <w:szCs w:val="20"/>
                <w:color w:val="auto"/>
              </w:rPr>
              <w:t>$</w:t>
            </w:r>
          </w:p>
        </w:tc>
        <w:tc>
          <w:tcPr>
            <w:tcW w:w="13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2913380</wp:posOffset>
            </wp:positionH>
            <wp:positionV relativeFrom="paragraph">
              <wp:posOffset>-917575</wp:posOffset>
            </wp:positionV>
            <wp:extent cx="347916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11">
                      <a:extLst>
                        <a:ext uri="{28A0092B-C50C-407E-A947-70E740481C1C}"/>
                      </a:extLst>
                    </a:blip>
                    <a:srcRect/>
                    <a:stretch>
                      <a:fillRect/>
                    </a:stretch>
                  </pic:blipFill>
                  <pic:spPr bwMode="auto">
                    <a:xfrm>
                      <a:off x="0" y="0"/>
                      <a:ext cx="3479165" cy="25400"/>
                    </a:xfrm>
                    <a:prstGeom prst="rect">
                      <a:avLst/>
                    </a:prstGeom>
                    <a:noFill/>
                  </pic:spPr>
                </pic:pic>
              </a:graphicData>
            </a:graphic>
          </wp:anchor>
        </w:drawing>
        <w:drawing>
          <wp:anchor simplePos="0" relativeHeight="251657728" behindDoc="1" locked="0" layoutInCell="0" allowOverlap="1">
            <wp:simplePos x="0" y="0"/>
            <wp:positionH relativeFrom="column">
              <wp:posOffset>2913380</wp:posOffset>
            </wp:positionH>
            <wp:positionV relativeFrom="paragraph">
              <wp:posOffset>-208280</wp:posOffset>
            </wp:positionV>
            <wp:extent cx="347916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12">
                      <a:extLst>
                        <a:ext uri="{28A0092B-C50C-407E-A947-70E740481C1C}"/>
                      </a:extLst>
                    </a:blip>
                    <a:srcRect/>
                    <a:stretch>
                      <a:fillRect/>
                    </a:stretch>
                  </pic:blipFill>
                  <pic:spPr bwMode="auto">
                    <a:xfrm>
                      <a:off x="0" y="0"/>
                      <a:ext cx="3479165" cy="25400"/>
                    </a:xfrm>
                    <a:prstGeom prst="rect">
                      <a:avLst/>
                    </a:prstGeom>
                    <a:noFill/>
                  </pic:spPr>
                </pic:pic>
              </a:graphicData>
            </a:graphic>
          </wp:anchor>
        </w:drawing>
        <w:drawing>
          <wp:anchor simplePos="0" relativeHeight="251657728" behindDoc="1" locked="0" layoutInCell="0" allowOverlap="1">
            <wp:simplePos x="0" y="0"/>
            <wp:positionH relativeFrom="column">
              <wp:posOffset>2913380</wp:posOffset>
            </wp:positionH>
            <wp:positionV relativeFrom="paragraph">
              <wp:posOffset>-43180</wp:posOffset>
            </wp:positionV>
            <wp:extent cx="3479165" cy="501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13">
                      <a:extLst>
                        <a:ext uri="{28A0092B-C50C-407E-A947-70E740481C1C}"/>
                      </a:extLst>
                    </a:blip>
                    <a:srcRect/>
                    <a:stretch>
                      <a:fillRect/>
                    </a:stretch>
                  </pic:blipFill>
                  <pic:spPr bwMode="auto">
                    <a:xfrm>
                      <a:off x="0" y="0"/>
                      <a:ext cx="3479165" cy="50165"/>
                    </a:xfrm>
                    <a:prstGeom prst="rect">
                      <a:avLst/>
                    </a:prstGeom>
                    <a:noFill/>
                  </pic:spPr>
                </pic:pic>
              </a:graphicData>
            </a:graphic>
          </wp:anchor>
        </w:drawing>
      </w:r>
    </w:p>
    <w:p>
      <w:pPr>
        <w:sectPr>
          <w:pgSz w:w="11880" w:h="15480" w:orient="portrait"/>
          <w:cols w:equalWidth="0" w:num="1">
            <w:col w:w="10040"/>
          </w:cols>
          <w:pgMar w:left="920" w:top="664" w:right="920" w:bottom="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F-38</w:t>
      </w:r>
    </w:p>
    <w:p>
      <w:pPr>
        <w:sectPr>
          <w:pgSz w:w="11880" w:h="15480" w:orient="portrait"/>
          <w:cols w:equalWidth="0" w:num="1">
            <w:col w:w="10040"/>
          </w:cols>
          <w:pgMar w:left="920" w:top="664" w:right="920" w:bottom="0" w:gutter="0" w:footer="0" w:header="0"/>
          <w:type w:val="continuous"/>
        </w:sectPr>
      </w:pPr>
    </w:p>
    <w:bookmarkStart w:id="96" w:name="page97"/>
    <w:bookmarkEnd w:id="96"/>
    <w:p>
      <w:pPr>
        <w:jc w:val="both"/>
        <w:spacing w:after="0" w:line="284" w:lineRule="auto"/>
        <w:rPr>
          <w:sz w:val="20"/>
          <w:szCs w:val="20"/>
          <w:color w:val="auto"/>
        </w:rPr>
      </w:pPr>
      <w:r>
        <w:rPr>
          <w:rFonts w:ascii="Arial" w:cs="Arial" w:eastAsia="Arial" w:hAnsi="Arial"/>
          <w:sz w:val="20"/>
          <w:szCs w:val="20"/>
          <w:color w:val="auto"/>
        </w:rPr>
        <w:t>The following tables present the major actuarial assumptions used in determining the benefit obligations and net periodic benefit costs for LivaNova’s significant U.S. and non-U.S. defined benefit plans:</w:t>
      </w:r>
    </w:p>
    <w:p>
      <w:pPr>
        <w:spacing w:after="0" w:line="132" w:lineRule="exact"/>
        <w:rPr>
          <w:sz w:val="20"/>
          <w:szCs w:val="20"/>
          <w:color w:val="auto"/>
        </w:rPr>
      </w:pPr>
    </w:p>
    <w:p>
      <w:pPr>
        <w:jc w:val="center"/>
        <w:ind w:left="6160"/>
        <w:spacing w:after="0"/>
        <w:rPr>
          <w:sz w:val="20"/>
          <w:szCs w:val="20"/>
          <w:color w:val="auto"/>
        </w:rPr>
      </w:pPr>
      <w:r>
        <w:rPr>
          <w:rFonts w:ascii="Arial" w:cs="Arial" w:eastAsia="Arial" w:hAnsi="Arial"/>
          <w:sz w:val="20"/>
          <w:szCs w:val="20"/>
          <w:b w:val="1"/>
          <w:bCs w:val="1"/>
          <w:color w:val="auto"/>
        </w:rPr>
        <w:t>U.S. Pension Benefits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3915410</wp:posOffset>
                </wp:positionH>
                <wp:positionV relativeFrom="paragraph">
                  <wp:posOffset>26670</wp:posOffset>
                </wp:positionV>
                <wp:extent cx="2454910" cy="0"/>
                <wp:wrapNone/>
                <wp:docPr id="246" name="Shape 2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54910" cy="4763"/>
                        </a:xfrm>
                        <a:prstGeom prst="line">
                          <a:avLst/>
                        </a:prstGeom>
                        <a:solidFill>
                          <a:srgbClr val="FFFFFF"/>
                        </a:solidFill>
                        <a:ln w="12446">
                          <a:solidFill>
                            <a:srgbClr val="000000"/>
                          </a:solidFill>
                          <a:miter lim="800000"/>
                          <a:headEnd/>
                          <a:tailEnd/>
                        </a:ln>
                      </wps:spPr>
                      <wps:bodyPr/>
                    </wps:wsp>
                  </a:graphicData>
                </a:graphic>
              </wp:anchor>
            </w:drawing>
          </mc:Choice>
          <mc:Fallback>
            <w:pict>
              <v:line id="Shape 246" o:spid="_x0000_s12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8.3pt,2.1pt" to="501.6pt,2.1pt" o:allowincell="f" strokecolor="#000000" strokeweight="0.98pt"/>
            </w:pict>
          </mc:Fallback>
        </mc:AlternateContent>
      </w:r>
    </w:p>
    <w:p>
      <w:pPr>
        <w:spacing w:after="0" w:line="29" w:lineRule="exact"/>
        <w:rPr>
          <w:sz w:val="20"/>
          <w:szCs w:val="20"/>
          <w:color w:val="auto"/>
        </w:rPr>
      </w:pPr>
    </w:p>
    <w:p>
      <w:pPr>
        <w:jc w:val="center"/>
        <w:ind w:left="6160"/>
        <w:spacing w:after="0"/>
        <w:rPr>
          <w:sz w:val="20"/>
          <w:szCs w:val="20"/>
          <w:color w:val="auto"/>
        </w:rPr>
      </w:pPr>
      <w:r>
        <w:rPr>
          <w:rFonts w:ascii="Arial" w:cs="Arial" w:eastAsia="Arial" w:hAnsi="Arial"/>
          <w:sz w:val="20"/>
          <w:szCs w:val="20"/>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160" w:type="dxa"/>
            <w:vAlign w:val="bottom"/>
          </w:tcPr>
          <w:p>
            <w:pPr>
              <w:spacing w:after="0"/>
              <w:rPr>
                <w:sz w:val="22"/>
                <w:szCs w:val="22"/>
                <w:color w:val="auto"/>
              </w:rPr>
            </w:pPr>
          </w:p>
        </w:tc>
        <w:tc>
          <w:tcPr>
            <w:tcW w:w="1900" w:type="dxa"/>
            <w:vAlign w:val="bottom"/>
            <w:tcBorders>
              <w:top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2024</w:t>
            </w:r>
          </w:p>
        </w:tc>
        <w:tc>
          <w:tcPr>
            <w:tcW w:w="1980" w:type="dxa"/>
            <w:vAlign w:val="bottom"/>
            <w:tcBorders>
              <w:top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89"/>
              </w:rPr>
              <w:t>2023</w:t>
            </w:r>
          </w:p>
        </w:tc>
      </w:tr>
      <w:tr>
        <w:trPr>
          <w:trHeight w:val="263"/>
        </w:trPr>
        <w:tc>
          <w:tcPr>
            <w:tcW w:w="6160" w:type="dxa"/>
            <w:vAlign w:val="bottom"/>
          </w:tcPr>
          <w:p>
            <w:pPr>
              <w:ind w:left="40"/>
              <w:spacing w:after="0"/>
              <w:rPr>
                <w:sz w:val="20"/>
                <w:szCs w:val="20"/>
                <w:color w:val="auto"/>
              </w:rPr>
            </w:pPr>
            <w:r>
              <w:rPr>
                <w:rFonts w:ascii="Arial" w:cs="Arial" w:eastAsia="Arial" w:hAnsi="Arial"/>
                <w:sz w:val="20"/>
                <w:szCs w:val="20"/>
                <w:color w:val="auto"/>
              </w:rPr>
              <w:t>Weighted-average assumptions used to determine benefit obligation:</w:t>
            </w:r>
          </w:p>
        </w:tc>
        <w:tc>
          <w:tcPr>
            <w:tcW w:w="19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900" w:type="dxa"/>
            <w:vAlign w:val="bottom"/>
            <w:tcBorders>
              <w:top w:val="single" w:sz="8" w:color="auto"/>
            </w:tcBorders>
          </w:tcPr>
          <w:p>
            <w:pPr>
              <w:spacing w:after="0"/>
              <w:rPr>
                <w:sz w:val="22"/>
                <w:szCs w:val="22"/>
                <w:color w:val="auto"/>
              </w:rPr>
            </w:pPr>
          </w:p>
        </w:tc>
      </w:tr>
      <w:tr>
        <w:trPr>
          <w:trHeight w:val="285"/>
        </w:trPr>
        <w:tc>
          <w:tcPr>
            <w:tcW w:w="6160" w:type="dxa"/>
            <w:vAlign w:val="bottom"/>
            <w:shd w:val="clear" w:color="auto" w:fill="E6E6E6"/>
          </w:tcPr>
          <w:p>
            <w:pPr>
              <w:ind w:left="160"/>
              <w:spacing w:after="0"/>
              <w:rPr>
                <w:sz w:val="20"/>
                <w:szCs w:val="20"/>
                <w:color w:val="auto"/>
              </w:rPr>
            </w:pPr>
            <w:r>
              <w:rPr>
                <w:rFonts w:ascii="Arial" w:cs="Arial" w:eastAsia="Arial" w:hAnsi="Arial"/>
                <w:sz w:val="20"/>
                <w:szCs w:val="20"/>
                <w:color w:val="auto"/>
              </w:rPr>
              <w:t>Discount rate</w:t>
            </w:r>
          </w:p>
        </w:tc>
        <w:tc>
          <w:tcPr>
            <w:tcW w:w="1900" w:type="dxa"/>
            <w:vAlign w:val="bottom"/>
            <w:shd w:val="clear" w:color="auto" w:fill="E6E6E6"/>
          </w:tcPr>
          <w:p>
            <w:pPr>
              <w:jc w:val="center"/>
              <w:spacing w:after="0"/>
              <w:rPr>
                <w:sz w:val="20"/>
                <w:szCs w:val="20"/>
                <w:color w:val="auto"/>
              </w:rPr>
            </w:pPr>
            <w:r>
              <w:rPr>
                <w:rFonts w:ascii="Arial" w:cs="Arial" w:eastAsia="Arial" w:hAnsi="Arial"/>
                <w:sz w:val="20"/>
                <w:szCs w:val="20"/>
                <w:color w:val="auto"/>
                <w:w w:val="88"/>
              </w:rPr>
              <w:t>5.41%</w:t>
            </w:r>
          </w:p>
        </w:tc>
        <w:tc>
          <w:tcPr>
            <w:tcW w:w="1980" w:type="dxa"/>
            <w:vAlign w:val="bottom"/>
            <w:gridSpan w:val="2"/>
            <w:shd w:val="clear" w:color="auto" w:fill="E6E6E6"/>
          </w:tcPr>
          <w:p>
            <w:pPr>
              <w:jc w:val="center"/>
              <w:ind w:left="2"/>
              <w:spacing w:after="0"/>
              <w:rPr>
                <w:sz w:val="20"/>
                <w:szCs w:val="20"/>
                <w:color w:val="auto"/>
              </w:rPr>
            </w:pPr>
            <w:r>
              <w:rPr>
                <w:rFonts w:ascii="Arial" w:cs="Arial" w:eastAsia="Arial" w:hAnsi="Arial"/>
                <w:sz w:val="20"/>
                <w:szCs w:val="20"/>
                <w:color w:val="auto"/>
                <w:w w:val="91"/>
              </w:rPr>
              <w:t>4.93%</w:t>
            </w:r>
          </w:p>
        </w:tc>
      </w:tr>
      <w:tr>
        <w:trPr>
          <w:trHeight w:val="274"/>
        </w:trPr>
        <w:tc>
          <w:tcPr>
            <w:tcW w:w="6160" w:type="dxa"/>
            <w:vAlign w:val="bottom"/>
          </w:tcPr>
          <w:p>
            <w:pPr>
              <w:ind w:left="40"/>
              <w:spacing w:after="0"/>
              <w:rPr>
                <w:sz w:val="20"/>
                <w:szCs w:val="20"/>
                <w:color w:val="auto"/>
              </w:rPr>
            </w:pPr>
            <w:r>
              <w:rPr>
                <w:rFonts w:ascii="Arial" w:cs="Arial" w:eastAsia="Arial" w:hAnsi="Arial"/>
                <w:sz w:val="20"/>
                <w:szCs w:val="20"/>
                <w:color w:val="auto"/>
                <w:w w:val="91"/>
              </w:rPr>
              <w:t>Weighted-average assumptions used to determine net periodic benefit cost:</w:t>
            </w:r>
          </w:p>
        </w:tc>
        <w:tc>
          <w:tcPr>
            <w:tcW w:w="1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900" w:type="dxa"/>
            <w:vAlign w:val="bottom"/>
          </w:tcPr>
          <w:p>
            <w:pPr>
              <w:spacing w:after="0"/>
              <w:rPr>
                <w:sz w:val="23"/>
                <w:szCs w:val="23"/>
                <w:color w:val="auto"/>
              </w:rPr>
            </w:pPr>
          </w:p>
        </w:tc>
      </w:tr>
      <w:tr>
        <w:trPr>
          <w:trHeight w:val="285"/>
        </w:trPr>
        <w:tc>
          <w:tcPr>
            <w:tcW w:w="6160" w:type="dxa"/>
            <w:vAlign w:val="bottom"/>
            <w:shd w:val="clear" w:color="auto" w:fill="E6E6E6"/>
          </w:tcPr>
          <w:p>
            <w:pPr>
              <w:ind w:left="160"/>
              <w:spacing w:after="0"/>
              <w:rPr>
                <w:sz w:val="20"/>
                <w:szCs w:val="20"/>
                <w:color w:val="auto"/>
              </w:rPr>
            </w:pPr>
            <w:r>
              <w:rPr>
                <w:rFonts w:ascii="Arial" w:cs="Arial" w:eastAsia="Arial" w:hAnsi="Arial"/>
                <w:sz w:val="20"/>
                <w:szCs w:val="20"/>
                <w:color w:val="auto"/>
              </w:rPr>
              <w:t>Discount rate</w:t>
            </w:r>
          </w:p>
        </w:tc>
        <w:tc>
          <w:tcPr>
            <w:tcW w:w="1900" w:type="dxa"/>
            <w:vAlign w:val="bottom"/>
            <w:shd w:val="clear" w:color="auto" w:fill="E6E6E6"/>
          </w:tcPr>
          <w:p>
            <w:pPr>
              <w:jc w:val="center"/>
              <w:spacing w:after="0"/>
              <w:rPr>
                <w:sz w:val="20"/>
                <w:szCs w:val="20"/>
                <w:color w:val="auto"/>
              </w:rPr>
            </w:pPr>
            <w:r>
              <w:rPr>
                <w:rFonts w:ascii="Arial" w:cs="Arial" w:eastAsia="Arial" w:hAnsi="Arial"/>
                <w:sz w:val="20"/>
                <w:szCs w:val="20"/>
                <w:color w:val="auto"/>
                <w:w w:val="88"/>
              </w:rPr>
              <w:t>4.93%</w:t>
            </w:r>
          </w:p>
        </w:tc>
        <w:tc>
          <w:tcPr>
            <w:tcW w:w="1980" w:type="dxa"/>
            <w:vAlign w:val="bottom"/>
            <w:gridSpan w:val="2"/>
            <w:shd w:val="clear" w:color="auto" w:fill="E6E6E6"/>
          </w:tcPr>
          <w:p>
            <w:pPr>
              <w:jc w:val="center"/>
              <w:ind w:left="2"/>
              <w:spacing w:after="0"/>
              <w:rPr>
                <w:sz w:val="20"/>
                <w:szCs w:val="20"/>
                <w:color w:val="auto"/>
              </w:rPr>
            </w:pPr>
            <w:r>
              <w:rPr>
                <w:rFonts w:ascii="Arial" w:cs="Arial" w:eastAsia="Arial" w:hAnsi="Arial"/>
                <w:sz w:val="20"/>
                <w:szCs w:val="20"/>
                <w:color w:val="auto"/>
                <w:w w:val="91"/>
              </w:rPr>
              <w:t>5.10%</w:t>
            </w:r>
          </w:p>
        </w:tc>
      </w:tr>
      <w:tr>
        <w:trPr>
          <w:trHeight w:val="268"/>
        </w:trPr>
        <w:tc>
          <w:tcPr>
            <w:tcW w:w="6160" w:type="dxa"/>
            <w:vAlign w:val="bottom"/>
          </w:tcPr>
          <w:p>
            <w:pPr>
              <w:ind w:left="160"/>
              <w:spacing w:after="0"/>
              <w:rPr>
                <w:sz w:val="20"/>
                <w:szCs w:val="20"/>
                <w:color w:val="auto"/>
              </w:rPr>
            </w:pPr>
            <w:r>
              <w:rPr>
                <w:rFonts w:ascii="Arial" w:cs="Arial" w:eastAsia="Arial" w:hAnsi="Arial"/>
                <w:sz w:val="20"/>
                <w:szCs w:val="20"/>
                <w:color w:val="auto"/>
              </w:rPr>
              <w:t>Expected return on plan assets</w:t>
            </w:r>
          </w:p>
        </w:tc>
        <w:tc>
          <w:tcPr>
            <w:tcW w:w="1900" w:type="dxa"/>
            <w:vAlign w:val="bottom"/>
          </w:tcPr>
          <w:p>
            <w:pPr>
              <w:jc w:val="center"/>
              <w:spacing w:after="0"/>
              <w:rPr>
                <w:sz w:val="20"/>
                <w:szCs w:val="20"/>
                <w:color w:val="auto"/>
              </w:rPr>
            </w:pPr>
            <w:r>
              <w:rPr>
                <w:rFonts w:ascii="Arial" w:cs="Arial" w:eastAsia="Arial" w:hAnsi="Arial"/>
                <w:sz w:val="20"/>
                <w:szCs w:val="20"/>
                <w:color w:val="auto"/>
                <w:w w:val="88"/>
              </w:rPr>
              <w:t>5.00%</w:t>
            </w:r>
          </w:p>
        </w:tc>
        <w:tc>
          <w:tcPr>
            <w:tcW w:w="1980" w:type="dxa"/>
            <w:vAlign w:val="bottom"/>
            <w:gridSpan w:val="2"/>
          </w:tcPr>
          <w:p>
            <w:pPr>
              <w:jc w:val="center"/>
              <w:ind w:left="2"/>
              <w:spacing w:after="0"/>
              <w:rPr>
                <w:sz w:val="20"/>
                <w:szCs w:val="20"/>
                <w:color w:val="auto"/>
              </w:rPr>
            </w:pPr>
            <w:r>
              <w:rPr>
                <w:rFonts w:ascii="Arial" w:cs="Arial" w:eastAsia="Arial" w:hAnsi="Arial"/>
                <w:sz w:val="20"/>
                <w:szCs w:val="20"/>
                <w:color w:val="auto"/>
                <w:w w:val="91"/>
              </w:rPr>
              <w:t>5.00%</w:t>
            </w: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16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5"/>
          </w:tcPr>
          <w:p>
            <w:pPr>
              <w:ind w:left="120"/>
              <w:spacing w:after="0"/>
              <w:rPr>
                <w:sz w:val="20"/>
                <w:szCs w:val="20"/>
                <w:color w:val="auto"/>
              </w:rPr>
            </w:pPr>
            <w:r>
              <w:rPr>
                <w:rFonts w:ascii="Arial" w:cs="Arial" w:eastAsia="Arial" w:hAnsi="Arial"/>
                <w:sz w:val="20"/>
                <w:szCs w:val="20"/>
                <w:b w:val="1"/>
                <w:bCs w:val="1"/>
                <w:color w:val="auto"/>
                <w:w w:val="91"/>
              </w:rPr>
              <w:t>Non-U.S. Pension Benefits</w:t>
            </w:r>
          </w:p>
        </w:tc>
        <w:tc>
          <w:tcPr>
            <w:tcW w:w="700" w:type="dxa"/>
            <w:vAlign w:val="bottom"/>
            <w:tcBorders>
              <w:bottom w:val="single" w:sz="8" w:color="auto"/>
            </w:tcBorders>
          </w:tcPr>
          <w:p>
            <w:pPr>
              <w:spacing w:after="0"/>
              <w:rPr>
                <w:sz w:val="22"/>
                <w:szCs w:val="22"/>
                <w:color w:val="auto"/>
              </w:rPr>
            </w:pPr>
          </w:p>
        </w:tc>
      </w:tr>
      <w:tr>
        <w:trPr>
          <w:trHeight w:val="260"/>
        </w:trPr>
        <w:tc>
          <w:tcPr>
            <w:tcW w:w="616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20"/>
                <w:szCs w:val="20"/>
                <w:b w:val="1"/>
                <w:bCs w:val="1"/>
                <w:color w:val="auto"/>
                <w:w w:val="99"/>
              </w:rPr>
              <w:t>December 31,</w:t>
            </w:r>
          </w:p>
        </w:tc>
        <w:tc>
          <w:tcPr>
            <w:tcW w:w="4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r>
      <w:tr>
        <w:trPr>
          <w:trHeight w:val="259"/>
        </w:trPr>
        <w:tc>
          <w:tcPr>
            <w:tcW w:w="616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5"/>
              </w:rPr>
              <w:t>2024</w:t>
            </w:r>
          </w:p>
        </w:tc>
        <w:tc>
          <w:tcPr>
            <w:tcW w:w="7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5"/>
              </w:rPr>
              <w:t>2023</w:t>
            </w:r>
          </w:p>
        </w:tc>
        <w:tc>
          <w:tcPr>
            <w:tcW w:w="700" w:type="dxa"/>
            <w:vAlign w:val="bottom"/>
            <w:tcBorders>
              <w:bottom w:val="single" w:sz="8" w:color="auto"/>
            </w:tcBorders>
          </w:tcPr>
          <w:p>
            <w:pPr>
              <w:spacing w:after="0"/>
              <w:rPr>
                <w:sz w:val="22"/>
                <w:szCs w:val="22"/>
                <w:color w:val="auto"/>
              </w:rPr>
            </w:pPr>
          </w:p>
        </w:tc>
      </w:tr>
      <w:tr>
        <w:trPr>
          <w:trHeight w:val="263"/>
        </w:trPr>
        <w:tc>
          <w:tcPr>
            <w:tcW w:w="6160" w:type="dxa"/>
            <w:vAlign w:val="bottom"/>
          </w:tcPr>
          <w:p>
            <w:pPr>
              <w:ind w:left="40"/>
              <w:spacing w:after="0"/>
              <w:rPr>
                <w:sz w:val="20"/>
                <w:szCs w:val="20"/>
                <w:color w:val="auto"/>
              </w:rPr>
            </w:pPr>
            <w:r>
              <w:rPr>
                <w:rFonts w:ascii="Arial" w:cs="Arial" w:eastAsia="Arial" w:hAnsi="Arial"/>
                <w:sz w:val="20"/>
                <w:szCs w:val="20"/>
                <w:color w:val="auto"/>
              </w:rPr>
              <w:t>Weighted-average assumptions used to determine benefit obligation:</w:t>
            </w:r>
          </w:p>
        </w:tc>
        <w:tc>
          <w:tcPr>
            <w:tcW w:w="7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85"/>
        </w:trPr>
        <w:tc>
          <w:tcPr>
            <w:tcW w:w="6160" w:type="dxa"/>
            <w:vAlign w:val="bottom"/>
            <w:shd w:val="clear" w:color="auto" w:fill="E6E6E6"/>
          </w:tcPr>
          <w:p>
            <w:pPr>
              <w:ind w:left="160"/>
              <w:spacing w:after="0"/>
              <w:rPr>
                <w:sz w:val="20"/>
                <w:szCs w:val="20"/>
                <w:color w:val="auto"/>
              </w:rPr>
            </w:pPr>
            <w:r>
              <w:rPr>
                <w:rFonts w:ascii="Arial" w:cs="Arial" w:eastAsia="Arial" w:hAnsi="Arial"/>
                <w:sz w:val="20"/>
                <w:szCs w:val="20"/>
                <w:color w:val="auto"/>
              </w:rPr>
              <w:t>Discount rate</w:t>
            </w:r>
          </w:p>
        </w:tc>
        <w:tc>
          <w:tcPr>
            <w:tcW w:w="7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1.01%</w:t>
            </w:r>
          </w:p>
        </w:tc>
        <w:tc>
          <w:tcPr>
            <w:tcW w:w="480" w:type="dxa"/>
            <w:vAlign w:val="bottom"/>
            <w:shd w:val="clear" w:color="auto" w:fill="E6E6E6"/>
          </w:tcPr>
          <w:p>
            <w:pPr>
              <w:jc w:val="center"/>
              <w:spacing w:after="0"/>
              <w:rPr>
                <w:sz w:val="20"/>
                <w:szCs w:val="20"/>
                <w:color w:val="auto"/>
              </w:rPr>
            </w:pPr>
            <w:r>
              <w:rPr>
                <w:rFonts w:ascii="Arial" w:cs="Arial" w:eastAsia="Arial" w:hAnsi="Arial"/>
                <w:sz w:val="20"/>
                <w:szCs w:val="20"/>
                <w:color w:val="auto"/>
                <w:w w:val="89"/>
              </w:rPr>
              <w:t>-</w:t>
            </w:r>
          </w:p>
        </w:tc>
        <w:tc>
          <w:tcPr>
            <w:tcW w:w="700" w:type="dxa"/>
            <w:vAlign w:val="bottom"/>
            <w:shd w:val="clear" w:color="auto" w:fill="E6E6E6"/>
          </w:tcPr>
          <w:p>
            <w:pPr>
              <w:jc w:val="right"/>
              <w:ind w:right="42"/>
              <w:spacing w:after="0"/>
              <w:rPr>
                <w:sz w:val="20"/>
                <w:szCs w:val="20"/>
                <w:color w:val="auto"/>
              </w:rPr>
            </w:pPr>
            <w:r>
              <w:rPr>
                <w:rFonts w:ascii="Arial" w:cs="Arial" w:eastAsia="Arial" w:hAnsi="Arial"/>
                <w:sz w:val="20"/>
                <w:szCs w:val="20"/>
                <w:color w:val="auto"/>
                <w:w w:val="95"/>
              </w:rPr>
              <w:t>3.40%</w:t>
            </w:r>
          </w:p>
        </w:tc>
        <w:tc>
          <w:tcPr>
            <w:tcW w:w="800" w:type="dxa"/>
            <w:vAlign w:val="bottom"/>
            <w:gridSpan w:val="2"/>
            <w:shd w:val="clear" w:color="auto" w:fill="E6E6E6"/>
          </w:tcPr>
          <w:p>
            <w:pPr>
              <w:jc w:val="right"/>
              <w:ind w:right="40"/>
              <w:spacing w:after="0"/>
              <w:rPr>
                <w:sz w:val="20"/>
                <w:szCs w:val="20"/>
                <w:color w:val="auto"/>
              </w:rPr>
            </w:pPr>
            <w:r>
              <w:rPr>
                <w:rFonts w:ascii="Arial" w:cs="Arial" w:eastAsia="Arial" w:hAnsi="Arial"/>
                <w:sz w:val="20"/>
                <w:szCs w:val="20"/>
                <w:color w:val="auto"/>
              </w:rPr>
              <w:t>0.96%</w:t>
            </w:r>
          </w:p>
        </w:tc>
        <w:tc>
          <w:tcPr>
            <w:tcW w:w="480" w:type="dxa"/>
            <w:vAlign w:val="bottom"/>
            <w:shd w:val="clear" w:color="auto" w:fill="E6E6E6"/>
          </w:tcPr>
          <w:p>
            <w:pPr>
              <w:jc w:val="center"/>
              <w:spacing w:after="0"/>
              <w:rPr>
                <w:sz w:val="20"/>
                <w:szCs w:val="20"/>
                <w:color w:val="auto"/>
              </w:rPr>
            </w:pPr>
            <w:r>
              <w:rPr>
                <w:rFonts w:ascii="Arial" w:cs="Arial" w:eastAsia="Arial" w:hAnsi="Arial"/>
                <w:sz w:val="20"/>
                <w:szCs w:val="20"/>
                <w:color w:val="auto"/>
                <w:w w:val="89"/>
              </w:rPr>
              <w:t>-</w:t>
            </w:r>
          </w:p>
        </w:tc>
        <w:tc>
          <w:tcPr>
            <w:tcW w:w="700" w:type="dxa"/>
            <w:vAlign w:val="bottom"/>
            <w:shd w:val="clear" w:color="auto" w:fill="E6E6E6"/>
          </w:tcPr>
          <w:p>
            <w:pPr>
              <w:jc w:val="right"/>
              <w:ind w:right="42"/>
              <w:spacing w:after="0"/>
              <w:rPr>
                <w:sz w:val="20"/>
                <w:szCs w:val="20"/>
                <w:color w:val="auto"/>
              </w:rPr>
            </w:pPr>
            <w:r>
              <w:rPr>
                <w:rFonts w:ascii="Arial" w:cs="Arial" w:eastAsia="Arial" w:hAnsi="Arial"/>
                <w:sz w:val="20"/>
                <w:szCs w:val="20"/>
                <w:color w:val="auto"/>
                <w:w w:val="95"/>
              </w:rPr>
              <w:t>3.20%</w:t>
            </w:r>
          </w:p>
        </w:tc>
      </w:tr>
      <w:tr>
        <w:trPr>
          <w:trHeight w:val="274"/>
        </w:trPr>
        <w:tc>
          <w:tcPr>
            <w:tcW w:w="6160" w:type="dxa"/>
            <w:vAlign w:val="bottom"/>
          </w:tcPr>
          <w:p>
            <w:pPr>
              <w:ind w:left="160"/>
              <w:spacing w:after="0"/>
              <w:rPr>
                <w:sz w:val="20"/>
                <w:szCs w:val="20"/>
                <w:color w:val="auto"/>
              </w:rPr>
            </w:pPr>
            <w:r>
              <w:rPr>
                <w:rFonts w:ascii="Arial" w:cs="Arial" w:eastAsia="Arial" w:hAnsi="Arial"/>
                <w:sz w:val="20"/>
                <w:szCs w:val="20"/>
                <w:color w:val="auto"/>
              </w:rPr>
              <w:t>Rate of compensation increase</w:t>
            </w:r>
          </w:p>
        </w:tc>
        <w:tc>
          <w:tcPr>
            <w:tcW w:w="720" w:type="dxa"/>
            <w:vAlign w:val="bottom"/>
          </w:tcPr>
          <w:p>
            <w:pPr>
              <w:jc w:val="right"/>
              <w:spacing w:after="0"/>
              <w:rPr>
                <w:sz w:val="20"/>
                <w:szCs w:val="20"/>
                <w:color w:val="auto"/>
              </w:rPr>
            </w:pPr>
            <w:r>
              <w:rPr>
                <w:rFonts w:ascii="Arial" w:cs="Arial" w:eastAsia="Arial" w:hAnsi="Arial"/>
                <w:sz w:val="20"/>
                <w:szCs w:val="20"/>
                <w:color w:val="auto"/>
              </w:rPr>
              <w:t>2.50%</w:t>
            </w:r>
          </w:p>
        </w:tc>
        <w:tc>
          <w:tcPr>
            <w:tcW w:w="480" w:type="dxa"/>
            <w:vAlign w:val="bottom"/>
          </w:tcPr>
          <w:p>
            <w:pPr>
              <w:jc w:val="center"/>
              <w:spacing w:after="0"/>
              <w:rPr>
                <w:sz w:val="20"/>
                <w:szCs w:val="20"/>
                <w:color w:val="auto"/>
              </w:rPr>
            </w:pPr>
            <w:r>
              <w:rPr>
                <w:rFonts w:ascii="Arial" w:cs="Arial" w:eastAsia="Arial" w:hAnsi="Arial"/>
                <w:sz w:val="20"/>
                <w:szCs w:val="20"/>
                <w:color w:val="auto"/>
                <w:w w:val="89"/>
              </w:rPr>
              <w:t>-</w:t>
            </w:r>
          </w:p>
        </w:tc>
        <w:tc>
          <w:tcPr>
            <w:tcW w:w="700" w:type="dxa"/>
            <w:vAlign w:val="bottom"/>
          </w:tcPr>
          <w:p>
            <w:pPr>
              <w:jc w:val="right"/>
              <w:ind w:right="42"/>
              <w:spacing w:after="0"/>
              <w:rPr>
                <w:sz w:val="20"/>
                <w:szCs w:val="20"/>
                <w:color w:val="auto"/>
              </w:rPr>
            </w:pPr>
            <w:r>
              <w:rPr>
                <w:rFonts w:ascii="Arial" w:cs="Arial" w:eastAsia="Arial" w:hAnsi="Arial"/>
                <w:sz w:val="20"/>
                <w:szCs w:val="20"/>
                <w:color w:val="auto"/>
                <w:w w:val="95"/>
              </w:rPr>
              <w:t>3.50%</w:t>
            </w:r>
          </w:p>
        </w:tc>
        <w:tc>
          <w:tcPr>
            <w:tcW w:w="800" w:type="dxa"/>
            <w:vAlign w:val="bottom"/>
            <w:gridSpan w:val="2"/>
          </w:tcPr>
          <w:p>
            <w:pPr>
              <w:jc w:val="right"/>
              <w:ind w:right="40"/>
              <w:spacing w:after="0"/>
              <w:rPr>
                <w:sz w:val="20"/>
                <w:szCs w:val="20"/>
                <w:color w:val="auto"/>
              </w:rPr>
            </w:pPr>
            <w:r>
              <w:rPr>
                <w:rFonts w:ascii="Arial" w:cs="Arial" w:eastAsia="Arial" w:hAnsi="Arial"/>
                <w:sz w:val="20"/>
                <w:szCs w:val="20"/>
                <w:color w:val="auto"/>
              </w:rPr>
              <w:t>2.50%</w:t>
            </w:r>
          </w:p>
        </w:tc>
        <w:tc>
          <w:tcPr>
            <w:tcW w:w="480" w:type="dxa"/>
            <w:vAlign w:val="bottom"/>
          </w:tcPr>
          <w:p>
            <w:pPr>
              <w:jc w:val="center"/>
              <w:spacing w:after="0"/>
              <w:rPr>
                <w:sz w:val="20"/>
                <w:szCs w:val="20"/>
                <w:color w:val="auto"/>
              </w:rPr>
            </w:pPr>
            <w:r>
              <w:rPr>
                <w:rFonts w:ascii="Arial" w:cs="Arial" w:eastAsia="Arial" w:hAnsi="Arial"/>
                <w:sz w:val="20"/>
                <w:szCs w:val="20"/>
                <w:color w:val="auto"/>
                <w:w w:val="89"/>
              </w:rPr>
              <w:t>-</w:t>
            </w:r>
          </w:p>
        </w:tc>
        <w:tc>
          <w:tcPr>
            <w:tcW w:w="700" w:type="dxa"/>
            <w:vAlign w:val="bottom"/>
          </w:tcPr>
          <w:p>
            <w:pPr>
              <w:jc w:val="right"/>
              <w:ind w:right="42"/>
              <w:spacing w:after="0"/>
              <w:rPr>
                <w:sz w:val="20"/>
                <w:szCs w:val="20"/>
                <w:color w:val="auto"/>
              </w:rPr>
            </w:pPr>
            <w:r>
              <w:rPr>
                <w:rFonts w:ascii="Arial" w:cs="Arial" w:eastAsia="Arial" w:hAnsi="Arial"/>
                <w:sz w:val="20"/>
                <w:szCs w:val="20"/>
                <w:color w:val="auto"/>
                <w:w w:val="95"/>
              </w:rPr>
              <w:t>3.50%</w:t>
            </w:r>
          </w:p>
        </w:tc>
      </w:tr>
      <w:tr>
        <w:trPr>
          <w:trHeight w:val="285"/>
        </w:trPr>
        <w:tc>
          <w:tcPr>
            <w:tcW w:w="6160" w:type="dxa"/>
            <w:vAlign w:val="bottom"/>
            <w:shd w:val="clear" w:color="auto" w:fill="E6E6E6"/>
          </w:tcPr>
          <w:p>
            <w:pPr>
              <w:ind w:left="40"/>
              <w:spacing w:after="0"/>
              <w:rPr>
                <w:sz w:val="20"/>
                <w:szCs w:val="20"/>
                <w:color w:val="auto"/>
              </w:rPr>
            </w:pPr>
            <w:r>
              <w:rPr>
                <w:rFonts w:ascii="Arial" w:cs="Arial" w:eastAsia="Arial" w:hAnsi="Arial"/>
                <w:sz w:val="20"/>
                <w:szCs w:val="20"/>
                <w:color w:val="auto"/>
                <w:w w:val="91"/>
              </w:rPr>
              <w:t>Weighted-average assumptions used to determine net periodic benefit cost:</w:t>
            </w:r>
          </w:p>
        </w:tc>
        <w:tc>
          <w:tcPr>
            <w:tcW w:w="720" w:type="dxa"/>
            <w:vAlign w:val="bottom"/>
            <w:shd w:val="clear" w:color="auto" w:fill="E6E6E6"/>
          </w:tcPr>
          <w:p>
            <w:pPr>
              <w:spacing w:after="0"/>
              <w:rPr>
                <w:sz w:val="24"/>
                <w:szCs w:val="24"/>
                <w:color w:val="auto"/>
              </w:rPr>
            </w:pPr>
          </w:p>
        </w:tc>
        <w:tc>
          <w:tcPr>
            <w:tcW w:w="480" w:type="dxa"/>
            <w:vAlign w:val="bottom"/>
            <w:shd w:val="clear" w:color="auto" w:fill="E6E6E6"/>
          </w:tcPr>
          <w:p>
            <w:pPr>
              <w:spacing w:after="0"/>
              <w:rPr>
                <w:sz w:val="24"/>
                <w:szCs w:val="24"/>
                <w:color w:val="auto"/>
              </w:rPr>
            </w:pPr>
          </w:p>
        </w:tc>
        <w:tc>
          <w:tcPr>
            <w:tcW w:w="70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720" w:type="dxa"/>
            <w:vAlign w:val="bottom"/>
            <w:shd w:val="clear" w:color="auto" w:fill="E6E6E6"/>
          </w:tcPr>
          <w:p>
            <w:pPr>
              <w:spacing w:after="0"/>
              <w:rPr>
                <w:sz w:val="24"/>
                <w:szCs w:val="24"/>
                <w:color w:val="auto"/>
              </w:rPr>
            </w:pPr>
          </w:p>
        </w:tc>
        <w:tc>
          <w:tcPr>
            <w:tcW w:w="480" w:type="dxa"/>
            <w:vAlign w:val="bottom"/>
            <w:shd w:val="clear" w:color="auto" w:fill="E6E6E6"/>
          </w:tcPr>
          <w:p>
            <w:pPr>
              <w:spacing w:after="0"/>
              <w:rPr>
                <w:sz w:val="24"/>
                <w:szCs w:val="24"/>
                <w:color w:val="auto"/>
              </w:rPr>
            </w:pPr>
          </w:p>
        </w:tc>
        <w:tc>
          <w:tcPr>
            <w:tcW w:w="700" w:type="dxa"/>
            <w:vAlign w:val="bottom"/>
            <w:shd w:val="clear" w:color="auto" w:fill="E6E6E6"/>
          </w:tcPr>
          <w:p>
            <w:pPr>
              <w:spacing w:after="0"/>
              <w:rPr>
                <w:sz w:val="24"/>
                <w:szCs w:val="24"/>
                <w:color w:val="auto"/>
              </w:rPr>
            </w:pPr>
          </w:p>
        </w:tc>
      </w:tr>
      <w:tr>
        <w:trPr>
          <w:trHeight w:val="274"/>
        </w:trPr>
        <w:tc>
          <w:tcPr>
            <w:tcW w:w="6160" w:type="dxa"/>
            <w:vAlign w:val="bottom"/>
          </w:tcPr>
          <w:p>
            <w:pPr>
              <w:ind w:left="160"/>
              <w:spacing w:after="0"/>
              <w:rPr>
                <w:sz w:val="20"/>
                <w:szCs w:val="20"/>
                <w:color w:val="auto"/>
              </w:rPr>
            </w:pPr>
            <w:r>
              <w:rPr>
                <w:rFonts w:ascii="Arial" w:cs="Arial" w:eastAsia="Arial" w:hAnsi="Arial"/>
                <w:sz w:val="20"/>
                <w:szCs w:val="20"/>
                <w:color w:val="auto"/>
              </w:rPr>
              <w:t>Discount rate</w:t>
            </w:r>
          </w:p>
        </w:tc>
        <w:tc>
          <w:tcPr>
            <w:tcW w:w="720" w:type="dxa"/>
            <w:vAlign w:val="bottom"/>
          </w:tcPr>
          <w:p>
            <w:pPr>
              <w:jc w:val="right"/>
              <w:spacing w:after="0"/>
              <w:rPr>
                <w:sz w:val="20"/>
                <w:szCs w:val="20"/>
                <w:color w:val="auto"/>
              </w:rPr>
            </w:pPr>
            <w:r>
              <w:rPr>
                <w:rFonts w:ascii="Arial" w:cs="Arial" w:eastAsia="Arial" w:hAnsi="Arial"/>
                <w:sz w:val="20"/>
                <w:szCs w:val="20"/>
                <w:color w:val="auto"/>
              </w:rPr>
              <w:t>1.01%</w:t>
            </w:r>
          </w:p>
        </w:tc>
        <w:tc>
          <w:tcPr>
            <w:tcW w:w="480" w:type="dxa"/>
            <w:vAlign w:val="bottom"/>
          </w:tcPr>
          <w:p>
            <w:pPr>
              <w:jc w:val="center"/>
              <w:spacing w:after="0"/>
              <w:rPr>
                <w:sz w:val="20"/>
                <w:szCs w:val="20"/>
                <w:color w:val="auto"/>
              </w:rPr>
            </w:pPr>
            <w:r>
              <w:rPr>
                <w:rFonts w:ascii="Arial" w:cs="Arial" w:eastAsia="Arial" w:hAnsi="Arial"/>
                <w:sz w:val="20"/>
                <w:szCs w:val="20"/>
                <w:color w:val="auto"/>
                <w:w w:val="89"/>
              </w:rPr>
              <w:t>-</w:t>
            </w:r>
          </w:p>
        </w:tc>
        <w:tc>
          <w:tcPr>
            <w:tcW w:w="700" w:type="dxa"/>
            <w:vAlign w:val="bottom"/>
          </w:tcPr>
          <w:p>
            <w:pPr>
              <w:jc w:val="right"/>
              <w:ind w:right="42"/>
              <w:spacing w:after="0"/>
              <w:rPr>
                <w:sz w:val="20"/>
                <w:szCs w:val="20"/>
                <w:color w:val="auto"/>
              </w:rPr>
            </w:pPr>
            <w:r>
              <w:rPr>
                <w:rFonts w:ascii="Arial" w:cs="Arial" w:eastAsia="Arial" w:hAnsi="Arial"/>
                <w:sz w:val="20"/>
                <w:szCs w:val="20"/>
                <w:color w:val="auto"/>
                <w:w w:val="95"/>
              </w:rPr>
              <w:t>3.40%</w:t>
            </w:r>
          </w:p>
        </w:tc>
        <w:tc>
          <w:tcPr>
            <w:tcW w:w="800" w:type="dxa"/>
            <w:vAlign w:val="bottom"/>
            <w:gridSpan w:val="2"/>
          </w:tcPr>
          <w:p>
            <w:pPr>
              <w:jc w:val="right"/>
              <w:ind w:right="40"/>
              <w:spacing w:after="0"/>
              <w:rPr>
                <w:sz w:val="20"/>
                <w:szCs w:val="20"/>
                <w:color w:val="auto"/>
              </w:rPr>
            </w:pPr>
            <w:r>
              <w:rPr>
                <w:rFonts w:ascii="Arial" w:cs="Arial" w:eastAsia="Arial" w:hAnsi="Arial"/>
                <w:sz w:val="20"/>
                <w:szCs w:val="20"/>
                <w:color w:val="auto"/>
              </w:rPr>
              <w:t>0.96%</w:t>
            </w:r>
          </w:p>
        </w:tc>
        <w:tc>
          <w:tcPr>
            <w:tcW w:w="480" w:type="dxa"/>
            <w:vAlign w:val="bottom"/>
          </w:tcPr>
          <w:p>
            <w:pPr>
              <w:jc w:val="center"/>
              <w:spacing w:after="0"/>
              <w:rPr>
                <w:sz w:val="20"/>
                <w:szCs w:val="20"/>
                <w:color w:val="auto"/>
              </w:rPr>
            </w:pPr>
            <w:r>
              <w:rPr>
                <w:rFonts w:ascii="Arial" w:cs="Arial" w:eastAsia="Arial" w:hAnsi="Arial"/>
                <w:sz w:val="20"/>
                <w:szCs w:val="20"/>
                <w:color w:val="auto"/>
                <w:w w:val="89"/>
              </w:rPr>
              <w:t>-</w:t>
            </w:r>
          </w:p>
        </w:tc>
        <w:tc>
          <w:tcPr>
            <w:tcW w:w="700" w:type="dxa"/>
            <w:vAlign w:val="bottom"/>
          </w:tcPr>
          <w:p>
            <w:pPr>
              <w:jc w:val="right"/>
              <w:ind w:right="42"/>
              <w:spacing w:after="0"/>
              <w:rPr>
                <w:sz w:val="20"/>
                <w:szCs w:val="20"/>
                <w:color w:val="auto"/>
              </w:rPr>
            </w:pPr>
            <w:r>
              <w:rPr>
                <w:rFonts w:ascii="Arial" w:cs="Arial" w:eastAsia="Arial" w:hAnsi="Arial"/>
                <w:sz w:val="20"/>
                <w:szCs w:val="20"/>
                <w:color w:val="auto"/>
                <w:w w:val="95"/>
              </w:rPr>
              <w:t>3.20%</w:t>
            </w:r>
          </w:p>
        </w:tc>
      </w:tr>
      <w:tr>
        <w:trPr>
          <w:trHeight w:val="285"/>
        </w:trPr>
        <w:tc>
          <w:tcPr>
            <w:tcW w:w="6160" w:type="dxa"/>
            <w:vAlign w:val="bottom"/>
            <w:shd w:val="clear" w:color="auto" w:fill="E6E6E6"/>
          </w:tcPr>
          <w:p>
            <w:pPr>
              <w:ind w:left="160"/>
              <w:spacing w:after="0"/>
              <w:rPr>
                <w:sz w:val="20"/>
                <w:szCs w:val="20"/>
                <w:color w:val="auto"/>
              </w:rPr>
            </w:pPr>
            <w:r>
              <w:rPr>
                <w:rFonts w:ascii="Arial" w:cs="Arial" w:eastAsia="Arial" w:hAnsi="Arial"/>
                <w:sz w:val="20"/>
                <w:szCs w:val="20"/>
                <w:color w:val="auto"/>
              </w:rPr>
              <w:t>Rate of compensation increase</w:t>
            </w:r>
          </w:p>
        </w:tc>
        <w:tc>
          <w:tcPr>
            <w:tcW w:w="7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3.00%</w:t>
            </w:r>
          </w:p>
        </w:tc>
        <w:tc>
          <w:tcPr>
            <w:tcW w:w="480" w:type="dxa"/>
            <w:vAlign w:val="bottom"/>
            <w:shd w:val="clear" w:color="auto" w:fill="E6E6E6"/>
          </w:tcPr>
          <w:p>
            <w:pPr>
              <w:jc w:val="center"/>
              <w:spacing w:after="0"/>
              <w:rPr>
                <w:sz w:val="20"/>
                <w:szCs w:val="20"/>
                <w:color w:val="auto"/>
              </w:rPr>
            </w:pPr>
            <w:r>
              <w:rPr>
                <w:rFonts w:ascii="Arial" w:cs="Arial" w:eastAsia="Arial" w:hAnsi="Arial"/>
                <w:sz w:val="20"/>
                <w:szCs w:val="20"/>
                <w:color w:val="auto"/>
                <w:w w:val="89"/>
              </w:rPr>
              <w:t>-</w:t>
            </w:r>
          </w:p>
        </w:tc>
        <w:tc>
          <w:tcPr>
            <w:tcW w:w="700" w:type="dxa"/>
            <w:vAlign w:val="bottom"/>
            <w:shd w:val="clear" w:color="auto" w:fill="E6E6E6"/>
          </w:tcPr>
          <w:p>
            <w:pPr>
              <w:jc w:val="right"/>
              <w:ind w:right="42"/>
              <w:spacing w:after="0"/>
              <w:rPr>
                <w:sz w:val="20"/>
                <w:szCs w:val="20"/>
                <w:color w:val="auto"/>
              </w:rPr>
            </w:pPr>
            <w:r>
              <w:rPr>
                <w:rFonts w:ascii="Arial" w:cs="Arial" w:eastAsia="Arial" w:hAnsi="Arial"/>
                <w:sz w:val="20"/>
                <w:szCs w:val="20"/>
                <w:color w:val="auto"/>
                <w:w w:val="95"/>
              </w:rPr>
              <w:t>3.50%</w:t>
            </w:r>
          </w:p>
        </w:tc>
        <w:tc>
          <w:tcPr>
            <w:tcW w:w="800" w:type="dxa"/>
            <w:vAlign w:val="bottom"/>
            <w:gridSpan w:val="2"/>
            <w:shd w:val="clear" w:color="auto" w:fill="E6E6E6"/>
          </w:tcPr>
          <w:p>
            <w:pPr>
              <w:jc w:val="right"/>
              <w:ind w:right="40"/>
              <w:spacing w:after="0"/>
              <w:rPr>
                <w:sz w:val="20"/>
                <w:szCs w:val="20"/>
                <w:color w:val="auto"/>
              </w:rPr>
            </w:pPr>
            <w:r>
              <w:rPr>
                <w:rFonts w:ascii="Arial" w:cs="Arial" w:eastAsia="Arial" w:hAnsi="Arial"/>
                <w:sz w:val="20"/>
                <w:szCs w:val="20"/>
                <w:color w:val="auto"/>
              </w:rPr>
              <w:t>3.38%</w:t>
            </w:r>
          </w:p>
        </w:tc>
        <w:tc>
          <w:tcPr>
            <w:tcW w:w="480" w:type="dxa"/>
            <w:vAlign w:val="bottom"/>
            <w:shd w:val="clear" w:color="auto" w:fill="E6E6E6"/>
          </w:tcPr>
          <w:p>
            <w:pPr>
              <w:jc w:val="center"/>
              <w:spacing w:after="0"/>
              <w:rPr>
                <w:sz w:val="20"/>
                <w:szCs w:val="20"/>
                <w:color w:val="auto"/>
              </w:rPr>
            </w:pPr>
            <w:r>
              <w:rPr>
                <w:rFonts w:ascii="Arial" w:cs="Arial" w:eastAsia="Arial" w:hAnsi="Arial"/>
                <w:sz w:val="20"/>
                <w:szCs w:val="20"/>
                <w:color w:val="auto"/>
                <w:w w:val="89"/>
              </w:rPr>
              <w:t>-</w:t>
            </w:r>
          </w:p>
        </w:tc>
        <w:tc>
          <w:tcPr>
            <w:tcW w:w="700" w:type="dxa"/>
            <w:vAlign w:val="bottom"/>
            <w:shd w:val="clear" w:color="auto" w:fill="E6E6E6"/>
          </w:tcPr>
          <w:p>
            <w:pPr>
              <w:jc w:val="right"/>
              <w:ind w:right="42"/>
              <w:spacing w:after="0"/>
              <w:rPr>
                <w:sz w:val="20"/>
                <w:szCs w:val="20"/>
                <w:color w:val="auto"/>
              </w:rPr>
            </w:pPr>
            <w:r>
              <w:rPr>
                <w:rFonts w:ascii="Arial" w:cs="Arial" w:eastAsia="Arial" w:hAnsi="Arial"/>
                <w:sz w:val="20"/>
                <w:szCs w:val="20"/>
                <w:color w:val="auto"/>
                <w:w w:val="95"/>
              </w:rPr>
              <w:t>3.50%</w:t>
            </w:r>
          </w:p>
        </w:tc>
      </w:tr>
    </w:tbl>
    <w:p>
      <w:pPr>
        <w:spacing w:after="0" w:line="154"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To determine the discount rate for LivaNova’s U.S. benefit plan, the Company used the FTSE Above Median Pension Discount Curve. For the discount rate used for non-U.S. benefit plans, LivaNova considers local market expectations of long-term returns, primarily utilizing the iBoxx Corporate Index Bond rating AA, duration higher than 10 years. The resulting discount rates are consistent with the duration of plan liabilities.</w:t>
      </w:r>
    </w:p>
    <w:p>
      <w:pPr>
        <w:spacing w:after="0" w:line="82"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The expected long-term rate of return on plan assets assumption for LivaNova’s U.S. defined benefit plan was derived from a study conducted by the Company’s investment managers. The study includes a review of the anticipated future long-term performance of individual asset classes and considers the appropriate asset allocation strategy, given the anticipated funding requirements of the plan, to determine the average rate of earnings expected on the funds invested.</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Retirement Benefit Plan Investment Strategy</w:t>
      </w:r>
    </w:p>
    <w:p>
      <w:pPr>
        <w:spacing w:after="0" w:line="144" w:lineRule="exact"/>
        <w:rPr>
          <w:sz w:val="20"/>
          <w:szCs w:val="20"/>
          <w:color w:val="auto"/>
        </w:rPr>
      </w:pPr>
    </w:p>
    <w:p>
      <w:pPr>
        <w:jc w:val="both"/>
        <w:spacing w:after="0" w:line="311" w:lineRule="auto"/>
        <w:rPr>
          <w:sz w:val="20"/>
          <w:szCs w:val="20"/>
          <w:color w:val="auto"/>
        </w:rPr>
      </w:pPr>
      <w:r>
        <w:rPr>
          <w:rFonts w:ascii="Arial" w:cs="Arial" w:eastAsia="Arial" w:hAnsi="Arial"/>
          <w:sz w:val="17"/>
          <w:szCs w:val="17"/>
          <w:color w:val="auto"/>
        </w:rPr>
        <w:t>In the U.S., LivaNova has an account that holds the defined benefit frozen balance pension plan assets. The Plan Committee sets investment guidelines for the U.S. pension plan. Plan assets in the U.S. are invested in accordance with sound investment practices that emphasize long-term fundamentals. The investment objective for the plan assets in the U.S. is to achieve a positive rate of return that would be expected to close the current funding deficit and enable LivaNova to terminate the frozen pension plan at a reasonable cost. The Plan Committee also oversees the investment allocation process, selects the investment managers, and monitors asset performance. The plan investments consist of a diversified portfolio of fixed income and equity index funds. Securities are also diversified in terms of investment location (domestic and international), tenor (short- and long-term securities), investment objective (growth and value), and size of market.</w:t>
      </w:r>
    </w:p>
    <w:p>
      <w:pPr>
        <w:spacing w:after="0" w:line="5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Outside the U.S., pension plan assets are typically managed by decentralized fiduciary committees. There is a significant variation in asset allocation policy from country to country. Local regulations, local funding rules, and local financial and tax considerations influence the funding and investment allocation process in each country.</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LivaNova’s U.S. and Non-U.S. pension plan target allocations by asset category: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3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820" w:type="dxa"/>
            <w:vAlign w:val="bottom"/>
            <w:tcBorders>
              <w:bottom w:val="single" w:sz="8" w:color="auto"/>
            </w:tcBorders>
            <w:gridSpan w:val="4"/>
          </w:tcPr>
          <w:p>
            <w:pPr>
              <w:jc w:val="right"/>
              <w:ind w:right="942"/>
              <w:spacing w:after="0"/>
              <w:rPr>
                <w:sz w:val="20"/>
                <w:szCs w:val="20"/>
                <w:color w:val="auto"/>
              </w:rPr>
            </w:pPr>
            <w:r>
              <w:rPr>
                <w:rFonts w:ascii="Arial" w:cs="Arial" w:eastAsia="Arial" w:hAnsi="Arial"/>
                <w:sz w:val="20"/>
                <w:szCs w:val="20"/>
                <w:b w:val="1"/>
                <w:bCs w:val="1"/>
                <w:color w:val="auto"/>
              </w:rPr>
              <w:t>U.S. Pension Benefits</w:t>
            </w:r>
          </w:p>
        </w:tc>
        <w:tc>
          <w:tcPr>
            <w:tcW w:w="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800" w:type="dxa"/>
            <w:vAlign w:val="bottom"/>
            <w:tcBorders>
              <w:bottom w:val="single" w:sz="8" w:color="auto"/>
            </w:tcBorders>
            <w:gridSpan w:val="4"/>
          </w:tcPr>
          <w:p>
            <w:pPr>
              <w:jc w:val="right"/>
              <w:ind w:right="702"/>
              <w:spacing w:after="0"/>
              <w:rPr>
                <w:sz w:val="20"/>
                <w:szCs w:val="20"/>
                <w:color w:val="auto"/>
              </w:rPr>
            </w:pPr>
            <w:r>
              <w:rPr>
                <w:rFonts w:ascii="Arial" w:cs="Arial" w:eastAsia="Arial" w:hAnsi="Arial"/>
                <w:sz w:val="20"/>
                <w:szCs w:val="20"/>
                <w:b w:val="1"/>
                <w:bCs w:val="1"/>
                <w:color w:val="auto"/>
              </w:rPr>
              <w:t>Non-U.S. Pension Benefits</w:t>
            </w:r>
          </w:p>
        </w:tc>
      </w:tr>
      <w:tr>
        <w:trPr>
          <w:trHeight w:val="260"/>
        </w:trPr>
        <w:tc>
          <w:tcPr>
            <w:tcW w:w="2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600" w:type="dxa"/>
            <w:vAlign w:val="bottom"/>
            <w:tcBorders>
              <w:bottom w:val="single" w:sz="8" w:color="auto"/>
            </w:tcBorders>
            <w:gridSpan w:val="3"/>
          </w:tcPr>
          <w:p>
            <w:pPr>
              <w:jc w:val="right"/>
              <w:ind w:right="1242"/>
              <w:spacing w:after="0"/>
              <w:rPr>
                <w:sz w:val="20"/>
                <w:szCs w:val="20"/>
                <w:color w:val="auto"/>
              </w:rPr>
            </w:pPr>
            <w:r>
              <w:rPr>
                <w:rFonts w:ascii="Arial" w:cs="Arial" w:eastAsia="Arial" w:hAnsi="Arial"/>
                <w:sz w:val="20"/>
                <w:szCs w:val="20"/>
                <w:b w:val="1"/>
                <w:bCs w:val="1"/>
                <w:color w:val="auto"/>
                <w:w w:val="95"/>
              </w:rPr>
              <w:t>December 31,</w:t>
            </w:r>
          </w:p>
        </w:tc>
        <w:tc>
          <w:tcPr>
            <w:tcW w:w="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gridSpan w:val="3"/>
          </w:tcPr>
          <w:p>
            <w:pPr>
              <w:jc w:val="right"/>
              <w:ind w:right="1242"/>
              <w:spacing w:after="0"/>
              <w:rPr>
                <w:sz w:val="20"/>
                <w:szCs w:val="20"/>
                <w:color w:val="auto"/>
              </w:rPr>
            </w:pPr>
            <w:r>
              <w:rPr>
                <w:rFonts w:ascii="Arial" w:cs="Arial" w:eastAsia="Arial" w:hAnsi="Arial"/>
                <w:sz w:val="20"/>
                <w:szCs w:val="20"/>
                <w:b w:val="1"/>
                <w:bCs w:val="1"/>
                <w:color w:val="auto"/>
                <w:w w:val="93"/>
              </w:rPr>
              <w:t>December 31,</w:t>
            </w:r>
          </w:p>
        </w:tc>
      </w:tr>
      <w:tr>
        <w:trPr>
          <w:trHeight w:val="259"/>
        </w:trPr>
        <w:tc>
          <w:tcPr>
            <w:tcW w:w="232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122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b w:val="1"/>
                <w:bCs w:val="1"/>
                <w:color w:val="auto"/>
              </w:rPr>
              <w:t>2024</w:t>
            </w:r>
          </w:p>
        </w:tc>
        <w:tc>
          <w:tcPr>
            <w:tcW w:w="660" w:type="dxa"/>
            <w:vAlign w:val="bottom"/>
            <w:tcBorders>
              <w:bottom w:val="single" w:sz="8" w:color="auto"/>
            </w:tcBorders>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1880" w:type="dxa"/>
            <w:vAlign w:val="bottom"/>
            <w:tcBorders>
              <w:bottom w:val="single" w:sz="8" w:color="auto"/>
            </w:tcBorders>
          </w:tcPr>
          <w:p>
            <w:pPr>
              <w:jc w:val="right"/>
              <w:ind w:right="662"/>
              <w:spacing w:after="0"/>
              <w:rPr>
                <w:sz w:val="20"/>
                <w:szCs w:val="20"/>
                <w:color w:val="auto"/>
              </w:rPr>
            </w:pPr>
            <w:r>
              <w:rPr>
                <w:rFonts w:ascii="Arial" w:cs="Arial" w:eastAsia="Arial" w:hAnsi="Arial"/>
                <w:sz w:val="20"/>
                <w:szCs w:val="20"/>
                <w:b w:val="1"/>
                <w:bCs w:val="1"/>
                <w:color w:val="auto"/>
              </w:rPr>
              <w:t>2023</w:t>
            </w:r>
          </w:p>
        </w:tc>
        <w:tc>
          <w:tcPr>
            <w:tcW w:w="6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122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b w:val="1"/>
                <w:bCs w:val="1"/>
                <w:color w:val="auto"/>
              </w:rPr>
              <w:t>2024</w:t>
            </w:r>
          </w:p>
        </w:tc>
        <w:tc>
          <w:tcPr>
            <w:tcW w:w="640" w:type="dxa"/>
            <w:vAlign w:val="bottom"/>
            <w:tcBorders>
              <w:bottom w:val="single" w:sz="8" w:color="auto"/>
            </w:tcBorders>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1880" w:type="dxa"/>
            <w:vAlign w:val="bottom"/>
            <w:tcBorders>
              <w:bottom w:val="single" w:sz="8" w:color="auto"/>
            </w:tcBorders>
          </w:tcPr>
          <w:p>
            <w:pPr>
              <w:jc w:val="right"/>
              <w:ind w:right="642"/>
              <w:spacing w:after="0"/>
              <w:rPr>
                <w:sz w:val="20"/>
                <w:szCs w:val="20"/>
                <w:color w:val="auto"/>
              </w:rPr>
            </w:pPr>
            <w:r>
              <w:rPr>
                <w:rFonts w:ascii="Arial" w:cs="Arial" w:eastAsia="Arial" w:hAnsi="Arial"/>
                <w:sz w:val="20"/>
                <w:szCs w:val="20"/>
                <w:b w:val="1"/>
                <w:bCs w:val="1"/>
                <w:color w:val="auto"/>
              </w:rPr>
              <w:t>2023</w:t>
            </w:r>
          </w:p>
        </w:tc>
      </w:tr>
      <w:tr>
        <w:trPr>
          <w:trHeight w:val="269"/>
        </w:trPr>
        <w:tc>
          <w:tcPr>
            <w:tcW w:w="2320" w:type="dxa"/>
            <w:vAlign w:val="bottom"/>
            <w:shd w:val="clear" w:color="auto" w:fill="E6E6E6"/>
          </w:tcPr>
          <w:p>
            <w:pPr>
              <w:ind w:left="40"/>
              <w:spacing w:after="0"/>
              <w:rPr>
                <w:sz w:val="20"/>
                <w:szCs w:val="20"/>
                <w:color w:val="auto"/>
              </w:rPr>
            </w:pPr>
            <w:r>
              <w:rPr>
                <w:rFonts w:ascii="Arial" w:cs="Arial" w:eastAsia="Arial" w:hAnsi="Arial"/>
                <w:sz w:val="20"/>
                <w:szCs w:val="20"/>
                <w:color w:val="auto"/>
              </w:rPr>
              <w:t>Equity securities</w:t>
            </w:r>
          </w:p>
        </w:tc>
        <w:tc>
          <w:tcPr>
            <w:tcW w:w="1240" w:type="dxa"/>
            <w:vAlign w:val="bottom"/>
            <w:gridSpan w:val="2"/>
            <w:shd w:val="clear" w:color="auto" w:fill="E6E6E6"/>
          </w:tcPr>
          <w:p>
            <w:pPr>
              <w:jc w:val="right"/>
              <w:ind w:right="2"/>
              <w:spacing w:after="0"/>
              <w:rPr>
                <w:sz w:val="20"/>
                <w:szCs w:val="20"/>
                <w:color w:val="auto"/>
              </w:rPr>
            </w:pPr>
            <w:r>
              <w:rPr>
                <w:rFonts w:ascii="Arial" w:cs="Arial" w:eastAsia="Arial" w:hAnsi="Arial"/>
                <w:sz w:val="20"/>
                <w:szCs w:val="20"/>
                <w:color w:val="auto"/>
              </w:rPr>
              <w:t>29%</w:t>
            </w:r>
          </w:p>
        </w:tc>
        <w:tc>
          <w:tcPr>
            <w:tcW w:w="2600" w:type="dxa"/>
            <w:vAlign w:val="bottom"/>
            <w:gridSpan w:val="3"/>
            <w:shd w:val="clear" w:color="auto" w:fill="E6E6E6"/>
          </w:tcPr>
          <w:p>
            <w:pPr>
              <w:jc w:val="right"/>
              <w:ind w:right="662"/>
              <w:spacing w:after="0"/>
              <w:rPr>
                <w:sz w:val="20"/>
                <w:szCs w:val="20"/>
                <w:color w:val="auto"/>
              </w:rPr>
            </w:pPr>
            <w:r>
              <w:rPr>
                <w:rFonts w:ascii="Arial" w:cs="Arial" w:eastAsia="Arial" w:hAnsi="Arial"/>
                <w:sz w:val="20"/>
                <w:szCs w:val="20"/>
                <w:color w:val="auto"/>
              </w:rPr>
              <w:t>29%</w:t>
            </w:r>
          </w:p>
        </w:tc>
        <w:tc>
          <w:tcPr>
            <w:tcW w:w="1300" w:type="dxa"/>
            <w:vAlign w:val="bottom"/>
            <w:gridSpan w:val="3"/>
            <w:shd w:val="clear" w:color="auto" w:fill="E6E6E6"/>
          </w:tcPr>
          <w:p>
            <w:pPr>
              <w:jc w:val="right"/>
              <w:ind w:right="42"/>
              <w:spacing w:after="0"/>
              <w:rPr>
                <w:sz w:val="20"/>
                <w:szCs w:val="20"/>
                <w:color w:val="auto"/>
              </w:rPr>
            </w:pPr>
            <w:r>
              <w:rPr>
                <w:rFonts w:ascii="Arial" w:cs="Arial" w:eastAsia="Arial" w:hAnsi="Arial"/>
                <w:sz w:val="20"/>
                <w:szCs w:val="20"/>
                <w:color w:val="auto"/>
              </w:rPr>
              <w:t>1%</w:t>
            </w:r>
          </w:p>
        </w:tc>
        <w:tc>
          <w:tcPr>
            <w:tcW w:w="2580" w:type="dxa"/>
            <w:vAlign w:val="bottom"/>
            <w:gridSpan w:val="3"/>
            <w:shd w:val="clear" w:color="auto" w:fill="E6E6E6"/>
          </w:tcPr>
          <w:p>
            <w:pPr>
              <w:jc w:val="right"/>
              <w:ind w:right="682"/>
              <w:spacing w:after="0"/>
              <w:rPr>
                <w:sz w:val="20"/>
                <w:szCs w:val="20"/>
                <w:color w:val="auto"/>
              </w:rPr>
            </w:pPr>
            <w:r>
              <w:rPr>
                <w:rFonts w:ascii="Arial" w:cs="Arial" w:eastAsia="Arial" w:hAnsi="Arial"/>
                <w:sz w:val="20"/>
                <w:szCs w:val="20"/>
                <w:color w:val="auto"/>
              </w:rPr>
              <w:t>1%</w:t>
            </w:r>
          </w:p>
        </w:tc>
      </w:tr>
      <w:tr>
        <w:trPr>
          <w:trHeight w:val="274"/>
        </w:trPr>
        <w:tc>
          <w:tcPr>
            <w:tcW w:w="2320" w:type="dxa"/>
            <w:vAlign w:val="bottom"/>
          </w:tcPr>
          <w:p>
            <w:pPr>
              <w:ind w:left="40"/>
              <w:spacing w:after="0"/>
              <w:rPr>
                <w:sz w:val="20"/>
                <w:szCs w:val="20"/>
                <w:color w:val="auto"/>
              </w:rPr>
            </w:pPr>
            <w:r>
              <w:rPr>
                <w:rFonts w:ascii="Arial" w:cs="Arial" w:eastAsia="Arial" w:hAnsi="Arial"/>
                <w:sz w:val="20"/>
                <w:szCs w:val="20"/>
                <w:color w:val="auto"/>
              </w:rPr>
              <w:t>Debt securities</w:t>
            </w:r>
          </w:p>
        </w:tc>
        <w:tc>
          <w:tcPr>
            <w:tcW w:w="1240" w:type="dxa"/>
            <w:vAlign w:val="bottom"/>
            <w:gridSpan w:val="2"/>
          </w:tcPr>
          <w:p>
            <w:pPr>
              <w:jc w:val="right"/>
              <w:ind w:right="2"/>
              <w:spacing w:after="0"/>
              <w:rPr>
                <w:sz w:val="20"/>
                <w:szCs w:val="20"/>
                <w:color w:val="auto"/>
              </w:rPr>
            </w:pPr>
            <w:r>
              <w:rPr>
                <w:rFonts w:ascii="Arial" w:cs="Arial" w:eastAsia="Arial" w:hAnsi="Arial"/>
                <w:sz w:val="20"/>
                <w:szCs w:val="20"/>
                <w:color w:val="auto"/>
              </w:rPr>
              <w:t>70%</w:t>
            </w:r>
          </w:p>
        </w:tc>
        <w:tc>
          <w:tcPr>
            <w:tcW w:w="2600" w:type="dxa"/>
            <w:vAlign w:val="bottom"/>
            <w:gridSpan w:val="3"/>
          </w:tcPr>
          <w:p>
            <w:pPr>
              <w:jc w:val="right"/>
              <w:ind w:right="662"/>
              <w:spacing w:after="0"/>
              <w:rPr>
                <w:sz w:val="20"/>
                <w:szCs w:val="20"/>
                <w:color w:val="auto"/>
              </w:rPr>
            </w:pPr>
            <w:r>
              <w:rPr>
                <w:rFonts w:ascii="Arial" w:cs="Arial" w:eastAsia="Arial" w:hAnsi="Arial"/>
                <w:sz w:val="20"/>
                <w:szCs w:val="20"/>
                <w:color w:val="auto"/>
              </w:rPr>
              <w:t>70%</w:t>
            </w:r>
          </w:p>
        </w:tc>
        <w:tc>
          <w:tcPr>
            <w:tcW w:w="1300" w:type="dxa"/>
            <w:vAlign w:val="bottom"/>
            <w:gridSpan w:val="3"/>
          </w:tcPr>
          <w:p>
            <w:pPr>
              <w:jc w:val="right"/>
              <w:ind w:right="2"/>
              <w:spacing w:after="0"/>
              <w:rPr>
                <w:sz w:val="20"/>
                <w:szCs w:val="20"/>
                <w:color w:val="auto"/>
              </w:rPr>
            </w:pPr>
            <w:r>
              <w:rPr>
                <w:rFonts w:ascii="Arial" w:cs="Arial" w:eastAsia="Arial" w:hAnsi="Arial"/>
                <w:sz w:val="20"/>
                <w:szCs w:val="20"/>
                <w:color w:val="auto"/>
              </w:rPr>
              <w:t>81%</w:t>
            </w:r>
          </w:p>
        </w:tc>
        <w:tc>
          <w:tcPr>
            <w:tcW w:w="2580" w:type="dxa"/>
            <w:vAlign w:val="bottom"/>
            <w:gridSpan w:val="3"/>
          </w:tcPr>
          <w:p>
            <w:pPr>
              <w:jc w:val="right"/>
              <w:ind w:right="642"/>
              <w:spacing w:after="0"/>
              <w:rPr>
                <w:sz w:val="20"/>
                <w:szCs w:val="20"/>
                <w:color w:val="auto"/>
              </w:rPr>
            </w:pPr>
            <w:r>
              <w:rPr>
                <w:rFonts w:ascii="Arial" w:cs="Arial" w:eastAsia="Arial" w:hAnsi="Arial"/>
                <w:sz w:val="20"/>
                <w:szCs w:val="20"/>
                <w:color w:val="auto"/>
              </w:rPr>
              <w:t>79%</w:t>
            </w:r>
          </w:p>
        </w:tc>
      </w:tr>
      <w:tr>
        <w:trPr>
          <w:trHeight w:val="285"/>
        </w:trPr>
        <w:tc>
          <w:tcPr>
            <w:tcW w:w="2320" w:type="dxa"/>
            <w:vAlign w:val="bottom"/>
            <w:shd w:val="clear" w:color="auto" w:fill="E6E6E6"/>
          </w:tcPr>
          <w:p>
            <w:pPr>
              <w:ind w:left="40"/>
              <w:spacing w:after="0"/>
              <w:rPr>
                <w:sz w:val="20"/>
                <w:szCs w:val="20"/>
                <w:color w:val="auto"/>
              </w:rPr>
            </w:pPr>
            <w:r>
              <w:rPr>
                <w:rFonts w:ascii="Arial" w:cs="Arial" w:eastAsia="Arial" w:hAnsi="Arial"/>
                <w:sz w:val="20"/>
                <w:szCs w:val="20"/>
                <w:color w:val="auto"/>
              </w:rPr>
              <w:t>Other</w:t>
            </w:r>
          </w:p>
        </w:tc>
        <w:tc>
          <w:tcPr>
            <w:tcW w:w="1240" w:type="dxa"/>
            <w:vAlign w:val="bottom"/>
            <w:gridSpan w:val="2"/>
            <w:shd w:val="clear" w:color="auto" w:fill="E6E6E6"/>
          </w:tcPr>
          <w:p>
            <w:pPr>
              <w:jc w:val="right"/>
              <w:ind w:right="42"/>
              <w:spacing w:after="0"/>
              <w:rPr>
                <w:sz w:val="20"/>
                <w:szCs w:val="20"/>
                <w:color w:val="auto"/>
              </w:rPr>
            </w:pPr>
            <w:r>
              <w:rPr>
                <w:rFonts w:ascii="Arial" w:cs="Arial" w:eastAsia="Arial" w:hAnsi="Arial"/>
                <w:sz w:val="20"/>
                <w:szCs w:val="20"/>
                <w:color w:val="auto"/>
              </w:rPr>
              <w:t>1%</w:t>
            </w:r>
          </w:p>
        </w:tc>
        <w:tc>
          <w:tcPr>
            <w:tcW w:w="2600" w:type="dxa"/>
            <w:vAlign w:val="bottom"/>
            <w:gridSpan w:val="3"/>
            <w:shd w:val="clear" w:color="auto" w:fill="E6E6E6"/>
          </w:tcPr>
          <w:p>
            <w:pPr>
              <w:jc w:val="right"/>
              <w:ind w:right="702"/>
              <w:spacing w:after="0"/>
              <w:rPr>
                <w:sz w:val="20"/>
                <w:szCs w:val="20"/>
                <w:color w:val="auto"/>
              </w:rPr>
            </w:pPr>
            <w:r>
              <w:rPr>
                <w:rFonts w:ascii="Arial" w:cs="Arial" w:eastAsia="Arial" w:hAnsi="Arial"/>
                <w:sz w:val="20"/>
                <w:szCs w:val="20"/>
                <w:color w:val="auto"/>
              </w:rPr>
              <w:t>1%</w:t>
            </w:r>
          </w:p>
        </w:tc>
        <w:tc>
          <w:tcPr>
            <w:tcW w:w="1300" w:type="dxa"/>
            <w:vAlign w:val="bottom"/>
            <w:gridSpan w:val="3"/>
            <w:shd w:val="clear" w:color="auto" w:fill="E6E6E6"/>
          </w:tcPr>
          <w:p>
            <w:pPr>
              <w:jc w:val="right"/>
              <w:ind w:right="2"/>
              <w:spacing w:after="0"/>
              <w:rPr>
                <w:sz w:val="20"/>
                <w:szCs w:val="20"/>
                <w:color w:val="auto"/>
              </w:rPr>
            </w:pPr>
            <w:r>
              <w:rPr>
                <w:rFonts w:ascii="Arial" w:cs="Arial" w:eastAsia="Arial" w:hAnsi="Arial"/>
                <w:sz w:val="20"/>
                <w:szCs w:val="20"/>
                <w:color w:val="auto"/>
              </w:rPr>
              <w:t>18%</w:t>
            </w:r>
          </w:p>
        </w:tc>
        <w:tc>
          <w:tcPr>
            <w:tcW w:w="2580" w:type="dxa"/>
            <w:vAlign w:val="bottom"/>
            <w:gridSpan w:val="3"/>
            <w:shd w:val="clear" w:color="auto" w:fill="E6E6E6"/>
          </w:tcPr>
          <w:p>
            <w:pPr>
              <w:jc w:val="right"/>
              <w:ind w:right="642"/>
              <w:spacing w:after="0"/>
              <w:rPr>
                <w:sz w:val="20"/>
                <w:szCs w:val="20"/>
                <w:color w:val="auto"/>
              </w:rPr>
            </w:pPr>
            <w:r>
              <w:rPr>
                <w:rFonts w:ascii="Arial" w:cs="Arial" w:eastAsia="Arial" w:hAnsi="Arial"/>
                <w:sz w:val="20"/>
                <w:szCs w:val="20"/>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1466850</wp:posOffset>
            </wp:positionH>
            <wp:positionV relativeFrom="paragraph">
              <wp:posOffset>-544195</wp:posOffset>
            </wp:positionV>
            <wp:extent cx="4926330"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14">
                      <a:extLst>
                        <a:ext uri="{28A0092B-C50C-407E-A947-70E740481C1C}"/>
                      </a:extLst>
                    </a:blip>
                    <a:srcRect/>
                    <a:stretch>
                      <a:fillRect/>
                    </a:stretch>
                  </pic:blipFill>
                  <pic:spPr bwMode="auto">
                    <a:xfrm>
                      <a:off x="0" y="0"/>
                      <a:ext cx="4926330" cy="25400"/>
                    </a:xfrm>
                    <a:prstGeom prst="rect">
                      <a:avLst/>
                    </a:prstGeom>
                    <a:noFill/>
                  </pic:spPr>
                </pic:pic>
              </a:graphicData>
            </a:graphic>
          </wp:anchor>
        </w:drawing>
      </w:r>
    </w:p>
    <w:p>
      <w:pPr>
        <w:sectPr>
          <w:pgSz w:w="11880" w:h="15480" w:orient="portrait"/>
          <w:cols w:equalWidth="0" w:num="1">
            <w:col w:w="10040"/>
          </w:cols>
          <w:pgMar w:left="920" w:top="66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F-39</w:t>
      </w:r>
    </w:p>
    <w:p>
      <w:pPr>
        <w:sectPr>
          <w:pgSz w:w="11880" w:h="15480" w:orient="portrait"/>
          <w:cols w:equalWidth="0" w:num="1">
            <w:col w:w="10040"/>
          </w:cols>
          <w:pgMar w:left="920" w:top="664" w:right="920" w:bottom="0" w:gutter="0" w:footer="0" w:header="0"/>
          <w:type w:val="continuous"/>
        </w:sectPr>
      </w:pPr>
    </w:p>
    <w:bookmarkStart w:id="97" w:name="page98"/>
    <w:bookmarkEnd w:id="97"/>
    <w:p>
      <w:pPr>
        <w:spacing w:after="0"/>
        <w:rPr>
          <w:sz w:val="20"/>
          <w:szCs w:val="20"/>
          <w:color w:val="auto"/>
        </w:rPr>
      </w:pPr>
      <w:r>
        <w:rPr>
          <w:rFonts w:ascii="Arial" w:cs="Arial" w:eastAsia="Arial" w:hAnsi="Arial"/>
          <w:sz w:val="22"/>
          <w:szCs w:val="22"/>
          <w:b w:val="1"/>
          <w:bCs w:val="1"/>
          <w:i w:val="1"/>
          <w:iCs w:val="1"/>
          <w:color w:val="auto"/>
        </w:rPr>
        <w:t>Retirement Benefit Fair Values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description of the valuation methodologies used for retirement benefit plan assets measured at fair value:</w:t>
      </w:r>
    </w:p>
    <w:p>
      <w:pPr>
        <w:spacing w:after="0" w:line="164" w:lineRule="exact"/>
        <w:rPr>
          <w:sz w:val="20"/>
          <w:szCs w:val="20"/>
          <w:color w:val="auto"/>
        </w:rPr>
      </w:pPr>
    </w:p>
    <w:p>
      <w:pPr>
        <w:jc w:val="both"/>
        <w:spacing w:after="0" w:line="266" w:lineRule="auto"/>
        <w:rPr>
          <w:sz w:val="20"/>
          <w:szCs w:val="20"/>
          <w:color w:val="auto"/>
        </w:rPr>
      </w:pPr>
      <w:r>
        <w:rPr>
          <w:rFonts w:ascii="Arial" w:cs="Arial" w:eastAsia="Arial" w:hAnsi="Arial"/>
          <w:sz w:val="20"/>
          <w:szCs w:val="20"/>
          <w:b w:val="1"/>
          <w:bCs w:val="1"/>
          <w:i w:val="1"/>
          <w:iCs w:val="1"/>
          <w:color w:val="auto"/>
        </w:rPr>
        <w:t xml:space="preserve">Equity Mutual Funds: </w:t>
      </w:r>
      <w:r>
        <w:rPr>
          <w:rFonts w:ascii="Arial" w:cs="Arial" w:eastAsia="Arial" w:hAnsi="Arial"/>
          <w:sz w:val="20"/>
          <w:szCs w:val="20"/>
          <w:color w:val="auto"/>
        </w:rPr>
        <w:t>Valued based on the year-end net asset values of the investment vehicles. The net asset values of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investment vehicles are based on the fair values of the underlying investments of the mutual funds valued at the closing price reported in the active markets in which the individual security is traded. Equity mutual funds have a daily reported net asset value.</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20"/>
          <w:szCs w:val="20"/>
          <w:b w:val="1"/>
          <w:bCs w:val="1"/>
          <w:i w:val="1"/>
          <w:iCs w:val="1"/>
          <w:color w:val="auto"/>
        </w:rPr>
        <w:t xml:space="preserve">Fixed Income Mutual Funds: </w:t>
      </w:r>
      <w:r>
        <w:rPr>
          <w:rFonts w:ascii="Arial" w:cs="Arial" w:eastAsia="Arial" w:hAnsi="Arial"/>
          <w:sz w:val="20"/>
          <w:szCs w:val="20"/>
          <w:color w:val="auto"/>
        </w:rPr>
        <w:t>Valued based on the year-end net asset values of the investment vehicles. The net asset values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investment vehicles are based on the fair values of the underlying investments of the mutual funds valued based on inputs other than quoted prices that are observable.</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 xml:space="preserve">Money Markets: </w:t>
      </w:r>
      <w:r>
        <w:rPr>
          <w:rFonts w:ascii="Arial" w:cs="Arial" w:eastAsia="Arial" w:hAnsi="Arial"/>
          <w:sz w:val="20"/>
          <w:szCs w:val="20"/>
          <w:color w:val="auto"/>
        </w:rPr>
        <w:t>Valued based on quoted prices in active markets for identical assets.</w:t>
      </w:r>
    </w:p>
    <w:p>
      <w:pPr>
        <w:spacing w:after="0" w:line="136"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following tables present information by level for the U.S. retirement benefit plan assets that are measured at fair value on a recurring basis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720" w:type="dxa"/>
            <w:vAlign w:val="bottom"/>
            <w:tcBorders>
              <w:bottom w:val="single" w:sz="8" w:color="auto"/>
            </w:tcBorders>
            <w:gridSpan w:val="8"/>
          </w:tcPr>
          <w:p>
            <w:pPr>
              <w:ind w:left="100"/>
              <w:spacing w:after="0"/>
              <w:rPr>
                <w:sz w:val="20"/>
                <w:szCs w:val="20"/>
                <w:color w:val="auto"/>
              </w:rPr>
            </w:pPr>
            <w:r>
              <w:rPr>
                <w:rFonts w:ascii="Arial" w:cs="Arial" w:eastAsia="Arial" w:hAnsi="Arial"/>
                <w:sz w:val="20"/>
                <w:szCs w:val="20"/>
                <w:b w:val="1"/>
                <w:bCs w:val="1"/>
                <w:color w:val="auto"/>
                <w:w w:val="90"/>
              </w:rPr>
              <w:t>Fair Value Measurement Using Inputs Considered as:</w:t>
            </w:r>
          </w:p>
        </w:tc>
      </w:tr>
      <w:tr>
        <w:trPr>
          <w:trHeight w:val="260"/>
        </w:trPr>
        <w:tc>
          <w:tcPr>
            <w:tcW w:w="3560" w:type="dxa"/>
            <w:vAlign w:val="bottom"/>
            <w:tcBorders>
              <w:bottom w:val="single" w:sz="8" w:color="E6E6E6"/>
            </w:tcBorders>
          </w:tcPr>
          <w:p>
            <w:pPr>
              <w:spacing w:after="0"/>
              <w:rPr>
                <w:sz w:val="22"/>
                <w:szCs w:val="22"/>
                <w:color w:val="auto"/>
              </w:rPr>
            </w:pPr>
          </w:p>
        </w:tc>
        <w:tc>
          <w:tcPr>
            <w:tcW w:w="1680" w:type="dxa"/>
            <w:vAlign w:val="bottom"/>
            <w:tcBorders>
              <w:bottom w:val="single" w:sz="8" w:color="auto"/>
            </w:tcBorders>
            <w:gridSpan w:val="2"/>
          </w:tcPr>
          <w:p>
            <w:pPr>
              <w:ind w:left="40"/>
              <w:spacing w:after="0"/>
              <w:rPr>
                <w:sz w:val="20"/>
                <w:szCs w:val="20"/>
                <w:color w:val="auto"/>
              </w:rPr>
            </w:pPr>
            <w:r>
              <w:rPr>
                <w:rFonts w:ascii="Arial" w:cs="Arial" w:eastAsia="Arial" w:hAnsi="Arial"/>
                <w:sz w:val="20"/>
                <w:szCs w:val="20"/>
                <w:b w:val="1"/>
                <w:bCs w:val="1"/>
                <w:color w:val="auto"/>
                <w:w w:val="89"/>
              </w:rPr>
              <w:t>December 31, 2024</w:t>
            </w:r>
          </w:p>
        </w:tc>
        <w:tc>
          <w:tcPr>
            <w:tcW w:w="80" w:type="dxa"/>
            <w:vAlign w:val="bottom"/>
            <w:tcBorders>
              <w:bottom w:val="single" w:sz="8" w:color="E6E6E6"/>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ind w:left="160"/>
              <w:spacing w:after="0"/>
              <w:rPr>
                <w:sz w:val="20"/>
                <w:szCs w:val="20"/>
                <w:color w:val="auto"/>
              </w:rPr>
            </w:pPr>
            <w:r>
              <w:rPr>
                <w:rFonts w:ascii="Arial" w:cs="Arial" w:eastAsia="Arial" w:hAnsi="Arial"/>
                <w:sz w:val="20"/>
                <w:szCs w:val="20"/>
                <w:b w:val="1"/>
                <w:bCs w:val="1"/>
                <w:color w:val="auto"/>
              </w:rPr>
              <w:t>Level 1</w:t>
            </w:r>
          </w:p>
        </w:tc>
        <w:tc>
          <w:tcPr>
            <w:tcW w:w="80" w:type="dxa"/>
            <w:vAlign w:val="bottom"/>
            <w:tcBorders>
              <w:bottom w:val="single" w:sz="8" w:color="E6E6E6"/>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b w:val="1"/>
                <w:bCs w:val="1"/>
                <w:color w:val="auto"/>
              </w:rPr>
              <w:t>Level 2</w:t>
            </w:r>
          </w:p>
        </w:tc>
        <w:tc>
          <w:tcPr>
            <w:tcW w:w="80" w:type="dxa"/>
            <w:vAlign w:val="bottom"/>
            <w:tcBorders>
              <w:bottom w:val="single" w:sz="8" w:color="E6E6E6"/>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ind w:left="160"/>
              <w:spacing w:after="0"/>
              <w:rPr>
                <w:sz w:val="20"/>
                <w:szCs w:val="20"/>
                <w:color w:val="auto"/>
              </w:rPr>
            </w:pPr>
            <w:r>
              <w:rPr>
                <w:rFonts w:ascii="Arial" w:cs="Arial" w:eastAsia="Arial" w:hAnsi="Arial"/>
                <w:sz w:val="20"/>
                <w:szCs w:val="20"/>
                <w:b w:val="1"/>
                <w:bCs w:val="1"/>
                <w:color w:val="auto"/>
              </w:rPr>
              <w:t>Level 3</w:t>
            </w:r>
          </w:p>
        </w:tc>
      </w:tr>
      <w:tr>
        <w:trPr>
          <w:trHeight w:val="269"/>
        </w:trPr>
        <w:tc>
          <w:tcPr>
            <w:tcW w:w="3560" w:type="dxa"/>
            <w:vAlign w:val="bottom"/>
            <w:shd w:val="clear" w:color="auto" w:fill="E6E6E6"/>
          </w:tcPr>
          <w:p>
            <w:pPr>
              <w:ind w:left="40"/>
              <w:spacing w:after="0"/>
              <w:rPr>
                <w:sz w:val="20"/>
                <w:szCs w:val="20"/>
                <w:color w:val="auto"/>
              </w:rPr>
            </w:pPr>
            <w:r>
              <w:rPr>
                <w:rFonts w:ascii="Arial" w:cs="Arial" w:eastAsia="Arial" w:hAnsi="Arial"/>
                <w:sz w:val="20"/>
                <w:szCs w:val="20"/>
                <w:color w:val="auto"/>
              </w:rPr>
              <w:t>Equity mutual funds</w:t>
            </w:r>
          </w:p>
        </w:tc>
        <w:tc>
          <w:tcPr>
            <w:tcW w:w="640" w:type="dxa"/>
            <w:vAlign w:val="bottom"/>
            <w:shd w:val="clear" w:color="auto" w:fill="E6E6E6"/>
          </w:tcPr>
          <w:p>
            <w:pPr>
              <w:ind w:left="40"/>
              <w:spacing w:after="0"/>
              <w:rPr>
                <w:sz w:val="20"/>
                <w:szCs w:val="20"/>
                <w:color w:val="auto"/>
              </w:rPr>
            </w:pPr>
            <w:r>
              <w:rPr>
                <w:rFonts w:ascii="Arial" w:cs="Arial" w:eastAsia="Arial" w:hAnsi="Arial"/>
                <w:sz w:val="20"/>
                <w:szCs w:val="20"/>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2,169</w:t>
            </w:r>
          </w:p>
        </w:tc>
        <w:tc>
          <w:tcPr>
            <w:tcW w:w="80" w:type="dxa"/>
            <w:vAlign w:val="bottom"/>
            <w:shd w:val="clear" w:color="auto" w:fill="E6E6E6"/>
          </w:tcPr>
          <w:p>
            <w:pPr>
              <w:spacing w:after="0"/>
              <w:rPr>
                <w:sz w:val="23"/>
                <w:szCs w:val="23"/>
                <w:color w:val="auto"/>
              </w:rPr>
            </w:pPr>
          </w:p>
        </w:tc>
        <w:tc>
          <w:tcPr>
            <w:tcW w:w="300" w:type="dxa"/>
            <w:vAlign w:val="bottom"/>
            <w:shd w:val="clear" w:color="auto" w:fill="E6E6E6"/>
          </w:tcPr>
          <w:p>
            <w:pPr>
              <w:jc w:val="right"/>
              <w:ind w:right="62"/>
              <w:spacing w:after="0"/>
              <w:rPr>
                <w:sz w:val="20"/>
                <w:szCs w:val="20"/>
                <w:color w:val="auto"/>
              </w:rPr>
            </w:pPr>
            <w:r>
              <w:rPr>
                <w:rFonts w:ascii="Arial" w:cs="Arial" w:eastAsia="Arial" w:hAnsi="Arial"/>
                <w:sz w:val="20"/>
                <w:szCs w:val="20"/>
                <w:color w:val="auto"/>
              </w:rPr>
              <w:t>$</w:t>
            </w:r>
          </w:p>
        </w:tc>
        <w:tc>
          <w:tcPr>
            <w:tcW w:w="1220" w:type="dxa"/>
            <w:vAlign w:val="bottom"/>
            <w:shd w:val="clear" w:color="auto" w:fill="E6E6E6"/>
          </w:tcPr>
          <w:p>
            <w:pPr>
              <w:ind w:left="940"/>
              <w:spacing w:after="0"/>
              <w:rPr>
                <w:sz w:val="20"/>
                <w:szCs w:val="20"/>
                <w:color w:val="auto"/>
              </w:rPr>
            </w:pPr>
            <w:r>
              <w:rPr>
                <w:rFonts w:ascii="Arial" w:cs="Arial" w:eastAsia="Arial" w:hAnsi="Arial"/>
                <w:sz w:val="20"/>
                <w:szCs w:val="20"/>
                <w:color w:val="auto"/>
              </w:rPr>
              <w:t>—</w:t>
            </w:r>
          </w:p>
        </w:tc>
        <w:tc>
          <w:tcPr>
            <w:tcW w:w="380" w:type="dxa"/>
            <w:vAlign w:val="bottom"/>
            <w:gridSpan w:val="2"/>
            <w:shd w:val="clear" w:color="auto" w:fill="E6E6E6"/>
          </w:tcPr>
          <w:p>
            <w:pPr>
              <w:jc w:val="right"/>
              <w:ind w:right="160"/>
              <w:spacing w:after="0"/>
              <w:rPr>
                <w:sz w:val="20"/>
                <w:szCs w:val="20"/>
                <w:color w:val="auto"/>
              </w:rPr>
            </w:pPr>
            <w:r>
              <w:rPr>
                <w:rFonts w:ascii="Arial" w:cs="Arial" w:eastAsia="Arial" w:hAnsi="Arial"/>
                <w:sz w:val="20"/>
                <w:szCs w:val="20"/>
                <w:color w:val="auto"/>
              </w:rPr>
              <w:t>$</w:t>
            </w:r>
          </w:p>
        </w:tc>
        <w:tc>
          <w:tcPr>
            <w:tcW w:w="12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2,169</w:t>
            </w:r>
          </w:p>
        </w:tc>
        <w:tc>
          <w:tcPr>
            <w:tcW w:w="380" w:type="dxa"/>
            <w:vAlign w:val="bottom"/>
            <w:gridSpan w:val="2"/>
            <w:shd w:val="clear" w:color="auto" w:fill="E6E6E6"/>
          </w:tcPr>
          <w:p>
            <w:pPr>
              <w:jc w:val="right"/>
              <w:ind w:right="160"/>
              <w:spacing w:after="0"/>
              <w:rPr>
                <w:sz w:val="20"/>
                <w:szCs w:val="20"/>
                <w:color w:val="auto"/>
              </w:rPr>
            </w:pPr>
            <w:r>
              <w:rPr>
                <w:rFonts w:ascii="Arial" w:cs="Arial" w:eastAsia="Arial" w:hAnsi="Arial"/>
                <w:sz w:val="20"/>
                <w:szCs w:val="20"/>
                <w:color w:val="auto"/>
              </w:rPr>
              <w:t>$</w:t>
            </w:r>
          </w:p>
        </w:tc>
        <w:tc>
          <w:tcPr>
            <w:tcW w:w="1220" w:type="dxa"/>
            <w:vAlign w:val="bottom"/>
            <w:shd w:val="clear" w:color="auto" w:fill="E6E6E6"/>
          </w:tcPr>
          <w:p>
            <w:pPr>
              <w:ind w:left="960"/>
              <w:spacing w:after="0"/>
              <w:rPr>
                <w:sz w:val="20"/>
                <w:szCs w:val="20"/>
                <w:color w:val="auto"/>
              </w:rPr>
            </w:pPr>
            <w:r>
              <w:rPr>
                <w:rFonts w:ascii="Arial" w:cs="Arial" w:eastAsia="Arial" w:hAnsi="Arial"/>
                <w:sz w:val="20"/>
                <w:szCs w:val="20"/>
                <w:color w:val="auto"/>
              </w:rPr>
              <w:t>—</w:t>
            </w:r>
          </w:p>
        </w:tc>
      </w:tr>
      <w:tr>
        <w:trPr>
          <w:trHeight w:val="274"/>
        </w:trPr>
        <w:tc>
          <w:tcPr>
            <w:tcW w:w="3560" w:type="dxa"/>
            <w:vAlign w:val="bottom"/>
          </w:tcPr>
          <w:p>
            <w:pPr>
              <w:ind w:left="40"/>
              <w:spacing w:after="0"/>
              <w:rPr>
                <w:sz w:val="20"/>
                <w:szCs w:val="20"/>
                <w:color w:val="auto"/>
              </w:rPr>
            </w:pPr>
            <w:r>
              <w:rPr>
                <w:rFonts w:ascii="Arial" w:cs="Arial" w:eastAsia="Arial" w:hAnsi="Arial"/>
                <w:sz w:val="20"/>
                <w:szCs w:val="20"/>
                <w:color w:val="auto"/>
              </w:rPr>
              <w:t>Fixed income mutual funds</w:t>
            </w:r>
          </w:p>
        </w:tc>
        <w:tc>
          <w:tcPr>
            <w:tcW w:w="6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5,333</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ind w:left="94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5,333</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ind w:left="960"/>
              <w:spacing w:after="0"/>
              <w:rPr>
                <w:sz w:val="20"/>
                <w:szCs w:val="20"/>
                <w:color w:val="auto"/>
              </w:rPr>
            </w:pPr>
            <w:r>
              <w:rPr>
                <w:rFonts w:ascii="Arial" w:cs="Arial" w:eastAsia="Arial" w:hAnsi="Arial"/>
                <w:sz w:val="20"/>
                <w:szCs w:val="20"/>
                <w:color w:val="auto"/>
              </w:rPr>
              <w:t>—</w:t>
            </w:r>
          </w:p>
        </w:tc>
      </w:tr>
      <w:tr>
        <w:trPr>
          <w:trHeight w:val="275"/>
        </w:trPr>
        <w:tc>
          <w:tcPr>
            <w:tcW w:w="356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Money market funds and cash</w:t>
            </w:r>
          </w:p>
        </w:tc>
        <w:tc>
          <w:tcPr>
            <w:tcW w:w="640" w:type="dxa"/>
            <w:vAlign w:val="bottom"/>
            <w:tcBorders>
              <w:bottom w:val="single" w:sz="8" w:color="auto"/>
            </w:tcBorders>
            <w:shd w:val="clear" w:color="auto" w:fill="E6E6E6"/>
          </w:tcPr>
          <w:p>
            <w:pPr>
              <w:spacing w:after="0"/>
              <w:rPr>
                <w:sz w:val="23"/>
                <w:szCs w:val="23"/>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78</w:t>
            </w:r>
          </w:p>
        </w:tc>
        <w:tc>
          <w:tcPr>
            <w:tcW w:w="80" w:type="dxa"/>
            <w:vAlign w:val="bottom"/>
            <w:tcBorders>
              <w:bottom w:val="single" w:sz="8" w:color="E6E6E6"/>
            </w:tcBorders>
            <w:shd w:val="clear" w:color="auto" w:fill="E6E6E6"/>
          </w:tcPr>
          <w:p>
            <w:pPr>
              <w:spacing w:after="0"/>
              <w:rPr>
                <w:sz w:val="23"/>
                <w:szCs w:val="23"/>
                <w:color w:val="auto"/>
              </w:rPr>
            </w:pPr>
          </w:p>
        </w:tc>
        <w:tc>
          <w:tcPr>
            <w:tcW w:w="300" w:type="dxa"/>
            <w:vAlign w:val="bottom"/>
            <w:tcBorders>
              <w:bottom w:val="single" w:sz="8" w:color="auto"/>
            </w:tcBorders>
            <w:shd w:val="clear" w:color="auto" w:fill="E6E6E6"/>
          </w:tcPr>
          <w:p>
            <w:pPr>
              <w:spacing w:after="0"/>
              <w:rPr>
                <w:sz w:val="23"/>
                <w:szCs w:val="23"/>
                <w:color w:val="auto"/>
              </w:rPr>
            </w:pPr>
          </w:p>
        </w:tc>
        <w:tc>
          <w:tcPr>
            <w:tcW w:w="1220" w:type="dxa"/>
            <w:vAlign w:val="bottom"/>
            <w:tcBorders>
              <w:bottom w:val="single" w:sz="8" w:color="auto"/>
            </w:tcBorders>
            <w:shd w:val="clear" w:color="auto" w:fill="E6E6E6"/>
          </w:tcPr>
          <w:p>
            <w:pPr>
              <w:ind w:left="940"/>
              <w:spacing w:after="0"/>
              <w:rPr>
                <w:sz w:val="20"/>
                <w:szCs w:val="20"/>
                <w:color w:val="auto"/>
              </w:rPr>
            </w:pPr>
            <w:r>
              <w:rPr>
                <w:rFonts w:ascii="Arial" w:cs="Arial" w:eastAsia="Arial" w:hAnsi="Arial"/>
                <w:sz w:val="20"/>
                <w:szCs w:val="20"/>
                <w:color w:val="auto"/>
              </w:rPr>
              <w:t>78</w:t>
            </w:r>
          </w:p>
        </w:tc>
        <w:tc>
          <w:tcPr>
            <w:tcW w:w="80" w:type="dxa"/>
            <w:vAlign w:val="bottom"/>
            <w:tcBorders>
              <w:bottom w:val="single" w:sz="8" w:color="E6E6E6"/>
            </w:tcBorders>
            <w:shd w:val="clear" w:color="auto" w:fill="E6E6E6"/>
          </w:tcPr>
          <w:p>
            <w:pPr>
              <w:spacing w:after="0"/>
              <w:rPr>
                <w:sz w:val="23"/>
                <w:szCs w:val="23"/>
                <w:color w:val="auto"/>
              </w:rPr>
            </w:pPr>
          </w:p>
        </w:tc>
        <w:tc>
          <w:tcPr>
            <w:tcW w:w="300" w:type="dxa"/>
            <w:vAlign w:val="bottom"/>
            <w:tcBorders>
              <w:bottom w:val="single" w:sz="8" w:color="auto"/>
            </w:tcBorders>
            <w:shd w:val="clear" w:color="auto" w:fill="E6E6E6"/>
          </w:tcPr>
          <w:p>
            <w:pPr>
              <w:spacing w:after="0"/>
              <w:rPr>
                <w:sz w:val="23"/>
                <w:szCs w:val="23"/>
                <w:color w:val="auto"/>
              </w:rPr>
            </w:pPr>
          </w:p>
        </w:tc>
        <w:tc>
          <w:tcPr>
            <w:tcW w:w="12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shd w:val="clear" w:color="auto" w:fill="E6E6E6"/>
          </w:tcPr>
          <w:p>
            <w:pPr>
              <w:spacing w:after="0"/>
              <w:rPr>
                <w:sz w:val="23"/>
                <w:szCs w:val="23"/>
                <w:color w:val="auto"/>
              </w:rPr>
            </w:pPr>
          </w:p>
        </w:tc>
        <w:tc>
          <w:tcPr>
            <w:tcW w:w="300" w:type="dxa"/>
            <w:vAlign w:val="bottom"/>
            <w:tcBorders>
              <w:bottom w:val="single" w:sz="8" w:color="auto"/>
            </w:tcBorders>
            <w:shd w:val="clear" w:color="auto" w:fill="E6E6E6"/>
          </w:tcPr>
          <w:p>
            <w:pPr>
              <w:spacing w:after="0"/>
              <w:rPr>
                <w:sz w:val="23"/>
                <w:szCs w:val="23"/>
                <w:color w:val="auto"/>
              </w:rPr>
            </w:pPr>
          </w:p>
        </w:tc>
        <w:tc>
          <w:tcPr>
            <w:tcW w:w="1220" w:type="dxa"/>
            <w:vAlign w:val="bottom"/>
            <w:tcBorders>
              <w:bottom w:val="single" w:sz="8" w:color="auto"/>
            </w:tcBorders>
            <w:shd w:val="clear" w:color="auto" w:fill="E6E6E6"/>
          </w:tcPr>
          <w:p>
            <w:pPr>
              <w:ind w:left="960"/>
              <w:spacing w:after="0"/>
              <w:rPr>
                <w:sz w:val="20"/>
                <w:szCs w:val="20"/>
                <w:color w:val="auto"/>
              </w:rPr>
            </w:pPr>
            <w:r>
              <w:rPr>
                <w:rFonts w:ascii="Arial" w:cs="Arial" w:eastAsia="Arial" w:hAnsi="Arial"/>
                <w:sz w:val="20"/>
                <w:szCs w:val="20"/>
                <w:color w:val="auto"/>
              </w:rPr>
              <w:t>—</w:t>
            </w:r>
          </w:p>
        </w:tc>
      </w:tr>
      <w:tr>
        <w:trPr>
          <w:trHeight w:val="240"/>
        </w:trPr>
        <w:tc>
          <w:tcPr>
            <w:tcW w:w="3560" w:type="dxa"/>
            <w:vAlign w:val="bottom"/>
          </w:tcPr>
          <w:p>
            <w:pPr>
              <w:spacing w:after="0"/>
              <w:rPr>
                <w:sz w:val="20"/>
                <w:szCs w:val="20"/>
                <w:color w:val="auto"/>
              </w:rPr>
            </w:pPr>
          </w:p>
        </w:tc>
        <w:tc>
          <w:tcPr>
            <w:tcW w:w="640" w:type="dxa"/>
            <w:vAlign w:val="bottom"/>
          </w:tcPr>
          <w:p>
            <w:pPr>
              <w:ind w:left="4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7,580</w:t>
            </w:r>
          </w:p>
        </w:tc>
        <w:tc>
          <w:tcPr>
            <w:tcW w:w="80" w:type="dxa"/>
            <w:vAlign w:val="bottom"/>
          </w:tcPr>
          <w:p>
            <w:pPr>
              <w:spacing w:after="0"/>
              <w:rPr>
                <w:sz w:val="20"/>
                <w:szCs w:val="20"/>
                <w:color w:val="auto"/>
              </w:rPr>
            </w:pPr>
          </w:p>
        </w:tc>
        <w:tc>
          <w:tcPr>
            <w:tcW w:w="30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1220" w:type="dxa"/>
            <w:vAlign w:val="bottom"/>
          </w:tcPr>
          <w:p>
            <w:pPr>
              <w:ind w:left="940"/>
              <w:spacing w:after="0"/>
              <w:rPr>
                <w:sz w:val="20"/>
                <w:szCs w:val="20"/>
                <w:color w:val="auto"/>
              </w:rPr>
            </w:pPr>
            <w:r>
              <w:rPr>
                <w:rFonts w:ascii="Arial" w:cs="Arial" w:eastAsia="Arial" w:hAnsi="Arial"/>
                <w:sz w:val="20"/>
                <w:szCs w:val="20"/>
                <w:color w:val="auto"/>
              </w:rPr>
              <w:t>78</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7,502</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220" w:type="dxa"/>
            <w:vAlign w:val="bottom"/>
          </w:tcPr>
          <w:p>
            <w:pPr>
              <w:ind w:left="960"/>
              <w:spacing w:after="0"/>
              <w:rPr>
                <w:sz w:val="20"/>
                <w:szCs w:val="20"/>
                <w:color w:val="auto"/>
              </w:rPr>
            </w:pPr>
            <w:r>
              <w:rPr>
                <w:rFonts w:ascii="Arial" w:cs="Arial" w:eastAsia="Arial" w:hAnsi="Arial"/>
                <w:sz w:val="20"/>
                <w:szCs w:val="20"/>
                <w:color w:val="auto"/>
              </w:rPr>
              <w:t>—</w:t>
            </w:r>
          </w:p>
        </w:tc>
      </w:tr>
      <w:tr>
        <w:trPr>
          <w:trHeight w:val="20"/>
        </w:trPr>
        <w:tc>
          <w:tcPr>
            <w:tcW w:w="3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2241550</wp:posOffset>
            </wp:positionH>
            <wp:positionV relativeFrom="paragraph">
              <wp:posOffset>-740410</wp:posOffset>
            </wp:positionV>
            <wp:extent cx="415099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15">
                      <a:extLst>
                        <a:ext uri="{28A0092B-C50C-407E-A947-70E740481C1C}"/>
                      </a:extLst>
                    </a:blip>
                    <a:srcRect/>
                    <a:stretch>
                      <a:fillRect/>
                    </a:stretch>
                  </pic:blipFill>
                  <pic:spPr bwMode="auto">
                    <a:xfrm>
                      <a:off x="0" y="0"/>
                      <a:ext cx="4150995" cy="25400"/>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-208280</wp:posOffset>
            </wp:positionV>
            <wp:extent cx="415099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16">
                      <a:extLst>
                        <a:ext uri="{28A0092B-C50C-407E-A947-70E740481C1C}"/>
                      </a:extLst>
                    </a:blip>
                    <a:srcRect/>
                    <a:stretch>
                      <a:fillRect/>
                    </a:stretch>
                  </pic:blipFill>
                  <pic:spPr bwMode="auto">
                    <a:xfrm>
                      <a:off x="0" y="0"/>
                      <a:ext cx="4150995" cy="25400"/>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720" w:type="dxa"/>
            <w:vAlign w:val="bottom"/>
            <w:tcBorders>
              <w:bottom w:val="single" w:sz="8" w:color="auto"/>
            </w:tcBorders>
            <w:gridSpan w:val="8"/>
          </w:tcPr>
          <w:p>
            <w:pPr>
              <w:ind w:left="100"/>
              <w:spacing w:after="0"/>
              <w:rPr>
                <w:sz w:val="20"/>
                <w:szCs w:val="20"/>
                <w:color w:val="auto"/>
              </w:rPr>
            </w:pPr>
            <w:r>
              <w:rPr>
                <w:rFonts w:ascii="Arial" w:cs="Arial" w:eastAsia="Arial" w:hAnsi="Arial"/>
                <w:sz w:val="20"/>
                <w:szCs w:val="20"/>
                <w:b w:val="1"/>
                <w:bCs w:val="1"/>
                <w:color w:val="auto"/>
                <w:w w:val="90"/>
              </w:rPr>
              <w:t>Fair Value Measurement Using Inputs Considered as:</w:t>
            </w:r>
          </w:p>
        </w:tc>
      </w:tr>
      <w:tr>
        <w:trPr>
          <w:trHeight w:val="260"/>
        </w:trPr>
        <w:tc>
          <w:tcPr>
            <w:tcW w:w="3560" w:type="dxa"/>
            <w:vAlign w:val="bottom"/>
            <w:tcBorders>
              <w:bottom w:val="single" w:sz="8" w:color="E6E6E6"/>
            </w:tcBorders>
          </w:tcPr>
          <w:p>
            <w:pPr>
              <w:spacing w:after="0"/>
              <w:rPr>
                <w:sz w:val="22"/>
                <w:szCs w:val="22"/>
                <w:color w:val="auto"/>
              </w:rPr>
            </w:pPr>
          </w:p>
        </w:tc>
        <w:tc>
          <w:tcPr>
            <w:tcW w:w="1680" w:type="dxa"/>
            <w:vAlign w:val="bottom"/>
            <w:tcBorders>
              <w:bottom w:val="single" w:sz="8" w:color="auto"/>
            </w:tcBorders>
            <w:gridSpan w:val="2"/>
          </w:tcPr>
          <w:p>
            <w:pPr>
              <w:ind w:left="40"/>
              <w:spacing w:after="0"/>
              <w:rPr>
                <w:sz w:val="20"/>
                <w:szCs w:val="20"/>
                <w:color w:val="auto"/>
              </w:rPr>
            </w:pPr>
            <w:r>
              <w:rPr>
                <w:rFonts w:ascii="Arial" w:cs="Arial" w:eastAsia="Arial" w:hAnsi="Arial"/>
                <w:sz w:val="20"/>
                <w:szCs w:val="20"/>
                <w:b w:val="1"/>
                <w:bCs w:val="1"/>
                <w:color w:val="auto"/>
                <w:w w:val="89"/>
              </w:rPr>
              <w:t>December 31, 2023</w:t>
            </w:r>
          </w:p>
        </w:tc>
        <w:tc>
          <w:tcPr>
            <w:tcW w:w="80" w:type="dxa"/>
            <w:vAlign w:val="bottom"/>
            <w:tcBorders>
              <w:bottom w:val="single" w:sz="8" w:color="E6E6E6"/>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ind w:left="160"/>
              <w:spacing w:after="0"/>
              <w:rPr>
                <w:sz w:val="20"/>
                <w:szCs w:val="20"/>
                <w:color w:val="auto"/>
              </w:rPr>
            </w:pPr>
            <w:r>
              <w:rPr>
                <w:rFonts w:ascii="Arial" w:cs="Arial" w:eastAsia="Arial" w:hAnsi="Arial"/>
                <w:sz w:val="20"/>
                <w:szCs w:val="20"/>
                <w:b w:val="1"/>
                <w:bCs w:val="1"/>
                <w:color w:val="auto"/>
              </w:rPr>
              <w:t>Level 1</w:t>
            </w:r>
          </w:p>
        </w:tc>
        <w:tc>
          <w:tcPr>
            <w:tcW w:w="80" w:type="dxa"/>
            <w:vAlign w:val="bottom"/>
            <w:tcBorders>
              <w:bottom w:val="single" w:sz="8" w:color="E6E6E6"/>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b w:val="1"/>
                <w:bCs w:val="1"/>
                <w:color w:val="auto"/>
              </w:rPr>
              <w:t>Level 2</w:t>
            </w:r>
          </w:p>
        </w:tc>
        <w:tc>
          <w:tcPr>
            <w:tcW w:w="80" w:type="dxa"/>
            <w:vAlign w:val="bottom"/>
            <w:tcBorders>
              <w:bottom w:val="single" w:sz="8" w:color="E6E6E6"/>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ind w:left="160"/>
              <w:spacing w:after="0"/>
              <w:rPr>
                <w:sz w:val="20"/>
                <w:szCs w:val="20"/>
                <w:color w:val="auto"/>
              </w:rPr>
            </w:pPr>
            <w:r>
              <w:rPr>
                <w:rFonts w:ascii="Arial" w:cs="Arial" w:eastAsia="Arial" w:hAnsi="Arial"/>
                <w:sz w:val="20"/>
                <w:szCs w:val="20"/>
                <w:b w:val="1"/>
                <w:bCs w:val="1"/>
                <w:color w:val="auto"/>
              </w:rPr>
              <w:t>Level 3</w:t>
            </w:r>
          </w:p>
        </w:tc>
      </w:tr>
      <w:tr>
        <w:trPr>
          <w:trHeight w:val="269"/>
        </w:trPr>
        <w:tc>
          <w:tcPr>
            <w:tcW w:w="3560" w:type="dxa"/>
            <w:vAlign w:val="bottom"/>
            <w:shd w:val="clear" w:color="auto" w:fill="E6E6E6"/>
          </w:tcPr>
          <w:p>
            <w:pPr>
              <w:ind w:left="40"/>
              <w:spacing w:after="0"/>
              <w:rPr>
                <w:sz w:val="20"/>
                <w:szCs w:val="20"/>
                <w:color w:val="auto"/>
              </w:rPr>
            </w:pPr>
            <w:r>
              <w:rPr>
                <w:rFonts w:ascii="Arial" w:cs="Arial" w:eastAsia="Arial" w:hAnsi="Arial"/>
                <w:sz w:val="20"/>
                <w:szCs w:val="20"/>
                <w:color w:val="auto"/>
              </w:rPr>
              <w:t>Equity mutual funds</w:t>
            </w:r>
          </w:p>
        </w:tc>
        <w:tc>
          <w:tcPr>
            <w:tcW w:w="640" w:type="dxa"/>
            <w:vAlign w:val="bottom"/>
            <w:shd w:val="clear" w:color="auto" w:fill="E6E6E6"/>
          </w:tcPr>
          <w:p>
            <w:pPr>
              <w:ind w:left="40"/>
              <w:spacing w:after="0"/>
              <w:rPr>
                <w:sz w:val="20"/>
                <w:szCs w:val="20"/>
                <w:color w:val="auto"/>
              </w:rPr>
            </w:pPr>
            <w:r>
              <w:rPr>
                <w:rFonts w:ascii="Arial" w:cs="Arial" w:eastAsia="Arial" w:hAnsi="Arial"/>
                <w:sz w:val="20"/>
                <w:szCs w:val="20"/>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1,882</w:t>
            </w:r>
          </w:p>
        </w:tc>
        <w:tc>
          <w:tcPr>
            <w:tcW w:w="80" w:type="dxa"/>
            <w:vAlign w:val="bottom"/>
            <w:shd w:val="clear" w:color="auto" w:fill="E6E6E6"/>
          </w:tcPr>
          <w:p>
            <w:pPr>
              <w:spacing w:after="0"/>
              <w:rPr>
                <w:sz w:val="23"/>
                <w:szCs w:val="23"/>
                <w:color w:val="auto"/>
              </w:rPr>
            </w:pPr>
          </w:p>
        </w:tc>
        <w:tc>
          <w:tcPr>
            <w:tcW w:w="300" w:type="dxa"/>
            <w:vAlign w:val="bottom"/>
            <w:shd w:val="clear" w:color="auto" w:fill="E6E6E6"/>
          </w:tcPr>
          <w:p>
            <w:pPr>
              <w:jc w:val="right"/>
              <w:ind w:right="62"/>
              <w:spacing w:after="0"/>
              <w:rPr>
                <w:sz w:val="20"/>
                <w:szCs w:val="20"/>
                <w:color w:val="auto"/>
              </w:rPr>
            </w:pPr>
            <w:r>
              <w:rPr>
                <w:rFonts w:ascii="Arial" w:cs="Arial" w:eastAsia="Arial" w:hAnsi="Arial"/>
                <w:sz w:val="20"/>
                <w:szCs w:val="20"/>
                <w:color w:val="auto"/>
              </w:rPr>
              <w:t>$</w:t>
            </w:r>
          </w:p>
        </w:tc>
        <w:tc>
          <w:tcPr>
            <w:tcW w:w="1220" w:type="dxa"/>
            <w:vAlign w:val="bottom"/>
            <w:shd w:val="clear" w:color="auto" w:fill="E6E6E6"/>
          </w:tcPr>
          <w:p>
            <w:pPr>
              <w:ind w:left="940"/>
              <w:spacing w:after="0"/>
              <w:rPr>
                <w:sz w:val="20"/>
                <w:szCs w:val="20"/>
                <w:color w:val="auto"/>
              </w:rPr>
            </w:pPr>
            <w:r>
              <w:rPr>
                <w:rFonts w:ascii="Arial" w:cs="Arial" w:eastAsia="Arial" w:hAnsi="Arial"/>
                <w:sz w:val="20"/>
                <w:szCs w:val="20"/>
                <w:color w:val="auto"/>
              </w:rPr>
              <w:t>—</w:t>
            </w:r>
          </w:p>
        </w:tc>
        <w:tc>
          <w:tcPr>
            <w:tcW w:w="380" w:type="dxa"/>
            <w:vAlign w:val="bottom"/>
            <w:gridSpan w:val="2"/>
            <w:shd w:val="clear" w:color="auto" w:fill="E6E6E6"/>
          </w:tcPr>
          <w:p>
            <w:pPr>
              <w:jc w:val="right"/>
              <w:ind w:right="160"/>
              <w:spacing w:after="0"/>
              <w:rPr>
                <w:sz w:val="20"/>
                <w:szCs w:val="20"/>
                <w:color w:val="auto"/>
              </w:rPr>
            </w:pPr>
            <w:r>
              <w:rPr>
                <w:rFonts w:ascii="Arial" w:cs="Arial" w:eastAsia="Arial" w:hAnsi="Arial"/>
                <w:sz w:val="20"/>
                <w:szCs w:val="20"/>
                <w:color w:val="auto"/>
              </w:rPr>
              <w:t>$</w:t>
            </w:r>
          </w:p>
        </w:tc>
        <w:tc>
          <w:tcPr>
            <w:tcW w:w="12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1,882</w:t>
            </w:r>
          </w:p>
        </w:tc>
        <w:tc>
          <w:tcPr>
            <w:tcW w:w="380" w:type="dxa"/>
            <w:vAlign w:val="bottom"/>
            <w:gridSpan w:val="2"/>
            <w:shd w:val="clear" w:color="auto" w:fill="E6E6E6"/>
          </w:tcPr>
          <w:p>
            <w:pPr>
              <w:jc w:val="right"/>
              <w:ind w:right="160"/>
              <w:spacing w:after="0"/>
              <w:rPr>
                <w:sz w:val="20"/>
                <w:szCs w:val="20"/>
                <w:color w:val="auto"/>
              </w:rPr>
            </w:pPr>
            <w:r>
              <w:rPr>
                <w:rFonts w:ascii="Arial" w:cs="Arial" w:eastAsia="Arial" w:hAnsi="Arial"/>
                <w:sz w:val="20"/>
                <w:szCs w:val="20"/>
                <w:color w:val="auto"/>
              </w:rPr>
              <w:t>$</w:t>
            </w:r>
          </w:p>
        </w:tc>
        <w:tc>
          <w:tcPr>
            <w:tcW w:w="1220" w:type="dxa"/>
            <w:vAlign w:val="bottom"/>
            <w:shd w:val="clear" w:color="auto" w:fill="E6E6E6"/>
          </w:tcPr>
          <w:p>
            <w:pPr>
              <w:ind w:left="960"/>
              <w:spacing w:after="0"/>
              <w:rPr>
                <w:sz w:val="20"/>
                <w:szCs w:val="20"/>
                <w:color w:val="auto"/>
              </w:rPr>
            </w:pPr>
            <w:r>
              <w:rPr>
                <w:rFonts w:ascii="Arial" w:cs="Arial" w:eastAsia="Arial" w:hAnsi="Arial"/>
                <w:sz w:val="20"/>
                <w:szCs w:val="20"/>
                <w:color w:val="auto"/>
              </w:rPr>
              <w:t>—</w:t>
            </w:r>
          </w:p>
        </w:tc>
      </w:tr>
      <w:tr>
        <w:trPr>
          <w:trHeight w:val="274"/>
        </w:trPr>
        <w:tc>
          <w:tcPr>
            <w:tcW w:w="3560" w:type="dxa"/>
            <w:vAlign w:val="bottom"/>
          </w:tcPr>
          <w:p>
            <w:pPr>
              <w:ind w:left="40"/>
              <w:spacing w:after="0"/>
              <w:rPr>
                <w:sz w:val="20"/>
                <w:szCs w:val="20"/>
                <w:color w:val="auto"/>
              </w:rPr>
            </w:pPr>
            <w:r>
              <w:rPr>
                <w:rFonts w:ascii="Arial" w:cs="Arial" w:eastAsia="Arial" w:hAnsi="Arial"/>
                <w:sz w:val="20"/>
                <w:szCs w:val="20"/>
                <w:color w:val="auto"/>
              </w:rPr>
              <w:t>Fixed income mutual funds</w:t>
            </w:r>
          </w:p>
        </w:tc>
        <w:tc>
          <w:tcPr>
            <w:tcW w:w="6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4,571</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ind w:left="94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4,571</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ind w:left="960"/>
              <w:spacing w:after="0"/>
              <w:rPr>
                <w:sz w:val="20"/>
                <w:szCs w:val="20"/>
                <w:color w:val="auto"/>
              </w:rPr>
            </w:pPr>
            <w:r>
              <w:rPr>
                <w:rFonts w:ascii="Arial" w:cs="Arial" w:eastAsia="Arial" w:hAnsi="Arial"/>
                <w:sz w:val="20"/>
                <w:szCs w:val="20"/>
                <w:color w:val="auto"/>
              </w:rPr>
              <w:t>—</w:t>
            </w:r>
          </w:p>
        </w:tc>
      </w:tr>
      <w:tr>
        <w:trPr>
          <w:trHeight w:val="275"/>
        </w:trPr>
        <w:tc>
          <w:tcPr>
            <w:tcW w:w="356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Money market funds</w:t>
            </w:r>
          </w:p>
        </w:tc>
        <w:tc>
          <w:tcPr>
            <w:tcW w:w="640" w:type="dxa"/>
            <w:vAlign w:val="bottom"/>
            <w:tcBorders>
              <w:bottom w:val="single" w:sz="8" w:color="auto"/>
            </w:tcBorders>
            <w:shd w:val="clear" w:color="auto" w:fill="E6E6E6"/>
          </w:tcPr>
          <w:p>
            <w:pPr>
              <w:spacing w:after="0"/>
              <w:rPr>
                <w:sz w:val="23"/>
                <w:szCs w:val="23"/>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85</w:t>
            </w:r>
          </w:p>
        </w:tc>
        <w:tc>
          <w:tcPr>
            <w:tcW w:w="80" w:type="dxa"/>
            <w:vAlign w:val="bottom"/>
            <w:tcBorders>
              <w:bottom w:val="single" w:sz="8" w:color="E6E6E6"/>
            </w:tcBorders>
            <w:shd w:val="clear" w:color="auto" w:fill="E6E6E6"/>
          </w:tcPr>
          <w:p>
            <w:pPr>
              <w:spacing w:after="0"/>
              <w:rPr>
                <w:sz w:val="23"/>
                <w:szCs w:val="23"/>
                <w:color w:val="auto"/>
              </w:rPr>
            </w:pPr>
          </w:p>
        </w:tc>
        <w:tc>
          <w:tcPr>
            <w:tcW w:w="300" w:type="dxa"/>
            <w:vAlign w:val="bottom"/>
            <w:tcBorders>
              <w:bottom w:val="single" w:sz="8" w:color="auto"/>
            </w:tcBorders>
            <w:shd w:val="clear" w:color="auto" w:fill="E6E6E6"/>
          </w:tcPr>
          <w:p>
            <w:pPr>
              <w:spacing w:after="0"/>
              <w:rPr>
                <w:sz w:val="23"/>
                <w:szCs w:val="23"/>
                <w:color w:val="auto"/>
              </w:rPr>
            </w:pPr>
          </w:p>
        </w:tc>
        <w:tc>
          <w:tcPr>
            <w:tcW w:w="1220" w:type="dxa"/>
            <w:vAlign w:val="bottom"/>
            <w:tcBorders>
              <w:bottom w:val="single" w:sz="8" w:color="auto"/>
            </w:tcBorders>
            <w:shd w:val="clear" w:color="auto" w:fill="E6E6E6"/>
          </w:tcPr>
          <w:p>
            <w:pPr>
              <w:ind w:left="940"/>
              <w:spacing w:after="0"/>
              <w:rPr>
                <w:sz w:val="20"/>
                <w:szCs w:val="20"/>
                <w:color w:val="auto"/>
              </w:rPr>
            </w:pPr>
            <w:r>
              <w:rPr>
                <w:rFonts w:ascii="Arial" w:cs="Arial" w:eastAsia="Arial" w:hAnsi="Arial"/>
                <w:sz w:val="20"/>
                <w:szCs w:val="20"/>
                <w:color w:val="auto"/>
              </w:rPr>
              <w:t>85</w:t>
            </w:r>
          </w:p>
        </w:tc>
        <w:tc>
          <w:tcPr>
            <w:tcW w:w="80" w:type="dxa"/>
            <w:vAlign w:val="bottom"/>
            <w:tcBorders>
              <w:bottom w:val="single" w:sz="8" w:color="E6E6E6"/>
            </w:tcBorders>
            <w:shd w:val="clear" w:color="auto" w:fill="E6E6E6"/>
          </w:tcPr>
          <w:p>
            <w:pPr>
              <w:spacing w:after="0"/>
              <w:rPr>
                <w:sz w:val="23"/>
                <w:szCs w:val="23"/>
                <w:color w:val="auto"/>
              </w:rPr>
            </w:pPr>
          </w:p>
        </w:tc>
        <w:tc>
          <w:tcPr>
            <w:tcW w:w="300" w:type="dxa"/>
            <w:vAlign w:val="bottom"/>
            <w:tcBorders>
              <w:bottom w:val="single" w:sz="8" w:color="auto"/>
            </w:tcBorders>
            <w:shd w:val="clear" w:color="auto" w:fill="E6E6E6"/>
          </w:tcPr>
          <w:p>
            <w:pPr>
              <w:spacing w:after="0"/>
              <w:rPr>
                <w:sz w:val="23"/>
                <w:szCs w:val="23"/>
                <w:color w:val="auto"/>
              </w:rPr>
            </w:pPr>
          </w:p>
        </w:tc>
        <w:tc>
          <w:tcPr>
            <w:tcW w:w="12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shd w:val="clear" w:color="auto" w:fill="E6E6E6"/>
          </w:tcPr>
          <w:p>
            <w:pPr>
              <w:spacing w:after="0"/>
              <w:rPr>
                <w:sz w:val="23"/>
                <w:szCs w:val="23"/>
                <w:color w:val="auto"/>
              </w:rPr>
            </w:pPr>
          </w:p>
        </w:tc>
        <w:tc>
          <w:tcPr>
            <w:tcW w:w="300" w:type="dxa"/>
            <w:vAlign w:val="bottom"/>
            <w:tcBorders>
              <w:bottom w:val="single" w:sz="8" w:color="auto"/>
            </w:tcBorders>
            <w:shd w:val="clear" w:color="auto" w:fill="E6E6E6"/>
          </w:tcPr>
          <w:p>
            <w:pPr>
              <w:spacing w:after="0"/>
              <w:rPr>
                <w:sz w:val="23"/>
                <w:szCs w:val="23"/>
                <w:color w:val="auto"/>
              </w:rPr>
            </w:pPr>
          </w:p>
        </w:tc>
        <w:tc>
          <w:tcPr>
            <w:tcW w:w="1220" w:type="dxa"/>
            <w:vAlign w:val="bottom"/>
            <w:tcBorders>
              <w:bottom w:val="single" w:sz="8" w:color="auto"/>
            </w:tcBorders>
            <w:shd w:val="clear" w:color="auto" w:fill="E6E6E6"/>
          </w:tcPr>
          <w:p>
            <w:pPr>
              <w:ind w:left="960"/>
              <w:spacing w:after="0"/>
              <w:rPr>
                <w:sz w:val="20"/>
                <w:szCs w:val="20"/>
                <w:color w:val="auto"/>
              </w:rPr>
            </w:pPr>
            <w:r>
              <w:rPr>
                <w:rFonts w:ascii="Arial" w:cs="Arial" w:eastAsia="Arial" w:hAnsi="Arial"/>
                <w:sz w:val="20"/>
                <w:szCs w:val="20"/>
                <w:color w:val="auto"/>
              </w:rPr>
              <w:t>—</w:t>
            </w:r>
          </w:p>
        </w:tc>
      </w:tr>
      <w:tr>
        <w:trPr>
          <w:trHeight w:val="240"/>
        </w:trPr>
        <w:tc>
          <w:tcPr>
            <w:tcW w:w="3560" w:type="dxa"/>
            <w:vAlign w:val="bottom"/>
          </w:tcPr>
          <w:p>
            <w:pPr>
              <w:spacing w:after="0"/>
              <w:rPr>
                <w:sz w:val="20"/>
                <w:szCs w:val="20"/>
                <w:color w:val="auto"/>
              </w:rPr>
            </w:pPr>
          </w:p>
        </w:tc>
        <w:tc>
          <w:tcPr>
            <w:tcW w:w="640" w:type="dxa"/>
            <w:vAlign w:val="bottom"/>
          </w:tcPr>
          <w:p>
            <w:pPr>
              <w:ind w:left="4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6,538</w:t>
            </w:r>
          </w:p>
        </w:tc>
        <w:tc>
          <w:tcPr>
            <w:tcW w:w="80" w:type="dxa"/>
            <w:vAlign w:val="bottom"/>
          </w:tcPr>
          <w:p>
            <w:pPr>
              <w:spacing w:after="0"/>
              <w:rPr>
                <w:sz w:val="20"/>
                <w:szCs w:val="20"/>
                <w:color w:val="auto"/>
              </w:rPr>
            </w:pPr>
          </w:p>
        </w:tc>
        <w:tc>
          <w:tcPr>
            <w:tcW w:w="30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1220" w:type="dxa"/>
            <w:vAlign w:val="bottom"/>
          </w:tcPr>
          <w:p>
            <w:pPr>
              <w:ind w:left="940"/>
              <w:spacing w:after="0"/>
              <w:rPr>
                <w:sz w:val="20"/>
                <w:szCs w:val="20"/>
                <w:color w:val="auto"/>
              </w:rPr>
            </w:pPr>
            <w:r>
              <w:rPr>
                <w:rFonts w:ascii="Arial" w:cs="Arial" w:eastAsia="Arial" w:hAnsi="Arial"/>
                <w:sz w:val="20"/>
                <w:szCs w:val="20"/>
                <w:color w:val="auto"/>
              </w:rPr>
              <w:t>85</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6,453</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220" w:type="dxa"/>
            <w:vAlign w:val="bottom"/>
          </w:tcPr>
          <w:p>
            <w:pPr>
              <w:ind w:left="960"/>
              <w:spacing w:after="0"/>
              <w:rPr>
                <w:sz w:val="20"/>
                <w:szCs w:val="20"/>
                <w:color w:val="auto"/>
              </w:rPr>
            </w:pPr>
            <w:r>
              <w:rPr>
                <w:rFonts w:ascii="Arial" w:cs="Arial" w:eastAsia="Arial" w:hAnsi="Arial"/>
                <w:sz w:val="20"/>
                <w:szCs w:val="20"/>
                <w:color w:val="auto"/>
              </w:rPr>
              <w:t>—</w:t>
            </w:r>
          </w:p>
        </w:tc>
      </w:tr>
      <w:tr>
        <w:trPr>
          <w:trHeight w:val="20"/>
        </w:trPr>
        <w:tc>
          <w:tcPr>
            <w:tcW w:w="3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2241550</wp:posOffset>
            </wp:positionH>
            <wp:positionV relativeFrom="paragraph">
              <wp:posOffset>-740410</wp:posOffset>
            </wp:positionV>
            <wp:extent cx="415099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17">
                      <a:extLst>
                        <a:ext uri="{28A0092B-C50C-407E-A947-70E740481C1C}"/>
                      </a:extLst>
                    </a:blip>
                    <a:srcRect/>
                    <a:stretch>
                      <a:fillRect/>
                    </a:stretch>
                  </pic:blipFill>
                  <pic:spPr bwMode="auto">
                    <a:xfrm>
                      <a:off x="0" y="0"/>
                      <a:ext cx="4150995" cy="25400"/>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-208280</wp:posOffset>
            </wp:positionV>
            <wp:extent cx="415099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18">
                      <a:extLst>
                        <a:ext uri="{28A0092B-C50C-407E-A947-70E740481C1C}"/>
                      </a:extLst>
                    </a:blip>
                    <a:srcRect/>
                    <a:stretch>
                      <a:fillRect/>
                    </a:stretch>
                  </pic:blipFill>
                  <pic:spPr bwMode="auto">
                    <a:xfrm>
                      <a:off x="0" y="0"/>
                      <a:ext cx="4150995" cy="25400"/>
                    </a:xfrm>
                    <a:prstGeom prst="rect">
                      <a:avLst/>
                    </a:prstGeom>
                    <a:noFill/>
                  </pic:spPr>
                </pic:pic>
              </a:graphicData>
            </a:graphic>
          </wp:anchor>
        </w:drawing>
      </w:r>
    </w:p>
    <w:p>
      <w:pPr>
        <w:spacing w:after="0" w:line="105"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following tables present information by level for the Non-U.S. retirement benefit plan assets that are measured at fair value on a recurring basis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720" w:type="dxa"/>
            <w:vAlign w:val="bottom"/>
            <w:tcBorders>
              <w:bottom w:val="single" w:sz="8" w:color="auto"/>
            </w:tcBorders>
            <w:gridSpan w:val="9"/>
          </w:tcPr>
          <w:p>
            <w:pPr>
              <w:ind w:left="100"/>
              <w:spacing w:after="0"/>
              <w:rPr>
                <w:sz w:val="20"/>
                <w:szCs w:val="20"/>
                <w:color w:val="auto"/>
              </w:rPr>
            </w:pPr>
            <w:r>
              <w:rPr>
                <w:rFonts w:ascii="Arial" w:cs="Arial" w:eastAsia="Arial" w:hAnsi="Arial"/>
                <w:sz w:val="20"/>
                <w:szCs w:val="20"/>
                <w:b w:val="1"/>
                <w:bCs w:val="1"/>
                <w:color w:val="auto"/>
                <w:w w:val="90"/>
              </w:rPr>
              <w:t>Fair Value Measurement Using Inputs Considered as:</w:t>
            </w:r>
          </w:p>
        </w:tc>
      </w:tr>
      <w:tr>
        <w:trPr>
          <w:trHeight w:val="260"/>
        </w:trPr>
        <w:tc>
          <w:tcPr>
            <w:tcW w:w="3560" w:type="dxa"/>
            <w:vAlign w:val="bottom"/>
            <w:tcBorders>
              <w:bottom w:val="single" w:sz="8" w:color="E6E6E6"/>
            </w:tcBorders>
          </w:tcPr>
          <w:p>
            <w:pPr>
              <w:spacing w:after="0"/>
              <w:rPr>
                <w:sz w:val="22"/>
                <w:szCs w:val="22"/>
                <w:color w:val="auto"/>
              </w:rPr>
            </w:pPr>
          </w:p>
        </w:tc>
        <w:tc>
          <w:tcPr>
            <w:tcW w:w="1680" w:type="dxa"/>
            <w:vAlign w:val="bottom"/>
            <w:tcBorders>
              <w:bottom w:val="single" w:sz="8" w:color="auto"/>
            </w:tcBorders>
            <w:gridSpan w:val="2"/>
          </w:tcPr>
          <w:p>
            <w:pPr>
              <w:ind w:left="40"/>
              <w:spacing w:after="0"/>
              <w:rPr>
                <w:sz w:val="20"/>
                <w:szCs w:val="20"/>
                <w:color w:val="auto"/>
              </w:rPr>
            </w:pPr>
            <w:r>
              <w:rPr>
                <w:rFonts w:ascii="Arial" w:cs="Arial" w:eastAsia="Arial" w:hAnsi="Arial"/>
                <w:sz w:val="20"/>
                <w:szCs w:val="20"/>
                <w:b w:val="1"/>
                <w:bCs w:val="1"/>
                <w:color w:val="auto"/>
                <w:w w:val="89"/>
              </w:rPr>
              <w:t>December 31, 2024</w:t>
            </w:r>
          </w:p>
        </w:tc>
        <w:tc>
          <w:tcPr>
            <w:tcW w:w="80" w:type="dxa"/>
            <w:vAlign w:val="bottom"/>
            <w:tcBorders>
              <w:bottom w:val="single" w:sz="8" w:color="E6E6E6"/>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b w:val="1"/>
                <w:bCs w:val="1"/>
                <w:color w:val="auto"/>
              </w:rPr>
              <w:t>Level 1</w:t>
            </w:r>
          </w:p>
        </w:tc>
        <w:tc>
          <w:tcPr>
            <w:tcW w:w="80" w:type="dxa"/>
            <w:vAlign w:val="bottom"/>
            <w:tcBorders>
              <w:bottom w:val="single" w:sz="8" w:color="E6E6E6"/>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b w:val="1"/>
                <w:bCs w:val="1"/>
                <w:color w:val="auto"/>
              </w:rPr>
              <w:t>Level 2</w:t>
            </w:r>
          </w:p>
        </w:tc>
        <w:tc>
          <w:tcPr>
            <w:tcW w:w="80" w:type="dxa"/>
            <w:vAlign w:val="bottom"/>
            <w:tcBorders>
              <w:bottom w:val="single" w:sz="8" w:color="E6E6E6"/>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ind w:left="160"/>
              <w:spacing w:after="0"/>
              <w:rPr>
                <w:sz w:val="20"/>
                <w:szCs w:val="20"/>
                <w:color w:val="auto"/>
              </w:rPr>
            </w:pPr>
            <w:r>
              <w:rPr>
                <w:rFonts w:ascii="Arial" w:cs="Arial" w:eastAsia="Arial" w:hAnsi="Arial"/>
                <w:sz w:val="20"/>
                <w:szCs w:val="20"/>
                <w:b w:val="1"/>
                <w:bCs w:val="1"/>
                <w:color w:val="auto"/>
              </w:rPr>
              <w:t>Level 3</w:t>
            </w:r>
          </w:p>
        </w:tc>
      </w:tr>
      <w:tr>
        <w:trPr>
          <w:trHeight w:val="269"/>
        </w:trPr>
        <w:tc>
          <w:tcPr>
            <w:tcW w:w="3560" w:type="dxa"/>
            <w:vAlign w:val="bottom"/>
            <w:shd w:val="clear" w:color="auto" w:fill="E6E6E6"/>
          </w:tcPr>
          <w:p>
            <w:pPr>
              <w:ind w:left="40"/>
              <w:spacing w:after="0"/>
              <w:rPr>
                <w:sz w:val="20"/>
                <w:szCs w:val="20"/>
                <w:color w:val="auto"/>
              </w:rPr>
            </w:pPr>
            <w:r>
              <w:rPr>
                <w:rFonts w:ascii="Arial" w:cs="Arial" w:eastAsia="Arial" w:hAnsi="Arial"/>
                <w:sz w:val="20"/>
                <w:szCs w:val="20"/>
                <w:color w:val="auto"/>
              </w:rPr>
              <w:t>Equity mutual funds</w:t>
            </w:r>
          </w:p>
        </w:tc>
        <w:tc>
          <w:tcPr>
            <w:tcW w:w="640" w:type="dxa"/>
            <w:vAlign w:val="bottom"/>
            <w:shd w:val="clear" w:color="auto" w:fill="E6E6E6"/>
          </w:tcPr>
          <w:p>
            <w:pPr>
              <w:ind w:left="40"/>
              <w:spacing w:after="0"/>
              <w:rPr>
                <w:sz w:val="20"/>
                <w:szCs w:val="20"/>
                <w:color w:val="auto"/>
              </w:rPr>
            </w:pPr>
            <w:r>
              <w:rPr>
                <w:rFonts w:ascii="Arial" w:cs="Arial" w:eastAsia="Arial" w:hAnsi="Arial"/>
                <w:sz w:val="20"/>
                <w:szCs w:val="20"/>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24</w:t>
            </w:r>
          </w:p>
        </w:tc>
        <w:tc>
          <w:tcPr>
            <w:tcW w:w="80" w:type="dxa"/>
            <w:vAlign w:val="bottom"/>
            <w:shd w:val="clear" w:color="auto" w:fill="E6E6E6"/>
          </w:tcPr>
          <w:p>
            <w:pPr>
              <w:spacing w:after="0"/>
              <w:rPr>
                <w:sz w:val="23"/>
                <w:szCs w:val="23"/>
                <w:color w:val="auto"/>
              </w:rPr>
            </w:pPr>
          </w:p>
        </w:tc>
        <w:tc>
          <w:tcPr>
            <w:tcW w:w="300" w:type="dxa"/>
            <w:vAlign w:val="bottom"/>
            <w:shd w:val="clear" w:color="auto" w:fill="E6E6E6"/>
          </w:tcPr>
          <w:p>
            <w:pPr>
              <w:jc w:val="right"/>
              <w:ind w:right="62"/>
              <w:spacing w:after="0"/>
              <w:rPr>
                <w:sz w:val="20"/>
                <w:szCs w:val="20"/>
                <w:color w:val="auto"/>
              </w:rPr>
            </w:pPr>
            <w:r>
              <w:rPr>
                <w:rFonts w:ascii="Arial" w:cs="Arial" w:eastAsia="Arial" w:hAnsi="Arial"/>
                <w:sz w:val="20"/>
                <w:szCs w:val="20"/>
                <w:color w:val="auto"/>
              </w:rPr>
              <w:t>$</w:t>
            </w:r>
          </w:p>
        </w:tc>
        <w:tc>
          <w:tcPr>
            <w:tcW w:w="12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380" w:type="dxa"/>
            <w:vAlign w:val="bottom"/>
            <w:gridSpan w:val="2"/>
            <w:shd w:val="clear" w:color="auto" w:fill="E6E6E6"/>
          </w:tcPr>
          <w:p>
            <w:pPr>
              <w:jc w:val="right"/>
              <w:ind w:right="160"/>
              <w:spacing w:after="0"/>
              <w:rPr>
                <w:sz w:val="20"/>
                <w:szCs w:val="20"/>
                <w:color w:val="auto"/>
              </w:rPr>
            </w:pPr>
            <w:r>
              <w:rPr>
                <w:rFonts w:ascii="Arial" w:cs="Arial" w:eastAsia="Arial" w:hAnsi="Arial"/>
                <w:sz w:val="20"/>
                <w:szCs w:val="20"/>
                <w:color w:val="auto"/>
              </w:rPr>
              <w:t>$</w:t>
            </w:r>
          </w:p>
        </w:tc>
        <w:tc>
          <w:tcPr>
            <w:tcW w:w="12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24</w:t>
            </w:r>
          </w:p>
        </w:tc>
        <w:tc>
          <w:tcPr>
            <w:tcW w:w="380" w:type="dxa"/>
            <w:vAlign w:val="bottom"/>
            <w:gridSpan w:val="3"/>
            <w:shd w:val="clear" w:color="auto" w:fill="E6E6E6"/>
          </w:tcPr>
          <w:p>
            <w:pPr>
              <w:jc w:val="right"/>
              <w:ind w:right="160"/>
              <w:spacing w:after="0"/>
              <w:rPr>
                <w:sz w:val="20"/>
                <w:szCs w:val="20"/>
                <w:color w:val="auto"/>
              </w:rPr>
            </w:pPr>
            <w:r>
              <w:rPr>
                <w:rFonts w:ascii="Arial" w:cs="Arial" w:eastAsia="Arial" w:hAnsi="Arial"/>
                <w:sz w:val="20"/>
                <w:szCs w:val="20"/>
                <w:color w:val="auto"/>
              </w:rPr>
              <w:t>$</w:t>
            </w:r>
          </w:p>
        </w:tc>
        <w:tc>
          <w:tcPr>
            <w:tcW w:w="1220" w:type="dxa"/>
            <w:vAlign w:val="bottom"/>
            <w:shd w:val="clear" w:color="auto" w:fill="E6E6E6"/>
          </w:tcPr>
          <w:p>
            <w:pPr>
              <w:ind w:left="960"/>
              <w:spacing w:after="0"/>
              <w:rPr>
                <w:sz w:val="20"/>
                <w:szCs w:val="20"/>
                <w:color w:val="auto"/>
              </w:rPr>
            </w:pPr>
            <w:r>
              <w:rPr>
                <w:rFonts w:ascii="Arial" w:cs="Arial" w:eastAsia="Arial" w:hAnsi="Arial"/>
                <w:sz w:val="20"/>
                <w:szCs w:val="20"/>
                <w:color w:val="auto"/>
              </w:rPr>
              <w:t>—</w:t>
            </w:r>
          </w:p>
        </w:tc>
      </w:tr>
      <w:tr>
        <w:trPr>
          <w:trHeight w:val="274"/>
        </w:trPr>
        <w:tc>
          <w:tcPr>
            <w:tcW w:w="3560" w:type="dxa"/>
            <w:vAlign w:val="bottom"/>
          </w:tcPr>
          <w:p>
            <w:pPr>
              <w:ind w:left="40"/>
              <w:spacing w:after="0"/>
              <w:rPr>
                <w:sz w:val="20"/>
                <w:szCs w:val="20"/>
                <w:color w:val="auto"/>
              </w:rPr>
            </w:pPr>
            <w:r>
              <w:rPr>
                <w:rFonts w:ascii="Arial" w:cs="Arial" w:eastAsia="Arial" w:hAnsi="Arial"/>
                <w:sz w:val="20"/>
                <w:szCs w:val="20"/>
                <w:color w:val="auto"/>
              </w:rPr>
              <w:t>Fixed income mutual funds</w:t>
            </w:r>
          </w:p>
        </w:tc>
        <w:tc>
          <w:tcPr>
            <w:tcW w:w="6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1,566</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1,566</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ind w:left="960"/>
              <w:spacing w:after="0"/>
              <w:rPr>
                <w:sz w:val="20"/>
                <w:szCs w:val="20"/>
                <w:color w:val="auto"/>
              </w:rPr>
            </w:pPr>
            <w:r>
              <w:rPr>
                <w:rFonts w:ascii="Arial" w:cs="Arial" w:eastAsia="Arial" w:hAnsi="Arial"/>
                <w:sz w:val="20"/>
                <w:szCs w:val="20"/>
                <w:color w:val="auto"/>
              </w:rPr>
              <w:t>—</w:t>
            </w:r>
          </w:p>
        </w:tc>
      </w:tr>
      <w:tr>
        <w:trPr>
          <w:trHeight w:val="275"/>
        </w:trPr>
        <w:tc>
          <w:tcPr>
            <w:tcW w:w="356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Money market funds and cash</w:t>
            </w:r>
          </w:p>
        </w:tc>
        <w:tc>
          <w:tcPr>
            <w:tcW w:w="640" w:type="dxa"/>
            <w:vAlign w:val="bottom"/>
            <w:tcBorders>
              <w:bottom w:val="single" w:sz="8" w:color="auto"/>
            </w:tcBorders>
            <w:shd w:val="clear" w:color="auto" w:fill="E6E6E6"/>
          </w:tcPr>
          <w:p>
            <w:pPr>
              <w:spacing w:after="0"/>
              <w:rPr>
                <w:sz w:val="23"/>
                <w:szCs w:val="23"/>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332</w:t>
            </w:r>
          </w:p>
        </w:tc>
        <w:tc>
          <w:tcPr>
            <w:tcW w:w="80" w:type="dxa"/>
            <w:vAlign w:val="bottom"/>
            <w:tcBorders>
              <w:bottom w:val="single" w:sz="8" w:color="E6E6E6"/>
            </w:tcBorders>
            <w:shd w:val="clear" w:color="auto" w:fill="E6E6E6"/>
          </w:tcPr>
          <w:p>
            <w:pPr>
              <w:spacing w:after="0"/>
              <w:rPr>
                <w:sz w:val="23"/>
                <w:szCs w:val="23"/>
                <w:color w:val="auto"/>
              </w:rPr>
            </w:pPr>
          </w:p>
        </w:tc>
        <w:tc>
          <w:tcPr>
            <w:tcW w:w="300" w:type="dxa"/>
            <w:vAlign w:val="bottom"/>
            <w:tcBorders>
              <w:bottom w:val="single" w:sz="8" w:color="auto"/>
            </w:tcBorders>
            <w:shd w:val="clear" w:color="auto" w:fill="E6E6E6"/>
          </w:tcPr>
          <w:p>
            <w:pPr>
              <w:spacing w:after="0"/>
              <w:rPr>
                <w:sz w:val="23"/>
                <w:szCs w:val="23"/>
                <w:color w:val="auto"/>
              </w:rPr>
            </w:pPr>
          </w:p>
        </w:tc>
        <w:tc>
          <w:tcPr>
            <w:tcW w:w="12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332</w:t>
            </w:r>
          </w:p>
        </w:tc>
        <w:tc>
          <w:tcPr>
            <w:tcW w:w="80" w:type="dxa"/>
            <w:vAlign w:val="bottom"/>
            <w:tcBorders>
              <w:bottom w:val="single" w:sz="8" w:color="E6E6E6"/>
            </w:tcBorders>
            <w:shd w:val="clear" w:color="auto" w:fill="E6E6E6"/>
          </w:tcPr>
          <w:p>
            <w:pPr>
              <w:spacing w:after="0"/>
              <w:rPr>
                <w:sz w:val="23"/>
                <w:szCs w:val="23"/>
                <w:color w:val="auto"/>
              </w:rPr>
            </w:pPr>
          </w:p>
        </w:tc>
        <w:tc>
          <w:tcPr>
            <w:tcW w:w="300" w:type="dxa"/>
            <w:vAlign w:val="bottom"/>
            <w:tcBorders>
              <w:bottom w:val="single" w:sz="8" w:color="auto"/>
            </w:tcBorders>
            <w:shd w:val="clear" w:color="auto" w:fill="E6E6E6"/>
          </w:tcPr>
          <w:p>
            <w:pPr>
              <w:spacing w:after="0"/>
              <w:rPr>
                <w:sz w:val="23"/>
                <w:szCs w:val="23"/>
                <w:color w:val="auto"/>
              </w:rPr>
            </w:pPr>
          </w:p>
        </w:tc>
        <w:tc>
          <w:tcPr>
            <w:tcW w:w="12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280" w:type="dxa"/>
            <w:vAlign w:val="bottom"/>
            <w:tcBorders>
              <w:bottom w:val="single" w:sz="8" w:color="auto"/>
            </w:tcBorders>
            <w:shd w:val="clear" w:color="auto" w:fill="E6E6E6"/>
          </w:tcPr>
          <w:p>
            <w:pPr>
              <w:spacing w:after="0"/>
              <w:rPr>
                <w:sz w:val="23"/>
                <w:szCs w:val="23"/>
                <w:color w:val="auto"/>
              </w:rPr>
            </w:pPr>
          </w:p>
        </w:tc>
        <w:tc>
          <w:tcPr>
            <w:tcW w:w="1220" w:type="dxa"/>
            <w:vAlign w:val="bottom"/>
            <w:tcBorders>
              <w:bottom w:val="single" w:sz="8" w:color="auto"/>
            </w:tcBorders>
            <w:shd w:val="clear" w:color="auto" w:fill="E6E6E6"/>
          </w:tcPr>
          <w:p>
            <w:pPr>
              <w:ind w:left="960"/>
              <w:spacing w:after="0"/>
              <w:rPr>
                <w:sz w:val="20"/>
                <w:szCs w:val="20"/>
                <w:color w:val="auto"/>
              </w:rPr>
            </w:pPr>
            <w:r>
              <w:rPr>
                <w:rFonts w:ascii="Arial" w:cs="Arial" w:eastAsia="Arial" w:hAnsi="Arial"/>
                <w:sz w:val="20"/>
                <w:szCs w:val="20"/>
                <w:color w:val="auto"/>
              </w:rPr>
              <w:t>—</w:t>
            </w:r>
          </w:p>
        </w:tc>
      </w:tr>
      <w:tr>
        <w:trPr>
          <w:trHeight w:val="240"/>
        </w:trPr>
        <w:tc>
          <w:tcPr>
            <w:tcW w:w="3560" w:type="dxa"/>
            <w:vAlign w:val="bottom"/>
          </w:tcPr>
          <w:p>
            <w:pPr>
              <w:spacing w:after="0"/>
              <w:rPr>
                <w:sz w:val="20"/>
                <w:szCs w:val="20"/>
                <w:color w:val="auto"/>
              </w:rPr>
            </w:pPr>
          </w:p>
        </w:tc>
        <w:tc>
          <w:tcPr>
            <w:tcW w:w="640" w:type="dxa"/>
            <w:vAlign w:val="bottom"/>
          </w:tcPr>
          <w:p>
            <w:pPr>
              <w:ind w:left="4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1,922</w:t>
            </w:r>
          </w:p>
        </w:tc>
        <w:tc>
          <w:tcPr>
            <w:tcW w:w="80" w:type="dxa"/>
            <w:vAlign w:val="bottom"/>
          </w:tcPr>
          <w:p>
            <w:pPr>
              <w:spacing w:after="0"/>
              <w:rPr>
                <w:sz w:val="20"/>
                <w:szCs w:val="20"/>
                <w:color w:val="auto"/>
              </w:rPr>
            </w:pPr>
          </w:p>
        </w:tc>
        <w:tc>
          <w:tcPr>
            <w:tcW w:w="30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332</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1,590</w:t>
            </w:r>
          </w:p>
        </w:tc>
        <w:tc>
          <w:tcPr>
            <w:tcW w:w="380" w:type="dxa"/>
            <w:vAlign w:val="bottom"/>
            <w:gridSpan w:val="3"/>
          </w:tcPr>
          <w:p>
            <w:pPr>
              <w:jc w:val="right"/>
              <w:ind w:right="160"/>
              <w:spacing w:after="0"/>
              <w:rPr>
                <w:sz w:val="20"/>
                <w:szCs w:val="20"/>
                <w:color w:val="auto"/>
              </w:rPr>
            </w:pPr>
            <w:r>
              <w:rPr>
                <w:rFonts w:ascii="Arial" w:cs="Arial" w:eastAsia="Arial" w:hAnsi="Arial"/>
                <w:sz w:val="20"/>
                <w:szCs w:val="20"/>
                <w:color w:val="auto"/>
              </w:rPr>
              <w:t>$</w:t>
            </w:r>
          </w:p>
        </w:tc>
        <w:tc>
          <w:tcPr>
            <w:tcW w:w="1220" w:type="dxa"/>
            <w:vAlign w:val="bottom"/>
          </w:tcPr>
          <w:p>
            <w:pPr>
              <w:ind w:left="960"/>
              <w:spacing w:after="0"/>
              <w:rPr>
                <w:sz w:val="20"/>
                <w:szCs w:val="20"/>
                <w:color w:val="auto"/>
              </w:rPr>
            </w:pPr>
            <w:r>
              <w:rPr>
                <w:rFonts w:ascii="Arial" w:cs="Arial" w:eastAsia="Arial" w:hAnsi="Arial"/>
                <w:sz w:val="20"/>
                <w:szCs w:val="20"/>
                <w:color w:val="auto"/>
              </w:rPr>
              <w:t>—</w:t>
            </w:r>
          </w:p>
        </w:tc>
      </w:tr>
      <w:tr>
        <w:trPr>
          <w:trHeight w:val="20"/>
        </w:trPr>
        <w:tc>
          <w:tcPr>
            <w:tcW w:w="3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2241550</wp:posOffset>
            </wp:positionH>
            <wp:positionV relativeFrom="paragraph">
              <wp:posOffset>-740410</wp:posOffset>
            </wp:positionV>
            <wp:extent cx="415099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19">
                      <a:extLst>
                        <a:ext uri="{28A0092B-C50C-407E-A947-70E740481C1C}"/>
                      </a:extLst>
                    </a:blip>
                    <a:srcRect/>
                    <a:stretch>
                      <a:fillRect/>
                    </a:stretch>
                  </pic:blipFill>
                  <pic:spPr bwMode="auto">
                    <a:xfrm>
                      <a:off x="0" y="0"/>
                      <a:ext cx="4150995" cy="25400"/>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-208280</wp:posOffset>
            </wp:positionV>
            <wp:extent cx="415099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20">
                      <a:extLst>
                        <a:ext uri="{28A0092B-C50C-407E-A947-70E740481C1C}"/>
                      </a:extLst>
                    </a:blip>
                    <a:srcRect/>
                    <a:stretch>
                      <a:fillRect/>
                    </a:stretch>
                  </pic:blipFill>
                  <pic:spPr bwMode="auto">
                    <a:xfrm>
                      <a:off x="0" y="0"/>
                      <a:ext cx="4150995" cy="25400"/>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720" w:type="dxa"/>
            <w:vAlign w:val="bottom"/>
            <w:tcBorders>
              <w:bottom w:val="single" w:sz="8" w:color="auto"/>
            </w:tcBorders>
            <w:gridSpan w:val="8"/>
          </w:tcPr>
          <w:p>
            <w:pPr>
              <w:ind w:left="100"/>
              <w:spacing w:after="0"/>
              <w:rPr>
                <w:sz w:val="20"/>
                <w:szCs w:val="20"/>
                <w:color w:val="auto"/>
              </w:rPr>
            </w:pPr>
            <w:r>
              <w:rPr>
                <w:rFonts w:ascii="Arial" w:cs="Arial" w:eastAsia="Arial" w:hAnsi="Arial"/>
                <w:sz w:val="20"/>
                <w:szCs w:val="20"/>
                <w:b w:val="1"/>
                <w:bCs w:val="1"/>
                <w:color w:val="auto"/>
                <w:w w:val="90"/>
              </w:rPr>
              <w:t>Fair Value Measurement Using Inputs Considered as:</w:t>
            </w:r>
          </w:p>
        </w:tc>
      </w:tr>
      <w:tr>
        <w:trPr>
          <w:trHeight w:val="260"/>
        </w:trPr>
        <w:tc>
          <w:tcPr>
            <w:tcW w:w="3560" w:type="dxa"/>
            <w:vAlign w:val="bottom"/>
            <w:tcBorders>
              <w:bottom w:val="single" w:sz="8" w:color="E6E6E6"/>
            </w:tcBorders>
          </w:tcPr>
          <w:p>
            <w:pPr>
              <w:spacing w:after="0"/>
              <w:rPr>
                <w:sz w:val="22"/>
                <w:szCs w:val="22"/>
                <w:color w:val="auto"/>
              </w:rPr>
            </w:pPr>
          </w:p>
        </w:tc>
        <w:tc>
          <w:tcPr>
            <w:tcW w:w="1680" w:type="dxa"/>
            <w:vAlign w:val="bottom"/>
            <w:tcBorders>
              <w:bottom w:val="single" w:sz="8" w:color="auto"/>
            </w:tcBorders>
            <w:gridSpan w:val="2"/>
          </w:tcPr>
          <w:p>
            <w:pPr>
              <w:ind w:left="40"/>
              <w:spacing w:after="0"/>
              <w:rPr>
                <w:sz w:val="20"/>
                <w:szCs w:val="20"/>
                <w:color w:val="auto"/>
              </w:rPr>
            </w:pPr>
            <w:r>
              <w:rPr>
                <w:rFonts w:ascii="Arial" w:cs="Arial" w:eastAsia="Arial" w:hAnsi="Arial"/>
                <w:sz w:val="20"/>
                <w:szCs w:val="20"/>
                <w:b w:val="1"/>
                <w:bCs w:val="1"/>
                <w:color w:val="auto"/>
                <w:w w:val="89"/>
              </w:rPr>
              <w:t>December 31, 2023</w:t>
            </w:r>
          </w:p>
        </w:tc>
        <w:tc>
          <w:tcPr>
            <w:tcW w:w="80" w:type="dxa"/>
            <w:vAlign w:val="bottom"/>
            <w:tcBorders>
              <w:bottom w:val="single" w:sz="8" w:color="E6E6E6"/>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b w:val="1"/>
                <w:bCs w:val="1"/>
                <w:color w:val="auto"/>
              </w:rPr>
              <w:t>Level 1</w:t>
            </w:r>
          </w:p>
        </w:tc>
        <w:tc>
          <w:tcPr>
            <w:tcW w:w="80" w:type="dxa"/>
            <w:vAlign w:val="bottom"/>
            <w:tcBorders>
              <w:bottom w:val="single" w:sz="8" w:color="E6E6E6"/>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b w:val="1"/>
                <w:bCs w:val="1"/>
                <w:color w:val="auto"/>
              </w:rPr>
              <w:t>Level 2</w:t>
            </w:r>
          </w:p>
        </w:tc>
        <w:tc>
          <w:tcPr>
            <w:tcW w:w="80" w:type="dxa"/>
            <w:vAlign w:val="bottom"/>
            <w:tcBorders>
              <w:bottom w:val="single" w:sz="8" w:color="E6E6E6"/>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ind w:left="160"/>
              <w:spacing w:after="0"/>
              <w:rPr>
                <w:sz w:val="20"/>
                <w:szCs w:val="20"/>
                <w:color w:val="auto"/>
              </w:rPr>
            </w:pPr>
            <w:r>
              <w:rPr>
                <w:rFonts w:ascii="Arial" w:cs="Arial" w:eastAsia="Arial" w:hAnsi="Arial"/>
                <w:sz w:val="20"/>
                <w:szCs w:val="20"/>
                <w:b w:val="1"/>
                <w:bCs w:val="1"/>
                <w:color w:val="auto"/>
              </w:rPr>
              <w:t>Level 3</w:t>
            </w:r>
          </w:p>
        </w:tc>
      </w:tr>
      <w:tr>
        <w:trPr>
          <w:trHeight w:val="269"/>
        </w:trPr>
        <w:tc>
          <w:tcPr>
            <w:tcW w:w="3560" w:type="dxa"/>
            <w:vAlign w:val="bottom"/>
            <w:shd w:val="clear" w:color="auto" w:fill="E6E6E6"/>
          </w:tcPr>
          <w:p>
            <w:pPr>
              <w:ind w:left="40"/>
              <w:spacing w:after="0"/>
              <w:rPr>
                <w:sz w:val="20"/>
                <w:szCs w:val="20"/>
                <w:color w:val="auto"/>
              </w:rPr>
            </w:pPr>
            <w:r>
              <w:rPr>
                <w:rFonts w:ascii="Arial" w:cs="Arial" w:eastAsia="Arial" w:hAnsi="Arial"/>
                <w:sz w:val="20"/>
                <w:szCs w:val="20"/>
                <w:color w:val="auto"/>
              </w:rPr>
              <w:t>Equity mutual funds</w:t>
            </w:r>
          </w:p>
        </w:tc>
        <w:tc>
          <w:tcPr>
            <w:tcW w:w="640" w:type="dxa"/>
            <w:vAlign w:val="bottom"/>
            <w:shd w:val="clear" w:color="auto" w:fill="E6E6E6"/>
          </w:tcPr>
          <w:p>
            <w:pPr>
              <w:ind w:left="40"/>
              <w:spacing w:after="0"/>
              <w:rPr>
                <w:sz w:val="20"/>
                <w:szCs w:val="20"/>
                <w:color w:val="auto"/>
              </w:rPr>
            </w:pPr>
            <w:r>
              <w:rPr>
                <w:rFonts w:ascii="Arial" w:cs="Arial" w:eastAsia="Arial" w:hAnsi="Arial"/>
                <w:sz w:val="20"/>
                <w:szCs w:val="20"/>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23</w:t>
            </w:r>
          </w:p>
        </w:tc>
        <w:tc>
          <w:tcPr>
            <w:tcW w:w="80" w:type="dxa"/>
            <w:vAlign w:val="bottom"/>
            <w:shd w:val="clear" w:color="auto" w:fill="E6E6E6"/>
          </w:tcPr>
          <w:p>
            <w:pPr>
              <w:spacing w:after="0"/>
              <w:rPr>
                <w:sz w:val="23"/>
                <w:szCs w:val="23"/>
                <w:color w:val="auto"/>
              </w:rPr>
            </w:pPr>
          </w:p>
        </w:tc>
        <w:tc>
          <w:tcPr>
            <w:tcW w:w="300" w:type="dxa"/>
            <w:vAlign w:val="bottom"/>
            <w:shd w:val="clear" w:color="auto" w:fill="E6E6E6"/>
          </w:tcPr>
          <w:p>
            <w:pPr>
              <w:jc w:val="right"/>
              <w:ind w:right="62"/>
              <w:spacing w:after="0"/>
              <w:rPr>
                <w:sz w:val="20"/>
                <w:szCs w:val="20"/>
                <w:color w:val="auto"/>
              </w:rPr>
            </w:pPr>
            <w:r>
              <w:rPr>
                <w:rFonts w:ascii="Arial" w:cs="Arial" w:eastAsia="Arial" w:hAnsi="Arial"/>
                <w:sz w:val="20"/>
                <w:szCs w:val="20"/>
                <w:color w:val="auto"/>
              </w:rPr>
              <w:t>$</w:t>
            </w:r>
          </w:p>
        </w:tc>
        <w:tc>
          <w:tcPr>
            <w:tcW w:w="12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380" w:type="dxa"/>
            <w:vAlign w:val="bottom"/>
            <w:gridSpan w:val="2"/>
            <w:shd w:val="clear" w:color="auto" w:fill="E6E6E6"/>
          </w:tcPr>
          <w:p>
            <w:pPr>
              <w:jc w:val="right"/>
              <w:ind w:right="160"/>
              <w:spacing w:after="0"/>
              <w:rPr>
                <w:sz w:val="20"/>
                <w:szCs w:val="20"/>
                <w:color w:val="auto"/>
              </w:rPr>
            </w:pPr>
            <w:r>
              <w:rPr>
                <w:rFonts w:ascii="Arial" w:cs="Arial" w:eastAsia="Arial" w:hAnsi="Arial"/>
                <w:sz w:val="20"/>
                <w:szCs w:val="20"/>
                <w:color w:val="auto"/>
              </w:rPr>
              <w:t>$</w:t>
            </w:r>
          </w:p>
        </w:tc>
        <w:tc>
          <w:tcPr>
            <w:tcW w:w="12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23</w:t>
            </w:r>
          </w:p>
        </w:tc>
        <w:tc>
          <w:tcPr>
            <w:tcW w:w="380" w:type="dxa"/>
            <w:vAlign w:val="bottom"/>
            <w:gridSpan w:val="2"/>
            <w:shd w:val="clear" w:color="auto" w:fill="E6E6E6"/>
          </w:tcPr>
          <w:p>
            <w:pPr>
              <w:jc w:val="right"/>
              <w:ind w:right="160"/>
              <w:spacing w:after="0"/>
              <w:rPr>
                <w:sz w:val="20"/>
                <w:szCs w:val="20"/>
                <w:color w:val="auto"/>
              </w:rPr>
            </w:pPr>
            <w:r>
              <w:rPr>
                <w:rFonts w:ascii="Arial" w:cs="Arial" w:eastAsia="Arial" w:hAnsi="Arial"/>
                <w:sz w:val="20"/>
                <w:szCs w:val="20"/>
                <w:color w:val="auto"/>
              </w:rPr>
              <w:t>$</w:t>
            </w:r>
          </w:p>
        </w:tc>
        <w:tc>
          <w:tcPr>
            <w:tcW w:w="1220" w:type="dxa"/>
            <w:vAlign w:val="bottom"/>
            <w:shd w:val="clear" w:color="auto" w:fill="E6E6E6"/>
          </w:tcPr>
          <w:p>
            <w:pPr>
              <w:ind w:left="960"/>
              <w:spacing w:after="0"/>
              <w:rPr>
                <w:sz w:val="20"/>
                <w:szCs w:val="20"/>
                <w:color w:val="auto"/>
              </w:rPr>
            </w:pPr>
            <w:r>
              <w:rPr>
                <w:rFonts w:ascii="Arial" w:cs="Arial" w:eastAsia="Arial" w:hAnsi="Arial"/>
                <w:sz w:val="20"/>
                <w:szCs w:val="20"/>
                <w:color w:val="auto"/>
              </w:rPr>
              <w:t>—</w:t>
            </w:r>
          </w:p>
        </w:tc>
      </w:tr>
      <w:tr>
        <w:trPr>
          <w:trHeight w:val="274"/>
        </w:trPr>
        <w:tc>
          <w:tcPr>
            <w:tcW w:w="3560" w:type="dxa"/>
            <w:vAlign w:val="bottom"/>
          </w:tcPr>
          <w:p>
            <w:pPr>
              <w:ind w:left="40"/>
              <w:spacing w:after="0"/>
              <w:rPr>
                <w:sz w:val="20"/>
                <w:szCs w:val="20"/>
                <w:color w:val="auto"/>
              </w:rPr>
            </w:pPr>
            <w:r>
              <w:rPr>
                <w:rFonts w:ascii="Arial" w:cs="Arial" w:eastAsia="Arial" w:hAnsi="Arial"/>
                <w:sz w:val="20"/>
                <w:szCs w:val="20"/>
                <w:color w:val="auto"/>
              </w:rPr>
              <w:t>Fixed income mutual funds</w:t>
            </w:r>
          </w:p>
        </w:tc>
        <w:tc>
          <w:tcPr>
            <w:tcW w:w="6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1,530</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1,530</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ind w:left="960"/>
              <w:spacing w:after="0"/>
              <w:rPr>
                <w:sz w:val="20"/>
                <w:szCs w:val="20"/>
                <w:color w:val="auto"/>
              </w:rPr>
            </w:pPr>
            <w:r>
              <w:rPr>
                <w:rFonts w:ascii="Arial" w:cs="Arial" w:eastAsia="Arial" w:hAnsi="Arial"/>
                <w:sz w:val="20"/>
                <w:szCs w:val="20"/>
                <w:color w:val="auto"/>
              </w:rPr>
              <w:t>—</w:t>
            </w:r>
          </w:p>
        </w:tc>
      </w:tr>
      <w:tr>
        <w:trPr>
          <w:trHeight w:val="275"/>
        </w:trPr>
        <w:tc>
          <w:tcPr>
            <w:tcW w:w="356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Money market funds</w:t>
            </w:r>
          </w:p>
        </w:tc>
        <w:tc>
          <w:tcPr>
            <w:tcW w:w="640" w:type="dxa"/>
            <w:vAlign w:val="bottom"/>
            <w:tcBorders>
              <w:bottom w:val="single" w:sz="8" w:color="auto"/>
            </w:tcBorders>
            <w:shd w:val="clear" w:color="auto" w:fill="E6E6E6"/>
          </w:tcPr>
          <w:p>
            <w:pPr>
              <w:spacing w:after="0"/>
              <w:rPr>
                <w:sz w:val="23"/>
                <w:szCs w:val="23"/>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378</w:t>
            </w:r>
          </w:p>
        </w:tc>
        <w:tc>
          <w:tcPr>
            <w:tcW w:w="80" w:type="dxa"/>
            <w:vAlign w:val="bottom"/>
            <w:tcBorders>
              <w:bottom w:val="single" w:sz="8" w:color="E6E6E6"/>
            </w:tcBorders>
            <w:shd w:val="clear" w:color="auto" w:fill="E6E6E6"/>
          </w:tcPr>
          <w:p>
            <w:pPr>
              <w:spacing w:after="0"/>
              <w:rPr>
                <w:sz w:val="23"/>
                <w:szCs w:val="23"/>
                <w:color w:val="auto"/>
              </w:rPr>
            </w:pPr>
          </w:p>
        </w:tc>
        <w:tc>
          <w:tcPr>
            <w:tcW w:w="300" w:type="dxa"/>
            <w:vAlign w:val="bottom"/>
            <w:tcBorders>
              <w:bottom w:val="single" w:sz="8" w:color="auto"/>
            </w:tcBorders>
            <w:shd w:val="clear" w:color="auto" w:fill="E6E6E6"/>
          </w:tcPr>
          <w:p>
            <w:pPr>
              <w:spacing w:after="0"/>
              <w:rPr>
                <w:sz w:val="23"/>
                <w:szCs w:val="23"/>
                <w:color w:val="auto"/>
              </w:rPr>
            </w:pPr>
          </w:p>
        </w:tc>
        <w:tc>
          <w:tcPr>
            <w:tcW w:w="12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378</w:t>
            </w:r>
          </w:p>
        </w:tc>
        <w:tc>
          <w:tcPr>
            <w:tcW w:w="80" w:type="dxa"/>
            <w:vAlign w:val="bottom"/>
            <w:tcBorders>
              <w:bottom w:val="single" w:sz="8" w:color="E6E6E6"/>
            </w:tcBorders>
            <w:shd w:val="clear" w:color="auto" w:fill="E6E6E6"/>
          </w:tcPr>
          <w:p>
            <w:pPr>
              <w:spacing w:after="0"/>
              <w:rPr>
                <w:sz w:val="23"/>
                <w:szCs w:val="23"/>
                <w:color w:val="auto"/>
              </w:rPr>
            </w:pPr>
          </w:p>
        </w:tc>
        <w:tc>
          <w:tcPr>
            <w:tcW w:w="300" w:type="dxa"/>
            <w:vAlign w:val="bottom"/>
            <w:tcBorders>
              <w:bottom w:val="single" w:sz="8" w:color="auto"/>
            </w:tcBorders>
            <w:shd w:val="clear" w:color="auto" w:fill="E6E6E6"/>
          </w:tcPr>
          <w:p>
            <w:pPr>
              <w:spacing w:after="0"/>
              <w:rPr>
                <w:sz w:val="23"/>
                <w:szCs w:val="23"/>
                <w:color w:val="auto"/>
              </w:rPr>
            </w:pPr>
          </w:p>
        </w:tc>
        <w:tc>
          <w:tcPr>
            <w:tcW w:w="12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shd w:val="clear" w:color="auto" w:fill="E6E6E6"/>
          </w:tcPr>
          <w:p>
            <w:pPr>
              <w:spacing w:after="0"/>
              <w:rPr>
                <w:sz w:val="23"/>
                <w:szCs w:val="23"/>
                <w:color w:val="auto"/>
              </w:rPr>
            </w:pPr>
          </w:p>
        </w:tc>
        <w:tc>
          <w:tcPr>
            <w:tcW w:w="300" w:type="dxa"/>
            <w:vAlign w:val="bottom"/>
            <w:tcBorders>
              <w:bottom w:val="single" w:sz="8" w:color="auto"/>
            </w:tcBorders>
            <w:shd w:val="clear" w:color="auto" w:fill="E6E6E6"/>
          </w:tcPr>
          <w:p>
            <w:pPr>
              <w:spacing w:after="0"/>
              <w:rPr>
                <w:sz w:val="23"/>
                <w:szCs w:val="23"/>
                <w:color w:val="auto"/>
              </w:rPr>
            </w:pPr>
          </w:p>
        </w:tc>
        <w:tc>
          <w:tcPr>
            <w:tcW w:w="1220" w:type="dxa"/>
            <w:vAlign w:val="bottom"/>
            <w:tcBorders>
              <w:bottom w:val="single" w:sz="8" w:color="auto"/>
            </w:tcBorders>
            <w:shd w:val="clear" w:color="auto" w:fill="E6E6E6"/>
          </w:tcPr>
          <w:p>
            <w:pPr>
              <w:ind w:left="960"/>
              <w:spacing w:after="0"/>
              <w:rPr>
                <w:sz w:val="20"/>
                <w:szCs w:val="20"/>
                <w:color w:val="auto"/>
              </w:rPr>
            </w:pPr>
            <w:r>
              <w:rPr>
                <w:rFonts w:ascii="Arial" w:cs="Arial" w:eastAsia="Arial" w:hAnsi="Arial"/>
                <w:sz w:val="20"/>
                <w:szCs w:val="20"/>
                <w:color w:val="auto"/>
              </w:rPr>
              <w:t>—</w:t>
            </w:r>
          </w:p>
        </w:tc>
      </w:tr>
      <w:tr>
        <w:trPr>
          <w:trHeight w:val="240"/>
        </w:trPr>
        <w:tc>
          <w:tcPr>
            <w:tcW w:w="3560" w:type="dxa"/>
            <w:vAlign w:val="bottom"/>
          </w:tcPr>
          <w:p>
            <w:pPr>
              <w:spacing w:after="0"/>
              <w:rPr>
                <w:sz w:val="20"/>
                <w:szCs w:val="20"/>
                <w:color w:val="auto"/>
              </w:rPr>
            </w:pPr>
          </w:p>
        </w:tc>
        <w:tc>
          <w:tcPr>
            <w:tcW w:w="640" w:type="dxa"/>
            <w:vAlign w:val="bottom"/>
          </w:tcPr>
          <w:p>
            <w:pPr>
              <w:ind w:left="4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1,931</w:t>
            </w:r>
          </w:p>
        </w:tc>
        <w:tc>
          <w:tcPr>
            <w:tcW w:w="80" w:type="dxa"/>
            <w:vAlign w:val="bottom"/>
          </w:tcPr>
          <w:p>
            <w:pPr>
              <w:spacing w:after="0"/>
              <w:rPr>
                <w:sz w:val="20"/>
                <w:szCs w:val="20"/>
                <w:color w:val="auto"/>
              </w:rPr>
            </w:pPr>
          </w:p>
        </w:tc>
        <w:tc>
          <w:tcPr>
            <w:tcW w:w="30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378</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1,553</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220" w:type="dxa"/>
            <w:vAlign w:val="bottom"/>
          </w:tcPr>
          <w:p>
            <w:pPr>
              <w:ind w:left="960"/>
              <w:spacing w:after="0"/>
              <w:rPr>
                <w:sz w:val="20"/>
                <w:szCs w:val="20"/>
                <w:color w:val="auto"/>
              </w:rPr>
            </w:pPr>
            <w:r>
              <w:rPr>
                <w:rFonts w:ascii="Arial" w:cs="Arial" w:eastAsia="Arial" w:hAnsi="Arial"/>
                <w:sz w:val="20"/>
                <w:szCs w:val="20"/>
                <w:color w:val="auto"/>
              </w:rPr>
              <w:t>—</w:t>
            </w:r>
          </w:p>
        </w:tc>
      </w:tr>
      <w:tr>
        <w:trPr>
          <w:trHeight w:val="20"/>
        </w:trPr>
        <w:tc>
          <w:tcPr>
            <w:tcW w:w="3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2241550</wp:posOffset>
            </wp:positionH>
            <wp:positionV relativeFrom="paragraph">
              <wp:posOffset>-740410</wp:posOffset>
            </wp:positionV>
            <wp:extent cx="415099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21">
                      <a:extLst>
                        <a:ext uri="{28A0092B-C50C-407E-A947-70E740481C1C}"/>
                      </a:extLst>
                    </a:blip>
                    <a:srcRect/>
                    <a:stretch>
                      <a:fillRect/>
                    </a:stretch>
                  </pic:blipFill>
                  <pic:spPr bwMode="auto">
                    <a:xfrm>
                      <a:off x="0" y="0"/>
                      <a:ext cx="4150995" cy="25400"/>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-208280</wp:posOffset>
            </wp:positionV>
            <wp:extent cx="415099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22">
                      <a:extLst>
                        <a:ext uri="{28A0092B-C50C-407E-A947-70E740481C1C}"/>
                      </a:extLst>
                    </a:blip>
                    <a:srcRect/>
                    <a:stretch>
                      <a:fillRect/>
                    </a:stretch>
                  </pic:blipFill>
                  <pic:spPr bwMode="auto">
                    <a:xfrm>
                      <a:off x="0" y="0"/>
                      <a:ext cx="4150995" cy="25400"/>
                    </a:xfrm>
                    <a:prstGeom prst="rect">
                      <a:avLst/>
                    </a:prstGeom>
                    <a:noFill/>
                  </pic:spPr>
                </pic:pic>
              </a:graphicData>
            </a:graphic>
          </wp:anchor>
        </w:drawing>
      </w:r>
    </w:p>
    <w:p>
      <w:pPr>
        <w:spacing w:after="0" w:line="105"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Refer to “Note 2. Basis of Presentation, Use of Accounting Estimates, and Significant Accounting Policies” for discussion of the fair value measurement terms of Levels 1, 2, and 3.</w:t>
      </w:r>
    </w:p>
    <w:p>
      <w:pPr>
        <w:spacing w:after="0" w:line="5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Defined Benefit Retirement Funding</w:t>
      </w:r>
    </w:p>
    <w:p>
      <w:pPr>
        <w:spacing w:after="0" w:line="144" w:lineRule="exact"/>
        <w:rPr>
          <w:sz w:val="20"/>
          <w:szCs w:val="20"/>
          <w:color w:val="auto"/>
        </w:rPr>
      </w:pPr>
    </w:p>
    <w:p>
      <w:pPr>
        <w:jc w:val="both"/>
        <w:spacing w:after="0" w:line="338" w:lineRule="auto"/>
        <w:rPr>
          <w:sz w:val="20"/>
          <w:szCs w:val="20"/>
          <w:color w:val="auto"/>
        </w:rPr>
      </w:pPr>
      <w:r>
        <w:rPr>
          <w:rFonts w:ascii="Arial" w:cs="Arial" w:eastAsia="Arial" w:hAnsi="Arial"/>
          <w:sz w:val="17"/>
          <w:szCs w:val="17"/>
          <w:color w:val="auto"/>
        </w:rPr>
        <w:t>LivaNova makes the minimum required contribution to fund the U.S. pension plan as determined by the Moving Ahead for Progress in the 21st Century Act and the Highway and Transportation Funding Act of 2014. The Company contributed $1.5 million, $1.4 million, and $0.6 million to the pension plans (U.S. and non-U.S.) during the years ended December 31, 2024,</w:t>
      </w:r>
    </w:p>
    <w:p>
      <w:pPr>
        <w:sectPr>
          <w:pgSz w:w="11880" w:h="15480" w:orient="portrait"/>
          <w:cols w:equalWidth="0" w:num="1">
            <w:col w:w="10040"/>
          </w:cols>
          <w:pgMar w:left="920" w:top="655" w:right="920" w:bottom="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F-40</w:t>
      </w:r>
    </w:p>
    <w:p>
      <w:pPr>
        <w:sectPr>
          <w:pgSz w:w="11880" w:h="15480" w:orient="portrait"/>
          <w:cols w:equalWidth="0" w:num="1">
            <w:col w:w="10040"/>
          </w:cols>
          <w:pgMar w:left="920" w:top="655" w:right="920" w:bottom="0" w:gutter="0" w:footer="0" w:header="0"/>
          <w:type w:val="continuous"/>
        </w:sectPr>
      </w:pPr>
    </w:p>
    <w:bookmarkStart w:id="98" w:name="page99"/>
    <w:bookmarkEnd w:id="98"/>
    <w:p>
      <w:pPr>
        <w:jc w:val="both"/>
        <w:spacing w:after="0" w:line="284" w:lineRule="auto"/>
        <w:rPr>
          <w:sz w:val="20"/>
          <w:szCs w:val="20"/>
          <w:color w:val="auto"/>
        </w:rPr>
      </w:pPr>
      <w:r>
        <w:rPr>
          <w:rFonts w:ascii="Arial" w:cs="Arial" w:eastAsia="Arial" w:hAnsi="Arial"/>
          <w:sz w:val="20"/>
          <w:szCs w:val="20"/>
          <w:color w:val="auto"/>
        </w:rPr>
        <w:t>2023, and 2022, respectively. LivaNova anticipates the Company will make contributions to the U.S. pension plan of $0.1 million during the year ended December 31, 2025.</w:t>
      </w:r>
    </w:p>
    <w:p>
      <w:pPr>
        <w:spacing w:after="0" w:line="63"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following table presents benefit payments expected to be paid, including amounts to be paid from LivaNova’s assets, and reflecting expected future service, as of December 31, 2024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120" w:type="dxa"/>
            <w:vAlign w:val="bottom"/>
            <w:tcBorders>
              <w:bottom w:val="single" w:sz="8" w:color="E6E6E6"/>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62"/>
              <w:spacing w:after="0"/>
              <w:rPr>
                <w:sz w:val="20"/>
                <w:szCs w:val="20"/>
                <w:color w:val="auto"/>
              </w:rPr>
            </w:pPr>
            <w:r>
              <w:rPr>
                <w:rFonts w:ascii="Arial" w:cs="Arial" w:eastAsia="Arial" w:hAnsi="Arial"/>
                <w:sz w:val="20"/>
                <w:szCs w:val="20"/>
                <w:b w:val="1"/>
                <w:bCs w:val="1"/>
                <w:color w:val="auto"/>
                <w:w w:val="93"/>
              </w:rPr>
              <w:t>U.S. Plans</w:t>
            </w:r>
          </w:p>
        </w:tc>
        <w:tc>
          <w:tcPr>
            <w:tcW w:w="80" w:type="dxa"/>
            <w:vAlign w:val="bottom"/>
            <w:tcBorders>
              <w:bottom w:val="single" w:sz="8" w:color="E6E6E6"/>
            </w:tcBorders>
          </w:tcPr>
          <w:p>
            <w:pPr>
              <w:spacing w:after="0"/>
              <w:rPr>
                <w:sz w:val="22"/>
                <w:szCs w:val="22"/>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w w:val="93"/>
              </w:rPr>
              <w:t>Non-U.S. Plans</w:t>
            </w:r>
          </w:p>
        </w:tc>
      </w:tr>
      <w:tr>
        <w:trPr>
          <w:trHeight w:val="269"/>
        </w:trPr>
        <w:tc>
          <w:tcPr>
            <w:tcW w:w="7120" w:type="dxa"/>
            <w:vAlign w:val="bottom"/>
            <w:shd w:val="clear" w:color="auto" w:fill="E6E6E6"/>
          </w:tcPr>
          <w:p>
            <w:pPr>
              <w:ind w:left="40"/>
              <w:spacing w:after="0"/>
              <w:rPr>
                <w:sz w:val="20"/>
                <w:szCs w:val="20"/>
                <w:color w:val="auto"/>
              </w:rPr>
            </w:pPr>
            <w:r>
              <w:rPr>
                <w:rFonts w:ascii="Arial" w:cs="Arial" w:eastAsia="Arial" w:hAnsi="Arial"/>
                <w:sz w:val="20"/>
                <w:szCs w:val="20"/>
                <w:color w:val="auto"/>
              </w:rPr>
              <w:t>2025</w:t>
            </w:r>
          </w:p>
        </w:tc>
        <w:tc>
          <w:tcPr>
            <w:tcW w:w="2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3,042</w:t>
            </w:r>
          </w:p>
        </w:tc>
        <w:tc>
          <w:tcPr>
            <w:tcW w:w="600" w:type="dxa"/>
            <w:vAlign w:val="bottom"/>
            <w:gridSpan w:val="2"/>
            <w:shd w:val="clear" w:color="auto" w:fill="E6E6E6"/>
          </w:tcPr>
          <w:p>
            <w:pPr>
              <w:jc w:val="right"/>
              <w:ind w:right="262"/>
              <w:spacing w:after="0"/>
              <w:rPr>
                <w:sz w:val="20"/>
                <w:szCs w:val="20"/>
                <w:color w:val="auto"/>
              </w:rPr>
            </w:pPr>
            <w:r>
              <w:rPr>
                <w:rFonts w:ascii="Arial" w:cs="Arial" w:eastAsia="Arial" w:hAnsi="Arial"/>
                <w:sz w:val="20"/>
                <w:szCs w:val="20"/>
                <w:color w:val="auto"/>
              </w:rPr>
              <w:t>$</w:t>
            </w:r>
          </w:p>
        </w:tc>
        <w:tc>
          <w:tcPr>
            <w:tcW w:w="9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443</w:t>
            </w:r>
          </w:p>
        </w:tc>
      </w:tr>
      <w:tr>
        <w:trPr>
          <w:trHeight w:val="274"/>
        </w:trPr>
        <w:tc>
          <w:tcPr>
            <w:tcW w:w="7120" w:type="dxa"/>
            <w:vAlign w:val="bottom"/>
          </w:tcPr>
          <w:p>
            <w:pPr>
              <w:ind w:left="40"/>
              <w:spacing w:after="0"/>
              <w:rPr>
                <w:sz w:val="20"/>
                <w:szCs w:val="20"/>
                <w:color w:val="auto"/>
              </w:rPr>
            </w:pPr>
            <w:r>
              <w:rPr>
                <w:rFonts w:ascii="Arial" w:cs="Arial" w:eastAsia="Arial" w:hAnsi="Arial"/>
                <w:sz w:val="20"/>
                <w:szCs w:val="20"/>
                <w:color w:val="auto"/>
              </w:rPr>
              <w:t>2026</w:t>
            </w:r>
          </w:p>
        </w:tc>
        <w:tc>
          <w:tcPr>
            <w:tcW w:w="2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839</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451</w:t>
            </w:r>
          </w:p>
        </w:tc>
      </w:tr>
      <w:tr>
        <w:trPr>
          <w:trHeight w:val="285"/>
        </w:trPr>
        <w:tc>
          <w:tcPr>
            <w:tcW w:w="7120" w:type="dxa"/>
            <w:vAlign w:val="bottom"/>
            <w:shd w:val="clear" w:color="auto" w:fill="E6E6E6"/>
          </w:tcPr>
          <w:p>
            <w:pPr>
              <w:ind w:left="40"/>
              <w:spacing w:after="0"/>
              <w:rPr>
                <w:sz w:val="20"/>
                <w:szCs w:val="20"/>
                <w:color w:val="auto"/>
              </w:rPr>
            </w:pPr>
            <w:r>
              <w:rPr>
                <w:rFonts w:ascii="Arial" w:cs="Arial" w:eastAsia="Arial" w:hAnsi="Arial"/>
                <w:sz w:val="20"/>
                <w:szCs w:val="20"/>
                <w:color w:val="auto"/>
              </w:rPr>
              <w:t>2027</w:t>
            </w:r>
          </w:p>
        </w:tc>
        <w:tc>
          <w:tcPr>
            <w:tcW w:w="22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636</w:t>
            </w:r>
          </w:p>
        </w:tc>
        <w:tc>
          <w:tcPr>
            <w:tcW w:w="80" w:type="dxa"/>
            <w:vAlign w:val="bottom"/>
            <w:shd w:val="clear" w:color="auto" w:fill="E6E6E6"/>
          </w:tcPr>
          <w:p>
            <w:pPr>
              <w:spacing w:after="0"/>
              <w:rPr>
                <w:sz w:val="24"/>
                <w:szCs w:val="24"/>
                <w:color w:val="auto"/>
              </w:rPr>
            </w:pPr>
          </w:p>
        </w:tc>
        <w:tc>
          <w:tcPr>
            <w:tcW w:w="520" w:type="dxa"/>
            <w:vAlign w:val="bottom"/>
            <w:shd w:val="clear" w:color="auto" w:fill="E6E6E6"/>
          </w:tcPr>
          <w:p>
            <w:pPr>
              <w:spacing w:after="0"/>
              <w:rPr>
                <w:sz w:val="24"/>
                <w:szCs w:val="24"/>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477</w:t>
            </w:r>
          </w:p>
        </w:tc>
      </w:tr>
      <w:tr>
        <w:trPr>
          <w:trHeight w:val="274"/>
        </w:trPr>
        <w:tc>
          <w:tcPr>
            <w:tcW w:w="7120" w:type="dxa"/>
            <w:vAlign w:val="bottom"/>
          </w:tcPr>
          <w:p>
            <w:pPr>
              <w:ind w:left="40"/>
              <w:spacing w:after="0"/>
              <w:rPr>
                <w:sz w:val="20"/>
                <w:szCs w:val="20"/>
                <w:color w:val="auto"/>
              </w:rPr>
            </w:pPr>
            <w:r>
              <w:rPr>
                <w:rFonts w:ascii="Arial" w:cs="Arial" w:eastAsia="Arial" w:hAnsi="Arial"/>
                <w:sz w:val="20"/>
                <w:szCs w:val="20"/>
                <w:color w:val="auto"/>
              </w:rPr>
              <w:t>2028</w:t>
            </w:r>
          </w:p>
        </w:tc>
        <w:tc>
          <w:tcPr>
            <w:tcW w:w="2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486</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402</w:t>
            </w:r>
          </w:p>
        </w:tc>
      </w:tr>
      <w:tr>
        <w:trPr>
          <w:trHeight w:val="285"/>
        </w:trPr>
        <w:tc>
          <w:tcPr>
            <w:tcW w:w="7120" w:type="dxa"/>
            <w:vAlign w:val="bottom"/>
            <w:shd w:val="clear" w:color="auto" w:fill="E6E6E6"/>
          </w:tcPr>
          <w:p>
            <w:pPr>
              <w:ind w:left="40"/>
              <w:spacing w:after="0"/>
              <w:rPr>
                <w:sz w:val="20"/>
                <w:szCs w:val="20"/>
                <w:color w:val="auto"/>
              </w:rPr>
            </w:pPr>
            <w:r>
              <w:rPr>
                <w:rFonts w:ascii="Arial" w:cs="Arial" w:eastAsia="Arial" w:hAnsi="Arial"/>
                <w:sz w:val="20"/>
                <w:szCs w:val="20"/>
                <w:color w:val="auto"/>
              </w:rPr>
              <w:t>2029</w:t>
            </w:r>
          </w:p>
        </w:tc>
        <w:tc>
          <w:tcPr>
            <w:tcW w:w="220" w:type="dxa"/>
            <w:vAlign w:val="bottom"/>
            <w:shd w:val="clear" w:color="auto" w:fill="E6E6E6"/>
          </w:tcPr>
          <w:p>
            <w:pPr>
              <w:spacing w:after="0"/>
              <w:rPr>
                <w:sz w:val="24"/>
                <w:szCs w:val="24"/>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502</w:t>
            </w:r>
          </w:p>
        </w:tc>
        <w:tc>
          <w:tcPr>
            <w:tcW w:w="80" w:type="dxa"/>
            <w:vAlign w:val="bottom"/>
            <w:shd w:val="clear" w:color="auto" w:fill="E6E6E6"/>
          </w:tcPr>
          <w:p>
            <w:pPr>
              <w:spacing w:after="0"/>
              <w:rPr>
                <w:sz w:val="24"/>
                <w:szCs w:val="24"/>
                <w:color w:val="auto"/>
              </w:rPr>
            </w:pPr>
          </w:p>
        </w:tc>
        <w:tc>
          <w:tcPr>
            <w:tcW w:w="520" w:type="dxa"/>
            <w:vAlign w:val="bottom"/>
            <w:shd w:val="clear" w:color="auto" w:fill="E6E6E6"/>
          </w:tcPr>
          <w:p>
            <w:pPr>
              <w:spacing w:after="0"/>
              <w:rPr>
                <w:sz w:val="24"/>
                <w:szCs w:val="24"/>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499</w:t>
            </w:r>
          </w:p>
        </w:tc>
      </w:tr>
      <w:tr>
        <w:trPr>
          <w:trHeight w:val="268"/>
        </w:trPr>
        <w:tc>
          <w:tcPr>
            <w:tcW w:w="7120" w:type="dxa"/>
            <w:vAlign w:val="bottom"/>
          </w:tcPr>
          <w:p>
            <w:pPr>
              <w:ind w:left="40"/>
              <w:spacing w:after="0"/>
              <w:rPr>
                <w:sz w:val="20"/>
                <w:szCs w:val="20"/>
                <w:color w:val="auto"/>
              </w:rPr>
            </w:pPr>
            <w:r>
              <w:rPr>
                <w:rFonts w:ascii="Arial" w:cs="Arial" w:eastAsia="Arial" w:hAnsi="Arial"/>
                <w:sz w:val="20"/>
                <w:szCs w:val="20"/>
                <w:color w:val="auto"/>
              </w:rPr>
              <w:t>2030 - 2034</w:t>
            </w:r>
          </w:p>
        </w:tc>
        <w:tc>
          <w:tcPr>
            <w:tcW w:w="2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1,861</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3,839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4509770</wp:posOffset>
            </wp:positionH>
            <wp:positionV relativeFrom="paragraph">
              <wp:posOffset>-1068705</wp:posOffset>
            </wp:positionV>
            <wp:extent cx="188277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23">
                      <a:extLst>
                        <a:ext uri="{28A0092B-C50C-407E-A947-70E740481C1C}"/>
                      </a:extLst>
                    </a:blip>
                    <a:srcRect/>
                    <a:stretch>
                      <a:fillRect/>
                    </a:stretch>
                  </pic:blipFill>
                  <pic:spPr bwMode="auto">
                    <a:xfrm>
                      <a:off x="0" y="0"/>
                      <a:ext cx="1882775" cy="25400"/>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Defined Contribution Plans</w:t>
      </w:r>
    </w:p>
    <w:p>
      <w:pPr>
        <w:spacing w:after="0" w:line="140"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LivaNova sponsors defined contribution plans in the U.S., including the Cyberonics Employee Retirement Savings Plan, which qualifies under Section 401(k) of the IRC, covering U.S. employees, and the Cyberonics Non-Qualified Deferred Compensation Plan, covering certain U.S. middle and senior management. In addition, LivaNova sponsors the Belgium Defined Contribution Pension Plan for Cyberonics’ Belgium employees. LivaNova incurred expenses for the Company’s defined contribution plans of $9.6 million, $11.1 million, and $9.0 million for the years ended December 31, 2024, 2023, and 2022, respectively.</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15. Income Taxes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Income (Loss) Before Income Tax and Income Tax Expense (Benefit)</w:t>
      </w:r>
    </w:p>
    <w:p>
      <w:pPr>
        <w:spacing w:after="0" w:line="140"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following table presents the U.S. and non-U.S. components of income (loss) before income tax and LivaNova’s income tax expense (benefit)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4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62"/>
              <w:spacing w:after="0"/>
              <w:rPr>
                <w:sz w:val="20"/>
                <w:szCs w:val="20"/>
                <w:color w:val="auto"/>
              </w:rPr>
            </w:pPr>
            <w:r>
              <w:rPr>
                <w:rFonts w:ascii="Arial" w:cs="Arial" w:eastAsia="Arial" w:hAnsi="Arial"/>
                <w:sz w:val="20"/>
                <w:szCs w:val="20"/>
                <w:b w:val="1"/>
                <w:bCs w:val="1"/>
                <w:color w:val="auto"/>
              </w:rPr>
              <w:t>2024</w:t>
            </w:r>
          </w:p>
        </w:tc>
        <w:tc>
          <w:tcPr>
            <w:tcW w:w="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2023</w:t>
            </w: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2022</w:t>
            </w:r>
          </w:p>
        </w:tc>
      </w:tr>
      <w:tr>
        <w:trPr>
          <w:trHeight w:val="264"/>
        </w:trPr>
        <w:tc>
          <w:tcPr>
            <w:tcW w:w="5440" w:type="dxa"/>
            <w:vAlign w:val="bottom"/>
          </w:tcPr>
          <w:p>
            <w:pPr>
              <w:ind w:left="40"/>
              <w:spacing w:after="0"/>
              <w:rPr>
                <w:sz w:val="20"/>
                <w:szCs w:val="20"/>
                <w:color w:val="auto"/>
              </w:rPr>
            </w:pPr>
            <w:r>
              <w:rPr>
                <w:rFonts w:ascii="Arial" w:cs="Arial" w:eastAsia="Arial" w:hAnsi="Arial"/>
                <w:sz w:val="20"/>
                <w:szCs w:val="20"/>
                <w:color w:val="auto"/>
              </w:rPr>
              <w:t>Income (loss) before income tax:</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85"/>
        </w:trPr>
        <w:tc>
          <w:tcPr>
            <w:tcW w:w="5440" w:type="dxa"/>
            <w:vAlign w:val="bottom"/>
            <w:shd w:val="clear" w:color="auto" w:fill="E6E6E6"/>
          </w:tcPr>
          <w:p>
            <w:pPr>
              <w:ind w:left="180"/>
              <w:spacing w:after="0"/>
              <w:rPr>
                <w:sz w:val="20"/>
                <w:szCs w:val="20"/>
                <w:color w:val="auto"/>
              </w:rPr>
            </w:pPr>
            <w:r>
              <w:rPr>
                <w:rFonts w:ascii="Arial" w:cs="Arial" w:eastAsia="Arial" w:hAnsi="Arial"/>
                <w:sz w:val="20"/>
                <w:szCs w:val="20"/>
                <w:color w:val="auto"/>
              </w:rPr>
              <w:t>UK and Non-U.S.</w:t>
            </w:r>
          </w:p>
        </w:tc>
        <w:tc>
          <w:tcPr>
            <w:tcW w:w="360" w:type="dxa"/>
            <w:vAlign w:val="bottom"/>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86,886</w:t>
            </w:r>
          </w:p>
        </w:tc>
        <w:tc>
          <w:tcPr>
            <w:tcW w:w="420" w:type="dxa"/>
            <w:vAlign w:val="bottom"/>
            <w:gridSpan w:val="3"/>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60,799</w:t>
            </w:r>
          </w:p>
        </w:tc>
        <w:tc>
          <w:tcPr>
            <w:tcW w:w="440" w:type="dxa"/>
            <w:vAlign w:val="bottom"/>
            <w:gridSpan w:val="3"/>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22,570</w:t>
            </w:r>
          </w:p>
        </w:tc>
      </w:tr>
      <w:tr>
        <w:trPr>
          <w:trHeight w:val="269"/>
        </w:trPr>
        <w:tc>
          <w:tcPr>
            <w:tcW w:w="5440" w:type="dxa"/>
            <w:vAlign w:val="bottom"/>
            <w:tcBorders>
              <w:bottom w:val="single" w:sz="8" w:color="E6E6E6"/>
            </w:tcBorders>
          </w:tcPr>
          <w:p>
            <w:pPr>
              <w:ind w:left="180"/>
              <w:spacing w:after="0"/>
              <w:rPr>
                <w:sz w:val="20"/>
                <w:szCs w:val="20"/>
                <w:color w:val="auto"/>
              </w:rPr>
            </w:pPr>
            <w:r>
              <w:rPr>
                <w:rFonts w:ascii="Arial" w:cs="Arial" w:eastAsia="Arial" w:hAnsi="Arial"/>
                <w:sz w:val="20"/>
                <w:szCs w:val="20"/>
                <w:color w:val="auto"/>
              </w:rPr>
              <w:t>U.S.</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1,424</w:t>
            </w:r>
          </w:p>
        </w:tc>
        <w:tc>
          <w:tcPr>
            <w:tcW w:w="60" w:type="dxa"/>
            <w:vAlign w:val="bottom"/>
            <w:tcBorders>
              <w:bottom w:val="single" w:sz="8" w:color="E6E6E6"/>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(142,025)</w:t>
            </w:r>
          </w:p>
        </w:tc>
        <w:tc>
          <w:tcPr>
            <w:tcW w:w="80" w:type="dxa"/>
            <w:vAlign w:val="bottom"/>
            <w:tcBorders>
              <w:bottom w:val="single" w:sz="8" w:color="E6E6E6"/>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(97,712)</w:t>
            </w:r>
          </w:p>
        </w:tc>
      </w:tr>
      <w:tr>
        <w:trPr>
          <w:trHeight w:val="279"/>
        </w:trPr>
        <w:tc>
          <w:tcPr>
            <w:tcW w:w="5440" w:type="dxa"/>
            <w:vAlign w:val="bottom"/>
            <w:shd w:val="clear" w:color="auto" w:fill="E6E6E6"/>
          </w:tcPr>
          <w:p>
            <w:pPr>
              <w:spacing w:after="0"/>
              <w:rPr>
                <w:sz w:val="24"/>
                <w:szCs w:val="24"/>
                <w:color w:val="auto"/>
              </w:rPr>
            </w:pPr>
          </w:p>
        </w:tc>
        <w:tc>
          <w:tcPr>
            <w:tcW w:w="360" w:type="dxa"/>
            <w:vAlign w:val="bottom"/>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88,310</w:t>
            </w:r>
          </w:p>
        </w:tc>
        <w:tc>
          <w:tcPr>
            <w:tcW w:w="420" w:type="dxa"/>
            <w:vAlign w:val="bottom"/>
            <w:gridSpan w:val="3"/>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(81,226)</w:t>
            </w:r>
          </w:p>
        </w:tc>
        <w:tc>
          <w:tcPr>
            <w:tcW w:w="440" w:type="dxa"/>
            <w:vAlign w:val="bottom"/>
            <w:gridSpan w:val="3"/>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(75,142)</w:t>
            </w:r>
          </w:p>
        </w:tc>
      </w:tr>
      <w:tr>
        <w:trPr>
          <w:trHeight w:val="244"/>
        </w:trPr>
        <w:tc>
          <w:tcPr>
            <w:tcW w:w="5440" w:type="dxa"/>
            <w:vAlign w:val="bottom"/>
            <w:tcBorders>
              <w:top w:val="single" w:sz="8" w:color="E6E6E6"/>
            </w:tcBorders>
          </w:tcPr>
          <w:p>
            <w:pPr>
              <w:ind w:left="40"/>
              <w:spacing w:after="0"/>
              <w:rPr>
                <w:sz w:val="20"/>
                <w:szCs w:val="20"/>
                <w:color w:val="auto"/>
              </w:rPr>
            </w:pPr>
            <w:r>
              <w:rPr>
                <w:rFonts w:ascii="Arial" w:cs="Arial" w:eastAsia="Arial" w:hAnsi="Arial"/>
                <w:sz w:val="20"/>
                <w:szCs w:val="20"/>
                <w:color w:val="auto"/>
              </w:rPr>
              <w:t>Income tax expense (benefit):</w:t>
            </w:r>
          </w:p>
        </w:tc>
        <w:tc>
          <w:tcPr>
            <w:tcW w:w="3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60" w:type="dxa"/>
            <w:vAlign w:val="bottom"/>
            <w:tcBorders>
              <w:top w:val="single" w:sz="8" w:color="E6E6E6"/>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80" w:type="dxa"/>
            <w:vAlign w:val="bottom"/>
            <w:tcBorders>
              <w:top w:val="single" w:sz="8" w:color="E6E6E6"/>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r>
      <w:tr>
        <w:trPr>
          <w:trHeight w:val="285"/>
        </w:trPr>
        <w:tc>
          <w:tcPr>
            <w:tcW w:w="5440" w:type="dxa"/>
            <w:vAlign w:val="bottom"/>
            <w:shd w:val="clear" w:color="auto" w:fill="E6E6E6"/>
          </w:tcPr>
          <w:p>
            <w:pPr>
              <w:ind w:left="160"/>
              <w:spacing w:after="0"/>
              <w:rPr>
                <w:sz w:val="20"/>
                <w:szCs w:val="20"/>
                <w:color w:val="auto"/>
              </w:rPr>
            </w:pPr>
            <w:r>
              <w:rPr>
                <w:rFonts w:ascii="Arial" w:cs="Arial" w:eastAsia="Arial" w:hAnsi="Arial"/>
                <w:sz w:val="20"/>
                <w:szCs w:val="20"/>
                <w:color w:val="auto"/>
              </w:rPr>
              <w:t>Current:</w:t>
            </w:r>
          </w:p>
        </w:tc>
        <w:tc>
          <w:tcPr>
            <w:tcW w:w="360" w:type="dxa"/>
            <w:vAlign w:val="bottom"/>
            <w:shd w:val="clear" w:color="auto" w:fill="E6E6E6"/>
          </w:tcPr>
          <w:p>
            <w:pPr>
              <w:spacing w:after="0"/>
              <w:rPr>
                <w:sz w:val="24"/>
                <w:szCs w:val="24"/>
                <w:color w:val="auto"/>
              </w:rPr>
            </w:pPr>
          </w:p>
        </w:tc>
        <w:tc>
          <w:tcPr>
            <w:tcW w:w="11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1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120" w:type="dxa"/>
            <w:vAlign w:val="bottom"/>
            <w:shd w:val="clear" w:color="auto" w:fill="E6E6E6"/>
          </w:tcPr>
          <w:p>
            <w:pPr>
              <w:spacing w:after="0"/>
              <w:rPr>
                <w:sz w:val="24"/>
                <w:szCs w:val="24"/>
                <w:color w:val="auto"/>
              </w:rPr>
            </w:pPr>
          </w:p>
        </w:tc>
      </w:tr>
      <w:tr>
        <w:trPr>
          <w:trHeight w:val="274"/>
        </w:trPr>
        <w:tc>
          <w:tcPr>
            <w:tcW w:w="5440" w:type="dxa"/>
            <w:vAlign w:val="bottom"/>
          </w:tcPr>
          <w:p>
            <w:pPr>
              <w:ind w:left="280"/>
              <w:spacing w:after="0"/>
              <w:rPr>
                <w:sz w:val="20"/>
                <w:szCs w:val="20"/>
                <w:color w:val="auto"/>
              </w:rPr>
            </w:pPr>
            <w:r>
              <w:rPr>
                <w:rFonts w:ascii="Arial" w:cs="Arial" w:eastAsia="Arial" w:hAnsi="Arial"/>
                <w:sz w:val="20"/>
                <w:szCs w:val="20"/>
                <w:color w:val="auto"/>
              </w:rPr>
              <w:t>UK and Non-U.S.</w:t>
            </w: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13,851</w:t>
            </w:r>
          </w:p>
        </w:tc>
        <w:tc>
          <w:tcPr>
            <w:tcW w:w="420" w:type="dxa"/>
            <w:vAlign w:val="bottom"/>
            <w:gridSpan w:val="3"/>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10,954</w:t>
            </w:r>
          </w:p>
        </w:tc>
        <w:tc>
          <w:tcPr>
            <w:tcW w:w="440" w:type="dxa"/>
            <w:vAlign w:val="bottom"/>
            <w:gridSpan w:val="3"/>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4,782</w:t>
            </w:r>
          </w:p>
        </w:tc>
      </w:tr>
      <w:tr>
        <w:trPr>
          <w:trHeight w:val="275"/>
        </w:trPr>
        <w:tc>
          <w:tcPr>
            <w:tcW w:w="5440" w:type="dxa"/>
            <w:vAlign w:val="bottom"/>
            <w:tcBorders>
              <w:bottom w:val="single" w:sz="8" w:color="E6E6E6"/>
            </w:tcBorders>
            <w:shd w:val="clear" w:color="auto" w:fill="E6E6E6"/>
          </w:tcPr>
          <w:p>
            <w:pPr>
              <w:ind w:left="280"/>
              <w:spacing w:after="0"/>
              <w:rPr>
                <w:sz w:val="20"/>
                <w:szCs w:val="20"/>
                <w:color w:val="auto"/>
              </w:rPr>
            </w:pPr>
            <w:r>
              <w:rPr>
                <w:rFonts w:ascii="Arial" w:cs="Arial" w:eastAsia="Arial" w:hAnsi="Arial"/>
                <w:sz w:val="20"/>
                <w:szCs w:val="20"/>
                <w:color w:val="auto"/>
              </w:rPr>
              <w:t>U.S.</w:t>
            </w:r>
          </w:p>
        </w:tc>
        <w:tc>
          <w:tcPr>
            <w:tcW w:w="360" w:type="dxa"/>
            <w:vAlign w:val="bottom"/>
            <w:tcBorders>
              <w:bottom w:val="single" w:sz="8" w:color="auto"/>
            </w:tcBorders>
            <w:shd w:val="clear" w:color="auto" w:fill="E6E6E6"/>
          </w:tcPr>
          <w:p>
            <w:pPr>
              <w:spacing w:after="0"/>
              <w:rPr>
                <w:sz w:val="23"/>
                <w:szCs w:val="23"/>
                <w:color w:val="auto"/>
              </w:rPr>
            </w:pPr>
          </w:p>
        </w:tc>
        <w:tc>
          <w:tcPr>
            <w:tcW w:w="1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4,412</w:t>
            </w:r>
          </w:p>
        </w:tc>
        <w:tc>
          <w:tcPr>
            <w:tcW w:w="6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auto"/>
            </w:tcBorders>
            <w:shd w:val="clear" w:color="auto" w:fill="E6E6E6"/>
          </w:tcPr>
          <w:p>
            <w:pPr>
              <w:spacing w:after="0"/>
              <w:rPr>
                <w:sz w:val="23"/>
                <w:szCs w:val="23"/>
                <w:color w:val="auto"/>
              </w:rPr>
            </w:pPr>
          </w:p>
        </w:tc>
        <w:tc>
          <w:tcPr>
            <w:tcW w:w="340" w:type="dxa"/>
            <w:vAlign w:val="bottom"/>
            <w:tcBorders>
              <w:bottom w:val="single" w:sz="8" w:color="auto"/>
            </w:tcBorders>
            <w:shd w:val="clear" w:color="auto" w:fill="E6E6E6"/>
          </w:tcPr>
          <w:p>
            <w:pPr>
              <w:spacing w:after="0"/>
              <w:rPr>
                <w:sz w:val="23"/>
                <w:szCs w:val="23"/>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4,598</w:t>
            </w:r>
          </w:p>
        </w:tc>
        <w:tc>
          <w:tcPr>
            <w:tcW w:w="8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auto"/>
            </w:tcBorders>
            <w:shd w:val="clear" w:color="auto" w:fill="E6E6E6"/>
          </w:tcPr>
          <w:p>
            <w:pPr>
              <w:spacing w:after="0"/>
              <w:rPr>
                <w:sz w:val="23"/>
                <w:szCs w:val="23"/>
                <w:color w:val="auto"/>
              </w:rPr>
            </w:pPr>
          </w:p>
        </w:tc>
        <w:tc>
          <w:tcPr>
            <w:tcW w:w="340" w:type="dxa"/>
            <w:vAlign w:val="bottom"/>
            <w:tcBorders>
              <w:bottom w:val="single" w:sz="8" w:color="auto"/>
            </w:tcBorders>
            <w:shd w:val="clear" w:color="auto" w:fill="E6E6E6"/>
          </w:tcPr>
          <w:p>
            <w:pPr>
              <w:spacing w:after="0"/>
              <w:rPr>
                <w:sz w:val="23"/>
                <w:szCs w:val="23"/>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4,860</w:t>
            </w:r>
          </w:p>
        </w:tc>
      </w:tr>
      <w:tr>
        <w:trPr>
          <w:trHeight w:val="264"/>
        </w:trPr>
        <w:tc>
          <w:tcPr>
            <w:tcW w:w="5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18,263</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15,552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9,642</w:t>
            </w:r>
          </w:p>
        </w:tc>
      </w:tr>
      <w:tr>
        <w:trPr>
          <w:trHeight w:val="285"/>
        </w:trPr>
        <w:tc>
          <w:tcPr>
            <w:tcW w:w="5440" w:type="dxa"/>
            <w:vAlign w:val="bottom"/>
            <w:shd w:val="clear" w:color="auto" w:fill="E6E6E6"/>
          </w:tcPr>
          <w:p>
            <w:pPr>
              <w:ind w:left="160"/>
              <w:spacing w:after="0"/>
              <w:rPr>
                <w:sz w:val="20"/>
                <w:szCs w:val="20"/>
                <w:color w:val="auto"/>
              </w:rPr>
            </w:pPr>
            <w:r>
              <w:rPr>
                <w:rFonts w:ascii="Arial" w:cs="Arial" w:eastAsia="Arial" w:hAnsi="Arial"/>
                <w:sz w:val="20"/>
                <w:szCs w:val="20"/>
                <w:color w:val="auto"/>
              </w:rPr>
              <w:t>Deferred:</w:t>
            </w:r>
          </w:p>
        </w:tc>
        <w:tc>
          <w:tcPr>
            <w:tcW w:w="360" w:type="dxa"/>
            <w:vAlign w:val="bottom"/>
            <w:shd w:val="clear" w:color="auto" w:fill="E6E6E6"/>
          </w:tcPr>
          <w:p>
            <w:pPr>
              <w:spacing w:after="0"/>
              <w:rPr>
                <w:sz w:val="24"/>
                <w:szCs w:val="24"/>
                <w:color w:val="auto"/>
              </w:rPr>
            </w:pPr>
          </w:p>
        </w:tc>
        <w:tc>
          <w:tcPr>
            <w:tcW w:w="11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1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120" w:type="dxa"/>
            <w:vAlign w:val="bottom"/>
            <w:shd w:val="clear" w:color="auto" w:fill="E6E6E6"/>
          </w:tcPr>
          <w:p>
            <w:pPr>
              <w:spacing w:after="0"/>
              <w:rPr>
                <w:sz w:val="24"/>
                <w:szCs w:val="24"/>
                <w:color w:val="auto"/>
              </w:rPr>
            </w:pPr>
          </w:p>
        </w:tc>
      </w:tr>
      <w:tr>
        <w:trPr>
          <w:trHeight w:val="274"/>
        </w:trPr>
        <w:tc>
          <w:tcPr>
            <w:tcW w:w="5440" w:type="dxa"/>
            <w:vAlign w:val="bottom"/>
          </w:tcPr>
          <w:p>
            <w:pPr>
              <w:ind w:left="280"/>
              <w:spacing w:after="0"/>
              <w:rPr>
                <w:sz w:val="20"/>
                <w:szCs w:val="20"/>
                <w:color w:val="auto"/>
              </w:rPr>
            </w:pPr>
            <w:r>
              <w:rPr>
                <w:rFonts w:ascii="Arial" w:cs="Arial" w:eastAsia="Arial" w:hAnsi="Arial"/>
                <w:sz w:val="20"/>
                <w:szCs w:val="20"/>
                <w:color w:val="auto"/>
              </w:rPr>
              <w:t>UK and Non-U.S.</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5,987</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(114,428)</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1,409</w:t>
            </w:r>
          </w:p>
        </w:tc>
      </w:tr>
      <w:tr>
        <w:trPr>
          <w:trHeight w:val="275"/>
        </w:trPr>
        <w:tc>
          <w:tcPr>
            <w:tcW w:w="5440" w:type="dxa"/>
            <w:vAlign w:val="bottom"/>
            <w:tcBorders>
              <w:bottom w:val="single" w:sz="8" w:color="E6E6E6"/>
            </w:tcBorders>
            <w:shd w:val="clear" w:color="auto" w:fill="E6E6E6"/>
          </w:tcPr>
          <w:p>
            <w:pPr>
              <w:ind w:left="280"/>
              <w:spacing w:after="0"/>
              <w:rPr>
                <w:sz w:val="20"/>
                <w:szCs w:val="20"/>
                <w:color w:val="auto"/>
              </w:rPr>
            </w:pPr>
            <w:r>
              <w:rPr>
                <w:rFonts w:ascii="Arial" w:cs="Arial" w:eastAsia="Arial" w:hAnsi="Arial"/>
                <w:sz w:val="20"/>
                <w:szCs w:val="20"/>
                <w:color w:val="auto"/>
              </w:rPr>
              <w:t>U.S.</w:t>
            </w:r>
          </w:p>
        </w:tc>
        <w:tc>
          <w:tcPr>
            <w:tcW w:w="360" w:type="dxa"/>
            <w:vAlign w:val="bottom"/>
            <w:tcBorders>
              <w:bottom w:val="single" w:sz="8" w:color="auto"/>
            </w:tcBorders>
            <w:shd w:val="clear" w:color="auto" w:fill="E6E6E6"/>
          </w:tcPr>
          <w:p>
            <w:pPr>
              <w:spacing w:after="0"/>
              <w:rPr>
                <w:sz w:val="23"/>
                <w:szCs w:val="23"/>
                <w:color w:val="auto"/>
              </w:rPr>
            </w:pPr>
          </w:p>
        </w:tc>
        <w:tc>
          <w:tcPr>
            <w:tcW w:w="1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808</w:t>
            </w:r>
          </w:p>
        </w:tc>
        <w:tc>
          <w:tcPr>
            <w:tcW w:w="6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340" w:type="dxa"/>
            <w:vAlign w:val="bottom"/>
            <w:tcBorders>
              <w:bottom w:val="single" w:sz="8" w:color="auto"/>
            </w:tcBorders>
            <w:shd w:val="clear" w:color="auto" w:fill="E6E6E6"/>
          </w:tcPr>
          <w:p>
            <w:pPr>
              <w:spacing w:after="0"/>
              <w:rPr>
                <w:sz w:val="23"/>
                <w:szCs w:val="23"/>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340" w:type="dxa"/>
            <w:vAlign w:val="bottom"/>
            <w:tcBorders>
              <w:bottom w:val="single" w:sz="8" w:color="auto"/>
            </w:tcBorders>
            <w:shd w:val="clear" w:color="auto" w:fill="E6E6E6"/>
          </w:tcPr>
          <w:p>
            <w:pPr>
              <w:spacing w:after="0"/>
              <w:rPr>
                <w:sz w:val="23"/>
                <w:szCs w:val="23"/>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r>
      <w:tr>
        <w:trPr>
          <w:trHeight w:val="259"/>
        </w:trPr>
        <w:tc>
          <w:tcPr>
            <w:tcW w:w="544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6,795</w:t>
            </w:r>
          </w:p>
        </w:tc>
        <w:tc>
          <w:tcPr>
            <w:tcW w:w="6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(114,428)</w:t>
            </w:r>
          </w:p>
        </w:tc>
        <w:tc>
          <w:tcPr>
            <w:tcW w:w="8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1,409</w:t>
            </w:r>
          </w:p>
        </w:tc>
      </w:tr>
      <w:tr>
        <w:trPr>
          <w:trHeight w:val="279"/>
        </w:trPr>
        <w:tc>
          <w:tcPr>
            <w:tcW w:w="544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25,058</w:t>
            </w:r>
          </w:p>
        </w:tc>
        <w:tc>
          <w:tcPr>
            <w:tcW w:w="80" w:type="dxa"/>
            <w:vAlign w:val="bottom"/>
            <w:tcBorders>
              <w:bottom w:val="single" w:sz="8" w:color="E6E6E6"/>
            </w:tcBorders>
            <w:gridSpan w:val="2"/>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(98,876)</w:t>
            </w:r>
          </w:p>
        </w:tc>
        <w:tc>
          <w:tcPr>
            <w:tcW w:w="100" w:type="dxa"/>
            <w:vAlign w:val="bottom"/>
            <w:tcBorders>
              <w:bottom w:val="single" w:sz="8" w:color="E6E6E6"/>
            </w:tcBorders>
            <w:gridSpan w:val="2"/>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11,051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-1981835</wp:posOffset>
            </wp:positionV>
            <wp:extent cx="294703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24">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-1816735</wp:posOffset>
            </wp:positionV>
            <wp:extent cx="2947035" cy="501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25">
                      <a:extLst>
                        <a:ext uri="{28A0092B-C50C-407E-A947-70E740481C1C}"/>
                      </a:extLst>
                    </a:blip>
                    <a:srcRect/>
                    <a:stretch>
                      <a:fillRect/>
                    </a:stretch>
                  </pic:blipFill>
                  <pic:spPr bwMode="auto">
                    <a:xfrm>
                      <a:off x="0" y="0"/>
                      <a:ext cx="2947035" cy="50165"/>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-1094740</wp:posOffset>
            </wp:positionV>
            <wp:extent cx="294703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26">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-385445</wp:posOffset>
            </wp:positionV>
            <wp:extent cx="294703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27">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-208280</wp:posOffset>
            </wp:positionV>
            <wp:extent cx="294703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28">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-43180</wp:posOffset>
            </wp:positionV>
            <wp:extent cx="2947035" cy="501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29">
                      <a:extLst>
                        <a:ext uri="{28A0092B-C50C-407E-A947-70E740481C1C}"/>
                      </a:extLst>
                    </a:blip>
                    <a:srcRect/>
                    <a:stretch>
                      <a:fillRect/>
                    </a:stretch>
                  </pic:blipFill>
                  <pic:spPr bwMode="auto">
                    <a:xfrm>
                      <a:off x="0" y="0"/>
                      <a:ext cx="2947035" cy="50165"/>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Effective Income Tax Rate Reconciliation</w:t>
      </w:r>
    </w:p>
    <w:p>
      <w:pPr>
        <w:spacing w:after="0" w:line="140"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LivaNova PLC is resident in the UK for tax purposes. LivaNova’s subsidiaries conduct operations and earn income in numerous countries and are subject to the laws of taxing jurisdictions within those countries, and the income tax rates imposed in the tax jurisdictions in which LivaNova’s subsidiaries conduct operations vary. As a result of the changes in the overall level of the Company’s income, the earnings mix in various jurisdictions, and the changes in tax laws, LivaNova’s consolidated effective income tax rate may vary from one reporting period to another.</w:t>
      </w:r>
    </w:p>
    <w:p>
      <w:pPr>
        <w:spacing w:after="0" w:line="73"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LivaNova is subject to income taxes as well as non-income-based taxes in the U.S., the UK, the EU, and various other jurisdictions. LivaNova continues to monitor the adoption of Pillar Two by the taxing jurisdictions in which it operates. The UK has enacted legislation providing for a minimum effective tax rate of 15% through a multinational top-up tax and a domestic top-up tax for accounting periods beginning on or after December 31, 2023. Since LivaNova does not have significant operations in jurisdictions with tax rates below 15%, the multinational top-up tax and domestic top-up taxes under Pillar Two</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F-41</w:t>
      </w:r>
    </w:p>
    <w:p>
      <w:pPr>
        <w:sectPr>
          <w:pgSz w:w="11880" w:h="15480" w:orient="portrait"/>
          <w:cols w:equalWidth="0" w:num="1">
            <w:col w:w="10040"/>
          </w:cols>
          <w:pgMar w:left="920" w:top="664" w:right="920" w:bottom="0" w:gutter="0" w:footer="0" w:header="0"/>
        </w:sectPr>
      </w:pPr>
    </w:p>
    <w:bookmarkStart w:id="99" w:name="page100"/>
    <w:bookmarkEnd w:id="99"/>
    <w:p>
      <w:pPr>
        <w:spacing w:after="0" w:line="284" w:lineRule="auto"/>
        <w:rPr>
          <w:sz w:val="20"/>
          <w:szCs w:val="20"/>
          <w:color w:val="auto"/>
        </w:rPr>
      </w:pPr>
      <w:r>
        <w:rPr>
          <w:rFonts w:ascii="Arial" w:cs="Arial" w:eastAsia="Arial" w:hAnsi="Arial"/>
          <w:sz w:val="20"/>
          <w:szCs w:val="20"/>
          <w:color w:val="auto"/>
        </w:rPr>
        <w:t>do not have a material impact on the effective rate for 2024. LivaNova will continue to monitor legislative developments and related guidance in the UK and other jurisdictions that may impact LivaNova’s operations.</w:t>
      </w:r>
    </w:p>
    <w:p>
      <w:pPr>
        <w:spacing w:after="0" w:line="63" w:lineRule="exact"/>
        <w:rPr>
          <w:sz w:val="20"/>
          <w:szCs w:val="20"/>
          <w:color w:val="auto"/>
        </w:rPr>
      </w:pPr>
    </w:p>
    <w:p>
      <w:pPr>
        <w:spacing w:after="0" w:line="284" w:lineRule="auto"/>
        <w:rPr>
          <w:sz w:val="20"/>
          <w:szCs w:val="20"/>
          <w:color w:val="auto"/>
        </w:rPr>
      </w:pPr>
      <w:r>
        <w:rPr>
          <w:rFonts w:ascii="Arial" w:cs="Arial" w:eastAsia="Arial" w:hAnsi="Arial"/>
          <w:sz w:val="20"/>
          <w:szCs w:val="20"/>
          <w:color w:val="auto"/>
        </w:rPr>
        <w:t>The following table presents a reconciliation of the statutory income tax rate to LivaNova’s effective income tax rate expressed as a percentage of income (loss) before income tax:</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440" w:type="dxa"/>
            <w:vAlign w:val="bottom"/>
            <w:tcBorders>
              <w:bottom w:val="single" w:sz="8" w:color="E6E6E6"/>
            </w:tcBorders>
          </w:tcPr>
          <w:p>
            <w:pPr>
              <w:spacing w:after="0"/>
              <w:rPr>
                <w:sz w:val="22"/>
                <w:szCs w:val="22"/>
                <w:color w:val="auto"/>
              </w:rPr>
            </w:pPr>
          </w:p>
        </w:tc>
        <w:tc>
          <w:tcPr>
            <w:tcW w:w="1500" w:type="dxa"/>
            <w:vAlign w:val="bottom"/>
            <w:tcBorders>
              <w:bottom w:val="single" w:sz="8" w:color="auto"/>
            </w:tcBorders>
          </w:tcPr>
          <w:p>
            <w:pPr>
              <w:jc w:val="right"/>
              <w:ind w:right="462"/>
              <w:spacing w:after="0"/>
              <w:rPr>
                <w:sz w:val="20"/>
                <w:szCs w:val="20"/>
                <w:color w:val="auto"/>
              </w:rPr>
            </w:pPr>
            <w:r>
              <w:rPr>
                <w:rFonts w:ascii="Arial" w:cs="Arial" w:eastAsia="Arial" w:hAnsi="Arial"/>
                <w:sz w:val="20"/>
                <w:szCs w:val="20"/>
                <w:b w:val="1"/>
                <w:bCs w:val="1"/>
                <w:color w:val="auto"/>
              </w:rPr>
              <w:t>2024</w:t>
            </w:r>
          </w:p>
        </w:tc>
        <w:tc>
          <w:tcPr>
            <w:tcW w:w="60" w:type="dxa"/>
            <w:vAlign w:val="bottom"/>
            <w:tcBorders>
              <w:bottom w:val="single" w:sz="8" w:color="E6E6E6"/>
            </w:tcBorders>
          </w:tcPr>
          <w:p>
            <w:pPr>
              <w:spacing w:after="0"/>
              <w:rPr>
                <w:sz w:val="22"/>
                <w:szCs w:val="22"/>
                <w:color w:val="auto"/>
              </w:rPr>
            </w:pPr>
          </w:p>
        </w:tc>
        <w:tc>
          <w:tcPr>
            <w:tcW w:w="148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2023</w:t>
            </w:r>
          </w:p>
        </w:tc>
        <w:tc>
          <w:tcPr>
            <w:tcW w:w="80" w:type="dxa"/>
            <w:vAlign w:val="bottom"/>
            <w:tcBorders>
              <w:bottom w:val="single" w:sz="8" w:color="E6E6E6"/>
            </w:tcBorders>
          </w:tcPr>
          <w:p>
            <w:pPr>
              <w:spacing w:after="0"/>
              <w:rPr>
                <w:sz w:val="22"/>
                <w:szCs w:val="22"/>
                <w:color w:val="auto"/>
              </w:rPr>
            </w:pPr>
          </w:p>
        </w:tc>
        <w:tc>
          <w:tcPr>
            <w:tcW w:w="148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2022</w:t>
            </w:r>
          </w:p>
        </w:tc>
      </w:tr>
      <w:tr>
        <w:trPr>
          <w:trHeight w:val="269"/>
        </w:trPr>
        <w:tc>
          <w:tcPr>
            <w:tcW w:w="5440" w:type="dxa"/>
            <w:vAlign w:val="bottom"/>
            <w:shd w:val="clear" w:color="auto" w:fill="E6E6E6"/>
          </w:tcPr>
          <w:p>
            <w:pPr>
              <w:ind w:left="40"/>
              <w:spacing w:after="0"/>
              <w:rPr>
                <w:sz w:val="20"/>
                <w:szCs w:val="20"/>
                <w:color w:val="auto"/>
              </w:rPr>
            </w:pPr>
            <w:r>
              <w:rPr>
                <w:rFonts w:ascii="Arial" w:cs="Arial" w:eastAsia="Arial" w:hAnsi="Arial"/>
                <w:sz w:val="20"/>
                <w:szCs w:val="20"/>
                <w:color w:val="auto"/>
              </w:rPr>
              <w:t>Statutory tax rate at UK Rate</w:t>
            </w:r>
          </w:p>
        </w:tc>
        <w:tc>
          <w:tcPr>
            <w:tcW w:w="15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25.0 %</w:t>
            </w:r>
          </w:p>
        </w:tc>
        <w:tc>
          <w:tcPr>
            <w:tcW w:w="154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23.5 %</w:t>
            </w:r>
          </w:p>
        </w:tc>
        <w:tc>
          <w:tcPr>
            <w:tcW w:w="156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19.0 %</w:t>
            </w:r>
          </w:p>
        </w:tc>
      </w:tr>
      <w:tr>
        <w:trPr>
          <w:trHeight w:val="274"/>
        </w:trPr>
        <w:tc>
          <w:tcPr>
            <w:tcW w:w="5440" w:type="dxa"/>
            <w:vAlign w:val="bottom"/>
          </w:tcPr>
          <w:p>
            <w:pPr>
              <w:ind w:left="40"/>
              <w:spacing w:after="0"/>
              <w:rPr>
                <w:sz w:val="20"/>
                <w:szCs w:val="20"/>
                <w:color w:val="auto"/>
              </w:rPr>
            </w:pPr>
            <w:r>
              <w:rPr>
                <w:rFonts w:ascii="Arial" w:cs="Arial" w:eastAsia="Arial" w:hAnsi="Arial"/>
                <w:sz w:val="20"/>
                <w:szCs w:val="20"/>
                <w:color w:val="auto"/>
              </w:rPr>
              <w:t>Interest</w:t>
            </w:r>
          </w:p>
        </w:tc>
        <w:tc>
          <w:tcPr>
            <w:tcW w:w="1500" w:type="dxa"/>
            <w:vAlign w:val="bottom"/>
          </w:tcPr>
          <w:p>
            <w:pPr>
              <w:jc w:val="right"/>
              <w:ind w:right="162"/>
              <w:spacing w:after="0"/>
              <w:rPr>
                <w:sz w:val="20"/>
                <w:szCs w:val="20"/>
                <w:color w:val="auto"/>
              </w:rPr>
            </w:pPr>
            <w:r>
              <w:rPr>
                <w:rFonts w:ascii="Arial" w:cs="Arial" w:eastAsia="Arial" w:hAnsi="Arial"/>
                <w:sz w:val="20"/>
                <w:szCs w:val="20"/>
                <w:color w:val="auto"/>
              </w:rPr>
              <w:t>9.5</w:t>
            </w:r>
          </w:p>
        </w:tc>
        <w:tc>
          <w:tcPr>
            <w:tcW w:w="60" w:type="dxa"/>
            <w:vAlign w:val="bottom"/>
          </w:tcPr>
          <w:p>
            <w:pPr>
              <w:spacing w:after="0"/>
              <w:rPr>
                <w:sz w:val="23"/>
                <w:szCs w:val="23"/>
                <w:color w:val="auto"/>
              </w:rPr>
            </w:pPr>
          </w:p>
        </w:tc>
        <w:tc>
          <w:tcPr>
            <w:tcW w:w="1480" w:type="dxa"/>
            <w:vAlign w:val="bottom"/>
          </w:tcPr>
          <w:p>
            <w:pPr>
              <w:jc w:val="right"/>
              <w:ind w:right="142"/>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1480" w:type="dxa"/>
            <w:vAlign w:val="bottom"/>
          </w:tcPr>
          <w:p>
            <w:pPr>
              <w:jc w:val="right"/>
              <w:ind w:right="142"/>
              <w:spacing w:after="0"/>
              <w:rPr>
                <w:sz w:val="20"/>
                <w:szCs w:val="20"/>
                <w:color w:val="auto"/>
              </w:rPr>
            </w:pPr>
            <w:r>
              <w:rPr>
                <w:rFonts w:ascii="Arial" w:cs="Arial" w:eastAsia="Arial" w:hAnsi="Arial"/>
                <w:sz w:val="20"/>
                <w:szCs w:val="20"/>
                <w:color w:val="auto"/>
              </w:rPr>
              <w:t>—</w:t>
            </w:r>
          </w:p>
        </w:tc>
      </w:tr>
      <w:tr>
        <w:trPr>
          <w:trHeight w:val="285"/>
        </w:trPr>
        <w:tc>
          <w:tcPr>
            <w:tcW w:w="5440" w:type="dxa"/>
            <w:vAlign w:val="bottom"/>
            <w:shd w:val="clear" w:color="auto" w:fill="E6E6E6"/>
          </w:tcPr>
          <w:p>
            <w:pPr>
              <w:ind w:left="40"/>
              <w:spacing w:after="0"/>
              <w:rPr>
                <w:sz w:val="20"/>
                <w:szCs w:val="20"/>
                <w:color w:val="auto"/>
              </w:rPr>
            </w:pPr>
            <w:r>
              <w:rPr>
                <w:rFonts w:ascii="Arial" w:cs="Arial" w:eastAsia="Arial" w:hAnsi="Arial"/>
                <w:sz w:val="20"/>
                <w:szCs w:val="20"/>
                <w:color w:val="auto"/>
              </w:rPr>
              <w:t>Deferred tax valuation allowance</w:t>
            </w:r>
          </w:p>
        </w:tc>
        <w:tc>
          <w:tcPr>
            <w:tcW w:w="1500" w:type="dxa"/>
            <w:vAlign w:val="bottom"/>
            <w:shd w:val="clear" w:color="auto" w:fill="E6E6E6"/>
          </w:tcPr>
          <w:p>
            <w:pPr>
              <w:jc w:val="right"/>
              <w:ind w:right="82"/>
              <w:spacing w:after="0"/>
              <w:rPr>
                <w:sz w:val="20"/>
                <w:szCs w:val="20"/>
                <w:color w:val="auto"/>
              </w:rPr>
            </w:pPr>
            <w:r>
              <w:rPr>
                <w:rFonts w:ascii="Arial" w:cs="Arial" w:eastAsia="Arial" w:hAnsi="Arial"/>
                <w:sz w:val="20"/>
                <w:szCs w:val="20"/>
                <w:color w:val="auto"/>
              </w:rPr>
              <w:t>(7.7)</w:t>
            </w:r>
          </w:p>
        </w:tc>
        <w:tc>
          <w:tcPr>
            <w:tcW w:w="1540" w:type="dxa"/>
            <w:vAlign w:val="bottom"/>
            <w:gridSpan w:val="2"/>
            <w:shd w:val="clear" w:color="auto" w:fill="E6E6E6"/>
          </w:tcPr>
          <w:p>
            <w:pPr>
              <w:jc w:val="right"/>
              <w:ind w:right="142"/>
              <w:spacing w:after="0"/>
              <w:rPr>
                <w:sz w:val="20"/>
                <w:szCs w:val="20"/>
                <w:color w:val="auto"/>
              </w:rPr>
            </w:pPr>
            <w:r>
              <w:rPr>
                <w:rFonts w:ascii="Arial" w:cs="Arial" w:eastAsia="Arial" w:hAnsi="Arial"/>
                <w:sz w:val="20"/>
                <w:szCs w:val="20"/>
                <w:color w:val="auto"/>
              </w:rPr>
              <w:t>100.5</w:t>
            </w:r>
          </w:p>
        </w:tc>
        <w:tc>
          <w:tcPr>
            <w:tcW w:w="1560" w:type="dxa"/>
            <w:vAlign w:val="bottom"/>
            <w:gridSpan w:val="2"/>
            <w:shd w:val="clear" w:color="auto" w:fill="E6E6E6"/>
          </w:tcPr>
          <w:p>
            <w:pPr>
              <w:jc w:val="right"/>
              <w:ind w:right="82"/>
              <w:spacing w:after="0"/>
              <w:rPr>
                <w:sz w:val="20"/>
                <w:szCs w:val="20"/>
                <w:color w:val="auto"/>
              </w:rPr>
            </w:pPr>
            <w:r>
              <w:rPr>
                <w:rFonts w:ascii="Arial" w:cs="Arial" w:eastAsia="Arial" w:hAnsi="Arial"/>
                <w:sz w:val="20"/>
                <w:szCs w:val="20"/>
                <w:color w:val="auto"/>
              </w:rPr>
              <w:t>(18.8)</w:t>
            </w:r>
          </w:p>
        </w:tc>
      </w:tr>
      <w:tr>
        <w:trPr>
          <w:trHeight w:val="274"/>
        </w:trPr>
        <w:tc>
          <w:tcPr>
            <w:tcW w:w="5440" w:type="dxa"/>
            <w:vAlign w:val="bottom"/>
          </w:tcPr>
          <w:p>
            <w:pPr>
              <w:ind w:left="40"/>
              <w:spacing w:after="0"/>
              <w:rPr>
                <w:sz w:val="20"/>
                <w:szCs w:val="20"/>
                <w:color w:val="auto"/>
              </w:rPr>
            </w:pPr>
            <w:r>
              <w:rPr>
                <w:rFonts w:ascii="Arial" w:cs="Arial" w:eastAsia="Arial" w:hAnsi="Arial"/>
                <w:sz w:val="20"/>
                <w:szCs w:val="20"/>
                <w:color w:val="auto"/>
              </w:rPr>
              <w:t>Research and development tax credits</w:t>
            </w:r>
          </w:p>
        </w:tc>
        <w:tc>
          <w:tcPr>
            <w:tcW w:w="1500" w:type="dxa"/>
            <w:vAlign w:val="bottom"/>
          </w:tcPr>
          <w:p>
            <w:pPr>
              <w:jc w:val="right"/>
              <w:ind w:right="82"/>
              <w:spacing w:after="0"/>
              <w:rPr>
                <w:sz w:val="20"/>
                <w:szCs w:val="20"/>
                <w:color w:val="auto"/>
              </w:rPr>
            </w:pPr>
            <w:r>
              <w:rPr>
                <w:rFonts w:ascii="Arial" w:cs="Arial" w:eastAsia="Arial" w:hAnsi="Arial"/>
                <w:sz w:val="20"/>
                <w:szCs w:val="20"/>
                <w:color w:val="auto"/>
              </w:rPr>
              <w:t>(4.1)</w:t>
            </w:r>
          </w:p>
        </w:tc>
        <w:tc>
          <w:tcPr>
            <w:tcW w:w="1540" w:type="dxa"/>
            <w:vAlign w:val="bottom"/>
            <w:gridSpan w:val="2"/>
          </w:tcPr>
          <w:p>
            <w:pPr>
              <w:jc w:val="right"/>
              <w:ind w:right="142"/>
              <w:spacing w:after="0"/>
              <w:rPr>
                <w:sz w:val="20"/>
                <w:szCs w:val="20"/>
                <w:color w:val="auto"/>
              </w:rPr>
            </w:pPr>
            <w:r>
              <w:rPr>
                <w:rFonts w:ascii="Arial" w:cs="Arial" w:eastAsia="Arial" w:hAnsi="Arial"/>
                <w:sz w:val="20"/>
                <w:szCs w:val="20"/>
                <w:color w:val="auto"/>
              </w:rPr>
              <w:t>0.3</w:t>
            </w:r>
          </w:p>
        </w:tc>
        <w:tc>
          <w:tcPr>
            <w:tcW w:w="1560" w:type="dxa"/>
            <w:vAlign w:val="bottom"/>
            <w:gridSpan w:val="2"/>
          </w:tcPr>
          <w:p>
            <w:pPr>
              <w:jc w:val="right"/>
              <w:ind w:right="142"/>
              <w:spacing w:after="0"/>
              <w:rPr>
                <w:sz w:val="20"/>
                <w:szCs w:val="20"/>
                <w:color w:val="auto"/>
              </w:rPr>
            </w:pPr>
            <w:r>
              <w:rPr>
                <w:rFonts w:ascii="Arial" w:cs="Arial" w:eastAsia="Arial" w:hAnsi="Arial"/>
                <w:sz w:val="20"/>
                <w:szCs w:val="20"/>
                <w:color w:val="auto"/>
              </w:rPr>
              <w:t>1.2</w:t>
            </w:r>
          </w:p>
        </w:tc>
      </w:tr>
      <w:tr>
        <w:trPr>
          <w:trHeight w:val="285"/>
        </w:trPr>
        <w:tc>
          <w:tcPr>
            <w:tcW w:w="5440" w:type="dxa"/>
            <w:vAlign w:val="bottom"/>
            <w:shd w:val="clear" w:color="auto" w:fill="E6E6E6"/>
          </w:tcPr>
          <w:p>
            <w:pPr>
              <w:ind w:left="40"/>
              <w:spacing w:after="0"/>
              <w:rPr>
                <w:sz w:val="20"/>
                <w:szCs w:val="20"/>
                <w:color w:val="auto"/>
              </w:rPr>
            </w:pPr>
            <w:r>
              <w:rPr>
                <w:rFonts w:ascii="Arial" w:cs="Arial" w:eastAsia="Arial" w:hAnsi="Arial"/>
                <w:sz w:val="20"/>
                <w:szCs w:val="20"/>
                <w:color w:val="auto"/>
              </w:rPr>
              <w:t>Subsidiary investments and impairments</w:t>
            </w:r>
          </w:p>
        </w:tc>
        <w:tc>
          <w:tcPr>
            <w:tcW w:w="1500" w:type="dxa"/>
            <w:vAlign w:val="bottom"/>
            <w:shd w:val="clear" w:color="auto" w:fill="E6E6E6"/>
          </w:tcPr>
          <w:p>
            <w:pPr>
              <w:jc w:val="right"/>
              <w:ind w:right="162"/>
              <w:spacing w:after="0"/>
              <w:rPr>
                <w:sz w:val="20"/>
                <w:szCs w:val="20"/>
                <w:color w:val="auto"/>
              </w:rPr>
            </w:pPr>
            <w:r>
              <w:rPr>
                <w:rFonts w:ascii="Arial" w:cs="Arial" w:eastAsia="Arial" w:hAnsi="Arial"/>
                <w:sz w:val="20"/>
                <w:szCs w:val="20"/>
                <w:color w:val="auto"/>
              </w:rPr>
              <w:t>1.9</w:t>
            </w:r>
          </w:p>
        </w:tc>
        <w:tc>
          <w:tcPr>
            <w:tcW w:w="1540" w:type="dxa"/>
            <w:vAlign w:val="bottom"/>
            <w:gridSpan w:val="2"/>
            <w:shd w:val="clear" w:color="auto" w:fill="E6E6E6"/>
          </w:tcPr>
          <w:p>
            <w:pPr>
              <w:jc w:val="right"/>
              <w:ind w:right="62"/>
              <w:spacing w:after="0"/>
              <w:rPr>
                <w:sz w:val="20"/>
                <w:szCs w:val="20"/>
                <w:color w:val="auto"/>
              </w:rPr>
            </w:pPr>
            <w:r>
              <w:rPr>
                <w:rFonts w:ascii="Arial" w:cs="Arial" w:eastAsia="Arial" w:hAnsi="Arial"/>
                <w:sz w:val="20"/>
                <w:szCs w:val="20"/>
                <w:color w:val="auto"/>
              </w:rPr>
              <w:t>(3.1)</w:t>
            </w:r>
          </w:p>
        </w:tc>
        <w:tc>
          <w:tcPr>
            <w:tcW w:w="1560" w:type="dxa"/>
            <w:vAlign w:val="bottom"/>
            <w:gridSpan w:val="2"/>
            <w:shd w:val="clear" w:color="auto" w:fill="E6E6E6"/>
          </w:tcPr>
          <w:p>
            <w:pPr>
              <w:jc w:val="right"/>
              <w:ind w:right="82"/>
              <w:spacing w:after="0"/>
              <w:rPr>
                <w:sz w:val="20"/>
                <w:szCs w:val="20"/>
                <w:color w:val="auto"/>
              </w:rPr>
            </w:pPr>
            <w:r>
              <w:rPr>
                <w:rFonts w:ascii="Arial" w:cs="Arial" w:eastAsia="Arial" w:hAnsi="Arial"/>
                <w:sz w:val="20"/>
                <w:szCs w:val="20"/>
                <w:color w:val="auto"/>
              </w:rPr>
              <w:t>(27.6)</w:t>
            </w:r>
          </w:p>
        </w:tc>
      </w:tr>
      <w:tr>
        <w:trPr>
          <w:trHeight w:val="274"/>
        </w:trPr>
        <w:tc>
          <w:tcPr>
            <w:tcW w:w="5440" w:type="dxa"/>
            <w:vAlign w:val="bottom"/>
          </w:tcPr>
          <w:p>
            <w:pPr>
              <w:ind w:left="40"/>
              <w:spacing w:after="0"/>
              <w:rPr>
                <w:sz w:val="20"/>
                <w:szCs w:val="20"/>
                <w:color w:val="auto"/>
              </w:rPr>
            </w:pPr>
            <w:r>
              <w:rPr>
                <w:rFonts w:ascii="Arial" w:cs="Arial" w:eastAsia="Arial" w:hAnsi="Arial"/>
                <w:sz w:val="20"/>
                <w:szCs w:val="20"/>
                <w:color w:val="auto"/>
              </w:rPr>
              <w:t>Foreign tax withholding and credits</w:t>
            </w:r>
          </w:p>
        </w:tc>
        <w:tc>
          <w:tcPr>
            <w:tcW w:w="1500" w:type="dxa"/>
            <w:vAlign w:val="bottom"/>
          </w:tcPr>
          <w:p>
            <w:pPr>
              <w:jc w:val="right"/>
              <w:ind w:right="162"/>
              <w:spacing w:after="0"/>
              <w:rPr>
                <w:sz w:val="20"/>
                <w:szCs w:val="20"/>
                <w:color w:val="auto"/>
              </w:rPr>
            </w:pPr>
            <w:r>
              <w:rPr>
                <w:rFonts w:ascii="Arial" w:cs="Arial" w:eastAsia="Arial" w:hAnsi="Arial"/>
                <w:sz w:val="20"/>
                <w:szCs w:val="20"/>
                <w:color w:val="auto"/>
              </w:rPr>
              <w:t>1.2</w:t>
            </w:r>
          </w:p>
        </w:tc>
        <w:tc>
          <w:tcPr>
            <w:tcW w:w="60" w:type="dxa"/>
            <w:vAlign w:val="bottom"/>
          </w:tcPr>
          <w:p>
            <w:pPr>
              <w:spacing w:after="0"/>
              <w:rPr>
                <w:sz w:val="23"/>
                <w:szCs w:val="23"/>
                <w:color w:val="auto"/>
              </w:rPr>
            </w:pPr>
          </w:p>
        </w:tc>
        <w:tc>
          <w:tcPr>
            <w:tcW w:w="1480" w:type="dxa"/>
            <w:vAlign w:val="bottom"/>
          </w:tcPr>
          <w:p>
            <w:pPr>
              <w:jc w:val="right"/>
              <w:ind w:right="142"/>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1480" w:type="dxa"/>
            <w:vAlign w:val="bottom"/>
          </w:tcPr>
          <w:p>
            <w:pPr>
              <w:jc w:val="right"/>
              <w:ind w:right="142"/>
              <w:spacing w:after="0"/>
              <w:rPr>
                <w:sz w:val="20"/>
                <w:szCs w:val="20"/>
                <w:color w:val="auto"/>
              </w:rPr>
            </w:pPr>
            <w:r>
              <w:rPr>
                <w:rFonts w:ascii="Arial" w:cs="Arial" w:eastAsia="Arial" w:hAnsi="Arial"/>
                <w:sz w:val="20"/>
                <w:szCs w:val="20"/>
                <w:color w:val="auto"/>
              </w:rPr>
              <w:t>—</w:t>
            </w:r>
          </w:p>
        </w:tc>
      </w:tr>
      <w:tr>
        <w:trPr>
          <w:trHeight w:val="285"/>
        </w:trPr>
        <w:tc>
          <w:tcPr>
            <w:tcW w:w="5440" w:type="dxa"/>
            <w:vAlign w:val="bottom"/>
            <w:shd w:val="clear" w:color="auto" w:fill="E6E6E6"/>
          </w:tcPr>
          <w:p>
            <w:pPr>
              <w:ind w:left="40"/>
              <w:spacing w:after="0"/>
              <w:rPr>
                <w:sz w:val="20"/>
                <w:szCs w:val="20"/>
                <w:color w:val="auto"/>
              </w:rPr>
            </w:pPr>
            <w:r>
              <w:rPr>
                <w:rFonts w:ascii="Arial" w:cs="Arial" w:eastAsia="Arial" w:hAnsi="Arial"/>
                <w:sz w:val="20"/>
                <w:szCs w:val="20"/>
                <w:color w:val="auto"/>
              </w:rPr>
              <w:t>Foreign tax rate differential</w:t>
            </w:r>
          </w:p>
        </w:tc>
        <w:tc>
          <w:tcPr>
            <w:tcW w:w="1500" w:type="dxa"/>
            <w:vAlign w:val="bottom"/>
            <w:shd w:val="clear" w:color="auto" w:fill="E6E6E6"/>
          </w:tcPr>
          <w:p>
            <w:pPr>
              <w:jc w:val="right"/>
              <w:ind w:right="162"/>
              <w:spacing w:after="0"/>
              <w:rPr>
                <w:sz w:val="20"/>
                <w:szCs w:val="20"/>
                <w:color w:val="auto"/>
              </w:rPr>
            </w:pPr>
            <w:r>
              <w:rPr>
                <w:rFonts w:ascii="Arial" w:cs="Arial" w:eastAsia="Arial" w:hAnsi="Arial"/>
                <w:sz w:val="20"/>
                <w:szCs w:val="20"/>
                <w:color w:val="auto"/>
              </w:rPr>
              <w:t>1.1</w:t>
            </w:r>
          </w:p>
        </w:tc>
        <w:tc>
          <w:tcPr>
            <w:tcW w:w="1540" w:type="dxa"/>
            <w:vAlign w:val="bottom"/>
            <w:gridSpan w:val="2"/>
            <w:shd w:val="clear" w:color="auto" w:fill="E6E6E6"/>
          </w:tcPr>
          <w:p>
            <w:pPr>
              <w:jc w:val="right"/>
              <w:ind w:right="142"/>
              <w:spacing w:after="0"/>
              <w:rPr>
                <w:sz w:val="20"/>
                <w:szCs w:val="20"/>
                <w:color w:val="auto"/>
              </w:rPr>
            </w:pPr>
            <w:r>
              <w:rPr>
                <w:rFonts w:ascii="Arial" w:cs="Arial" w:eastAsia="Arial" w:hAnsi="Arial"/>
                <w:sz w:val="20"/>
                <w:szCs w:val="20"/>
                <w:color w:val="auto"/>
              </w:rPr>
              <w:t>5.2</w:t>
            </w:r>
          </w:p>
        </w:tc>
        <w:tc>
          <w:tcPr>
            <w:tcW w:w="1560" w:type="dxa"/>
            <w:vAlign w:val="bottom"/>
            <w:gridSpan w:val="2"/>
            <w:shd w:val="clear" w:color="auto" w:fill="E6E6E6"/>
          </w:tcPr>
          <w:p>
            <w:pPr>
              <w:jc w:val="right"/>
              <w:ind w:right="142"/>
              <w:spacing w:after="0"/>
              <w:rPr>
                <w:sz w:val="20"/>
                <w:szCs w:val="20"/>
                <w:color w:val="auto"/>
              </w:rPr>
            </w:pPr>
            <w:r>
              <w:rPr>
                <w:rFonts w:ascii="Arial" w:cs="Arial" w:eastAsia="Arial" w:hAnsi="Arial"/>
                <w:sz w:val="20"/>
                <w:szCs w:val="20"/>
                <w:color w:val="auto"/>
              </w:rPr>
              <w:t>10.6</w:t>
            </w:r>
          </w:p>
        </w:tc>
      </w:tr>
      <w:tr>
        <w:trPr>
          <w:trHeight w:val="274"/>
        </w:trPr>
        <w:tc>
          <w:tcPr>
            <w:tcW w:w="5440" w:type="dxa"/>
            <w:vAlign w:val="bottom"/>
          </w:tcPr>
          <w:p>
            <w:pPr>
              <w:ind w:left="40"/>
              <w:spacing w:after="0"/>
              <w:rPr>
                <w:sz w:val="20"/>
                <w:szCs w:val="20"/>
                <w:color w:val="auto"/>
              </w:rPr>
            </w:pPr>
            <w:r>
              <w:rPr>
                <w:rFonts w:ascii="Arial" w:cs="Arial" w:eastAsia="Arial" w:hAnsi="Arial"/>
                <w:sz w:val="20"/>
                <w:szCs w:val="20"/>
                <w:color w:val="auto"/>
              </w:rPr>
              <w:t>U.S. state and local tax expense, net of federal benefit</w:t>
            </w:r>
          </w:p>
        </w:tc>
        <w:tc>
          <w:tcPr>
            <w:tcW w:w="1500" w:type="dxa"/>
            <w:vAlign w:val="bottom"/>
          </w:tcPr>
          <w:p>
            <w:pPr>
              <w:jc w:val="right"/>
              <w:ind w:right="162"/>
              <w:spacing w:after="0"/>
              <w:rPr>
                <w:sz w:val="20"/>
                <w:szCs w:val="20"/>
                <w:color w:val="auto"/>
              </w:rPr>
            </w:pPr>
            <w:r>
              <w:rPr>
                <w:rFonts w:ascii="Arial" w:cs="Arial" w:eastAsia="Arial" w:hAnsi="Arial"/>
                <w:sz w:val="20"/>
                <w:szCs w:val="20"/>
                <w:color w:val="auto"/>
              </w:rPr>
              <w:t>0.9</w:t>
            </w:r>
          </w:p>
        </w:tc>
        <w:tc>
          <w:tcPr>
            <w:tcW w:w="1540" w:type="dxa"/>
            <w:vAlign w:val="bottom"/>
            <w:gridSpan w:val="2"/>
          </w:tcPr>
          <w:p>
            <w:pPr>
              <w:jc w:val="right"/>
              <w:ind w:right="62"/>
              <w:spacing w:after="0"/>
              <w:rPr>
                <w:sz w:val="20"/>
                <w:szCs w:val="20"/>
                <w:color w:val="auto"/>
              </w:rPr>
            </w:pPr>
            <w:r>
              <w:rPr>
                <w:rFonts w:ascii="Arial" w:cs="Arial" w:eastAsia="Arial" w:hAnsi="Arial"/>
                <w:sz w:val="20"/>
                <w:szCs w:val="20"/>
                <w:color w:val="auto"/>
              </w:rPr>
              <w:t>(3.5)</w:t>
            </w:r>
          </w:p>
        </w:tc>
        <w:tc>
          <w:tcPr>
            <w:tcW w:w="1560" w:type="dxa"/>
            <w:vAlign w:val="bottom"/>
            <w:gridSpan w:val="2"/>
          </w:tcPr>
          <w:p>
            <w:pPr>
              <w:jc w:val="right"/>
              <w:ind w:right="82"/>
              <w:spacing w:after="0"/>
              <w:rPr>
                <w:sz w:val="20"/>
                <w:szCs w:val="20"/>
                <w:color w:val="auto"/>
              </w:rPr>
            </w:pPr>
            <w:r>
              <w:rPr>
                <w:rFonts w:ascii="Arial" w:cs="Arial" w:eastAsia="Arial" w:hAnsi="Arial"/>
                <w:sz w:val="20"/>
                <w:szCs w:val="20"/>
                <w:color w:val="auto"/>
              </w:rPr>
              <w:t>(1.4)</w:t>
            </w:r>
          </w:p>
        </w:tc>
      </w:tr>
      <w:tr>
        <w:trPr>
          <w:trHeight w:val="285"/>
        </w:trPr>
        <w:tc>
          <w:tcPr>
            <w:tcW w:w="5440" w:type="dxa"/>
            <w:vAlign w:val="bottom"/>
            <w:shd w:val="clear" w:color="auto" w:fill="E6E6E6"/>
          </w:tcPr>
          <w:p>
            <w:pPr>
              <w:ind w:left="40"/>
              <w:spacing w:after="0"/>
              <w:rPr>
                <w:sz w:val="20"/>
                <w:szCs w:val="20"/>
                <w:color w:val="auto"/>
              </w:rPr>
            </w:pPr>
            <w:r>
              <w:rPr>
                <w:rFonts w:ascii="Arial" w:cs="Arial" w:eastAsia="Arial" w:hAnsi="Arial"/>
                <w:sz w:val="20"/>
                <w:szCs w:val="20"/>
                <w:color w:val="auto"/>
              </w:rPr>
              <w:t>Reserve for uncertain tax positions</w:t>
            </w:r>
          </w:p>
        </w:tc>
        <w:tc>
          <w:tcPr>
            <w:tcW w:w="1500" w:type="dxa"/>
            <w:vAlign w:val="bottom"/>
            <w:shd w:val="clear" w:color="auto" w:fill="E6E6E6"/>
          </w:tcPr>
          <w:p>
            <w:pPr>
              <w:jc w:val="right"/>
              <w:ind w:right="162"/>
              <w:spacing w:after="0"/>
              <w:rPr>
                <w:sz w:val="20"/>
                <w:szCs w:val="20"/>
                <w:color w:val="auto"/>
              </w:rPr>
            </w:pPr>
            <w:r>
              <w:rPr>
                <w:rFonts w:ascii="Arial" w:cs="Arial" w:eastAsia="Arial" w:hAnsi="Arial"/>
                <w:sz w:val="20"/>
                <w:szCs w:val="20"/>
                <w:color w:val="auto"/>
              </w:rPr>
              <w:t>0.7</w:t>
            </w:r>
          </w:p>
        </w:tc>
        <w:tc>
          <w:tcPr>
            <w:tcW w:w="60" w:type="dxa"/>
            <w:vAlign w:val="bottom"/>
            <w:shd w:val="clear" w:color="auto" w:fill="E6E6E6"/>
          </w:tcPr>
          <w:p>
            <w:pPr>
              <w:spacing w:after="0"/>
              <w:rPr>
                <w:sz w:val="24"/>
                <w:szCs w:val="24"/>
                <w:color w:val="auto"/>
              </w:rPr>
            </w:pPr>
          </w:p>
        </w:tc>
        <w:tc>
          <w:tcPr>
            <w:tcW w:w="1480" w:type="dxa"/>
            <w:vAlign w:val="bottom"/>
            <w:shd w:val="clear" w:color="auto" w:fill="E6E6E6"/>
          </w:tcPr>
          <w:p>
            <w:pPr>
              <w:jc w:val="right"/>
              <w:ind w:right="142"/>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1480" w:type="dxa"/>
            <w:vAlign w:val="bottom"/>
            <w:shd w:val="clear" w:color="auto" w:fill="E6E6E6"/>
          </w:tcPr>
          <w:p>
            <w:pPr>
              <w:jc w:val="right"/>
              <w:ind w:right="142"/>
              <w:spacing w:after="0"/>
              <w:rPr>
                <w:sz w:val="20"/>
                <w:szCs w:val="20"/>
                <w:color w:val="auto"/>
              </w:rPr>
            </w:pPr>
            <w:r>
              <w:rPr>
                <w:rFonts w:ascii="Arial" w:cs="Arial" w:eastAsia="Arial" w:hAnsi="Arial"/>
                <w:sz w:val="20"/>
                <w:szCs w:val="20"/>
                <w:color w:val="auto"/>
              </w:rPr>
              <w:t>—</w:t>
            </w:r>
          </w:p>
        </w:tc>
      </w:tr>
      <w:tr>
        <w:trPr>
          <w:trHeight w:val="274"/>
        </w:trPr>
        <w:tc>
          <w:tcPr>
            <w:tcW w:w="5440" w:type="dxa"/>
            <w:vAlign w:val="bottom"/>
          </w:tcPr>
          <w:p>
            <w:pPr>
              <w:ind w:left="40"/>
              <w:spacing w:after="0"/>
              <w:rPr>
                <w:sz w:val="20"/>
                <w:szCs w:val="20"/>
                <w:color w:val="auto"/>
              </w:rPr>
            </w:pPr>
            <w:r>
              <w:rPr>
                <w:rFonts w:ascii="Arial" w:cs="Arial" w:eastAsia="Arial" w:hAnsi="Arial"/>
                <w:sz w:val="20"/>
                <w:szCs w:val="20"/>
                <w:color w:val="auto"/>
              </w:rPr>
              <w:t>Disallowable professional fees</w:t>
            </w:r>
          </w:p>
        </w:tc>
        <w:tc>
          <w:tcPr>
            <w:tcW w:w="1500" w:type="dxa"/>
            <w:vAlign w:val="bottom"/>
          </w:tcPr>
          <w:p>
            <w:pPr>
              <w:jc w:val="right"/>
              <w:ind w:right="162"/>
              <w:spacing w:after="0"/>
              <w:rPr>
                <w:sz w:val="20"/>
                <w:szCs w:val="20"/>
                <w:color w:val="auto"/>
              </w:rPr>
            </w:pPr>
            <w:r>
              <w:rPr>
                <w:rFonts w:ascii="Arial" w:cs="Arial" w:eastAsia="Arial" w:hAnsi="Arial"/>
                <w:sz w:val="20"/>
                <w:szCs w:val="20"/>
                <w:color w:val="auto"/>
              </w:rPr>
              <w:t>0.6</w:t>
            </w:r>
          </w:p>
        </w:tc>
        <w:tc>
          <w:tcPr>
            <w:tcW w:w="1540" w:type="dxa"/>
            <w:vAlign w:val="bottom"/>
            <w:gridSpan w:val="2"/>
          </w:tcPr>
          <w:p>
            <w:pPr>
              <w:jc w:val="right"/>
              <w:ind w:right="62"/>
              <w:spacing w:after="0"/>
              <w:rPr>
                <w:sz w:val="20"/>
                <w:szCs w:val="20"/>
                <w:color w:val="auto"/>
              </w:rPr>
            </w:pPr>
            <w:r>
              <w:rPr>
                <w:rFonts w:ascii="Arial" w:cs="Arial" w:eastAsia="Arial" w:hAnsi="Arial"/>
                <w:sz w:val="20"/>
                <w:szCs w:val="20"/>
                <w:color w:val="auto"/>
              </w:rPr>
              <w:t>(2.6)</w:t>
            </w:r>
          </w:p>
        </w:tc>
        <w:tc>
          <w:tcPr>
            <w:tcW w:w="1560" w:type="dxa"/>
            <w:vAlign w:val="bottom"/>
            <w:gridSpan w:val="2"/>
          </w:tcPr>
          <w:p>
            <w:pPr>
              <w:jc w:val="right"/>
              <w:ind w:right="82"/>
              <w:spacing w:after="0"/>
              <w:rPr>
                <w:sz w:val="20"/>
                <w:szCs w:val="20"/>
                <w:color w:val="auto"/>
              </w:rPr>
            </w:pPr>
            <w:r>
              <w:rPr>
                <w:rFonts w:ascii="Arial" w:cs="Arial" w:eastAsia="Arial" w:hAnsi="Arial"/>
                <w:sz w:val="20"/>
                <w:szCs w:val="20"/>
                <w:color w:val="auto"/>
              </w:rPr>
              <w:t>(0.4)</w:t>
            </w:r>
          </w:p>
        </w:tc>
      </w:tr>
      <w:tr>
        <w:trPr>
          <w:trHeight w:val="285"/>
        </w:trPr>
        <w:tc>
          <w:tcPr>
            <w:tcW w:w="5440" w:type="dxa"/>
            <w:vAlign w:val="bottom"/>
            <w:shd w:val="clear" w:color="auto" w:fill="E6E6E6"/>
          </w:tcPr>
          <w:p>
            <w:pPr>
              <w:ind w:left="40"/>
              <w:spacing w:after="0"/>
              <w:rPr>
                <w:sz w:val="20"/>
                <w:szCs w:val="20"/>
                <w:color w:val="auto"/>
              </w:rPr>
            </w:pPr>
            <w:r>
              <w:rPr>
                <w:rFonts w:ascii="Arial" w:cs="Arial" w:eastAsia="Arial" w:hAnsi="Arial"/>
                <w:sz w:val="20"/>
                <w:szCs w:val="20"/>
                <w:color w:val="auto"/>
              </w:rPr>
              <w:t>Compensation related items</w:t>
            </w:r>
          </w:p>
        </w:tc>
        <w:tc>
          <w:tcPr>
            <w:tcW w:w="1500" w:type="dxa"/>
            <w:vAlign w:val="bottom"/>
            <w:shd w:val="clear" w:color="auto" w:fill="E6E6E6"/>
          </w:tcPr>
          <w:p>
            <w:pPr>
              <w:jc w:val="right"/>
              <w:ind w:right="82"/>
              <w:spacing w:after="0"/>
              <w:rPr>
                <w:sz w:val="20"/>
                <w:szCs w:val="20"/>
                <w:color w:val="auto"/>
              </w:rPr>
            </w:pPr>
            <w:r>
              <w:rPr>
                <w:rFonts w:ascii="Arial" w:cs="Arial" w:eastAsia="Arial" w:hAnsi="Arial"/>
                <w:sz w:val="20"/>
                <w:szCs w:val="20"/>
                <w:color w:val="auto"/>
              </w:rPr>
              <w:t>(0.4)</w:t>
            </w:r>
          </w:p>
        </w:tc>
        <w:tc>
          <w:tcPr>
            <w:tcW w:w="1540" w:type="dxa"/>
            <w:vAlign w:val="bottom"/>
            <w:gridSpan w:val="2"/>
            <w:shd w:val="clear" w:color="auto" w:fill="E6E6E6"/>
          </w:tcPr>
          <w:p>
            <w:pPr>
              <w:jc w:val="right"/>
              <w:ind w:right="142"/>
              <w:spacing w:after="0"/>
              <w:rPr>
                <w:sz w:val="20"/>
                <w:szCs w:val="20"/>
                <w:color w:val="auto"/>
              </w:rPr>
            </w:pPr>
            <w:r>
              <w:rPr>
                <w:rFonts w:ascii="Arial" w:cs="Arial" w:eastAsia="Arial" w:hAnsi="Arial"/>
                <w:sz w:val="20"/>
                <w:szCs w:val="20"/>
                <w:color w:val="auto"/>
              </w:rPr>
              <w:t>1.4</w:t>
            </w:r>
          </w:p>
        </w:tc>
        <w:tc>
          <w:tcPr>
            <w:tcW w:w="1560" w:type="dxa"/>
            <w:vAlign w:val="bottom"/>
            <w:gridSpan w:val="2"/>
            <w:shd w:val="clear" w:color="auto" w:fill="E6E6E6"/>
          </w:tcPr>
          <w:p>
            <w:pPr>
              <w:jc w:val="right"/>
              <w:ind w:right="82"/>
              <w:spacing w:after="0"/>
              <w:rPr>
                <w:sz w:val="20"/>
                <w:szCs w:val="20"/>
                <w:color w:val="auto"/>
              </w:rPr>
            </w:pPr>
            <w:r>
              <w:rPr>
                <w:rFonts w:ascii="Arial" w:cs="Arial" w:eastAsia="Arial" w:hAnsi="Arial"/>
                <w:sz w:val="20"/>
                <w:szCs w:val="20"/>
                <w:color w:val="auto"/>
              </w:rPr>
              <w:t>(0.1)</w:t>
            </w:r>
          </w:p>
        </w:tc>
      </w:tr>
      <w:tr>
        <w:trPr>
          <w:trHeight w:val="274"/>
        </w:trPr>
        <w:tc>
          <w:tcPr>
            <w:tcW w:w="5440" w:type="dxa"/>
            <w:vAlign w:val="bottom"/>
          </w:tcPr>
          <w:p>
            <w:pPr>
              <w:ind w:left="40"/>
              <w:spacing w:after="0"/>
              <w:rPr>
                <w:sz w:val="20"/>
                <w:szCs w:val="20"/>
                <w:color w:val="auto"/>
              </w:rPr>
            </w:pPr>
            <w:r>
              <w:rPr>
                <w:rFonts w:ascii="Arial" w:cs="Arial" w:eastAsia="Arial" w:hAnsi="Arial"/>
                <w:sz w:val="20"/>
                <w:szCs w:val="20"/>
                <w:color w:val="auto"/>
              </w:rPr>
              <w:t>Effect of changes in tax rate</w:t>
            </w:r>
          </w:p>
        </w:tc>
        <w:tc>
          <w:tcPr>
            <w:tcW w:w="1500" w:type="dxa"/>
            <w:vAlign w:val="bottom"/>
          </w:tcPr>
          <w:p>
            <w:pPr>
              <w:jc w:val="right"/>
              <w:ind w:right="162"/>
              <w:spacing w:after="0"/>
              <w:rPr>
                <w:sz w:val="20"/>
                <w:szCs w:val="20"/>
                <w:color w:val="auto"/>
              </w:rPr>
            </w:pPr>
            <w:r>
              <w:rPr>
                <w:rFonts w:ascii="Arial" w:cs="Arial" w:eastAsia="Arial" w:hAnsi="Arial"/>
                <w:sz w:val="20"/>
                <w:szCs w:val="20"/>
                <w:color w:val="auto"/>
              </w:rPr>
              <w:t>—</w:t>
            </w:r>
          </w:p>
        </w:tc>
        <w:tc>
          <w:tcPr>
            <w:tcW w:w="1540" w:type="dxa"/>
            <w:vAlign w:val="bottom"/>
            <w:gridSpan w:val="2"/>
          </w:tcPr>
          <w:p>
            <w:pPr>
              <w:jc w:val="right"/>
              <w:ind w:right="142"/>
              <w:spacing w:after="0"/>
              <w:rPr>
                <w:sz w:val="20"/>
                <w:szCs w:val="20"/>
                <w:color w:val="auto"/>
              </w:rPr>
            </w:pPr>
            <w:r>
              <w:rPr>
                <w:rFonts w:ascii="Arial" w:cs="Arial" w:eastAsia="Arial" w:hAnsi="Arial"/>
                <w:sz w:val="20"/>
                <w:szCs w:val="20"/>
                <w:color w:val="auto"/>
              </w:rPr>
              <w:t>1.2</w:t>
            </w:r>
          </w:p>
        </w:tc>
        <w:tc>
          <w:tcPr>
            <w:tcW w:w="1560" w:type="dxa"/>
            <w:vAlign w:val="bottom"/>
            <w:gridSpan w:val="2"/>
          </w:tcPr>
          <w:p>
            <w:pPr>
              <w:jc w:val="right"/>
              <w:ind w:right="142"/>
              <w:spacing w:after="0"/>
              <w:rPr>
                <w:sz w:val="20"/>
                <w:szCs w:val="20"/>
                <w:color w:val="auto"/>
              </w:rPr>
            </w:pPr>
            <w:r>
              <w:rPr>
                <w:rFonts w:ascii="Arial" w:cs="Arial" w:eastAsia="Arial" w:hAnsi="Arial"/>
                <w:sz w:val="20"/>
                <w:szCs w:val="20"/>
                <w:color w:val="auto"/>
              </w:rPr>
              <w:t>6.2</w:t>
            </w:r>
          </w:p>
        </w:tc>
      </w:tr>
      <w:tr>
        <w:trPr>
          <w:trHeight w:val="285"/>
        </w:trPr>
        <w:tc>
          <w:tcPr>
            <w:tcW w:w="5440" w:type="dxa"/>
            <w:vAlign w:val="bottom"/>
            <w:shd w:val="clear" w:color="auto" w:fill="E6E6E6"/>
          </w:tcPr>
          <w:p>
            <w:pPr>
              <w:ind w:left="40"/>
              <w:spacing w:after="0"/>
              <w:rPr>
                <w:sz w:val="20"/>
                <w:szCs w:val="20"/>
                <w:color w:val="auto"/>
              </w:rPr>
            </w:pPr>
            <w:r>
              <w:rPr>
                <w:rFonts w:ascii="Arial" w:cs="Arial" w:eastAsia="Arial" w:hAnsi="Arial"/>
                <w:sz w:val="20"/>
                <w:szCs w:val="20"/>
                <w:color w:val="auto"/>
              </w:rPr>
              <w:t>Base erosion anti-abuse tax</w:t>
            </w:r>
          </w:p>
        </w:tc>
        <w:tc>
          <w:tcPr>
            <w:tcW w:w="1500" w:type="dxa"/>
            <w:vAlign w:val="bottom"/>
            <w:shd w:val="clear" w:color="auto" w:fill="E6E6E6"/>
          </w:tcPr>
          <w:p>
            <w:pPr>
              <w:jc w:val="right"/>
              <w:ind w:right="162"/>
              <w:spacing w:after="0"/>
              <w:rPr>
                <w:sz w:val="20"/>
                <w:szCs w:val="20"/>
                <w:color w:val="auto"/>
              </w:rPr>
            </w:pPr>
            <w:r>
              <w:rPr>
                <w:rFonts w:ascii="Arial" w:cs="Arial" w:eastAsia="Arial" w:hAnsi="Arial"/>
                <w:sz w:val="20"/>
                <w:szCs w:val="20"/>
                <w:color w:val="auto"/>
              </w:rPr>
              <w:t>—</w:t>
            </w:r>
          </w:p>
        </w:tc>
        <w:tc>
          <w:tcPr>
            <w:tcW w:w="60" w:type="dxa"/>
            <w:vAlign w:val="bottom"/>
            <w:shd w:val="clear" w:color="auto" w:fill="E6E6E6"/>
          </w:tcPr>
          <w:p>
            <w:pPr>
              <w:spacing w:after="0"/>
              <w:rPr>
                <w:sz w:val="24"/>
                <w:szCs w:val="24"/>
                <w:color w:val="auto"/>
              </w:rPr>
            </w:pPr>
          </w:p>
        </w:tc>
        <w:tc>
          <w:tcPr>
            <w:tcW w:w="1480" w:type="dxa"/>
            <w:vAlign w:val="bottom"/>
            <w:shd w:val="clear" w:color="auto" w:fill="E6E6E6"/>
          </w:tcPr>
          <w:p>
            <w:pPr>
              <w:jc w:val="right"/>
              <w:ind w:right="142"/>
              <w:spacing w:after="0"/>
              <w:rPr>
                <w:sz w:val="20"/>
                <w:szCs w:val="20"/>
                <w:color w:val="auto"/>
              </w:rPr>
            </w:pPr>
            <w:r>
              <w:rPr>
                <w:rFonts w:ascii="Arial" w:cs="Arial" w:eastAsia="Arial" w:hAnsi="Arial"/>
                <w:sz w:val="20"/>
                <w:szCs w:val="20"/>
                <w:color w:val="auto"/>
              </w:rPr>
              <w:t>—</w:t>
            </w:r>
          </w:p>
        </w:tc>
        <w:tc>
          <w:tcPr>
            <w:tcW w:w="1560" w:type="dxa"/>
            <w:vAlign w:val="bottom"/>
            <w:gridSpan w:val="2"/>
            <w:shd w:val="clear" w:color="auto" w:fill="E6E6E6"/>
          </w:tcPr>
          <w:p>
            <w:pPr>
              <w:jc w:val="right"/>
              <w:ind w:right="82"/>
              <w:spacing w:after="0"/>
              <w:rPr>
                <w:sz w:val="20"/>
                <w:szCs w:val="20"/>
                <w:color w:val="auto"/>
              </w:rPr>
            </w:pPr>
            <w:r>
              <w:rPr>
                <w:rFonts w:ascii="Arial" w:cs="Arial" w:eastAsia="Arial" w:hAnsi="Arial"/>
                <w:sz w:val="20"/>
                <w:szCs w:val="20"/>
                <w:color w:val="auto"/>
              </w:rPr>
              <w:t>(2.9)</w:t>
            </w:r>
          </w:p>
        </w:tc>
      </w:tr>
      <w:tr>
        <w:trPr>
          <w:trHeight w:val="269"/>
        </w:trPr>
        <w:tc>
          <w:tcPr>
            <w:tcW w:w="5440" w:type="dxa"/>
            <w:vAlign w:val="bottom"/>
            <w:tcBorders>
              <w:bottom w:val="single" w:sz="8" w:color="E6E6E6"/>
            </w:tcBorders>
          </w:tcPr>
          <w:p>
            <w:pPr>
              <w:ind w:left="40"/>
              <w:spacing w:after="0"/>
              <w:rPr>
                <w:sz w:val="20"/>
                <w:szCs w:val="20"/>
                <w:color w:val="auto"/>
              </w:rPr>
            </w:pPr>
            <w:r>
              <w:rPr>
                <w:rFonts w:ascii="Arial" w:cs="Arial" w:eastAsia="Arial" w:hAnsi="Arial"/>
                <w:sz w:val="20"/>
                <w:szCs w:val="20"/>
                <w:color w:val="auto"/>
              </w:rPr>
              <w:t>Other, net</w:t>
            </w:r>
          </w:p>
        </w:tc>
        <w:tc>
          <w:tcPr>
            <w:tcW w:w="1500" w:type="dxa"/>
            <w:vAlign w:val="bottom"/>
            <w:tcBorders>
              <w:bottom w:val="single" w:sz="8" w:color="auto"/>
            </w:tcBorders>
          </w:tcPr>
          <w:p>
            <w:pPr>
              <w:jc w:val="right"/>
              <w:ind w:right="82"/>
              <w:spacing w:after="0"/>
              <w:rPr>
                <w:sz w:val="20"/>
                <w:szCs w:val="20"/>
                <w:color w:val="auto"/>
              </w:rPr>
            </w:pPr>
            <w:r>
              <w:rPr>
                <w:rFonts w:ascii="Arial" w:cs="Arial" w:eastAsia="Arial" w:hAnsi="Arial"/>
                <w:sz w:val="20"/>
                <w:szCs w:val="20"/>
                <w:color w:val="auto"/>
              </w:rPr>
              <w:t>(0.3)</w:t>
            </w:r>
          </w:p>
        </w:tc>
        <w:tc>
          <w:tcPr>
            <w:tcW w:w="60" w:type="dxa"/>
            <w:vAlign w:val="bottom"/>
            <w:tcBorders>
              <w:bottom w:val="single" w:sz="8" w:color="E6E6E6"/>
            </w:tcBorders>
          </w:tcPr>
          <w:p>
            <w:pPr>
              <w:spacing w:after="0"/>
              <w:rPr>
                <w:sz w:val="23"/>
                <w:szCs w:val="23"/>
                <w:color w:val="auto"/>
              </w:rPr>
            </w:pPr>
          </w:p>
        </w:tc>
        <w:tc>
          <w:tcPr>
            <w:tcW w:w="1480" w:type="dxa"/>
            <w:vAlign w:val="bottom"/>
            <w:tcBorders>
              <w:bottom w:val="single" w:sz="8" w:color="auto"/>
            </w:tcBorders>
          </w:tcPr>
          <w:p>
            <w:pPr>
              <w:jc w:val="right"/>
              <w:ind w:right="62"/>
              <w:spacing w:after="0"/>
              <w:rPr>
                <w:sz w:val="20"/>
                <w:szCs w:val="20"/>
                <w:color w:val="auto"/>
              </w:rPr>
            </w:pPr>
            <w:r>
              <w:rPr>
                <w:rFonts w:ascii="Arial" w:cs="Arial" w:eastAsia="Arial" w:hAnsi="Arial"/>
                <w:sz w:val="20"/>
                <w:szCs w:val="20"/>
                <w:color w:val="auto"/>
              </w:rPr>
              <w:t>(1.2)</w:t>
            </w:r>
          </w:p>
        </w:tc>
        <w:tc>
          <w:tcPr>
            <w:tcW w:w="80" w:type="dxa"/>
            <w:vAlign w:val="bottom"/>
            <w:tcBorders>
              <w:bottom w:val="single" w:sz="8" w:color="E6E6E6"/>
            </w:tcBorders>
          </w:tcPr>
          <w:p>
            <w:pPr>
              <w:spacing w:after="0"/>
              <w:rPr>
                <w:sz w:val="23"/>
                <w:szCs w:val="23"/>
                <w:color w:val="auto"/>
              </w:rPr>
            </w:pPr>
          </w:p>
        </w:tc>
        <w:tc>
          <w:tcPr>
            <w:tcW w:w="1480" w:type="dxa"/>
            <w:vAlign w:val="bottom"/>
            <w:tcBorders>
              <w:bottom w:val="single" w:sz="8" w:color="auto"/>
            </w:tcBorders>
          </w:tcPr>
          <w:p>
            <w:pPr>
              <w:jc w:val="right"/>
              <w:ind w:right="82"/>
              <w:spacing w:after="0"/>
              <w:rPr>
                <w:sz w:val="20"/>
                <w:szCs w:val="20"/>
                <w:color w:val="auto"/>
              </w:rPr>
            </w:pPr>
            <w:r>
              <w:rPr>
                <w:rFonts w:ascii="Arial" w:cs="Arial" w:eastAsia="Arial" w:hAnsi="Arial"/>
                <w:sz w:val="20"/>
                <w:szCs w:val="20"/>
                <w:color w:val="auto"/>
              </w:rPr>
              <w:t>(0.5)</w:t>
            </w:r>
          </w:p>
        </w:tc>
      </w:tr>
      <w:tr>
        <w:trPr>
          <w:trHeight w:val="279"/>
        </w:trPr>
        <w:tc>
          <w:tcPr>
            <w:tcW w:w="54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Effective tax rate</w:t>
            </w:r>
          </w:p>
        </w:tc>
        <w:tc>
          <w:tcPr>
            <w:tcW w:w="15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28.4 %</w:t>
            </w:r>
          </w:p>
        </w:tc>
        <w:tc>
          <w:tcPr>
            <w:tcW w:w="60" w:type="dxa"/>
            <w:vAlign w:val="bottom"/>
            <w:tcBorders>
              <w:bottom w:val="single" w:sz="8" w:color="E6E6E6"/>
            </w:tcBorders>
            <w:shd w:val="clear" w:color="auto" w:fill="E6E6E6"/>
          </w:tcPr>
          <w:p>
            <w:pPr>
              <w:spacing w:after="0"/>
              <w:rPr>
                <w:sz w:val="24"/>
                <w:szCs w:val="24"/>
                <w:color w:val="auto"/>
              </w:rPr>
            </w:pPr>
          </w:p>
        </w:tc>
        <w:tc>
          <w:tcPr>
            <w:tcW w:w="14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121.7 %</w:t>
            </w:r>
          </w:p>
        </w:tc>
        <w:tc>
          <w:tcPr>
            <w:tcW w:w="80" w:type="dxa"/>
            <w:vAlign w:val="bottom"/>
            <w:tcBorders>
              <w:bottom w:val="single" w:sz="8" w:color="E6E6E6"/>
            </w:tcBorders>
            <w:shd w:val="clear" w:color="auto" w:fill="E6E6E6"/>
          </w:tcPr>
          <w:p>
            <w:pPr>
              <w:spacing w:after="0"/>
              <w:rPr>
                <w:sz w:val="24"/>
                <w:szCs w:val="24"/>
                <w:color w:val="auto"/>
              </w:rPr>
            </w:pPr>
          </w:p>
        </w:tc>
        <w:tc>
          <w:tcPr>
            <w:tcW w:w="14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-2691130</wp:posOffset>
            </wp:positionV>
            <wp:extent cx="294703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30">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-208280</wp:posOffset>
            </wp:positionV>
            <wp:extent cx="294703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31">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-43180</wp:posOffset>
            </wp:positionV>
            <wp:extent cx="2947035" cy="501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32">
                      <a:extLst>
                        <a:ext uri="{28A0092B-C50C-407E-A947-70E740481C1C}"/>
                      </a:extLst>
                    </a:blip>
                    <a:srcRect/>
                    <a:stretch>
                      <a:fillRect/>
                    </a:stretch>
                  </pic:blipFill>
                  <pic:spPr bwMode="auto">
                    <a:xfrm>
                      <a:off x="0" y="0"/>
                      <a:ext cx="2947035" cy="50165"/>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Deferred Income Tax Assets and Liabilities</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presents the significant components of LivaNova’s deferred tax assets and liabilities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0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rPr>
              <w:t>December 31,</w:t>
            </w:r>
          </w:p>
        </w:tc>
        <w:tc>
          <w:tcPr>
            <w:tcW w:w="940" w:type="dxa"/>
            <w:vAlign w:val="bottom"/>
            <w:tcBorders>
              <w:bottom w:val="single" w:sz="8" w:color="auto"/>
            </w:tcBorders>
          </w:tcPr>
          <w:p>
            <w:pPr>
              <w:spacing w:after="0"/>
              <w:rPr>
                <w:sz w:val="22"/>
                <w:szCs w:val="22"/>
                <w:color w:val="auto"/>
              </w:rPr>
            </w:pPr>
          </w:p>
        </w:tc>
      </w:tr>
      <w:tr>
        <w:trPr>
          <w:trHeight w:val="260"/>
        </w:trPr>
        <w:tc>
          <w:tcPr>
            <w:tcW w:w="70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w w:val="85"/>
              </w:rPr>
              <w:t>2023</w:t>
            </w:r>
          </w:p>
        </w:tc>
      </w:tr>
      <w:tr>
        <w:trPr>
          <w:trHeight w:val="247"/>
        </w:trPr>
        <w:tc>
          <w:tcPr>
            <w:tcW w:w="7000" w:type="dxa"/>
            <w:vAlign w:val="bottom"/>
          </w:tcPr>
          <w:p>
            <w:pPr>
              <w:ind w:left="40"/>
              <w:spacing w:after="0"/>
              <w:rPr>
                <w:sz w:val="20"/>
                <w:szCs w:val="20"/>
                <w:color w:val="auto"/>
              </w:rPr>
            </w:pPr>
            <w:r>
              <w:rPr>
                <w:rFonts w:ascii="Arial" w:cs="Arial" w:eastAsia="Arial" w:hAnsi="Arial"/>
                <w:sz w:val="20"/>
                <w:szCs w:val="20"/>
                <w:color w:val="auto"/>
              </w:rPr>
              <w:t>Deferred tax assets: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2"/>
        </w:trPr>
        <w:tc>
          <w:tcPr>
            <w:tcW w:w="7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79"/>
        </w:trPr>
        <w:tc>
          <w:tcPr>
            <w:tcW w:w="7000" w:type="dxa"/>
            <w:vAlign w:val="bottom"/>
            <w:shd w:val="clear" w:color="auto" w:fill="E6E6E6"/>
          </w:tcPr>
          <w:p>
            <w:pPr>
              <w:ind w:left="180"/>
              <w:spacing w:after="0"/>
              <w:rPr>
                <w:sz w:val="20"/>
                <w:szCs w:val="20"/>
                <w:color w:val="auto"/>
              </w:rPr>
            </w:pPr>
            <w:r>
              <w:rPr>
                <w:rFonts w:ascii="Arial" w:cs="Arial" w:eastAsia="Arial" w:hAnsi="Arial"/>
                <w:sz w:val="20"/>
                <w:szCs w:val="20"/>
                <w:color w:val="auto"/>
              </w:rPr>
              <w:t>Net operating loss carryforwards</w:t>
            </w:r>
          </w:p>
        </w:tc>
        <w:tc>
          <w:tcPr>
            <w:tcW w:w="360" w:type="dxa"/>
            <w:vAlign w:val="bottom"/>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114,678</w:t>
            </w:r>
          </w:p>
        </w:tc>
        <w:tc>
          <w:tcPr>
            <w:tcW w:w="620" w:type="dxa"/>
            <w:vAlign w:val="bottom"/>
            <w:gridSpan w:val="2"/>
            <w:shd w:val="clear" w:color="auto" w:fill="E6E6E6"/>
          </w:tcPr>
          <w:p>
            <w:pPr>
              <w:jc w:val="right"/>
              <w:ind w:right="380"/>
              <w:spacing w:after="0"/>
              <w:rPr>
                <w:sz w:val="20"/>
                <w:szCs w:val="20"/>
                <w:color w:val="auto"/>
              </w:rPr>
            </w:pPr>
            <w:r>
              <w:rPr>
                <w:rFonts w:ascii="Arial" w:cs="Arial" w:eastAsia="Arial" w:hAnsi="Arial"/>
                <w:sz w:val="20"/>
                <w:szCs w:val="20"/>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130,097</w:t>
            </w:r>
          </w:p>
        </w:tc>
      </w:tr>
      <w:tr>
        <w:trPr>
          <w:trHeight w:val="274"/>
        </w:trPr>
        <w:tc>
          <w:tcPr>
            <w:tcW w:w="7000" w:type="dxa"/>
            <w:vAlign w:val="bottom"/>
          </w:tcPr>
          <w:p>
            <w:pPr>
              <w:ind w:left="180"/>
              <w:spacing w:after="0"/>
              <w:rPr>
                <w:sz w:val="20"/>
                <w:szCs w:val="20"/>
                <w:color w:val="auto"/>
              </w:rPr>
            </w:pPr>
            <w:r>
              <w:rPr>
                <w:rFonts w:ascii="Arial" w:cs="Arial" w:eastAsia="Arial" w:hAnsi="Arial"/>
                <w:sz w:val="20"/>
                <w:szCs w:val="20"/>
                <w:color w:val="auto"/>
              </w:rPr>
              <w:t>Interest expense carryforward</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93,072</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87,308</w:t>
            </w:r>
          </w:p>
        </w:tc>
      </w:tr>
      <w:tr>
        <w:trPr>
          <w:trHeight w:val="285"/>
        </w:trPr>
        <w:tc>
          <w:tcPr>
            <w:tcW w:w="7000" w:type="dxa"/>
            <w:vAlign w:val="bottom"/>
            <w:shd w:val="clear" w:color="auto" w:fill="E6E6E6"/>
          </w:tcPr>
          <w:p>
            <w:pPr>
              <w:ind w:left="180"/>
              <w:spacing w:after="0"/>
              <w:rPr>
                <w:sz w:val="20"/>
                <w:szCs w:val="20"/>
                <w:color w:val="auto"/>
              </w:rPr>
            </w:pPr>
            <w:r>
              <w:rPr>
                <w:rFonts w:ascii="Arial" w:cs="Arial" w:eastAsia="Arial" w:hAnsi="Arial"/>
                <w:sz w:val="20"/>
                <w:szCs w:val="20"/>
                <w:color w:val="auto"/>
              </w:rPr>
              <w:t>Accruals and reserves</w:t>
            </w:r>
          </w:p>
        </w:tc>
        <w:tc>
          <w:tcPr>
            <w:tcW w:w="3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31,284</w:t>
            </w:r>
          </w:p>
        </w:tc>
        <w:tc>
          <w:tcPr>
            <w:tcW w:w="80" w:type="dxa"/>
            <w:vAlign w:val="bottom"/>
            <w:shd w:val="clear" w:color="auto" w:fill="E6E6E6"/>
          </w:tcPr>
          <w:p>
            <w:pPr>
              <w:spacing w:after="0"/>
              <w:rPr>
                <w:sz w:val="24"/>
                <w:szCs w:val="24"/>
                <w:color w:val="auto"/>
              </w:rPr>
            </w:pPr>
          </w:p>
        </w:tc>
        <w:tc>
          <w:tcPr>
            <w:tcW w:w="54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33,911</w:t>
            </w:r>
          </w:p>
        </w:tc>
      </w:tr>
      <w:tr>
        <w:trPr>
          <w:trHeight w:val="274"/>
        </w:trPr>
        <w:tc>
          <w:tcPr>
            <w:tcW w:w="7000" w:type="dxa"/>
            <w:vAlign w:val="bottom"/>
          </w:tcPr>
          <w:p>
            <w:pPr>
              <w:ind w:left="180"/>
              <w:spacing w:after="0"/>
              <w:rPr>
                <w:sz w:val="20"/>
                <w:szCs w:val="20"/>
                <w:color w:val="auto"/>
              </w:rPr>
            </w:pPr>
            <w:r>
              <w:rPr>
                <w:rFonts w:ascii="Arial" w:cs="Arial" w:eastAsia="Arial" w:hAnsi="Arial"/>
                <w:sz w:val="20"/>
                <w:szCs w:val="20"/>
                <w:color w:val="auto"/>
              </w:rPr>
              <w:t>Capitalized/Deferred R&amp;D</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30,819</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26,744</w:t>
            </w:r>
          </w:p>
        </w:tc>
      </w:tr>
      <w:tr>
        <w:trPr>
          <w:trHeight w:val="285"/>
        </w:trPr>
        <w:tc>
          <w:tcPr>
            <w:tcW w:w="7000" w:type="dxa"/>
            <w:vAlign w:val="bottom"/>
            <w:shd w:val="clear" w:color="auto" w:fill="E6E6E6"/>
          </w:tcPr>
          <w:p>
            <w:pPr>
              <w:ind w:left="180"/>
              <w:spacing w:after="0"/>
              <w:rPr>
                <w:sz w:val="20"/>
                <w:szCs w:val="20"/>
                <w:color w:val="auto"/>
              </w:rPr>
            </w:pPr>
            <w:r>
              <w:rPr>
                <w:rFonts w:ascii="Arial" w:cs="Arial" w:eastAsia="Arial" w:hAnsi="Arial"/>
                <w:sz w:val="20"/>
                <w:szCs w:val="20"/>
                <w:color w:val="auto"/>
              </w:rPr>
              <w:t>Tax credit carryforwards</w:t>
            </w:r>
          </w:p>
        </w:tc>
        <w:tc>
          <w:tcPr>
            <w:tcW w:w="3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27,801</w:t>
            </w:r>
          </w:p>
        </w:tc>
        <w:tc>
          <w:tcPr>
            <w:tcW w:w="80" w:type="dxa"/>
            <w:vAlign w:val="bottom"/>
            <w:shd w:val="clear" w:color="auto" w:fill="E6E6E6"/>
          </w:tcPr>
          <w:p>
            <w:pPr>
              <w:spacing w:after="0"/>
              <w:rPr>
                <w:sz w:val="24"/>
                <w:szCs w:val="24"/>
                <w:color w:val="auto"/>
              </w:rPr>
            </w:pPr>
          </w:p>
        </w:tc>
        <w:tc>
          <w:tcPr>
            <w:tcW w:w="54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39,732</w:t>
            </w:r>
          </w:p>
        </w:tc>
      </w:tr>
      <w:tr>
        <w:trPr>
          <w:trHeight w:val="274"/>
        </w:trPr>
        <w:tc>
          <w:tcPr>
            <w:tcW w:w="7000" w:type="dxa"/>
            <w:vAlign w:val="bottom"/>
          </w:tcPr>
          <w:p>
            <w:pPr>
              <w:ind w:left="180"/>
              <w:spacing w:after="0"/>
              <w:rPr>
                <w:sz w:val="20"/>
                <w:szCs w:val="20"/>
                <w:color w:val="auto"/>
              </w:rPr>
            </w:pPr>
            <w:r>
              <w:rPr>
                <w:rFonts w:ascii="Arial" w:cs="Arial" w:eastAsia="Arial" w:hAnsi="Arial"/>
                <w:sz w:val="20"/>
                <w:szCs w:val="20"/>
                <w:color w:val="auto"/>
              </w:rPr>
              <w:t>Deferred compensation</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15,428</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16,565</w:t>
            </w:r>
          </w:p>
        </w:tc>
      </w:tr>
      <w:tr>
        <w:trPr>
          <w:trHeight w:val="285"/>
        </w:trPr>
        <w:tc>
          <w:tcPr>
            <w:tcW w:w="7000" w:type="dxa"/>
            <w:vAlign w:val="bottom"/>
            <w:shd w:val="clear" w:color="auto" w:fill="E6E6E6"/>
          </w:tcPr>
          <w:p>
            <w:pPr>
              <w:ind w:left="180"/>
              <w:spacing w:after="0"/>
              <w:rPr>
                <w:sz w:val="20"/>
                <w:szCs w:val="20"/>
                <w:color w:val="auto"/>
              </w:rPr>
            </w:pPr>
            <w:r>
              <w:rPr>
                <w:rFonts w:ascii="Arial" w:cs="Arial" w:eastAsia="Arial" w:hAnsi="Arial"/>
                <w:sz w:val="20"/>
                <w:szCs w:val="20"/>
                <w:color w:val="auto"/>
              </w:rPr>
              <w:t>Inventories</w:t>
            </w:r>
          </w:p>
        </w:tc>
        <w:tc>
          <w:tcPr>
            <w:tcW w:w="3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10,698</w:t>
            </w:r>
          </w:p>
        </w:tc>
        <w:tc>
          <w:tcPr>
            <w:tcW w:w="80" w:type="dxa"/>
            <w:vAlign w:val="bottom"/>
            <w:shd w:val="clear" w:color="auto" w:fill="E6E6E6"/>
          </w:tcPr>
          <w:p>
            <w:pPr>
              <w:spacing w:after="0"/>
              <w:rPr>
                <w:sz w:val="24"/>
                <w:szCs w:val="24"/>
                <w:color w:val="auto"/>
              </w:rPr>
            </w:pPr>
          </w:p>
        </w:tc>
        <w:tc>
          <w:tcPr>
            <w:tcW w:w="54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13,584</w:t>
            </w:r>
          </w:p>
        </w:tc>
      </w:tr>
      <w:tr>
        <w:trPr>
          <w:trHeight w:val="269"/>
        </w:trPr>
        <w:tc>
          <w:tcPr>
            <w:tcW w:w="7000" w:type="dxa"/>
            <w:vAlign w:val="bottom"/>
            <w:tcBorders>
              <w:bottom w:val="single" w:sz="8" w:color="E6E6E6"/>
            </w:tcBorders>
          </w:tcPr>
          <w:p>
            <w:pPr>
              <w:ind w:left="180"/>
              <w:spacing w:after="0"/>
              <w:rPr>
                <w:sz w:val="20"/>
                <w:szCs w:val="20"/>
                <w:color w:val="auto"/>
              </w:rPr>
            </w:pPr>
            <w:r>
              <w:rPr>
                <w:rFonts w:ascii="Arial" w:cs="Arial" w:eastAsia="Arial" w:hAnsi="Arial"/>
                <w:sz w:val="20"/>
                <w:szCs w:val="20"/>
                <w:color w:val="auto"/>
              </w:rPr>
              <w:t>Other</w:t>
            </w: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1,012</w:t>
            </w:r>
          </w:p>
        </w:tc>
        <w:tc>
          <w:tcPr>
            <w:tcW w:w="80" w:type="dxa"/>
            <w:vAlign w:val="bottom"/>
            <w:tcBorders>
              <w:bottom w:val="single" w:sz="8" w:color="E6E6E6"/>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3,970</w:t>
            </w:r>
          </w:p>
        </w:tc>
      </w:tr>
      <w:tr>
        <w:trPr>
          <w:trHeight w:val="269"/>
        </w:trPr>
        <w:tc>
          <w:tcPr>
            <w:tcW w:w="7000" w:type="dxa"/>
            <w:vAlign w:val="bottom"/>
            <w:shd w:val="clear" w:color="auto" w:fill="E6E6E6"/>
          </w:tcPr>
          <w:p>
            <w:pPr>
              <w:ind w:left="180"/>
              <w:spacing w:after="0"/>
              <w:rPr>
                <w:sz w:val="20"/>
                <w:szCs w:val="20"/>
                <w:color w:val="auto"/>
              </w:rPr>
            </w:pPr>
            <w:r>
              <w:rPr>
                <w:rFonts w:ascii="Arial" w:cs="Arial" w:eastAsia="Arial" w:hAnsi="Arial"/>
                <w:sz w:val="20"/>
                <w:szCs w:val="20"/>
                <w:color w:val="auto"/>
              </w:rPr>
              <w:t>Gross deferred tax assets</w:t>
            </w:r>
          </w:p>
        </w:tc>
        <w:tc>
          <w:tcPr>
            <w:tcW w:w="360" w:type="dxa"/>
            <w:vAlign w:val="bottom"/>
            <w:shd w:val="clear" w:color="auto" w:fill="E6E6E6"/>
          </w:tcPr>
          <w:p>
            <w:pPr>
              <w:spacing w:after="0"/>
              <w:rPr>
                <w:sz w:val="23"/>
                <w:szCs w:val="23"/>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324,792</w:t>
            </w:r>
          </w:p>
        </w:tc>
        <w:tc>
          <w:tcPr>
            <w:tcW w:w="80" w:type="dxa"/>
            <w:vAlign w:val="bottom"/>
            <w:shd w:val="clear" w:color="auto" w:fill="E6E6E6"/>
          </w:tcPr>
          <w:p>
            <w:pPr>
              <w:spacing w:after="0"/>
              <w:rPr>
                <w:sz w:val="23"/>
                <w:szCs w:val="23"/>
                <w:color w:val="auto"/>
              </w:rPr>
            </w:pPr>
          </w:p>
        </w:tc>
        <w:tc>
          <w:tcPr>
            <w:tcW w:w="540" w:type="dxa"/>
            <w:vAlign w:val="bottom"/>
            <w:shd w:val="clear" w:color="auto" w:fill="E6E6E6"/>
          </w:tcPr>
          <w:p>
            <w:pPr>
              <w:spacing w:after="0"/>
              <w:rPr>
                <w:sz w:val="23"/>
                <w:szCs w:val="23"/>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351,911</w:t>
            </w:r>
          </w:p>
        </w:tc>
      </w:tr>
      <w:tr>
        <w:trPr>
          <w:trHeight w:val="269"/>
        </w:trPr>
        <w:tc>
          <w:tcPr>
            <w:tcW w:w="7000" w:type="dxa"/>
            <w:vAlign w:val="bottom"/>
            <w:tcBorders>
              <w:bottom w:val="single" w:sz="8" w:color="E6E6E6"/>
            </w:tcBorders>
          </w:tcPr>
          <w:p>
            <w:pPr>
              <w:ind w:left="180"/>
              <w:spacing w:after="0"/>
              <w:rPr>
                <w:sz w:val="20"/>
                <w:szCs w:val="20"/>
                <w:color w:val="auto"/>
              </w:rPr>
            </w:pPr>
            <w:r>
              <w:rPr>
                <w:rFonts w:ascii="Arial" w:cs="Arial" w:eastAsia="Arial" w:hAnsi="Arial"/>
                <w:sz w:val="20"/>
                <w:szCs w:val="20"/>
                <w:color w:val="auto"/>
              </w:rPr>
              <w:t>Valuation allowance</w:t>
            </w: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(158,823)</w:t>
            </w:r>
          </w:p>
        </w:tc>
        <w:tc>
          <w:tcPr>
            <w:tcW w:w="80" w:type="dxa"/>
            <w:vAlign w:val="bottom"/>
            <w:tcBorders>
              <w:bottom w:val="single" w:sz="8" w:color="E6E6E6"/>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(182,464)</w:t>
            </w:r>
          </w:p>
        </w:tc>
      </w:tr>
      <w:tr>
        <w:trPr>
          <w:trHeight w:val="269"/>
        </w:trPr>
        <w:tc>
          <w:tcPr>
            <w:tcW w:w="7000" w:type="dxa"/>
            <w:vAlign w:val="bottom"/>
            <w:shd w:val="clear" w:color="auto" w:fill="E6E6E6"/>
          </w:tcPr>
          <w:p>
            <w:pPr>
              <w:ind w:left="180"/>
              <w:spacing w:after="0"/>
              <w:rPr>
                <w:sz w:val="20"/>
                <w:szCs w:val="20"/>
                <w:color w:val="auto"/>
              </w:rPr>
            </w:pPr>
            <w:r>
              <w:rPr>
                <w:rFonts w:ascii="Arial" w:cs="Arial" w:eastAsia="Arial" w:hAnsi="Arial"/>
                <w:sz w:val="20"/>
                <w:szCs w:val="20"/>
                <w:color w:val="auto"/>
              </w:rPr>
              <w:t>Net deferred tax assets</w:t>
            </w:r>
          </w:p>
        </w:tc>
        <w:tc>
          <w:tcPr>
            <w:tcW w:w="360" w:type="dxa"/>
            <w:vAlign w:val="bottom"/>
            <w:shd w:val="clear" w:color="auto" w:fill="E6E6E6"/>
          </w:tcPr>
          <w:p>
            <w:pPr>
              <w:spacing w:after="0"/>
              <w:rPr>
                <w:sz w:val="23"/>
                <w:szCs w:val="23"/>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165,969</w:t>
            </w:r>
          </w:p>
        </w:tc>
        <w:tc>
          <w:tcPr>
            <w:tcW w:w="80" w:type="dxa"/>
            <w:vAlign w:val="bottom"/>
            <w:shd w:val="clear" w:color="auto" w:fill="E6E6E6"/>
          </w:tcPr>
          <w:p>
            <w:pPr>
              <w:spacing w:after="0"/>
              <w:rPr>
                <w:sz w:val="23"/>
                <w:szCs w:val="23"/>
                <w:color w:val="auto"/>
              </w:rPr>
            </w:pPr>
          </w:p>
        </w:tc>
        <w:tc>
          <w:tcPr>
            <w:tcW w:w="540" w:type="dxa"/>
            <w:vAlign w:val="bottom"/>
            <w:shd w:val="clear" w:color="auto" w:fill="E6E6E6"/>
          </w:tcPr>
          <w:p>
            <w:pPr>
              <w:spacing w:after="0"/>
              <w:rPr>
                <w:sz w:val="23"/>
                <w:szCs w:val="23"/>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169,447</w:t>
            </w:r>
          </w:p>
        </w:tc>
      </w:tr>
      <w:tr>
        <w:trPr>
          <w:trHeight w:val="258"/>
        </w:trPr>
        <w:tc>
          <w:tcPr>
            <w:tcW w:w="7000" w:type="dxa"/>
            <w:vAlign w:val="bottom"/>
          </w:tcPr>
          <w:p>
            <w:pPr>
              <w:ind w:left="40"/>
              <w:spacing w:after="0"/>
              <w:rPr>
                <w:sz w:val="20"/>
                <w:szCs w:val="20"/>
                <w:color w:val="auto"/>
              </w:rPr>
            </w:pPr>
            <w:r>
              <w:rPr>
                <w:rFonts w:ascii="Arial" w:cs="Arial" w:eastAsia="Arial" w:hAnsi="Arial"/>
                <w:sz w:val="20"/>
                <w:szCs w:val="20"/>
                <w:color w:val="auto"/>
              </w:rPr>
              <w:t>Deferred tax liabilities:</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2"/>
        </w:trPr>
        <w:tc>
          <w:tcPr>
            <w:tcW w:w="7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79"/>
        </w:trPr>
        <w:tc>
          <w:tcPr>
            <w:tcW w:w="7000" w:type="dxa"/>
            <w:vAlign w:val="bottom"/>
            <w:shd w:val="clear" w:color="auto" w:fill="E6E6E6"/>
          </w:tcPr>
          <w:p>
            <w:pPr>
              <w:ind w:left="180"/>
              <w:spacing w:after="0"/>
              <w:rPr>
                <w:sz w:val="20"/>
                <w:szCs w:val="20"/>
                <w:color w:val="auto"/>
              </w:rPr>
            </w:pPr>
            <w:r>
              <w:rPr>
                <w:rFonts w:ascii="Arial" w:cs="Arial" w:eastAsia="Arial" w:hAnsi="Arial"/>
                <w:sz w:val="20"/>
                <w:szCs w:val="20"/>
                <w:color w:val="auto"/>
              </w:rPr>
              <w:t>Property, equipment, and intangible assets</w:t>
            </w:r>
          </w:p>
        </w:tc>
        <w:tc>
          <w:tcPr>
            <w:tcW w:w="3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(58,350)</w:t>
            </w:r>
          </w:p>
        </w:tc>
        <w:tc>
          <w:tcPr>
            <w:tcW w:w="80" w:type="dxa"/>
            <w:vAlign w:val="bottom"/>
            <w:shd w:val="clear" w:color="auto" w:fill="E6E6E6"/>
          </w:tcPr>
          <w:p>
            <w:pPr>
              <w:spacing w:after="0"/>
              <w:rPr>
                <w:sz w:val="24"/>
                <w:szCs w:val="24"/>
                <w:color w:val="auto"/>
              </w:rPr>
            </w:pPr>
          </w:p>
        </w:tc>
        <w:tc>
          <w:tcPr>
            <w:tcW w:w="54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(61,511)</w:t>
            </w:r>
          </w:p>
        </w:tc>
      </w:tr>
      <w:tr>
        <w:trPr>
          <w:trHeight w:val="269"/>
        </w:trPr>
        <w:tc>
          <w:tcPr>
            <w:tcW w:w="7000" w:type="dxa"/>
            <w:vAlign w:val="bottom"/>
            <w:tcBorders>
              <w:bottom w:val="single" w:sz="8" w:color="E6E6E6"/>
            </w:tcBorders>
          </w:tcPr>
          <w:p>
            <w:pPr>
              <w:ind w:left="180"/>
              <w:spacing w:after="0"/>
              <w:rPr>
                <w:sz w:val="20"/>
                <w:szCs w:val="20"/>
                <w:color w:val="auto"/>
              </w:rPr>
            </w:pPr>
            <w:r>
              <w:rPr>
                <w:rFonts w:ascii="Arial" w:cs="Arial" w:eastAsia="Arial" w:hAnsi="Arial"/>
                <w:sz w:val="20"/>
                <w:szCs w:val="20"/>
                <w:color w:val="auto"/>
              </w:rPr>
              <w:t>Other</w:t>
            </w: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(6,679)</w:t>
            </w:r>
          </w:p>
        </w:tc>
        <w:tc>
          <w:tcPr>
            <w:tcW w:w="80" w:type="dxa"/>
            <w:vAlign w:val="bottom"/>
            <w:tcBorders>
              <w:bottom w:val="single" w:sz="8" w:color="E6E6E6"/>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(645)</w:t>
            </w:r>
          </w:p>
        </w:tc>
      </w:tr>
      <w:tr>
        <w:trPr>
          <w:trHeight w:val="279"/>
        </w:trPr>
        <w:tc>
          <w:tcPr>
            <w:tcW w:w="700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20"/>
                <w:szCs w:val="20"/>
                <w:color w:val="auto"/>
              </w:rPr>
              <w:t>Gross deferred tax liabilities:</w:t>
            </w:r>
          </w:p>
        </w:tc>
        <w:tc>
          <w:tcPr>
            <w:tcW w:w="36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(65,029)</w:t>
            </w:r>
          </w:p>
        </w:tc>
        <w:tc>
          <w:tcPr>
            <w:tcW w:w="80" w:type="dxa"/>
            <w:vAlign w:val="bottom"/>
            <w:tcBorders>
              <w:bottom w:val="single" w:sz="8" w:color="E6E6E6"/>
            </w:tcBorders>
            <w:shd w:val="clear" w:color="auto" w:fill="E6E6E6"/>
          </w:tcPr>
          <w:p>
            <w:pPr>
              <w:spacing w:after="0"/>
              <w:rPr>
                <w:sz w:val="24"/>
                <w:szCs w:val="24"/>
                <w:color w:val="auto"/>
              </w:rPr>
            </w:pPr>
          </w:p>
        </w:tc>
        <w:tc>
          <w:tcPr>
            <w:tcW w:w="54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(62,156)</w:t>
            </w:r>
          </w:p>
        </w:tc>
      </w:tr>
      <w:tr>
        <w:trPr>
          <w:trHeight w:val="259"/>
        </w:trPr>
        <w:tc>
          <w:tcPr>
            <w:tcW w:w="7000" w:type="dxa"/>
            <w:vAlign w:val="bottom"/>
          </w:tcPr>
          <w:p>
            <w:pPr>
              <w:ind w:left="40"/>
              <w:spacing w:after="0" w:line="221" w:lineRule="exact"/>
              <w:rPr>
                <w:sz w:val="20"/>
                <w:szCs w:val="20"/>
                <w:color w:val="auto"/>
              </w:rPr>
            </w:pPr>
            <w:r>
              <w:rPr>
                <w:rFonts w:ascii="Arial" w:cs="Arial" w:eastAsia="Arial" w:hAnsi="Arial"/>
                <w:sz w:val="20"/>
                <w:szCs w:val="20"/>
                <w:color w:val="auto"/>
              </w:rPr>
              <w:t>Net deferred tax assets</w:t>
            </w:r>
          </w:p>
        </w:tc>
        <w:tc>
          <w:tcPr>
            <w:tcW w:w="360" w:type="dxa"/>
            <w:vAlign w:val="bottom"/>
          </w:tcPr>
          <w:p>
            <w:pPr>
              <w:jc w:val="right"/>
              <w:ind w:right="102"/>
              <w:spacing w:after="0" w:line="221" w:lineRule="exact"/>
              <w:rPr>
                <w:sz w:val="20"/>
                <w:szCs w:val="20"/>
                <w:color w:val="auto"/>
              </w:rPr>
            </w:pPr>
            <w:r>
              <w:rPr>
                <w:rFonts w:ascii="Arial" w:cs="Arial" w:eastAsia="Arial" w:hAnsi="Arial"/>
                <w:sz w:val="20"/>
                <w:szCs w:val="20"/>
                <w:color w:val="auto"/>
              </w:rPr>
              <w:t>$</w:t>
            </w:r>
          </w:p>
        </w:tc>
        <w:tc>
          <w:tcPr>
            <w:tcW w:w="1120" w:type="dxa"/>
            <w:vAlign w:val="bottom"/>
          </w:tcPr>
          <w:p>
            <w:pPr>
              <w:jc w:val="right"/>
              <w:spacing w:after="0" w:line="221" w:lineRule="exact"/>
              <w:rPr>
                <w:sz w:val="20"/>
                <w:szCs w:val="20"/>
                <w:color w:val="auto"/>
              </w:rPr>
            </w:pPr>
            <w:r>
              <w:rPr>
                <w:rFonts w:ascii="Arial" w:cs="Arial" w:eastAsia="Arial" w:hAnsi="Arial"/>
                <w:sz w:val="20"/>
                <w:szCs w:val="20"/>
                <w:color w:val="auto"/>
              </w:rPr>
              <w:t>100,940</w:t>
            </w:r>
          </w:p>
        </w:tc>
        <w:tc>
          <w:tcPr>
            <w:tcW w:w="620" w:type="dxa"/>
            <w:vAlign w:val="bottom"/>
            <w:gridSpan w:val="2"/>
          </w:tcPr>
          <w:p>
            <w:pPr>
              <w:jc w:val="right"/>
              <w:ind w:right="380"/>
              <w:spacing w:after="0" w:line="221" w:lineRule="exact"/>
              <w:rPr>
                <w:sz w:val="20"/>
                <w:szCs w:val="20"/>
                <w:color w:val="auto"/>
              </w:rPr>
            </w:pPr>
            <w:r>
              <w:rPr>
                <w:rFonts w:ascii="Arial" w:cs="Arial" w:eastAsia="Arial" w:hAnsi="Arial"/>
                <w:sz w:val="20"/>
                <w:szCs w:val="20"/>
                <w:color w:val="auto"/>
              </w:rPr>
              <w:t>$</w:t>
            </w:r>
          </w:p>
        </w:tc>
        <w:tc>
          <w:tcPr>
            <w:tcW w:w="940" w:type="dxa"/>
            <w:vAlign w:val="bottom"/>
          </w:tcPr>
          <w:p>
            <w:pPr>
              <w:jc w:val="right"/>
              <w:spacing w:after="0" w:line="221" w:lineRule="exact"/>
              <w:rPr>
                <w:sz w:val="20"/>
                <w:szCs w:val="20"/>
                <w:color w:val="auto"/>
              </w:rPr>
            </w:pPr>
            <w:r>
              <w:rPr>
                <w:rFonts w:ascii="Arial" w:cs="Arial" w:eastAsia="Arial" w:hAnsi="Arial"/>
                <w:sz w:val="20"/>
                <w:szCs w:val="20"/>
                <w:color w:val="auto"/>
              </w:rPr>
              <w:t>107,291</w:t>
            </w:r>
          </w:p>
        </w:tc>
      </w:tr>
      <w:tr>
        <w:trPr>
          <w:trHeight w:val="159"/>
        </w:trPr>
        <w:tc>
          <w:tcPr>
            <w:tcW w:w="7000" w:type="dxa"/>
            <w:vAlign w:val="bottom"/>
            <w:tcBorders>
              <w:top w:val="single" w:sz="8" w:color="E6E6E6"/>
            </w:tcBorders>
            <w:shd w:val="clear" w:color="auto" w:fill="E6E6E6"/>
          </w:tcPr>
          <w:p>
            <w:pPr>
              <w:ind w:left="40"/>
              <w:spacing w:after="0" w:line="159" w:lineRule="exact"/>
              <w:rPr>
                <w:sz w:val="20"/>
                <w:szCs w:val="20"/>
                <w:color w:val="auto"/>
              </w:rPr>
            </w:pPr>
            <w:r>
              <w:rPr>
                <w:rFonts w:ascii="Arial" w:cs="Arial" w:eastAsia="Arial" w:hAnsi="Arial"/>
                <w:sz w:val="17"/>
                <w:szCs w:val="17"/>
                <w:color w:val="auto"/>
              </w:rPr>
              <w:t>Net deferred tax assets and liabilities, as reported on the consolidated balance sheets as</w:t>
            </w:r>
          </w:p>
        </w:tc>
        <w:tc>
          <w:tcPr>
            <w:tcW w:w="360" w:type="dxa"/>
            <w:vAlign w:val="bottom"/>
            <w:tcBorders>
              <w:top w:val="single" w:sz="8" w:color="auto"/>
            </w:tcBorders>
            <w:shd w:val="clear" w:color="auto" w:fill="E6E6E6"/>
          </w:tcPr>
          <w:p>
            <w:pPr>
              <w:spacing w:after="0"/>
              <w:rPr>
                <w:sz w:val="13"/>
                <w:szCs w:val="13"/>
                <w:color w:val="auto"/>
              </w:rPr>
            </w:pPr>
          </w:p>
        </w:tc>
        <w:tc>
          <w:tcPr>
            <w:tcW w:w="1120" w:type="dxa"/>
            <w:vAlign w:val="bottom"/>
            <w:tcBorders>
              <w:top w:val="single" w:sz="8" w:color="auto"/>
            </w:tcBorders>
            <w:shd w:val="clear" w:color="auto" w:fill="E6E6E6"/>
          </w:tcPr>
          <w:p>
            <w:pPr>
              <w:spacing w:after="0"/>
              <w:rPr>
                <w:sz w:val="13"/>
                <w:szCs w:val="13"/>
                <w:color w:val="auto"/>
              </w:rPr>
            </w:pPr>
          </w:p>
        </w:tc>
        <w:tc>
          <w:tcPr>
            <w:tcW w:w="80" w:type="dxa"/>
            <w:vAlign w:val="bottom"/>
            <w:tcBorders>
              <w:top w:val="single" w:sz="8" w:color="E6E6E6"/>
            </w:tcBorders>
            <w:shd w:val="clear" w:color="auto" w:fill="E6E6E6"/>
          </w:tcPr>
          <w:p>
            <w:pPr>
              <w:spacing w:after="0"/>
              <w:rPr>
                <w:sz w:val="13"/>
                <w:szCs w:val="13"/>
                <w:color w:val="auto"/>
              </w:rPr>
            </w:pPr>
          </w:p>
        </w:tc>
        <w:tc>
          <w:tcPr>
            <w:tcW w:w="540" w:type="dxa"/>
            <w:vAlign w:val="bottom"/>
            <w:tcBorders>
              <w:top w:val="single" w:sz="8" w:color="auto"/>
            </w:tcBorders>
            <w:shd w:val="clear" w:color="auto" w:fill="E6E6E6"/>
          </w:tcPr>
          <w:p>
            <w:pPr>
              <w:spacing w:after="0"/>
              <w:rPr>
                <w:sz w:val="13"/>
                <w:szCs w:val="13"/>
                <w:color w:val="auto"/>
              </w:rPr>
            </w:pPr>
          </w:p>
        </w:tc>
        <w:tc>
          <w:tcPr>
            <w:tcW w:w="940" w:type="dxa"/>
            <w:vAlign w:val="bottom"/>
            <w:tcBorders>
              <w:top w:val="single" w:sz="8" w:color="auto"/>
            </w:tcBorders>
            <w:shd w:val="clear" w:color="auto" w:fill="E6E6E6"/>
          </w:tcPr>
          <w:p>
            <w:pPr>
              <w:spacing w:after="0"/>
              <w:rPr>
                <w:sz w:val="13"/>
                <w:szCs w:val="13"/>
                <w:color w:val="auto"/>
              </w:rPr>
            </w:pPr>
          </w:p>
        </w:tc>
      </w:tr>
      <w:tr>
        <w:trPr>
          <w:trHeight w:val="268"/>
        </w:trPr>
        <w:tc>
          <w:tcPr>
            <w:tcW w:w="7000" w:type="dxa"/>
            <w:vAlign w:val="bottom"/>
            <w:shd w:val="clear" w:color="auto" w:fill="E6E6E6"/>
          </w:tcPr>
          <w:p>
            <w:pPr>
              <w:ind w:left="40"/>
              <w:spacing w:after="0"/>
              <w:rPr>
                <w:sz w:val="20"/>
                <w:szCs w:val="20"/>
                <w:color w:val="auto"/>
              </w:rPr>
            </w:pPr>
            <w:r>
              <w:rPr>
                <w:rFonts w:ascii="Arial" w:cs="Arial" w:eastAsia="Arial" w:hAnsi="Arial"/>
                <w:sz w:val="20"/>
                <w:szCs w:val="20"/>
                <w:color w:val="auto"/>
              </w:rPr>
              <w:t>(after valuation allowance and jurisdictional netting):</w:t>
            </w:r>
          </w:p>
        </w:tc>
        <w:tc>
          <w:tcPr>
            <w:tcW w:w="360" w:type="dxa"/>
            <w:vAlign w:val="bottom"/>
            <w:shd w:val="clear" w:color="auto" w:fill="E6E6E6"/>
          </w:tcPr>
          <w:p>
            <w:pPr>
              <w:spacing w:after="0"/>
              <w:rPr>
                <w:sz w:val="23"/>
                <w:szCs w:val="23"/>
                <w:color w:val="auto"/>
              </w:rPr>
            </w:pPr>
          </w:p>
        </w:tc>
        <w:tc>
          <w:tcPr>
            <w:tcW w:w="112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540" w:type="dxa"/>
            <w:vAlign w:val="bottom"/>
            <w:shd w:val="clear" w:color="auto" w:fill="E6E6E6"/>
          </w:tcPr>
          <w:p>
            <w:pPr>
              <w:spacing w:after="0"/>
              <w:rPr>
                <w:sz w:val="23"/>
                <w:szCs w:val="23"/>
                <w:color w:val="auto"/>
              </w:rPr>
            </w:pPr>
          </w:p>
        </w:tc>
        <w:tc>
          <w:tcPr>
            <w:tcW w:w="940" w:type="dxa"/>
            <w:vAlign w:val="bottom"/>
            <w:shd w:val="clear" w:color="auto" w:fill="E6E6E6"/>
          </w:tcPr>
          <w:p>
            <w:pPr>
              <w:spacing w:after="0"/>
              <w:rPr>
                <w:sz w:val="23"/>
                <w:szCs w:val="23"/>
                <w:color w:val="auto"/>
              </w:rPr>
            </w:pPr>
          </w:p>
        </w:tc>
      </w:tr>
      <w:tr>
        <w:trPr>
          <w:trHeight w:val="274"/>
        </w:trPr>
        <w:tc>
          <w:tcPr>
            <w:tcW w:w="7000" w:type="dxa"/>
            <w:vAlign w:val="bottom"/>
          </w:tcPr>
          <w:p>
            <w:pPr>
              <w:ind w:left="180"/>
              <w:spacing w:after="0"/>
              <w:rPr>
                <w:sz w:val="20"/>
                <w:szCs w:val="20"/>
                <w:color w:val="auto"/>
              </w:rPr>
            </w:pPr>
            <w:r>
              <w:rPr>
                <w:rFonts w:ascii="Arial" w:cs="Arial" w:eastAsia="Arial" w:hAnsi="Arial"/>
                <w:sz w:val="20"/>
                <w:szCs w:val="20"/>
                <w:color w:val="auto"/>
              </w:rPr>
              <w:t>Net deferred tax assets</w:t>
            </w: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111,855</w:t>
            </w:r>
          </w:p>
        </w:tc>
        <w:tc>
          <w:tcPr>
            <w:tcW w:w="620" w:type="dxa"/>
            <w:vAlign w:val="bottom"/>
            <w:gridSpan w:val="2"/>
          </w:tcPr>
          <w:p>
            <w:pPr>
              <w:jc w:val="right"/>
              <w:ind w:right="38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118,858</w:t>
            </w:r>
          </w:p>
        </w:tc>
      </w:tr>
      <w:tr>
        <w:trPr>
          <w:trHeight w:val="294"/>
        </w:trPr>
        <w:tc>
          <w:tcPr>
            <w:tcW w:w="700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20"/>
                <w:szCs w:val="20"/>
                <w:color w:val="auto"/>
              </w:rPr>
              <w:t>Net deferred tax liabilities</w:t>
            </w:r>
          </w:p>
        </w:tc>
        <w:tc>
          <w:tcPr>
            <w:tcW w:w="36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(10,915)</w:t>
            </w:r>
          </w:p>
        </w:tc>
        <w:tc>
          <w:tcPr>
            <w:tcW w:w="80" w:type="dxa"/>
            <w:vAlign w:val="bottom"/>
            <w:tcBorders>
              <w:bottom w:val="single" w:sz="8" w:color="E6E6E6"/>
            </w:tcBorders>
            <w:shd w:val="clear" w:color="auto" w:fill="E6E6E6"/>
          </w:tcPr>
          <w:p>
            <w:pPr>
              <w:spacing w:after="0"/>
              <w:rPr>
                <w:sz w:val="24"/>
                <w:szCs w:val="24"/>
                <w:color w:val="auto"/>
              </w:rPr>
            </w:pPr>
          </w:p>
        </w:tc>
        <w:tc>
          <w:tcPr>
            <w:tcW w:w="54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(11,567)</w:t>
            </w:r>
          </w:p>
        </w:tc>
      </w:tr>
      <w:tr>
        <w:trPr>
          <w:trHeight w:val="221"/>
        </w:trPr>
        <w:tc>
          <w:tcPr>
            <w:tcW w:w="7000" w:type="dxa"/>
            <w:vAlign w:val="bottom"/>
          </w:tcPr>
          <w:p>
            <w:pPr>
              <w:ind w:left="40"/>
              <w:spacing w:after="0" w:line="221" w:lineRule="exact"/>
              <w:rPr>
                <w:sz w:val="20"/>
                <w:szCs w:val="20"/>
                <w:color w:val="auto"/>
              </w:rPr>
            </w:pPr>
            <w:r>
              <w:rPr>
                <w:rFonts w:ascii="Arial" w:cs="Arial" w:eastAsia="Arial" w:hAnsi="Arial"/>
                <w:sz w:val="20"/>
                <w:szCs w:val="20"/>
                <w:color w:val="auto"/>
              </w:rPr>
              <w:t>Net deferred tax assets</w:t>
            </w:r>
          </w:p>
        </w:tc>
        <w:tc>
          <w:tcPr>
            <w:tcW w:w="360" w:type="dxa"/>
            <w:vAlign w:val="bottom"/>
          </w:tcPr>
          <w:p>
            <w:pPr>
              <w:jc w:val="right"/>
              <w:ind w:right="102"/>
              <w:spacing w:after="0" w:line="221" w:lineRule="exact"/>
              <w:rPr>
                <w:sz w:val="20"/>
                <w:szCs w:val="20"/>
                <w:color w:val="auto"/>
              </w:rPr>
            </w:pPr>
            <w:r>
              <w:rPr>
                <w:rFonts w:ascii="Arial" w:cs="Arial" w:eastAsia="Arial" w:hAnsi="Arial"/>
                <w:sz w:val="20"/>
                <w:szCs w:val="20"/>
                <w:color w:val="auto"/>
              </w:rPr>
              <w:t>$</w:t>
            </w:r>
          </w:p>
        </w:tc>
        <w:tc>
          <w:tcPr>
            <w:tcW w:w="1120" w:type="dxa"/>
            <w:vAlign w:val="bottom"/>
          </w:tcPr>
          <w:p>
            <w:pPr>
              <w:jc w:val="right"/>
              <w:spacing w:after="0" w:line="221" w:lineRule="exact"/>
              <w:rPr>
                <w:sz w:val="20"/>
                <w:szCs w:val="20"/>
                <w:color w:val="auto"/>
              </w:rPr>
            </w:pPr>
            <w:r>
              <w:rPr>
                <w:rFonts w:ascii="Arial" w:cs="Arial" w:eastAsia="Arial" w:hAnsi="Arial"/>
                <w:sz w:val="20"/>
                <w:szCs w:val="20"/>
                <w:color w:val="auto"/>
              </w:rPr>
              <w:t>100,940</w:t>
            </w:r>
          </w:p>
        </w:tc>
        <w:tc>
          <w:tcPr>
            <w:tcW w:w="620" w:type="dxa"/>
            <w:vAlign w:val="bottom"/>
            <w:gridSpan w:val="2"/>
          </w:tcPr>
          <w:p>
            <w:pPr>
              <w:jc w:val="right"/>
              <w:ind w:right="380"/>
              <w:spacing w:after="0" w:line="221" w:lineRule="exact"/>
              <w:rPr>
                <w:sz w:val="20"/>
                <w:szCs w:val="20"/>
                <w:color w:val="auto"/>
              </w:rPr>
            </w:pPr>
            <w:r>
              <w:rPr>
                <w:rFonts w:ascii="Arial" w:cs="Arial" w:eastAsia="Arial" w:hAnsi="Arial"/>
                <w:sz w:val="20"/>
                <w:szCs w:val="20"/>
                <w:color w:val="auto"/>
              </w:rPr>
              <w:t>$</w:t>
            </w:r>
          </w:p>
        </w:tc>
        <w:tc>
          <w:tcPr>
            <w:tcW w:w="940" w:type="dxa"/>
            <w:vAlign w:val="bottom"/>
          </w:tcPr>
          <w:p>
            <w:pPr>
              <w:jc w:val="right"/>
              <w:spacing w:after="0" w:line="221" w:lineRule="exact"/>
              <w:rPr>
                <w:sz w:val="20"/>
                <w:szCs w:val="20"/>
                <w:color w:val="auto"/>
              </w:rPr>
            </w:pPr>
            <w:r>
              <w:rPr>
                <w:rFonts w:ascii="Arial" w:cs="Arial" w:eastAsia="Arial" w:hAnsi="Arial"/>
                <w:sz w:val="20"/>
                <w:szCs w:val="20"/>
                <w:color w:val="auto"/>
              </w:rPr>
              <w:t>107,291</w:t>
            </w:r>
          </w:p>
        </w:tc>
      </w:tr>
      <w:tr>
        <w:trPr>
          <w:trHeight w:val="20"/>
        </w:trPr>
        <w:tc>
          <w:tcPr>
            <w:tcW w:w="70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4435475</wp:posOffset>
            </wp:positionH>
            <wp:positionV relativeFrom="paragraph">
              <wp:posOffset>-2270760</wp:posOffset>
            </wp:positionV>
            <wp:extent cx="195770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33">
                      <a:extLst>
                        <a:ext uri="{28A0092B-C50C-407E-A947-70E740481C1C}"/>
                      </a:extLst>
                    </a:blip>
                    <a:srcRect/>
                    <a:stretch>
                      <a:fillRect/>
                    </a:stretch>
                  </pic:blipFill>
                  <pic:spPr bwMode="auto">
                    <a:xfrm>
                      <a:off x="0" y="0"/>
                      <a:ext cx="1957705" cy="25400"/>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-1916430</wp:posOffset>
            </wp:positionV>
            <wp:extent cx="195770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34">
                      <a:extLst>
                        <a:ext uri="{28A0092B-C50C-407E-A947-70E740481C1C}"/>
                      </a:extLst>
                    </a:blip>
                    <a:srcRect/>
                    <a:stretch>
                      <a:fillRect/>
                    </a:stretch>
                  </pic:blipFill>
                  <pic:spPr bwMode="auto">
                    <a:xfrm>
                      <a:off x="0" y="0"/>
                      <a:ext cx="1957705" cy="25400"/>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-1207135</wp:posOffset>
            </wp:positionV>
            <wp:extent cx="195770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35">
                      <a:extLst>
                        <a:ext uri="{28A0092B-C50C-407E-A947-70E740481C1C}"/>
                      </a:extLst>
                    </a:blip>
                    <a:srcRect/>
                    <a:stretch>
                      <a:fillRect/>
                    </a:stretch>
                  </pic:blipFill>
                  <pic:spPr bwMode="auto">
                    <a:xfrm>
                      <a:off x="0" y="0"/>
                      <a:ext cx="1957705" cy="25400"/>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-1029335</wp:posOffset>
            </wp:positionV>
            <wp:extent cx="195770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36">
                      <a:extLst>
                        <a:ext uri="{28A0092B-C50C-407E-A947-70E740481C1C}"/>
                      </a:extLst>
                    </a:blip>
                    <a:srcRect/>
                    <a:stretch>
                      <a:fillRect/>
                    </a:stretch>
                  </pic:blipFill>
                  <pic:spPr bwMode="auto">
                    <a:xfrm>
                      <a:off x="0" y="0"/>
                      <a:ext cx="1957705" cy="25400"/>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-864870</wp:posOffset>
            </wp:positionV>
            <wp:extent cx="1957705" cy="501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37">
                      <a:extLst>
                        <a:ext uri="{28A0092B-C50C-407E-A947-70E740481C1C}"/>
                      </a:extLst>
                    </a:blip>
                    <a:srcRect/>
                    <a:stretch>
                      <a:fillRect/>
                    </a:stretch>
                  </pic:blipFill>
                  <pic:spPr bwMode="auto">
                    <a:xfrm>
                      <a:off x="0" y="0"/>
                      <a:ext cx="1957705" cy="50165"/>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-208280</wp:posOffset>
            </wp:positionV>
            <wp:extent cx="195770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38">
                      <a:extLst>
                        <a:ext uri="{28A0092B-C50C-407E-A947-70E740481C1C}"/>
                      </a:extLst>
                    </a:blip>
                    <a:srcRect/>
                    <a:stretch>
                      <a:fillRect/>
                    </a:stretch>
                  </pic:blipFill>
                  <pic:spPr bwMode="auto">
                    <a:xfrm>
                      <a:off x="0" y="0"/>
                      <a:ext cx="1957705" cy="25400"/>
                    </a:xfrm>
                    <a:prstGeom prst="rect">
                      <a:avLst/>
                    </a:prstGeom>
                    <a:noFill/>
                  </pic:spPr>
                </pic:pic>
              </a:graphicData>
            </a:graphic>
          </wp:anchor>
        </w:drawing>
      </w:r>
    </w:p>
    <w:p>
      <w:pPr>
        <w:sectPr>
          <w:pgSz w:w="11880" w:h="15480" w:orient="portrait"/>
          <w:cols w:equalWidth="0" w:num="1">
            <w:col w:w="10040"/>
          </w:cols>
          <w:pgMar w:left="920" w:top="66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F-42</w:t>
      </w:r>
    </w:p>
    <w:p>
      <w:pPr>
        <w:sectPr>
          <w:pgSz w:w="11880" w:h="15480" w:orient="portrait"/>
          <w:cols w:equalWidth="0" w:num="1">
            <w:col w:w="10040"/>
          </w:cols>
          <w:pgMar w:left="920" w:top="664" w:right="920" w:bottom="0" w:gutter="0" w:footer="0" w:header="0"/>
          <w:type w:val="continuous"/>
        </w:sectPr>
      </w:pPr>
    </w:p>
    <w:bookmarkStart w:id="100" w:name="page101"/>
    <w:bookmarkEnd w:id="100"/>
    <w:p>
      <w:pPr>
        <w:jc w:val="both"/>
        <w:spacing w:after="0" w:line="311" w:lineRule="auto"/>
        <w:rPr>
          <w:sz w:val="20"/>
          <w:szCs w:val="20"/>
          <w:color w:val="auto"/>
        </w:rPr>
      </w:pPr>
      <w:r>
        <w:rPr>
          <w:rFonts w:ascii="Arial" w:cs="Arial" w:eastAsia="Arial" w:hAnsi="Arial"/>
          <w:sz w:val="17"/>
          <w:szCs w:val="17"/>
          <w:color w:val="auto"/>
        </w:rPr>
        <w:t>LivaNova reviews the realizability of its deferred tax assets by jurisdictions at each balance sheet date by weighing the positive and negative evidence including cumulative losses and impacts of transactions or other events. As of December 31, 2024 and 2023, LivaNova had valuation allowances against deferred tax assets of $158.8 million and $182.5 million, respectively. These valuation allowances were primarily related to continuing operations and are a result of significant negative evidence in the form of cumulative losses in certain jurisdictions. The decrease in valuation allowance primarily relates to the release of valuation allowances in Italy of $13.0 million for 2024 and in the UK of $110.8 million for 2023, partially offset by continued valuation allowance accruals in the U.S., Brazil and other countries. Any changes to the realizability of the deferred tax assets due to transactions and other events in 2025 will be accounted for during the quarter in which they occur.</w:t>
      </w:r>
    </w:p>
    <w:p>
      <w:pPr>
        <w:spacing w:after="0" w:line="51"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following table presents a reconciliation of the beginning and ending balances of LivaNova’s deferred tax asset valuation allowances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44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62"/>
              <w:spacing w:after="0"/>
              <w:rPr>
                <w:sz w:val="20"/>
                <w:szCs w:val="20"/>
                <w:color w:val="auto"/>
              </w:rPr>
            </w:pPr>
            <w:r>
              <w:rPr>
                <w:rFonts w:ascii="Arial" w:cs="Arial" w:eastAsia="Arial" w:hAnsi="Arial"/>
                <w:sz w:val="20"/>
                <w:szCs w:val="20"/>
                <w:b w:val="1"/>
                <w:bCs w:val="1"/>
                <w:color w:val="auto"/>
              </w:rPr>
              <w:t>2024</w:t>
            </w:r>
          </w:p>
        </w:tc>
        <w:tc>
          <w:tcPr>
            <w:tcW w:w="6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2023</w:t>
            </w:r>
          </w:p>
        </w:tc>
        <w:tc>
          <w:tcPr>
            <w:tcW w:w="8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2022</w:t>
            </w:r>
          </w:p>
        </w:tc>
      </w:tr>
      <w:tr>
        <w:trPr>
          <w:trHeight w:val="269"/>
        </w:trPr>
        <w:tc>
          <w:tcPr>
            <w:tcW w:w="5440" w:type="dxa"/>
            <w:vAlign w:val="bottom"/>
            <w:shd w:val="clear" w:color="auto" w:fill="E6E6E6"/>
          </w:tcPr>
          <w:p>
            <w:pPr>
              <w:ind w:left="40"/>
              <w:spacing w:after="0"/>
              <w:rPr>
                <w:sz w:val="20"/>
                <w:szCs w:val="20"/>
                <w:color w:val="auto"/>
              </w:rPr>
            </w:pPr>
            <w:r>
              <w:rPr>
                <w:rFonts w:ascii="Arial" w:cs="Arial" w:eastAsia="Arial" w:hAnsi="Arial"/>
                <w:sz w:val="20"/>
                <w:szCs w:val="20"/>
                <w:color w:val="auto"/>
              </w:rPr>
              <w:t>Balance at beginning of year</w:t>
            </w:r>
          </w:p>
        </w:tc>
        <w:tc>
          <w:tcPr>
            <w:tcW w:w="360" w:type="dxa"/>
            <w:vAlign w:val="bottom"/>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182,464</w:t>
            </w:r>
          </w:p>
        </w:tc>
        <w:tc>
          <w:tcPr>
            <w:tcW w:w="420" w:type="dxa"/>
            <w:vAlign w:val="bottom"/>
            <w:gridSpan w:val="2"/>
            <w:shd w:val="clear" w:color="auto" w:fill="E6E6E6"/>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264,754</w:t>
            </w:r>
          </w:p>
        </w:tc>
        <w:tc>
          <w:tcPr>
            <w:tcW w:w="440" w:type="dxa"/>
            <w:vAlign w:val="bottom"/>
            <w:gridSpan w:val="2"/>
            <w:shd w:val="clear" w:color="auto" w:fill="E6E6E6"/>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244,978</w:t>
            </w:r>
          </w:p>
        </w:tc>
      </w:tr>
      <w:tr>
        <w:trPr>
          <w:trHeight w:val="274"/>
        </w:trPr>
        <w:tc>
          <w:tcPr>
            <w:tcW w:w="5440" w:type="dxa"/>
            <w:vAlign w:val="bottom"/>
          </w:tcPr>
          <w:p>
            <w:pPr>
              <w:ind w:left="60"/>
              <w:spacing w:after="0"/>
              <w:rPr>
                <w:sz w:val="20"/>
                <w:szCs w:val="20"/>
                <w:color w:val="auto"/>
              </w:rPr>
            </w:pPr>
            <w:r>
              <w:rPr>
                <w:rFonts w:ascii="Arial" w:cs="Arial" w:eastAsia="Arial" w:hAnsi="Arial"/>
                <w:sz w:val="20"/>
                <w:szCs w:val="20"/>
                <w:color w:val="auto"/>
              </w:rPr>
              <w:t>Additions</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99</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38,278</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24,896</w:t>
            </w:r>
          </w:p>
        </w:tc>
      </w:tr>
      <w:tr>
        <w:trPr>
          <w:trHeight w:val="294"/>
        </w:trPr>
        <w:tc>
          <w:tcPr>
            <w:tcW w:w="54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Deductions</w:t>
            </w:r>
          </w:p>
        </w:tc>
        <w:tc>
          <w:tcPr>
            <w:tcW w:w="360" w:type="dxa"/>
            <w:vAlign w:val="bottom"/>
            <w:tcBorders>
              <w:bottom w:val="single" w:sz="8" w:color="auto"/>
            </w:tcBorders>
            <w:shd w:val="clear" w:color="auto" w:fill="E6E6E6"/>
          </w:tcPr>
          <w:p>
            <w:pPr>
              <w:spacing w:after="0"/>
              <w:rPr>
                <w:sz w:val="24"/>
                <w:szCs w:val="24"/>
                <w:color w:val="auto"/>
              </w:rPr>
            </w:pPr>
          </w:p>
        </w:tc>
        <w:tc>
          <w:tcPr>
            <w:tcW w:w="1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(23,740)</w:t>
            </w:r>
          </w:p>
        </w:tc>
        <w:tc>
          <w:tcPr>
            <w:tcW w:w="6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(120,568)</w:t>
            </w:r>
          </w:p>
        </w:tc>
        <w:tc>
          <w:tcPr>
            <w:tcW w:w="8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(5,120)</w:t>
            </w:r>
          </w:p>
        </w:tc>
      </w:tr>
      <w:tr>
        <w:trPr>
          <w:trHeight w:val="221"/>
        </w:trPr>
        <w:tc>
          <w:tcPr>
            <w:tcW w:w="5440" w:type="dxa"/>
            <w:vAlign w:val="bottom"/>
          </w:tcPr>
          <w:p>
            <w:pPr>
              <w:ind w:left="40"/>
              <w:spacing w:after="0" w:line="221" w:lineRule="exact"/>
              <w:rPr>
                <w:sz w:val="20"/>
                <w:szCs w:val="20"/>
                <w:color w:val="auto"/>
              </w:rPr>
            </w:pPr>
            <w:r>
              <w:rPr>
                <w:rFonts w:ascii="Arial" w:cs="Arial" w:eastAsia="Arial" w:hAnsi="Arial"/>
                <w:sz w:val="20"/>
                <w:szCs w:val="20"/>
                <w:color w:val="auto"/>
              </w:rPr>
              <w:t>Balance at end of year</w:t>
            </w:r>
          </w:p>
        </w:tc>
        <w:tc>
          <w:tcPr>
            <w:tcW w:w="360" w:type="dxa"/>
            <w:vAlign w:val="bottom"/>
          </w:tcPr>
          <w:p>
            <w:pPr>
              <w:jc w:val="right"/>
              <w:ind w:right="102"/>
              <w:spacing w:after="0" w:line="221" w:lineRule="exact"/>
              <w:rPr>
                <w:sz w:val="20"/>
                <w:szCs w:val="20"/>
                <w:color w:val="auto"/>
              </w:rPr>
            </w:pPr>
            <w:r>
              <w:rPr>
                <w:rFonts w:ascii="Arial" w:cs="Arial" w:eastAsia="Arial" w:hAnsi="Arial"/>
                <w:sz w:val="20"/>
                <w:szCs w:val="20"/>
                <w:color w:val="auto"/>
              </w:rPr>
              <w:t>$</w:t>
            </w:r>
          </w:p>
        </w:tc>
        <w:tc>
          <w:tcPr>
            <w:tcW w:w="1140" w:type="dxa"/>
            <w:vAlign w:val="bottom"/>
          </w:tcPr>
          <w:p>
            <w:pPr>
              <w:jc w:val="right"/>
              <w:spacing w:after="0" w:line="221" w:lineRule="exact"/>
              <w:rPr>
                <w:sz w:val="20"/>
                <w:szCs w:val="20"/>
                <w:color w:val="auto"/>
              </w:rPr>
            </w:pPr>
            <w:r>
              <w:rPr>
                <w:rFonts w:ascii="Arial" w:cs="Arial" w:eastAsia="Arial" w:hAnsi="Arial"/>
                <w:sz w:val="20"/>
                <w:szCs w:val="20"/>
                <w:color w:val="auto"/>
              </w:rPr>
              <w:t>158,823</w:t>
            </w:r>
          </w:p>
        </w:tc>
        <w:tc>
          <w:tcPr>
            <w:tcW w:w="420" w:type="dxa"/>
            <w:vAlign w:val="bottom"/>
            <w:gridSpan w:val="2"/>
          </w:tcPr>
          <w:p>
            <w:pPr>
              <w:jc w:val="right"/>
              <w:ind w:right="200"/>
              <w:spacing w:after="0" w:line="221" w:lineRule="exact"/>
              <w:rPr>
                <w:sz w:val="20"/>
                <w:szCs w:val="20"/>
                <w:color w:val="auto"/>
              </w:rPr>
            </w:pPr>
            <w:r>
              <w:rPr>
                <w:rFonts w:ascii="Arial" w:cs="Arial" w:eastAsia="Arial" w:hAnsi="Arial"/>
                <w:sz w:val="20"/>
                <w:szCs w:val="20"/>
                <w:color w:val="auto"/>
              </w:rPr>
              <w:t>$</w:t>
            </w:r>
          </w:p>
        </w:tc>
        <w:tc>
          <w:tcPr>
            <w:tcW w:w="1120" w:type="dxa"/>
            <w:vAlign w:val="bottom"/>
          </w:tcPr>
          <w:p>
            <w:pPr>
              <w:jc w:val="right"/>
              <w:spacing w:after="0" w:line="221" w:lineRule="exact"/>
              <w:rPr>
                <w:sz w:val="20"/>
                <w:szCs w:val="20"/>
                <w:color w:val="auto"/>
              </w:rPr>
            </w:pPr>
            <w:r>
              <w:rPr>
                <w:rFonts w:ascii="Arial" w:cs="Arial" w:eastAsia="Arial" w:hAnsi="Arial"/>
                <w:sz w:val="20"/>
                <w:szCs w:val="20"/>
                <w:color w:val="auto"/>
              </w:rPr>
              <w:t>182,464</w:t>
            </w:r>
          </w:p>
        </w:tc>
        <w:tc>
          <w:tcPr>
            <w:tcW w:w="440" w:type="dxa"/>
            <w:vAlign w:val="bottom"/>
            <w:gridSpan w:val="2"/>
          </w:tcPr>
          <w:p>
            <w:pPr>
              <w:jc w:val="right"/>
              <w:ind w:right="200"/>
              <w:spacing w:after="0" w:line="221" w:lineRule="exact"/>
              <w:rPr>
                <w:sz w:val="20"/>
                <w:szCs w:val="20"/>
                <w:color w:val="auto"/>
              </w:rPr>
            </w:pPr>
            <w:r>
              <w:rPr>
                <w:rFonts w:ascii="Arial" w:cs="Arial" w:eastAsia="Arial" w:hAnsi="Arial"/>
                <w:sz w:val="20"/>
                <w:szCs w:val="20"/>
                <w:color w:val="auto"/>
              </w:rPr>
              <w:t>$</w:t>
            </w:r>
          </w:p>
        </w:tc>
        <w:tc>
          <w:tcPr>
            <w:tcW w:w="1120" w:type="dxa"/>
            <w:vAlign w:val="bottom"/>
          </w:tcPr>
          <w:p>
            <w:pPr>
              <w:jc w:val="right"/>
              <w:spacing w:after="0" w:line="221" w:lineRule="exact"/>
              <w:rPr>
                <w:sz w:val="20"/>
                <w:szCs w:val="20"/>
                <w:color w:val="auto"/>
              </w:rPr>
            </w:pPr>
            <w:r>
              <w:rPr>
                <w:rFonts w:ascii="Arial" w:cs="Arial" w:eastAsia="Arial" w:hAnsi="Arial"/>
                <w:sz w:val="20"/>
                <w:szCs w:val="20"/>
                <w:color w:val="auto"/>
              </w:rPr>
              <w:t>264,754</w:t>
            </w:r>
          </w:p>
        </w:tc>
      </w:tr>
      <w:tr>
        <w:trPr>
          <w:trHeight w:val="20"/>
        </w:trPr>
        <w:tc>
          <w:tcPr>
            <w:tcW w:w="5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-740410</wp:posOffset>
            </wp:positionV>
            <wp:extent cx="294703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39">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-208280</wp:posOffset>
            </wp:positionV>
            <wp:extent cx="294703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40">
                      <a:extLst>
                        <a:ext uri="{28A0092B-C50C-407E-A947-70E740481C1C}"/>
                      </a:extLst>
                    </a:blip>
                    <a:srcRect/>
                    <a:stretch>
                      <a:fillRect/>
                    </a:stretch>
                  </pic:blipFill>
                  <pic:spPr bwMode="auto">
                    <a:xfrm>
                      <a:off x="0" y="0"/>
                      <a:ext cx="2947035" cy="2540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presents NOL and tax credit carryforwards as of December 31, 2024, which can be used to reduce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LivaNova’s income tax payable in future years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vMerge w:val="restart"/>
          </w:tcPr>
          <w:p>
            <w:pPr>
              <w:jc w:val="right"/>
              <w:ind w:right="222"/>
              <w:spacing w:after="0"/>
              <w:rPr>
                <w:sz w:val="20"/>
                <w:szCs w:val="20"/>
                <w:color w:val="auto"/>
              </w:rPr>
            </w:pPr>
            <w:r>
              <w:rPr>
                <w:rFonts w:ascii="Arial" w:cs="Arial" w:eastAsia="Arial" w:hAnsi="Arial"/>
                <w:sz w:val="20"/>
                <w:szCs w:val="20"/>
                <w:b w:val="1"/>
                <w:bCs w:val="1"/>
                <w:color w:val="auto"/>
              </w:rPr>
              <w:t>Gross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center"/>
              <w:ind w:right="82"/>
              <w:spacing w:after="0"/>
              <w:rPr>
                <w:sz w:val="20"/>
                <w:szCs w:val="20"/>
                <w:color w:val="auto"/>
              </w:rPr>
            </w:pPr>
            <w:r>
              <w:rPr>
                <w:rFonts w:ascii="Arial" w:cs="Arial" w:eastAsia="Arial" w:hAnsi="Arial"/>
                <w:sz w:val="20"/>
                <w:szCs w:val="20"/>
                <w:b w:val="1"/>
                <w:bCs w:val="1"/>
                <w:color w:val="auto"/>
                <w:w w:val="89"/>
              </w:rPr>
              <w:t>Amount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center"/>
              <w:ind w:right="82"/>
              <w:spacing w:after="0"/>
              <w:rPr>
                <w:sz w:val="20"/>
                <w:szCs w:val="20"/>
                <w:color w:val="auto"/>
              </w:rPr>
            </w:pPr>
            <w:r>
              <w:rPr>
                <w:rFonts w:ascii="Arial" w:cs="Arial" w:eastAsia="Arial" w:hAnsi="Arial"/>
                <w:sz w:val="20"/>
                <w:szCs w:val="20"/>
                <w:b w:val="1"/>
                <w:bCs w:val="1"/>
                <w:color w:val="auto"/>
                <w:w w:val="89"/>
              </w:rPr>
              <w:t>Amount</w:t>
            </w:r>
          </w:p>
        </w:tc>
        <w:tc>
          <w:tcPr>
            <w:tcW w:w="80" w:type="dxa"/>
            <w:vAlign w:val="bottom"/>
          </w:tcPr>
          <w:p>
            <w:pPr>
              <w:spacing w:after="0"/>
              <w:rPr>
                <w:sz w:val="19"/>
                <w:szCs w:val="19"/>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20"/>
                <w:szCs w:val="20"/>
                <w:b w:val="1"/>
                <w:bCs w:val="1"/>
                <w:color w:val="auto"/>
                <w:w w:val="97"/>
              </w:rPr>
              <w:t>Carryforward</w:t>
            </w:r>
          </w:p>
        </w:tc>
        <w:tc>
          <w:tcPr>
            <w:tcW w:w="0" w:type="dxa"/>
            <w:vAlign w:val="bottom"/>
          </w:tcPr>
          <w:p>
            <w:pPr>
              <w:spacing w:after="0"/>
              <w:rPr>
                <w:sz w:val="1"/>
                <w:szCs w:val="1"/>
                <w:color w:val="auto"/>
              </w:rPr>
            </w:pPr>
          </w:p>
        </w:tc>
      </w:tr>
      <w:tr>
        <w:trPr>
          <w:trHeight w:val="196"/>
        </w:trPr>
        <w:tc>
          <w:tcPr>
            <w:tcW w:w="3840" w:type="dxa"/>
            <w:vAlign w:val="bottom"/>
            <w:vMerge w:val="restart"/>
          </w:tcPr>
          <w:p>
            <w:pPr>
              <w:ind w:left="1620"/>
              <w:spacing w:after="0"/>
              <w:rPr>
                <w:sz w:val="20"/>
                <w:szCs w:val="20"/>
                <w:color w:val="auto"/>
              </w:rPr>
            </w:pPr>
            <w:r>
              <w:rPr>
                <w:rFonts w:ascii="Arial" w:cs="Arial" w:eastAsia="Arial" w:hAnsi="Arial"/>
                <w:sz w:val="20"/>
                <w:szCs w:val="20"/>
                <w:b w:val="1"/>
                <w:bCs w:val="1"/>
                <w:color w:val="auto"/>
              </w:rPr>
              <w:t>Region</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auto"/>
                <w:w w:val="96"/>
              </w:rPr>
              <w:t>Tax Benefit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center"/>
              <w:ind w:right="102"/>
              <w:spacing w:after="0" w:line="196" w:lineRule="exact"/>
              <w:rPr>
                <w:sz w:val="20"/>
                <w:szCs w:val="20"/>
                <w:color w:val="auto"/>
              </w:rPr>
            </w:pPr>
            <w:r>
              <w:rPr>
                <w:rFonts w:ascii="Arial" w:cs="Arial" w:eastAsia="Arial" w:hAnsi="Arial"/>
                <w:sz w:val="20"/>
                <w:szCs w:val="20"/>
                <w:b w:val="1"/>
                <w:bCs w:val="1"/>
                <w:color w:val="auto"/>
                <w:w w:val="91"/>
              </w:rPr>
              <w:t>with No</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center"/>
              <w:ind w:right="82"/>
              <w:spacing w:after="0" w:line="196" w:lineRule="exact"/>
              <w:rPr>
                <w:sz w:val="20"/>
                <w:szCs w:val="20"/>
                <w:color w:val="auto"/>
              </w:rPr>
            </w:pPr>
            <w:r>
              <w:rPr>
                <w:rFonts w:ascii="Arial" w:cs="Arial" w:eastAsia="Arial" w:hAnsi="Arial"/>
                <w:sz w:val="20"/>
                <w:szCs w:val="20"/>
                <w:b w:val="1"/>
                <w:bCs w:val="1"/>
                <w:color w:val="auto"/>
                <w:w w:val="89"/>
              </w:rPr>
              <w:t>with</w:t>
            </w:r>
          </w:p>
        </w:tc>
        <w:tc>
          <w:tcPr>
            <w:tcW w:w="80" w:type="dxa"/>
            <w:vAlign w:val="bottom"/>
          </w:tcPr>
          <w:p>
            <w:pPr>
              <w:spacing w:after="0"/>
              <w:rPr>
                <w:sz w:val="17"/>
                <w:szCs w:val="17"/>
                <w:color w:val="auto"/>
              </w:rPr>
            </w:pPr>
          </w:p>
        </w:tc>
        <w:tc>
          <w:tcPr>
            <w:tcW w:w="13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384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22"/>
              <w:spacing w:after="0"/>
              <w:rPr>
                <w:sz w:val="20"/>
                <w:szCs w:val="20"/>
                <w:color w:val="auto"/>
              </w:rPr>
            </w:pPr>
            <w:r>
              <w:rPr>
                <w:rFonts w:ascii="Arial" w:cs="Arial" w:eastAsia="Arial" w:hAnsi="Arial"/>
                <w:sz w:val="20"/>
                <w:szCs w:val="20"/>
                <w:b w:val="1"/>
                <w:bCs w:val="1"/>
                <w:color w:val="auto"/>
                <w:w w:val="92"/>
              </w:rPr>
              <w:t>Amount</w:t>
            </w:r>
          </w:p>
        </w:tc>
        <w:tc>
          <w:tcPr>
            <w:tcW w:w="80" w:type="dxa"/>
            <w:vAlign w:val="bottom"/>
            <w:tcBorders>
              <w:bottom w:val="single" w:sz="8" w:color="E6E6E6"/>
            </w:tcBorders>
          </w:tcPr>
          <w:p>
            <w:pPr>
              <w:spacing w:after="0"/>
              <w:rPr>
                <w:sz w:val="22"/>
                <w:szCs w:val="22"/>
                <w:color w:val="auto"/>
              </w:rPr>
            </w:pPr>
          </w:p>
        </w:tc>
        <w:tc>
          <w:tcPr>
            <w:tcW w:w="1140" w:type="dxa"/>
            <w:vAlign w:val="bottom"/>
            <w:tcBorders>
              <w:bottom w:val="single" w:sz="8" w:color="auto"/>
            </w:tcBorders>
            <w:gridSpan w:val="2"/>
            <w:vMerge w:val="continue"/>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91"/>
              </w:rPr>
              <w:t>Expiration</w:t>
            </w:r>
          </w:p>
        </w:tc>
        <w:tc>
          <w:tcPr>
            <w:tcW w:w="80" w:type="dxa"/>
            <w:vAlign w:val="bottom"/>
            <w:tcBorders>
              <w:bottom w:val="single" w:sz="8" w:color="E6E6E6"/>
            </w:tcBorders>
          </w:tcPr>
          <w:p>
            <w:pPr>
              <w:spacing w:after="0"/>
              <w:rPr>
                <w:sz w:val="22"/>
                <w:szCs w:val="22"/>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94"/>
              </w:rPr>
              <w:t>Expiration</w:t>
            </w:r>
          </w:p>
        </w:tc>
        <w:tc>
          <w:tcPr>
            <w:tcW w:w="80" w:type="dxa"/>
            <w:vAlign w:val="bottom"/>
            <w:tcBorders>
              <w:bottom w:val="single" w:sz="8" w:color="E6E6E6"/>
            </w:tcBorders>
          </w:tcPr>
          <w:p>
            <w:pPr>
              <w:spacing w:after="0"/>
              <w:rPr>
                <w:sz w:val="22"/>
                <w:szCs w:val="22"/>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b w:val="1"/>
                <w:bCs w:val="1"/>
                <w:color w:val="auto"/>
                <w:w w:val="89"/>
              </w:rPr>
              <w:t>Period</w:t>
            </w:r>
          </w:p>
        </w:tc>
        <w:tc>
          <w:tcPr>
            <w:tcW w:w="0" w:type="dxa"/>
            <w:vAlign w:val="bottom"/>
          </w:tcPr>
          <w:p>
            <w:pPr>
              <w:spacing w:after="0"/>
              <w:rPr>
                <w:sz w:val="1"/>
                <w:szCs w:val="1"/>
                <w:color w:val="auto"/>
              </w:rPr>
            </w:pPr>
          </w:p>
        </w:tc>
      </w:tr>
      <w:tr>
        <w:trPr>
          <w:trHeight w:val="269"/>
        </w:trPr>
        <w:tc>
          <w:tcPr>
            <w:tcW w:w="3840" w:type="dxa"/>
            <w:vAlign w:val="bottom"/>
            <w:shd w:val="clear" w:color="auto" w:fill="E6E6E6"/>
          </w:tcPr>
          <w:p>
            <w:pPr>
              <w:ind w:left="40"/>
              <w:spacing w:after="0"/>
              <w:rPr>
                <w:sz w:val="20"/>
                <w:szCs w:val="20"/>
                <w:color w:val="auto"/>
              </w:rPr>
            </w:pPr>
            <w:r>
              <w:rPr>
                <w:rFonts w:ascii="Arial" w:cs="Arial" w:eastAsia="Arial" w:hAnsi="Arial"/>
                <w:sz w:val="20"/>
                <w:szCs w:val="20"/>
                <w:color w:val="auto"/>
              </w:rPr>
              <w:t>UK NOL</w:t>
            </w:r>
          </w:p>
        </w:tc>
        <w:tc>
          <w:tcPr>
            <w:tcW w:w="260" w:type="dxa"/>
            <w:vAlign w:val="bottom"/>
            <w:gridSpan w:val="2"/>
            <w:shd w:val="clear" w:color="auto" w:fill="E6E6E6"/>
          </w:tcPr>
          <w:p>
            <w:pPr>
              <w:jc w:val="right"/>
              <w:ind w:right="40"/>
              <w:spacing w:after="0"/>
              <w:rPr>
                <w:sz w:val="20"/>
                <w:szCs w:val="20"/>
                <w:color w:val="auto"/>
              </w:rPr>
            </w:pPr>
            <w:r>
              <w:rPr>
                <w:rFonts w:ascii="Arial" w:cs="Arial" w:eastAsia="Arial" w:hAnsi="Arial"/>
                <w:sz w:val="20"/>
                <w:szCs w:val="20"/>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384,514</w:t>
            </w:r>
          </w:p>
        </w:tc>
        <w:tc>
          <w:tcPr>
            <w:tcW w:w="360" w:type="dxa"/>
            <w:vAlign w:val="bottom"/>
            <w:gridSpan w:val="2"/>
            <w:shd w:val="clear" w:color="auto" w:fill="E6E6E6"/>
          </w:tcPr>
          <w:p>
            <w:pPr>
              <w:jc w:val="right"/>
              <w:ind w:right="22"/>
              <w:spacing w:after="0"/>
              <w:rPr>
                <w:sz w:val="20"/>
                <w:szCs w:val="20"/>
                <w:color w:val="auto"/>
              </w:rPr>
            </w:pPr>
            <w:r>
              <w:rPr>
                <w:rFonts w:ascii="Arial" w:cs="Arial" w:eastAsia="Arial" w:hAnsi="Arial"/>
                <w:sz w:val="20"/>
                <w:szCs w:val="20"/>
                <w:color w:val="auto"/>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96,128</w:t>
            </w:r>
          </w:p>
        </w:tc>
        <w:tc>
          <w:tcPr>
            <w:tcW w:w="26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96,128</w:t>
            </w:r>
          </w:p>
        </w:tc>
        <w:tc>
          <w:tcPr>
            <w:tcW w:w="26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3"/>
                <w:szCs w:val="23"/>
                <w:color w:val="auto"/>
              </w:rPr>
            </w:pPr>
          </w:p>
        </w:tc>
        <w:tc>
          <w:tcPr>
            <w:tcW w:w="1300" w:type="dxa"/>
            <w:vAlign w:val="bottom"/>
            <w:gridSpan w:val="3"/>
            <w:shd w:val="clear" w:color="auto" w:fill="E6E6E6"/>
          </w:tcPr>
          <w:p>
            <w:pPr>
              <w:jc w:val="center"/>
              <w:spacing w:after="0"/>
              <w:rPr>
                <w:sz w:val="20"/>
                <w:szCs w:val="20"/>
                <w:color w:val="auto"/>
              </w:rPr>
            </w:pPr>
            <w:r>
              <w:rPr>
                <w:rFonts w:ascii="Arial" w:cs="Arial" w:eastAsia="Arial" w:hAnsi="Arial"/>
                <w:sz w:val="20"/>
                <w:szCs w:val="20"/>
                <w:color w:val="auto"/>
                <w:w w:val="95"/>
              </w:rPr>
              <w:t>Unlimited</w:t>
            </w:r>
          </w:p>
        </w:tc>
        <w:tc>
          <w:tcPr>
            <w:tcW w:w="0" w:type="dxa"/>
            <w:vAlign w:val="bottom"/>
          </w:tcPr>
          <w:p>
            <w:pPr>
              <w:spacing w:after="0"/>
              <w:rPr>
                <w:sz w:val="1"/>
                <w:szCs w:val="1"/>
                <w:color w:val="auto"/>
              </w:rPr>
            </w:pPr>
          </w:p>
        </w:tc>
      </w:tr>
      <w:tr>
        <w:trPr>
          <w:trHeight w:val="274"/>
        </w:trPr>
        <w:tc>
          <w:tcPr>
            <w:tcW w:w="3840" w:type="dxa"/>
            <w:vAlign w:val="bottom"/>
          </w:tcPr>
          <w:p>
            <w:pPr>
              <w:ind w:left="40"/>
              <w:spacing w:after="0"/>
              <w:rPr>
                <w:sz w:val="20"/>
                <w:szCs w:val="20"/>
                <w:color w:val="auto"/>
              </w:rPr>
            </w:pPr>
            <w:r>
              <w:rPr>
                <w:rFonts w:ascii="Arial" w:cs="Arial" w:eastAsia="Arial" w:hAnsi="Arial"/>
                <w:sz w:val="20"/>
                <w:szCs w:val="20"/>
                <w:color w:val="auto"/>
              </w:rPr>
              <w:t>U.S. State NOL</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106,042</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7,925</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2,813</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5,112</w:t>
            </w:r>
          </w:p>
        </w:tc>
        <w:tc>
          <w:tcPr>
            <w:tcW w:w="620" w:type="dxa"/>
            <w:vAlign w:val="bottom"/>
            <w:gridSpan w:val="2"/>
          </w:tcPr>
          <w:p>
            <w:pPr>
              <w:ind w:left="160"/>
              <w:spacing w:after="0"/>
              <w:rPr>
                <w:sz w:val="20"/>
                <w:szCs w:val="20"/>
                <w:color w:val="auto"/>
              </w:rPr>
            </w:pPr>
            <w:r>
              <w:rPr>
                <w:rFonts w:ascii="Arial" w:cs="Arial" w:eastAsia="Arial" w:hAnsi="Arial"/>
                <w:sz w:val="20"/>
                <w:szCs w:val="20"/>
                <w:color w:val="auto"/>
                <w:w w:val="98"/>
              </w:rPr>
              <w:t>2025</w:t>
            </w:r>
          </w:p>
        </w:tc>
        <w:tc>
          <w:tcPr>
            <w:tcW w:w="220" w:type="dxa"/>
            <w:vAlign w:val="bottom"/>
          </w:tcPr>
          <w:p>
            <w:pPr>
              <w:jc w:val="center"/>
              <w:spacing w:after="0"/>
              <w:rPr>
                <w:sz w:val="20"/>
                <w:szCs w:val="20"/>
                <w:color w:val="auto"/>
              </w:rPr>
            </w:pPr>
            <w:r>
              <w:rPr>
                <w:rFonts w:ascii="Arial" w:cs="Arial" w:eastAsia="Arial" w:hAnsi="Arial"/>
                <w:sz w:val="20"/>
                <w:szCs w:val="20"/>
                <w:color w:val="auto"/>
                <w:w w:val="89"/>
              </w:rPr>
              <w:t>-</w:t>
            </w:r>
          </w:p>
        </w:tc>
        <w:tc>
          <w:tcPr>
            <w:tcW w:w="540" w:type="dxa"/>
            <w:vAlign w:val="bottom"/>
          </w:tcPr>
          <w:p>
            <w:pPr>
              <w:jc w:val="right"/>
              <w:spacing w:after="0"/>
              <w:rPr>
                <w:sz w:val="20"/>
                <w:szCs w:val="20"/>
                <w:color w:val="auto"/>
              </w:rPr>
            </w:pPr>
            <w:r>
              <w:rPr>
                <w:rFonts w:ascii="Arial" w:cs="Arial" w:eastAsia="Arial" w:hAnsi="Arial"/>
                <w:sz w:val="20"/>
                <w:szCs w:val="20"/>
                <w:color w:val="auto"/>
              </w:rPr>
              <w:t>2044</w:t>
            </w:r>
          </w:p>
        </w:tc>
        <w:tc>
          <w:tcPr>
            <w:tcW w:w="0" w:type="dxa"/>
            <w:vAlign w:val="bottom"/>
          </w:tcPr>
          <w:p>
            <w:pPr>
              <w:spacing w:after="0"/>
              <w:rPr>
                <w:sz w:val="1"/>
                <w:szCs w:val="1"/>
                <w:color w:val="auto"/>
              </w:rPr>
            </w:pPr>
          </w:p>
        </w:tc>
      </w:tr>
      <w:tr>
        <w:trPr>
          <w:trHeight w:val="285"/>
        </w:trPr>
        <w:tc>
          <w:tcPr>
            <w:tcW w:w="3840" w:type="dxa"/>
            <w:vAlign w:val="bottom"/>
            <w:shd w:val="clear" w:color="auto" w:fill="E6E6E6"/>
          </w:tcPr>
          <w:p>
            <w:pPr>
              <w:ind w:left="40"/>
              <w:spacing w:after="0"/>
              <w:rPr>
                <w:sz w:val="20"/>
                <w:szCs w:val="20"/>
                <w:color w:val="auto"/>
              </w:rPr>
            </w:pPr>
            <w:r>
              <w:rPr>
                <w:rFonts w:ascii="Arial" w:cs="Arial" w:eastAsia="Arial" w:hAnsi="Arial"/>
                <w:sz w:val="20"/>
                <w:szCs w:val="20"/>
                <w:color w:val="auto"/>
              </w:rPr>
              <w:t>U.S. Federal NOL</w:t>
            </w:r>
          </w:p>
        </w:tc>
        <w:tc>
          <w:tcPr>
            <w:tcW w:w="8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29,563</w:t>
            </w:r>
          </w:p>
        </w:tc>
        <w:tc>
          <w:tcPr>
            <w:tcW w:w="8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6,208</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6,208</w:t>
            </w:r>
          </w:p>
        </w:tc>
        <w:tc>
          <w:tcPr>
            <w:tcW w:w="620" w:type="dxa"/>
            <w:vAlign w:val="bottom"/>
            <w:gridSpan w:val="2"/>
            <w:shd w:val="clear" w:color="auto" w:fill="E6E6E6"/>
          </w:tcPr>
          <w:p>
            <w:pPr>
              <w:ind w:left="160"/>
              <w:spacing w:after="0"/>
              <w:rPr>
                <w:sz w:val="20"/>
                <w:szCs w:val="20"/>
                <w:color w:val="auto"/>
              </w:rPr>
            </w:pPr>
            <w:r>
              <w:rPr>
                <w:rFonts w:ascii="Arial" w:cs="Arial" w:eastAsia="Arial" w:hAnsi="Arial"/>
                <w:sz w:val="20"/>
                <w:szCs w:val="20"/>
                <w:color w:val="auto"/>
                <w:w w:val="98"/>
              </w:rPr>
              <w:t>2028</w:t>
            </w:r>
          </w:p>
        </w:tc>
        <w:tc>
          <w:tcPr>
            <w:tcW w:w="220" w:type="dxa"/>
            <w:vAlign w:val="bottom"/>
            <w:shd w:val="clear" w:color="auto" w:fill="E6E6E6"/>
          </w:tcPr>
          <w:p>
            <w:pPr>
              <w:jc w:val="center"/>
              <w:spacing w:after="0"/>
              <w:rPr>
                <w:sz w:val="20"/>
                <w:szCs w:val="20"/>
                <w:color w:val="auto"/>
              </w:rPr>
            </w:pPr>
            <w:r>
              <w:rPr>
                <w:rFonts w:ascii="Arial" w:cs="Arial" w:eastAsia="Arial" w:hAnsi="Arial"/>
                <w:sz w:val="20"/>
                <w:szCs w:val="20"/>
                <w:color w:val="auto"/>
                <w:w w:val="89"/>
              </w:rPr>
              <w:t>-</w:t>
            </w:r>
          </w:p>
        </w:tc>
        <w:tc>
          <w:tcPr>
            <w:tcW w:w="5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2034</w:t>
            </w:r>
          </w:p>
        </w:tc>
        <w:tc>
          <w:tcPr>
            <w:tcW w:w="0" w:type="dxa"/>
            <w:vAlign w:val="bottom"/>
          </w:tcPr>
          <w:p>
            <w:pPr>
              <w:spacing w:after="0"/>
              <w:rPr>
                <w:sz w:val="1"/>
                <w:szCs w:val="1"/>
                <w:color w:val="auto"/>
              </w:rPr>
            </w:pPr>
          </w:p>
        </w:tc>
      </w:tr>
      <w:tr>
        <w:trPr>
          <w:trHeight w:val="274"/>
        </w:trPr>
        <w:tc>
          <w:tcPr>
            <w:tcW w:w="3840" w:type="dxa"/>
            <w:vAlign w:val="bottom"/>
          </w:tcPr>
          <w:p>
            <w:pPr>
              <w:ind w:left="40"/>
              <w:spacing w:after="0"/>
              <w:rPr>
                <w:sz w:val="20"/>
                <w:szCs w:val="20"/>
                <w:color w:val="auto"/>
              </w:rPr>
            </w:pPr>
            <w:r>
              <w:rPr>
                <w:rFonts w:ascii="Arial" w:cs="Arial" w:eastAsia="Arial" w:hAnsi="Arial"/>
                <w:sz w:val="20"/>
                <w:szCs w:val="20"/>
                <w:color w:val="auto"/>
              </w:rPr>
              <w:t>Other regions NOL</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14,509</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4,211</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4,183</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28</w:t>
            </w:r>
          </w:p>
        </w:tc>
        <w:tc>
          <w:tcPr>
            <w:tcW w:w="620" w:type="dxa"/>
            <w:vAlign w:val="bottom"/>
            <w:gridSpan w:val="2"/>
          </w:tcPr>
          <w:p>
            <w:pPr>
              <w:ind w:left="160"/>
              <w:spacing w:after="0"/>
              <w:rPr>
                <w:sz w:val="20"/>
                <w:szCs w:val="20"/>
                <w:color w:val="auto"/>
              </w:rPr>
            </w:pPr>
            <w:r>
              <w:rPr>
                <w:rFonts w:ascii="Arial" w:cs="Arial" w:eastAsia="Arial" w:hAnsi="Arial"/>
                <w:sz w:val="20"/>
                <w:szCs w:val="20"/>
                <w:color w:val="auto"/>
                <w:w w:val="98"/>
              </w:rPr>
              <w:t>2042</w:t>
            </w:r>
          </w:p>
        </w:tc>
        <w:tc>
          <w:tcPr>
            <w:tcW w:w="220" w:type="dxa"/>
            <w:vAlign w:val="bottom"/>
          </w:tcPr>
          <w:p>
            <w:pPr>
              <w:jc w:val="center"/>
              <w:spacing w:after="0"/>
              <w:rPr>
                <w:sz w:val="20"/>
                <w:szCs w:val="20"/>
                <w:color w:val="auto"/>
              </w:rPr>
            </w:pPr>
            <w:r>
              <w:rPr>
                <w:rFonts w:ascii="Arial" w:cs="Arial" w:eastAsia="Arial" w:hAnsi="Arial"/>
                <w:sz w:val="20"/>
                <w:szCs w:val="20"/>
                <w:color w:val="auto"/>
                <w:w w:val="89"/>
              </w:rPr>
              <w:t>-</w:t>
            </w:r>
          </w:p>
        </w:tc>
        <w:tc>
          <w:tcPr>
            <w:tcW w:w="540" w:type="dxa"/>
            <w:vAlign w:val="bottom"/>
          </w:tcPr>
          <w:p>
            <w:pPr>
              <w:jc w:val="right"/>
              <w:spacing w:after="0"/>
              <w:rPr>
                <w:sz w:val="20"/>
                <w:szCs w:val="20"/>
                <w:color w:val="auto"/>
              </w:rPr>
            </w:pPr>
            <w:r>
              <w:rPr>
                <w:rFonts w:ascii="Arial" w:cs="Arial" w:eastAsia="Arial" w:hAnsi="Arial"/>
                <w:sz w:val="20"/>
                <w:szCs w:val="20"/>
                <w:color w:val="auto"/>
              </w:rPr>
              <w:t>2042</w:t>
            </w:r>
          </w:p>
        </w:tc>
        <w:tc>
          <w:tcPr>
            <w:tcW w:w="0" w:type="dxa"/>
            <w:vAlign w:val="bottom"/>
          </w:tcPr>
          <w:p>
            <w:pPr>
              <w:spacing w:after="0"/>
              <w:rPr>
                <w:sz w:val="1"/>
                <w:szCs w:val="1"/>
                <w:color w:val="auto"/>
              </w:rPr>
            </w:pPr>
          </w:p>
        </w:tc>
      </w:tr>
      <w:tr>
        <w:trPr>
          <w:trHeight w:val="285"/>
        </w:trPr>
        <w:tc>
          <w:tcPr>
            <w:tcW w:w="3840" w:type="dxa"/>
            <w:vAlign w:val="bottom"/>
            <w:shd w:val="clear" w:color="auto" w:fill="E6E6E6"/>
          </w:tcPr>
          <w:p>
            <w:pPr>
              <w:ind w:left="40"/>
              <w:spacing w:after="0"/>
              <w:rPr>
                <w:sz w:val="20"/>
                <w:szCs w:val="20"/>
                <w:color w:val="auto"/>
              </w:rPr>
            </w:pPr>
            <w:r>
              <w:rPr>
                <w:rFonts w:ascii="Arial" w:cs="Arial" w:eastAsia="Arial" w:hAnsi="Arial"/>
                <w:sz w:val="20"/>
                <w:szCs w:val="20"/>
                <w:color w:val="auto"/>
              </w:rPr>
              <w:t>Asia NOL</w:t>
            </w:r>
          </w:p>
        </w:tc>
        <w:tc>
          <w:tcPr>
            <w:tcW w:w="8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848</w:t>
            </w:r>
          </w:p>
        </w:tc>
        <w:tc>
          <w:tcPr>
            <w:tcW w:w="8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206</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120</w:t>
            </w:r>
          </w:p>
        </w:tc>
        <w:tc>
          <w:tcPr>
            <w:tcW w:w="8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86</w:t>
            </w:r>
          </w:p>
        </w:tc>
        <w:tc>
          <w:tcPr>
            <w:tcW w:w="620" w:type="dxa"/>
            <w:vAlign w:val="bottom"/>
            <w:gridSpan w:val="2"/>
            <w:shd w:val="clear" w:color="auto" w:fill="E6E6E6"/>
          </w:tcPr>
          <w:p>
            <w:pPr>
              <w:ind w:left="160"/>
              <w:spacing w:after="0"/>
              <w:rPr>
                <w:sz w:val="20"/>
                <w:szCs w:val="20"/>
                <w:color w:val="auto"/>
              </w:rPr>
            </w:pPr>
            <w:r>
              <w:rPr>
                <w:rFonts w:ascii="Arial" w:cs="Arial" w:eastAsia="Arial" w:hAnsi="Arial"/>
                <w:sz w:val="20"/>
                <w:szCs w:val="20"/>
                <w:color w:val="auto"/>
                <w:w w:val="98"/>
              </w:rPr>
              <w:t>2025</w:t>
            </w:r>
          </w:p>
        </w:tc>
        <w:tc>
          <w:tcPr>
            <w:tcW w:w="220" w:type="dxa"/>
            <w:vAlign w:val="bottom"/>
            <w:shd w:val="clear" w:color="auto" w:fill="E6E6E6"/>
          </w:tcPr>
          <w:p>
            <w:pPr>
              <w:jc w:val="center"/>
              <w:spacing w:after="0"/>
              <w:rPr>
                <w:sz w:val="20"/>
                <w:szCs w:val="20"/>
                <w:color w:val="auto"/>
              </w:rPr>
            </w:pPr>
            <w:r>
              <w:rPr>
                <w:rFonts w:ascii="Arial" w:cs="Arial" w:eastAsia="Arial" w:hAnsi="Arial"/>
                <w:sz w:val="20"/>
                <w:szCs w:val="20"/>
                <w:color w:val="auto"/>
                <w:w w:val="89"/>
              </w:rPr>
              <w:t>-</w:t>
            </w:r>
          </w:p>
        </w:tc>
        <w:tc>
          <w:tcPr>
            <w:tcW w:w="5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2034</w:t>
            </w:r>
          </w:p>
        </w:tc>
        <w:tc>
          <w:tcPr>
            <w:tcW w:w="0" w:type="dxa"/>
            <w:vAlign w:val="bottom"/>
          </w:tcPr>
          <w:p>
            <w:pPr>
              <w:spacing w:after="0"/>
              <w:rPr>
                <w:sz w:val="1"/>
                <w:szCs w:val="1"/>
                <w:color w:val="auto"/>
              </w:rPr>
            </w:pPr>
          </w:p>
        </w:tc>
      </w:tr>
      <w:tr>
        <w:trPr>
          <w:trHeight w:val="274"/>
        </w:trPr>
        <w:tc>
          <w:tcPr>
            <w:tcW w:w="3840" w:type="dxa"/>
            <w:vAlign w:val="bottom"/>
          </w:tcPr>
          <w:p>
            <w:pPr>
              <w:ind w:left="40"/>
              <w:spacing w:after="0"/>
              <w:rPr>
                <w:sz w:val="20"/>
                <w:szCs w:val="20"/>
                <w:color w:val="auto"/>
              </w:rPr>
            </w:pPr>
            <w:r>
              <w:rPr>
                <w:rFonts w:ascii="Arial" w:cs="Arial" w:eastAsia="Arial" w:hAnsi="Arial"/>
                <w:sz w:val="20"/>
                <w:szCs w:val="20"/>
                <w:color w:val="auto"/>
              </w:rPr>
              <w:t>U.S. foreign tax credits</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15,850</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15,850</w:t>
            </w:r>
          </w:p>
        </w:tc>
        <w:tc>
          <w:tcPr>
            <w:tcW w:w="620" w:type="dxa"/>
            <w:vAlign w:val="bottom"/>
            <w:gridSpan w:val="2"/>
          </w:tcPr>
          <w:p>
            <w:pPr>
              <w:ind w:left="160"/>
              <w:spacing w:after="0"/>
              <w:rPr>
                <w:sz w:val="20"/>
                <w:szCs w:val="20"/>
                <w:color w:val="auto"/>
              </w:rPr>
            </w:pPr>
            <w:r>
              <w:rPr>
                <w:rFonts w:ascii="Arial" w:cs="Arial" w:eastAsia="Arial" w:hAnsi="Arial"/>
                <w:sz w:val="20"/>
                <w:szCs w:val="20"/>
                <w:color w:val="auto"/>
                <w:w w:val="98"/>
              </w:rPr>
              <w:t>2025</w:t>
            </w:r>
          </w:p>
        </w:tc>
        <w:tc>
          <w:tcPr>
            <w:tcW w:w="220" w:type="dxa"/>
            <w:vAlign w:val="bottom"/>
          </w:tcPr>
          <w:p>
            <w:pPr>
              <w:jc w:val="center"/>
              <w:spacing w:after="0"/>
              <w:rPr>
                <w:sz w:val="20"/>
                <w:szCs w:val="20"/>
                <w:color w:val="auto"/>
              </w:rPr>
            </w:pPr>
            <w:r>
              <w:rPr>
                <w:rFonts w:ascii="Arial" w:cs="Arial" w:eastAsia="Arial" w:hAnsi="Arial"/>
                <w:sz w:val="20"/>
                <w:szCs w:val="20"/>
                <w:color w:val="auto"/>
                <w:w w:val="89"/>
              </w:rPr>
              <w:t>-</w:t>
            </w:r>
          </w:p>
        </w:tc>
        <w:tc>
          <w:tcPr>
            <w:tcW w:w="540" w:type="dxa"/>
            <w:vAlign w:val="bottom"/>
          </w:tcPr>
          <w:p>
            <w:pPr>
              <w:jc w:val="right"/>
              <w:spacing w:after="0"/>
              <w:rPr>
                <w:sz w:val="20"/>
                <w:szCs w:val="20"/>
                <w:color w:val="auto"/>
              </w:rPr>
            </w:pPr>
            <w:r>
              <w:rPr>
                <w:rFonts w:ascii="Arial" w:cs="Arial" w:eastAsia="Arial" w:hAnsi="Arial"/>
                <w:sz w:val="20"/>
                <w:szCs w:val="20"/>
                <w:color w:val="auto"/>
              </w:rPr>
              <w:t>2030</w:t>
            </w:r>
          </w:p>
        </w:tc>
        <w:tc>
          <w:tcPr>
            <w:tcW w:w="0" w:type="dxa"/>
            <w:vAlign w:val="bottom"/>
          </w:tcPr>
          <w:p>
            <w:pPr>
              <w:spacing w:after="0"/>
              <w:rPr>
                <w:sz w:val="1"/>
                <w:szCs w:val="1"/>
                <w:color w:val="auto"/>
              </w:rPr>
            </w:pPr>
          </w:p>
        </w:tc>
      </w:tr>
      <w:tr>
        <w:trPr>
          <w:trHeight w:val="285"/>
        </w:trPr>
        <w:tc>
          <w:tcPr>
            <w:tcW w:w="3840" w:type="dxa"/>
            <w:vAlign w:val="bottom"/>
            <w:shd w:val="clear" w:color="auto" w:fill="E6E6E6"/>
          </w:tcPr>
          <w:p>
            <w:pPr>
              <w:ind w:left="40"/>
              <w:spacing w:after="0"/>
              <w:rPr>
                <w:sz w:val="20"/>
                <w:szCs w:val="20"/>
                <w:color w:val="auto"/>
              </w:rPr>
            </w:pPr>
            <w:r>
              <w:rPr>
                <w:rFonts w:ascii="Arial" w:cs="Arial" w:eastAsia="Arial" w:hAnsi="Arial"/>
                <w:sz w:val="20"/>
                <w:szCs w:val="20"/>
                <w:color w:val="auto"/>
                <w:w w:val="92"/>
              </w:rPr>
              <w:t>U.S. State research &amp; development tax credits</w:t>
            </w:r>
          </w:p>
        </w:tc>
        <w:tc>
          <w:tcPr>
            <w:tcW w:w="8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6,757</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1,361</w:t>
            </w:r>
          </w:p>
        </w:tc>
        <w:tc>
          <w:tcPr>
            <w:tcW w:w="8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5,396</w:t>
            </w:r>
          </w:p>
        </w:tc>
        <w:tc>
          <w:tcPr>
            <w:tcW w:w="620" w:type="dxa"/>
            <w:vAlign w:val="bottom"/>
            <w:gridSpan w:val="2"/>
            <w:shd w:val="clear" w:color="auto" w:fill="E6E6E6"/>
          </w:tcPr>
          <w:p>
            <w:pPr>
              <w:ind w:left="160"/>
              <w:spacing w:after="0"/>
              <w:rPr>
                <w:sz w:val="20"/>
                <w:szCs w:val="20"/>
                <w:color w:val="auto"/>
              </w:rPr>
            </w:pPr>
            <w:r>
              <w:rPr>
                <w:rFonts w:ascii="Arial" w:cs="Arial" w:eastAsia="Arial" w:hAnsi="Arial"/>
                <w:sz w:val="20"/>
                <w:szCs w:val="20"/>
                <w:color w:val="auto"/>
                <w:w w:val="98"/>
              </w:rPr>
              <w:t>2031</w:t>
            </w:r>
          </w:p>
        </w:tc>
        <w:tc>
          <w:tcPr>
            <w:tcW w:w="220" w:type="dxa"/>
            <w:vAlign w:val="bottom"/>
            <w:shd w:val="clear" w:color="auto" w:fill="E6E6E6"/>
          </w:tcPr>
          <w:p>
            <w:pPr>
              <w:jc w:val="center"/>
              <w:spacing w:after="0"/>
              <w:rPr>
                <w:sz w:val="20"/>
                <w:szCs w:val="20"/>
                <w:color w:val="auto"/>
              </w:rPr>
            </w:pPr>
            <w:r>
              <w:rPr>
                <w:rFonts w:ascii="Arial" w:cs="Arial" w:eastAsia="Arial" w:hAnsi="Arial"/>
                <w:sz w:val="20"/>
                <w:szCs w:val="20"/>
                <w:color w:val="auto"/>
                <w:w w:val="89"/>
              </w:rPr>
              <w:t>-</w:t>
            </w:r>
          </w:p>
        </w:tc>
        <w:tc>
          <w:tcPr>
            <w:tcW w:w="5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2043</w:t>
            </w:r>
          </w:p>
        </w:tc>
        <w:tc>
          <w:tcPr>
            <w:tcW w:w="0" w:type="dxa"/>
            <w:vAlign w:val="bottom"/>
          </w:tcPr>
          <w:p>
            <w:pPr>
              <w:spacing w:after="0"/>
              <w:rPr>
                <w:sz w:val="1"/>
                <w:szCs w:val="1"/>
                <w:color w:val="auto"/>
              </w:rPr>
            </w:pPr>
          </w:p>
        </w:tc>
      </w:tr>
      <w:tr>
        <w:trPr>
          <w:trHeight w:val="274"/>
        </w:trPr>
        <w:tc>
          <w:tcPr>
            <w:tcW w:w="3840" w:type="dxa"/>
            <w:vAlign w:val="bottom"/>
          </w:tcPr>
          <w:p>
            <w:pPr>
              <w:ind w:left="40"/>
              <w:spacing w:after="0"/>
              <w:rPr>
                <w:sz w:val="20"/>
                <w:szCs w:val="20"/>
                <w:color w:val="auto"/>
              </w:rPr>
            </w:pPr>
            <w:r>
              <w:rPr>
                <w:rFonts w:ascii="Arial" w:cs="Arial" w:eastAsia="Arial" w:hAnsi="Arial"/>
                <w:sz w:val="20"/>
                <w:szCs w:val="20"/>
                <w:color w:val="auto"/>
              </w:rPr>
              <w:t>U.S. tax credits</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4,116</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4,116</w:t>
            </w:r>
          </w:p>
        </w:tc>
        <w:tc>
          <w:tcPr>
            <w:tcW w:w="620" w:type="dxa"/>
            <w:vAlign w:val="bottom"/>
            <w:gridSpan w:val="2"/>
          </w:tcPr>
          <w:p>
            <w:pPr>
              <w:ind w:left="160"/>
              <w:spacing w:after="0"/>
              <w:rPr>
                <w:sz w:val="20"/>
                <w:szCs w:val="20"/>
                <w:color w:val="auto"/>
              </w:rPr>
            </w:pPr>
            <w:r>
              <w:rPr>
                <w:rFonts w:ascii="Arial" w:cs="Arial" w:eastAsia="Arial" w:hAnsi="Arial"/>
                <w:sz w:val="20"/>
                <w:szCs w:val="20"/>
                <w:color w:val="auto"/>
                <w:w w:val="98"/>
              </w:rPr>
              <w:t>2039</w:t>
            </w:r>
          </w:p>
        </w:tc>
        <w:tc>
          <w:tcPr>
            <w:tcW w:w="220" w:type="dxa"/>
            <w:vAlign w:val="bottom"/>
          </w:tcPr>
          <w:p>
            <w:pPr>
              <w:jc w:val="center"/>
              <w:spacing w:after="0"/>
              <w:rPr>
                <w:sz w:val="20"/>
                <w:szCs w:val="20"/>
                <w:color w:val="auto"/>
              </w:rPr>
            </w:pPr>
            <w:r>
              <w:rPr>
                <w:rFonts w:ascii="Arial" w:cs="Arial" w:eastAsia="Arial" w:hAnsi="Arial"/>
                <w:sz w:val="20"/>
                <w:szCs w:val="20"/>
                <w:color w:val="auto"/>
                <w:w w:val="89"/>
              </w:rPr>
              <w:t>-</w:t>
            </w:r>
          </w:p>
        </w:tc>
        <w:tc>
          <w:tcPr>
            <w:tcW w:w="540" w:type="dxa"/>
            <w:vAlign w:val="bottom"/>
          </w:tcPr>
          <w:p>
            <w:pPr>
              <w:jc w:val="right"/>
              <w:spacing w:after="0"/>
              <w:rPr>
                <w:sz w:val="20"/>
                <w:szCs w:val="20"/>
                <w:color w:val="auto"/>
              </w:rPr>
            </w:pPr>
            <w:r>
              <w:rPr>
                <w:rFonts w:ascii="Arial" w:cs="Arial" w:eastAsia="Arial" w:hAnsi="Arial"/>
                <w:sz w:val="20"/>
                <w:szCs w:val="20"/>
                <w:color w:val="auto"/>
              </w:rPr>
              <w:t>2044</w:t>
            </w:r>
          </w:p>
        </w:tc>
        <w:tc>
          <w:tcPr>
            <w:tcW w:w="0" w:type="dxa"/>
            <w:vAlign w:val="bottom"/>
          </w:tcPr>
          <w:p>
            <w:pPr>
              <w:spacing w:after="0"/>
              <w:rPr>
                <w:sz w:val="1"/>
                <w:szCs w:val="1"/>
                <w:color w:val="auto"/>
              </w:rPr>
            </w:pPr>
          </w:p>
        </w:tc>
      </w:tr>
      <w:tr>
        <w:trPr>
          <w:trHeight w:val="275"/>
        </w:trPr>
        <w:tc>
          <w:tcPr>
            <w:tcW w:w="38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Other non-U.S. tax credits</w:t>
            </w:r>
          </w:p>
        </w:tc>
        <w:tc>
          <w:tcPr>
            <w:tcW w:w="80" w:type="dxa"/>
            <w:vAlign w:val="bottom"/>
            <w:tcBorders>
              <w:bottom w:val="single" w:sz="8" w:color="E6E6E6"/>
            </w:tcBorders>
            <w:shd w:val="clear" w:color="auto" w:fill="E6E6E6"/>
          </w:tcPr>
          <w:p>
            <w:pPr>
              <w:spacing w:after="0"/>
              <w:rPr>
                <w:sz w:val="23"/>
                <w:szCs w:val="23"/>
                <w:color w:val="auto"/>
              </w:rPr>
            </w:pPr>
          </w:p>
        </w:tc>
        <w:tc>
          <w:tcPr>
            <w:tcW w:w="180" w:type="dxa"/>
            <w:vAlign w:val="bottom"/>
            <w:tcBorders>
              <w:bottom w:val="single" w:sz="8" w:color="auto"/>
            </w:tcBorders>
            <w:shd w:val="clear" w:color="auto" w:fill="E6E6E6"/>
          </w:tcPr>
          <w:p>
            <w:pPr>
              <w:spacing w:after="0"/>
              <w:rPr>
                <w:sz w:val="23"/>
                <w:szCs w:val="23"/>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shd w:val="clear" w:color="auto" w:fill="E6E6E6"/>
          </w:tcPr>
          <w:p>
            <w:pPr>
              <w:spacing w:after="0"/>
              <w:rPr>
                <w:sz w:val="23"/>
                <w:szCs w:val="23"/>
                <w:color w:val="auto"/>
              </w:rPr>
            </w:pPr>
          </w:p>
        </w:tc>
        <w:tc>
          <w:tcPr>
            <w:tcW w:w="280" w:type="dxa"/>
            <w:vAlign w:val="bottom"/>
            <w:tcBorders>
              <w:bottom w:val="single" w:sz="8" w:color="auto"/>
            </w:tcBorders>
            <w:shd w:val="clear" w:color="auto" w:fill="E6E6E6"/>
          </w:tcPr>
          <w:p>
            <w:pPr>
              <w:spacing w:after="0"/>
              <w:rPr>
                <w:sz w:val="23"/>
                <w:szCs w:val="23"/>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1,078</w:t>
            </w:r>
          </w:p>
        </w:tc>
        <w:tc>
          <w:tcPr>
            <w:tcW w:w="60" w:type="dxa"/>
            <w:vAlign w:val="bottom"/>
            <w:tcBorders>
              <w:bottom w:val="single" w:sz="8" w:color="E6E6E6"/>
            </w:tcBorders>
            <w:shd w:val="clear" w:color="auto" w:fill="E6E6E6"/>
          </w:tcPr>
          <w:p>
            <w:pPr>
              <w:spacing w:after="0"/>
              <w:rPr>
                <w:sz w:val="23"/>
                <w:szCs w:val="23"/>
                <w:color w:val="auto"/>
              </w:rPr>
            </w:pPr>
          </w:p>
        </w:tc>
        <w:tc>
          <w:tcPr>
            <w:tcW w:w="200" w:type="dxa"/>
            <w:vAlign w:val="bottom"/>
            <w:tcBorders>
              <w:bottom w:val="single" w:sz="8" w:color="auto"/>
            </w:tcBorders>
            <w:shd w:val="clear" w:color="auto" w:fill="E6E6E6"/>
          </w:tcPr>
          <w:p>
            <w:pPr>
              <w:spacing w:after="0"/>
              <w:rPr>
                <w:sz w:val="23"/>
                <w:szCs w:val="23"/>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197</w:t>
            </w:r>
          </w:p>
        </w:tc>
        <w:tc>
          <w:tcPr>
            <w:tcW w:w="80" w:type="dxa"/>
            <w:vAlign w:val="bottom"/>
            <w:tcBorders>
              <w:bottom w:val="single" w:sz="8" w:color="E6E6E6"/>
            </w:tcBorders>
            <w:shd w:val="clear" w:color="auto" w:fill="E6E6E6"/>
          </w:tcPr>
          <w:p>
            <w:pPr>
              <w:spacing w:after="0"/>
              <w:rPr>
                <w:sz w:val="23"/>
                <w:szCs w:val="23"/>
                <w:color w:val="auto"/>
              </w:rPr>
            </w:pPr>
          </w:p>
        </w:tc>
        <w:tc>
          <w:tcPr>
            <w:tcW w:w="180" w:type="dxa"/>
            <w:vAlign w:val="bottom"/>
            <w:tcBorders>
              <w:bottom w:val="single" w:sz="8" w:color="auto"/>
            </w:tcBorders>
            <w:shd w:val="clear" w:color="auto" w:fill="E6E6E6"/>
          </w:tcPr>
          <w:p>
            <w:pPr>
              <w:spacing w:after="0"/>
              <w:rPr>
                <w:sz w:val="23"/>
                <w:szCs w:val="23"/>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881</w:t>
            </w:r>
          </w:p>
        </w:tc>
        <w:tc>
          <w:tcPr>
            <w:tcW w:w="620" w:type="dxa"/>
            <w:vAlign w:val="bottom"/>
            <w:tcBorders>
              <w:bottom w:val="single" w:sz="8" w:color="E6E6E6"/>
            </w:tcBorders>
            <w:gridSpan w:val="2"/>
            <w:shd w:val="clear" w:color="auto" w:fill="E6E6E6"/>
          </w:tcPr>
          <w:p>
            <w:pPr>
              <w:ind w:left="160"/>
              <w:spacing w:after="0"/>
              <w:rPr>
                <w:sz w:val="20"/>
                <w:szCs w:val="20"/>
                <w:color w:val="auto"/>
              </w:rPr>
            </w:pPr>
            <w:r>
              <w:rPr>
                <w:rFonts w:ascii="Arial" w:cs="Arial" w:eastAsia="Arial" w:hAnsi="Arial"/>
                <w:sz w:val="20"/>
                <w:szCs w:val="20"/>
                <w:color w:val="auto"/>
                <w:w w:val="98"/>
              </w:rPr>
              <w:t>2025</w:t>
            </w:r>
          </w:p>
        </w:tc>
        <w:tc>
          <w:tcPr>
            <w:tcW w:w="22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20"/>
                <w:szCs w:val="20"/>
                <w:color w:val="auto"/>
                <w:w w:val="89"/>
              </w:rPr>
              <w:t>-</w:t>
            </w:r>
          </w:p>
        </w:tc>
        <w:tc>
          <w:tcPr>
            <w:tcW w:w="5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2034</w:t>
            </w:r>
          </w:p>
        </w:tc>
        <w:tc>
          <w:tcPr>
            <w:tcW w:w="0" w:type="dxa"/>
            <w:vAlign w:val="bottom"/>
          </w:tcPr>
          <w:p>
            <w:pPr>
              <w:spacing w:after="0"/>
              <w:rPr>
                <w:sz w:val="1"/>
                <w:szCs w:val="1"/>
                <w:color w:val="auto"/>
              </w:rPr>
            </w:pPr>
          </w:p>
        </w:tc>
      </w:tr>
      <w:tr>
        <w:trPr>
          <w:trHeight w:val="240"/>
        </w:trPr>
        <w:tc>
          <w:tcPr>
            <w:tcW w:w="3840" w:type="dxa"/>
            <w:vAlign w:val="bottom"/>
          </w:tcPr>
          <w:p>
            <w:pPr>
              <w:spacing w:after="0"/>
              <w:rPr>
                <w:sz w:val="20"/>
                <w:szCs w:val="20"/>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535,476</w:t>
            </w:r>
          </w:p>
        </w:tc>
        <w:tc>
          <w:tcPr>
            <w:tcW w:w="360" w:type="dxa"/>
            <w:vAlign w:val="bottom"/>
            <w:gridSpan w:val="2"/>
          </w:tcPr>
          <w:p>
            <w:pPr>
              <w:jc w:val="right"/>
              <w:ind w:right="22"/>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142,479</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104,802</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37,677</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-1804035</wp:posOffset>
            </wp:positionV>
            <wp:extent cx="3917950"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41">
                      <a:extLst>
                        <a:ext uri="{28A0092B-C50C-407E-A947-70E740481C1C}"/>
                      </a:extLst>
                    </a:blip>
                    <a:srcRect/>
                    <a:stretch>
                      <a:fillRect/>
                    </a:stretch>
                  </pic:blipFill>
                  <pic:spPr bwMode="auto">
                    <a:xfrm>
                      <a:off x="0" y="0"/>
                      <a:ext cx="3917950" cy="2540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-208280</wp:posOffset>
            </wp:positionV>
            <wp:extent cx="3040380"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42">
                      <a:extLst>
                        <a:ext uri="{28A0092B-C50C-407E-A947-70E740481C1C}"/>
                      </a:extLst>
                    </a:blip>
                    <a:srcRect/>
                    <a:stretch>
                      <a:fillRect/>
                    </a:stretch>
                  </pic:blipFill>
                  <pic:spPr bwMode="auto">
                    <a:xfrm>
                      <a:off x="0" y="0"/>
                      <a:ext cx="3040380" cy="25400"/>
                    </a:xfrm>
                    <a:prstGeom prst="rect">
                      <a:avLst/>
                    </a:prstGeom>
                    <a:noFill/>
                  </pic:spPr>
                </pic:pic>
              </a:graphicData>
            </a:graphic>
          </wp:anchor>
        </w:drawing>
      </w:r>
    </w:p>
    <w:p>
      <w:pPr>
        <w:spacing w:after="0" w:line="10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No provision has been made for income taxes on undistributed earnings of foreign subsidiaries as of December 31, 2024 because it is LivaNova’s intention to indefinitely reinvest undistributed earnings of its foreign subsidiaries. In the event of the distribution of those earnings in the form of dividends, a sale of the subsidiaries, or certain other transactions, LivaNova may be liable for income taxes and withholding taxes. As of December 31, 2024, it was not practicable to determine the exact amount of the deferred tax liability related to those investments.</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color w:val="auto"/>
        </w:rPr>
        <w:t>Uncertain Income Tax Positions</w:t>
      </w:r>
    </w:p>
    <w:p>
      <w:pPr>
        <w:spacing w:after="0" w:line="140"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LivaNova operates in multiple jurisdictions with complex legal and tax regulatory environments, and the Company’s tax returns are periodically audited or subjected to review by tax authorities. LivaNova monitors tax law changes and the potential impact on its results of operations. Tax authorities may disagree with certain positions LivaNova has taken and assess additional taxes. LivaNova regularly assesses the likely outcomes of the Company’s tax positions in order to determine the appropriateness of its reserves for uncertain tax positions. However, there can be no assurance that LivaNova will accurately predict the outcome of these audits, and the actual outcome of an audit could have a material impact on LivaNova’s consolidated results of income, financial position, or cash flows.</w:t>
      </w:r>
    </w:p>
    <w:p>
      <w:pPr>
        <w:sectPr>
          <w:pgSz w:w="11880" w:h="15480" w:orient="portrait"/>
          <w:cols w:equalWidth="0" w:num="1">
            <w:col w:w="10040"/>
          </w:cols>
          <w:pgMar w:left="920" w:top="66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F-43</w:t>
      </w:r>
    </w:p>
    <w:p>
      <w:pPr>
        <w:sectPr>
          <w:pgSz w:w="11880" w:h="15480" w:orient="portrait"/>
          <w:cols w:equalWidth="0" w:num="1">
            <w:col w:w="10040"/>
          </w:cols>
          <w:pgMar w:left="920" w:top="664" w:right="920" w:bottom="0" w:gutter="0" w:footer="0" w:header="0"/>
          <w:type w:val="continuous"/>
        </w:sectPr>
      </w:pPr>
    </w:p>
    <w:bookmarkStart w:id="101" w:name="page102"/>
    <w:bookmarkEnd w:id="101"/>
    <w:p>
      <w:pPr>
        <w:spacing w:after="0"/>
        <w:rPr>
          <w:sz w:val="20"/>
          <w:szCs w:val="20"/>
          <w:color w:val="auto"/>
        </w:rPr>
      </w:pPr>
      <w:r>
        <w:rPr>
          <w:rFonts w:ascii="Arial" w:cs="Arial" w:eastAsia="Arial" w:hAnsi="Arial"/>
          <w:sz w:val="20"/>
          <w:szCs w:val="20"/>
          <w:color w:val="auto"/>
        </w:rPr>
        <w:t>The following table presents a reconciliation of LivaNova’s total gross unrecognized tax benefit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44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62"/>
              <w:spacing w:after="0"/>
              <w:rPr>
                <w:sz w:val="20"/>
                <w:szCs w:val="20"/>
                <w:color w:val="auto"/>
              </w:rPr>
            </w:pPr>
            <w:r>
              <w:rPr>
                <w:rFonts w:ascii="Arial" w:cs="Arial" w:eastAsia="Arial" w:hAnsi="Arial"/>
                <w:sz w:val="20"/>
                <w:szCs w:val="20"/>
                <w:b w:val="1"/>
                <w:bCs w:val="1"/>
                <w:color w:val="auto"/>
              </w:rPr>
              <w:t>2024</w:t>
            </w:r>
          </w:p>
        </w:tc>
        <w:tc>
          <w:tcPr>
            <w:tcW w:w="6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2023</w:t>
            </w:r>
          </w:p>
        </w:tc>
        <w:tc>
          <w:tcPr>
            <w:tcW w:w="8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2022</w:t>
            </w:r>
          </w:p>
        </w:tc>
        <w:tc>
          <w:tcPr>
            <w:tcW w:w="0" w:type="dxa"/>
            <w:vAlign w:val="bottom"/>
          </w:tcPr>
          <w:p>
            <w:pPr>
              <w:spacing w:after="0"/>
              <w:rPr>
                <w:sz w:val="1"/>
                <w:szCs w:val="1"/>
                <w:color w:val="auto"/>
              </w:rPr>
            </w:pPr>
          </w:p>
        </w:tc>
      </w:tr>
      <w:tr>
        <w:trPr>
          <w:trHeight w:val="269"/>
        </w:trPr>
        <w:tc>
          <w:tcPr>
            <w:tcW w:w="5440" w:type="dxa"/>
            <w:vAlign w:val="bottom"/>
            <w:shd w:val="clear" w:color="auto" w:fill="E6E6E6"/>
          </w:tcPr>
          <w:p>
            <w:pPr>
              <w:ind w:left="40"/>
              <w:spacing w:after="0"/>
              <w:rPr>
                <w:sz w:val="20"/>
                <w:szCs w:val="20"/>
                <w:color w:val="auto"/>
              </w:rPr>
            </w:pPr>
            <w:r>
              <w:rPr>
                <w:rFonts w:ascii="Arial" w:cs="Arial" w:eastAsia="Arial" w:hAnsi="Arial"/>
                <w:sz w:val="20"/>
                <w:szCs w:val="20"/>
                <w:color w:val="auto"/>
              </w:rPr>
              <w:t>Gross Balance at beginning of year</w:t>
            </w:r>
          </w:p>
        </w:tc>
        <w:tc>
          <w:tcPr>
            <w:tcW w:w="360" w:type="dxa"/>
            <w:vAlign w:val="bottom"/>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5,406</w:t>
            </w:r>
          </w:p>
        </w:tc>
        <w:tc>
          <w:tcPr>
            <w:tcW w:w="420" w:type="dxa"/>
            <w:vAlign w:val="bottom"/>
            <w:gridSpan w:val="2"/>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1,640</w:t>
            </w:r>
          </w:p>
        </w:tc>
        <w:tc>
          <w:tcPr>
            <w:tcW w:w="440" w:type="dxa"/>
            <w:vAlign w:val="bottom"/>
            <w:gridSpan w:val="2"/>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1,741</w:t>
            </w:r>
          </w:p>
        </w:tc>
        <w:tc>
          <w:tcPr>
            <w:tcW w:w="0" w:type="dxa"/>
            <w:vAlign w:val="bottom"/>
          </w:tcPr>
          <w:p>
            <w:pPr>
              <w:spacing w:after="0"/>
              <w:rPr>
                <w:sz w:val="1"/>
                <w:szCs w:val="1"/>
                <w:color w:val="auto"/>
              </w:rPr>
            </w:pPr>
          </w:p>
        </w:tc>
      </w:tr>
      <w:tr>
        <w:trPr>
          <w:trHeight w:val="274"/>
        </w:trPr>
        <w:tc>
          <w:tcPr>
            <w:tcW w:w="5440" w:type="dxa"/>
            <w:vAlign w:val="bottom"/>
          </w:tcPr>
          <w:p>
            <w:pPr>
              <w:ind w:left="40"/>
              <w:spacing w:after="0"/>
              <w:rPr>
                <w:sz w:val="20"/>
                <w:szCs w:val="20"/>
                <w:color w:val="auto"/>
              </w:rPr>
            </w:pPr>
            <w:r>
              <w:rPr>
                <w:rFonts w:ascii="Arial" w:cs="Arial" w:eastAsia="Arial" w:hAnsi="Arial"/>
                <w:sz w:val="20"/>
                <w:szCs w:val="20"/>
                <w:color w:val="auto"/>
              </w:rPr>
              <w:t>Additions for tax positions related to prior years</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9,460</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5"/>
        </w:trPr>
        <w:tc>
          <w:tcPr>
            <w:tcW w:w="5440" w:type="dxa"/>
            <w:vAlign w:val="bottom"/>
            <w:shd w:val="clear" w:color="auto" w:fill="E6E6E6"/>
          </w:tcPr>
          <w:p>
            <w:pPr>
              <w:ind w:left="40"/>
              <w:spacing w:after="0"/>
              <w:rPr>
                <w:sz w:val="20"/>
                <w:szCs w:val="20"/>
                <w:color w:val="auto"/>
              </w:rPr>
            </w:pPr>
            <w:r>
              <w:rPr>
                <w:rFonts w:ascii="Arial" w:cs="Arial" w:eastAsia="Arial" w:hAnsi="Arial"/>
                <w:sz w:val="20"/>
                <w:szCs w:val="20"/>
                <w:color w:val="auto"/>
              </w:rPr>
              <w:t>Additions for tax positions related to current year</w:t>
            </w:r>
          </w:p>
        </w:tc>
        <w:tc>
          <w:tcPr>
            <w:tcW w:w="360" w:type="dxa"/>
            <w:vAlign w:val="bottom"/>
            <w:shd w:val="clear" w:color="auto" w:fill="E6E6E6"/>
          </w:tcPr>
          <w:p>
            <w:pPr>
              <w:spacing w:after="0"/>
              <w:rPr>
                <w:sz w:val="24"/>
                <w:szCs w:val="24"/>
                <w:color w:val="auto"/>
              </w:rPr>
            </w:pPr>
          </w:p>
        </w:tc>
        <w:tc>
          <w:tcPr>
            <w:tcW w:w="11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915</w:t>
            </w:r>
          </w:p>
        </w:tc>
        <w:tc>
          <w:tcPr>
            <w:tcW w:w="6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88"/>
        </w:trPr>
        <w:tc>
          <w:tcPr>
            <w:tcW w:w="5440" w:type="dxa"/>
            <w:vAlign w:val="bottom"/>
          </w:tcPr>
          <w:p>
            <w:pPr>
              <w:ind w:left="40"/>
              <w:spacing w:after="0" w:line="188" w:lineRule="exact"/>
              <w:rPr>
                <w:sz w:val="20"/>
                <w:szCs w:val="20"/>
                <w:color w:val="auto"/>
              </w:rPr>
            </w:pPr>
            <w:r>
              <w:rPr>
                <w:rFonts w:ascii="Arial" w:cs="Arial" w:eastAsia="Arial" w:hAnsi="Arial"/>
                <w:sz w:val="20"/>
                <w:szCs w:val="20"/>
                <w:color w:val="auto"/>
              </w:rPr>
              <w:t>Tax positions related to prior years for settlement with tax</w:t>
            </w:r>
          </w:p>
        </w:tc>
        <w:tc>
          <w:tcPr>
            <w:tcW w:w="3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20"/>
                <w:szCs w:val="20"/>
                <w:color w:val="auto"/>
              </w:rPr>
              <w:t>(143)</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20"/>
                <w:szCs w:val="20"/>
                <w:color w:val="auto"/>
              </w:rPr>
              <w:t>5,406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2"/>
        </w:trPr>
        <w:tc>
          <w:tcPr>
            <w:tcW w:w="5440" w:type="dxa"/>
            <w:vAlign w:val="bottom"/>
          </w:tcPr>
          <w:p>
            <w:pPr>
              <w:ind w:left="40"/>
              <w:spacing w:after="0"/>
              <w:rPr>
                <w:sz w:val="20"/>
                <w:szCs w:val="20"/>
                <w:color w:val="auto"/>
              </w:rPr>
            </w:pPr>
            <w:r>
              <w:rPr>
                <w:rFonts w:ascii="Arial" w:cs="Arial" w:eastAsia="Arial" w:hAnsi="Arial"/>
                <w:sz w:val="20"/>
                <w:szCs w:val="20"/>
                <w:color w:val="auto"/>
              </w:rPr>
              <w:t>authorities</w:t>
            </w:r>
          </w:p>
        </w:tc>
        <w:tc>
          <w:tcPr>
            <w:tcW w:w="36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5440" w:type="dxa"/>
            <w:vAlign w:val="bottom"/>
            <w:shd w:val="clear" w:color="auto" w:fill="E6E6E6"/>
          </w:tcPr>
          <w:p>
            <w:pPr>
              <w:ind w:left="40"/>
              <w:spacing w:after="0"/>
              <w:rPr>
                <w:sz w:val="20"/>
                <w:szCs w:val="20"/>
                <w:color w:val="auto"/>
              </w:rPr>
            </w:pPr>
            <w:r>
              <w:rPr>
                <w:rFonts w:ascii="Arial" w:cs="Arial" w:eastAsia="Arial" w:hAnsi="Arial"/>
                <w:sz w:val="20"/>
                <w:szCs w:val="20"/>
                <w:color w:val="auto"/>
              </w:rPr>
              <w:t>Impact of foreign currency exchange rates</w:t>
            </w:r>
          </w:p>
        </w:tc>
        <w:tc>
          <w:tcPr>
            <w:tcW w:w="360" w:type="dxa"/>
            <w:vAlign w:val="bottom"/>
            <w:shd w:val="clear" w:color="auto" w:fill="E6E6E6"/>
          </w:tcPr>
          <w:p>
            <w:pPr>
              <w:spacing w:after="0"/>
              <w:rPr>
                <w:sz w:val="24"/>
                <w:szCs w:val="24"/>
                <w:color w:val="auto"/>
              </w:rPr>
            </w:pPr>
          </w:p>
        </w:tc>
        <w:tc>
          <w:tcPr>
            <w:tcW w:w="11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(417)</w:t>
            </w:r>
          </w:p>
        </w:tc>
        <w:tc>
          <w:tcPr>
            <w:tcW w:w="6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58</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(101)</w:t>
            </w:r>
          </w:p>
        </w:tc>
        <w:tc>
          <w:tcPr>
            <w:tcW w:w="0" w:type="dxa"/>
            <w:vAlign w:val="bottom"/>
          </w:tcPr>
          <w:p>
            <w:pPr>
              <w:spacing w:after="0"/>
              <w:rPr>
                <w:sz w:val="1"/>
                <w:szCs w:val="1"/>
                <w:color w:val="auto"/>
              </w:rPr>
            </w:pPr>
          </w:p>
        </w:tc>
      </w:tr>
      <w:tr>
        <w:trPr>
          <w:trHeight w:val="188"/>
        </w:trPr>
        <w:tc>
          <w:tcPr>
            <w:tcW w:w="5440" w:type="dxa"/>
            <w:vAlign w:val="bottom"/>
          </w:tcPr>
          <w:p>
            <w:pPr>
              <w:ind w:left="40"/>
              <w:spacing w:after="0" w:line="188" w:lineRule="exact"/>
              <w:rPr>
                <w:sz w:val="20"/>
                <w:szCs w:val="20"/>
                <w:color w:val="auto"/>
              </w:rPr>
            </w:pPr>
            <w:r>
              <w:rPr>
                <w:rFonts w:ascii="Arial" w:cs="Arial" w:eastAsia="Arial" w:hAnsi="Arial"/>
                <w:sz w:val="20"/>
                <w:szCs w:val="20"/>
                <w:color w:val="auto"/>
              </w:rPr>
              <w:t>Tax positions related to prior years for lapses of statute of</w:t>
            </w:r>
          </w:p>
        </w:tc>
        <w:tc>
          <w:tcPr>
            <w:tcW w:w="3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20"/>
                <w:szCs w:val="20"/>
                <w:color w:val="auto"/>
              </w:rPr>
              <w:t>(1,698)</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8"/>
        </w:trPr>
        <w:tc>
          <w:tcPr>
            <w:tcW w:w="5440" w:type="dxa"/>
            <w:vAlign w:val="bottom"/>
            <w:tcBorders>
              <w:bottom w:val="single" w:sz="8" w:color="E6E6E6"/>
            </w:tcBorders>
          </w:tcPr>
          <w:p>
            <w:pPr>
              <w:ind w:left="40"/>
              <w:spacing w:after="0"/>
              <w:rPr>
                <w:sz w:val="20"/>
                <w:szCs w:val="20"/>
                <w:color w:val="auto"/>
              </w:rPr>
            </w:pPr>
            <w:r>
              <w:rPr>
                <w:rFonts w:ascii="Arial" w:cs="Arial" w:eastAsia="Arial" w:hAnsi="Arial"/>
                <w:sz w:val="20"/>
                <w:szCs w:val="20"/>
                <w:color w:val="auto"/>
              </w:rPr>
              <w:t>limitations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54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Gross Balance at end of year</w:t>
            </w:r>
          </w:p>
        </w:tc>
        <w:tc>
          <w:tcPr>
            <w:tcW w:w="360" w:type="dxa"/>
            <w:vAlign w:val="bottom"/>
            <w:tcBorders>
              <w:bottom w:val="single" w:sz="8" w:color="auto"/>
            </w:tcBorders>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15,221</w:t>
            </w:r>
          </w:p>
        </w:tc>
        <w:tc>
          <w:tcPr>
            <w:tcW w:w="6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5,406</w:t>
            </w:r>
          </w:p>
        </w:tc>
        <w:tc>
          <w:tcPr>
            <w:tcW w:w="8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1,640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-1496060</wp:posOffset>
            </wp:positionV>
            <wp:extent cx="294703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43">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-208280</wp:posOffset>
            </wp:positionV>
            <wp:extent cx="294703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44">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-43180</wp:posOffset>
            </wp:positionV>
            <wp:extent cx="2947035" cy="501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45">
                      <a:extLst>
                        <a:ext uri="{28A0092B-C50C-407E-A947-70E740481C1C}"/>
                      </a:extLst>
                    </a:blip>
                    <a:srcRect/>
                    <a:stretch>
                      <a:fillRect/>
                    </a:stretch>
                  </pic:blipFill>
                  <pic:spPr bwMode="auto">
                    <a:xfrm>
                      <a:off x="0" y="0"/>
                      <a:ext cx="2947035" cy="5016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the components of LivaNova’s total gross unrecognized tax benefit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0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rPr>
              <w:t>December 31,</w:t>
            </w:r>
          </w:p>
        </w:tc>
        <w:tc>
          <w:tcPr>
            <w:tcW w:w="940" w:type="dxa"/>
            <w:vAlign w:val="bottom"/>
            <w:tcBorders>
              <w:bottom w:val="single" w:sz="8" w:color="auto"/>
            </w:tcBorders>
          </w:tcPr>
          <w:p>
            <w:pPr>
              <w:spacing w:after="0"/>
              <w:rPr>
                <w:sz w:val="22"/>
                <w:szCs w:val="22"/>
                <w:color w:val="auto"/>
              </w:rPr>
            </w:pPr>
          </w:p>
        </w:tc>
      </w:tr>
      <w:tr>
        <w:trPr>
          <w:trHeight w:val="260"/>
        </w:trPr>
        <w:tc>
          <w:tcPr>
            <w:tcW w:w="700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2024</w:t>
            </w:r>
          </w:p>
        </w:tc>
        <w:tc>
          <w:tcPr>
            <w:tcW w:w="80" w:type="dxa"/>
            <w:vAlign w:val="bottom"/>
            <w:tcBorders>
              <w:bottom w:val="single" w:sz="8" w:color="E6E6E6"/>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w w:val="85"/>
              </w:rPr>
              <w:t>2023</w:t>
            </w:r>
          </w:p>
        </w:tc>
      </w:tr>
      <w:tr>
        <w:trPr>
          <w:trHeight w:val="269"/>
        </w:trPr>
        <w:tc>
          <w:tcPr>
            <w:tcW w:w="7000" w:type="dxa"/>
            <w:vAlign w:val="bottom"/>
            <w:shd w:val="clear" w:color="auto" w:fill="E6E6E6"/>
          </w:tcPr>
          <w:p>
            <w:pPr>
              <w:ind w:left="40"/>
              <w:spacing w:after="0"/>
              <w:rPr>
                <w:sz w:val="20"/>
                <w:szCs w:val="20"/>
                <w:color w:val="auto"/>
              </w:rPr>
            </w:pPr>
            <w:r>
              <w:rPr>
                <w:rFonts w:ascii="Arial" w:cs="Arial" w:eastAsia="Arial" w:hAnsi="Arial"/>
                <w:sz w:val="20"/>
                <w:szCs w:val="20"/>
                <w:color w:val="auto"/>
              </w:rPr>
              <w:t>Recorded as liability</w:t>
            </w:r>
          </w:p>
        </w:tc>
        <w:tc>
          <w:tcPr>
            <w:tcW w:w="360" w:type="dxa"/>
            <w:vAlign w:val="bottom"/>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1,073</w:t>
            </w:r>
          </w:p>
        </w:tc>
        <w:tc>
          <w:tcPr>
            <w:tcW w:w="620" w:type="dxa"/>
            <w:vAlign w:val="bottom"/>
            <w:gridSpan w:val="2"/>
            <w:shd w:val="clear" w:color="auto" w:fill="E6E6E6"/>
          </w:tcPr>
          <w:p>
            <w:pPr>
              <w:jc w:val="right"/>
              <w:ind w:right="380"/>
              <w:spacing w:after="0"/>
              <w:rPr>
                <w:sz w:val="20"/>
                <w:szCs w:val="20"/>
                <w:color w:val="auto"/>
              </w:rPr>
            </w:pPr>
            <w:r>
              <w:rPr>
                <w:rFonts w:ascii="Arial" w:cs="Arial" w:eastAsia="Arial" w:hAnsi="Arial"/>
                <w:sz w:val="20"/>
                <w:szCs w:val="20"/>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551</w:t>
            </w:r>
          </w:p>
        </w:tc>
      </w:tr>
      <w:tr>
        <w:trPr>
          <w:trHeight w:val="274"/>
        </w:trPr>
        <w:tc>
          <w:tcPr>
            <w:tcW w:w="7000" w:type="dxa"/>
            <w:vAlign w:val="bottom"/>
          </w:tcPr>
          <w:p>
            <w:pPr>
              <w:ind w:left="40"/>
              <w:spacing w:after="0"/>
              <w:rPr>
                <w:sz w:val="20"/>
                <w:szCs w:val="20"/>
                <w:color w:val="auto"/>
              </w:rPr>
            </w:pPr>
            <w:r>
              <w:rPr>
                <w:rFonts w:ascii="Arial" w:cs="Arial" w:eastAsia="Arial" w:hAnsi="Arial"/>
                <w:sz w:val="20"/>
                <w:szCs w:val="20"/>
                <w:color w:val="auto"/>
              </w:rPr>
              <w:t>Reduction to deferred tax assets - impacting effective tax rate</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4,786</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5"/>
        </w:trPr>
        <w:tc>
          <w:tcPr>
            <w:tcW w:w="70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Reduction to deferred tax assets with valuation allowance</w:t>
            </w:r>
          </w:p>
        </w:tc>
        <w:tc>
          <w:tcPr>
            <w:tcW w:w="360" w:type="dxa"/>
            <w:vAlign w:val="bottom"/>
            <w:tcBorders>
              <w:bottom w:val="single" w:sz="8" w:color="auto"/>
            </w:tcBorders>
            <w:shd w:val="clear" w:color="auto" w:fill="E6E6E6"/>
          </w:tcPr>
          <w:p>
            <w:pPr>
              <w:spacing w:after="0"/>
              <w:rPr>
                <w:sz w:val="23"/>
                <w:szCs w:val="23"/>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9,362</w:t>
            </w:r>
          </w:p>
        </w:tc>
        <w:tc>
          <w:tcPr>
            <w:tcW w:w="80" w:type="dxa"/>
            <w:vAlign w:val="bottom"/>
            <w:tcBorders>
              <w:bottom w:val="single" w:sz="8" w:color="E6E6E6"/>
            </w:tcBorders>
            <w:shd w:val="clear" w:color="auto" w:fill="E6E6E6"/>
          </w:tcPr>
          <w:p>
            <w:pPr>
              <w:spacing w:after="0"/>
              <w:rPr>
                <w:sz w:val="23"/>
                <w:szCs w:val="23"/>
                <w:color w:val="auto"/>
              </w:rPr>
            </w:pPr>
          </w:p>
        </w:tc>
        <w:tc>
          <w:tcPr>
            <w:tcW w:w="540" w:type="dxa"/>
            <w:vAlign w:val="bottom"/>
            <w:tcBorders>
              <w:bottom w:val="single" w:sz="8" w:color="auto"/>
            </w:tcBorders>
            <w:shd w:val="clear" w:color="auto" w:fill="E6E6E6"/>
          </w:tcPr>
          <w:p>
            <w:pPr>
              <w:spacing w:after="0"/>
              <w:rPr>
                <w:sz w:val="23"/>
                <w:szCs w:val="23"/>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4,855</w:t>
            </w:r>
          </w:p>
        </w:tc>
      </w:tr>
      <w:tr>
        <w:trPr>
          <w:trHeight w:val="240"/>
        </w:trPr>
        <w:tc>
          <w:tcPr>
            <w:tcW w:w="7000" w:type="dxa"/>
            <w:vAlign w:val="bottom"/>
          </w:tcPr>
          <w:p>
            <w:pPr>
              <w:spacing w:after="0"/>
              <w:rPr>
                <w:sz w:val="20"/>
                <w:szCs w:val="20"/>
                <w:color w:val="auto"/>
              </w:rPr>
            </w:pP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15,221</w:t>
            </w:r>
          </w:p>
        </w:tc>
        <w:tc>
          <w:tcPr>
            <w:tcW w:w="620" w:type="dxa"/>
            <w:vAlign w:val="bottom"/>
            <w:gridSpan w:val="2"/>
          </w:tcPr>
          <w:p>
            <w:pPr>
              <w:jc w:val="right"/>
              <w:ind w:right="38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5,406</w:t>
            </w:r>
          </w:p>
        </w:tc>
      </w:tr>
      <w:tr>
        <w:trPr>
          <w:trHeight w:val="20"/>
        </w:trPr>
        <w:tc>
          <w:tcPr>
            <w:tcW w:w="70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4435475</wp:posOffset>
            </wp:positionH>
            <wp:positionV relativeFrom="paragraph">
              <wp:posOffset>-740410</wp:posOffset>
            </wp:positionV>
            <wp:extent cx="195770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46">
                      <a:extLst>
                        <a:ext uri="{28A0092B-C50C-407E-A947-70E740481C1C}"/>
                      </a:extLst>
                    </a:blip>
                    <a:srcRect/>
                    <a:stretch>
                      <a:fillRect/>
                    </a:stretch>
                  </pic:blipFill>
                  <pic:spPr bwMode="auto">
                    <a:xfrm>
                      <a:off x="0" y="0"/>
                      <a:ext cx="1957705" cy="25400"/>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-208280</wp:posOffset>
            </wp:positionV>
            <wp:extent cx="195770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47">
                      <a:extLst>
                        <a:ext uri="{28A0092B-C50C-407E-A947-70E740481C1C}"/>
                      </a:extLst>
                    </a:blip>
                    <a:srcRect/>
                    <a:stretch>
                      <a:fillRect/>
                    </a:stretch>
                  </pic:blipFill>
                  <pic:spPr bwMode="auto">
                    <a:xfrm>
                      <a:off x="0" y="0"/>
                      <a:ext cx="1957705" cy="25400"/>
                    </a:xfrm>
                    <a:prstGeom prst="rect">
                      <a:avLst/>
                    </a:prstGeom>
                    <a:noFill/>
                  </pic:spPr>
                </pic:pic>
              </a:graphicData>
            </a:graphic>
          </wp:anchor>
        </w:drawing>
      </w:r>
    </w:p>
    <w:p>
      <w:pPr>
        <w:spacing w:after="0" w:line="105"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LivaNova currently has tax audits in progress with a number of tax authorities. It is reasonably possible that in the next twelve months the balance of gross unrecognized tax benefit will decrease up to $9.4 million resulting from settlements with tax authorities or the expiration of statutes of limitations.</w:t>
      </w:r>
    </w:p>
    <w:p>
      <w:pPr>
        <w:spacing w:after="0" w:line="79"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Accrued interest and penalties totaled $0.1 million, $0.7 million, and $0.3 million as of December 31, 2024, 2023, and 2022, respectively, and were included in other long-term liabilities on LivaNova’s consolidated balance sheets. LivaNova records accrued interest and penalties related to unrecognized tax benefits in interest expense and foreign exchange and other income/ (expense), respectively, on LivaNova’s consolidated statements of income (loss).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The major jurisdictions where LivaNova is subject to income tax examinations as of December 31, 2024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822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Jurisdiction</w:t>
            </w:r>
          </w:p>
        </w:tc>
        <w:tc>
          <w:tcPr>
            <w:tcW w:w="80" w:type="dxa"/>
            <w:vAlign w:val="bottom"/>
            <w:tcBorders>
              <w:bottom w:val="single" w:sz="8" w:color="E6E6E6"/>
            </w:tcBorders>
          </w:tcPr>
          <w:p>
            <w:pPr>
              <w:spacing w:after="0"/>
              <w:rPr>
                <w:sz w:val="22"/>
                <w:szCs w:val="22"/>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Earliest Year Open</w:t>
            </w:r>
          </w:p>
        </w:tc>
      </w:tr>
      <w:tr>
        <w:trPr>
          <w:trHeight w:val="270"/>
        </w:trPr>
        <w:tc>
          <w:tcPr>
            <w:tcW w:w="8220" w:type="dxa"/>
            <w:vAlign w:val="bottom"/>
            <w:shd w:val="clear" w:color="auto" w:fill="E6E6E6"/>
          </w:tcPr>
          <w:p>
            <w:pPr>
              <w:ind w:left="40"/>
              <w:spacing w:after="0"/>
              <w:rPr>
                <w:sz w:val="20"/>
                <w:szCs w:val="20"/>
                <w:color w:val="auto"/>
              </w:rPr>
            </w:pPr>
            <w:r>
              <w:rPr>
                <w:rFonts w:ascii="Arial" w:cs="Arial" w:eastAsia="Arial" w:hAnsi="Arial"/>
                <w:sz w:val="20"/>
                <w:szCs w:val="20"/>
                <w:color w:val="auto"/>
              </w:rPr>
              <w:t>Italy</w:t>
            </w:r>
          </w:p>
        </w:tc>
        <w:tc>
          <w:tcPr>
            <w:tcW w:w="1820" w:type="dxa"/>
            <w:vAlign w:val="bottom"/>
            <w:gridSpan w:val="2"/>
            <w:shd w:val="clear" w:color="auto" w:fill="E6E6E6"/>
          </w:tcPr>
          <w:p>
            <w:pPr>
              <w:jc w:val="center"/>
              <w:spacing w:after="0"/>
              <w:rPr>
                <w:sz w:val="20"/>
                <w:szCs w:val="20"/>
                <w:color w:val="auto"/>
              </w:rPr>
            </w:pPr>
            <w:r>
              <w:rPr>
                <w:rFonts w:ascii="Arial" w:cs="Arial" w:eastAsia="Arial" w:hAnsi="Arial"/>
                <w:sz w:val="20"/>
                <w:szCs w:val="20"/>
                <w:color w:val="auto"/>
                <w:w w:val="85"/>
              </w:rPr>
              <w:t>2019</w:t>
            </w:r>
          </w:p>
        </w:tc>
      </w:tr>
      <w:tr>
        <w:trPr>
          <w:trHeight w:val="274"/>
        </w:trPr>
        <w:tc>
          <w:tcPr>
            <w:tcW w:w="8220" w:type="dxa"/>
            <w:vAlign w:val="bottom"/>
          </w:tcPr>
          <w:p>
            <w:pPr>
              <w:ind w:left="40"/>
              <w:spacing w:after="0"/>
              <w:rPr>
                <w:sz w:val="20"/>
                <w:szCs w:val="20"/>
                <w:color w:val="auto"/>
              </w:rPr>
            </w:pPr>
            <w:r>
              <w:rPr>
                <w:rFonts w:ascii="Arial" w:cs="Arial" w:eastAsia="Arial" w:hAnsi="Arial"/>
                <w:sz w:val="20"/>
                <w:szCs w:val="20"/>
                <w:color w:val="auto"/>
              </w:rPr>
              <w:t>Germany</w:t>
            </w:r>
          </w:p>
        </w:tc>
        <w:tc>
          <w:tcPr>
            <w:tcW w:w="1820" w:type="dxa"/>
            <w:vAlign w:val="bottom"/>
            <w:gridSpan w:val="2"/>
          </w:tcPr>
          <w:p>
            <w:pPr>
              <w:jc w:val="center"/>
              <w:spacing w:after="0"/>
              <w:rPr>
                <w:sz w:val="20"/>
                <w:szCs w:val="20"/>
                <w:color w:val="auto"/>
              </w:rPr>
            </w:pPr>
            <w:r>
              <w:rPr>
                <w:rFonts w:ascii="Arial" w:cs="Arial" w:eastAsia="Arial" w:hAnsi="Arial"/>
                <w:sz w:val="20"/>
                <w:szCs w:val="20"/>
                <w:color w:val="auto"/>
                <w:w w:val="85"/>
              </w:rPr>
              <w:t>2019</w:t>
            </w:r>
          </w:p>
        </w:tc>
      </w:tr>
      <w:tr>
        <w:trPr>
          <w:trHeight w:val="285"/>
        </w:trPr>
        <w:tc>
          <w:tcPr>
            <w:tcW w:w="8220" w:type="dxa"/>
            <w:vAlign w:val="bottom"/>
            <w:shd w:val="clear" w:color="auto" w:fill="E6E6E6"/>
          </w:tcPr>
          <w:p>
            <w:pPr>
              <w:ind w:left="40"/>
              <w:spacing w:after="0"/>
              <w:rPr>
                <w:sz w:val="20"/>
                <w:szCs w:val="20"/>
                <w:color w:val="auto"/>
              </w:rPr>
            </w:pPr>
            <w:r>
              <w:rPr>
                <w:rFonts w:ascii="Arial" w:cs="Arial" w:eastAsia="Arial" w:hAnsi="Arial"/>
                <w:sz w:val="20"/>
                <w:szCs w:val="20"/>
                <w:color w:val="auto"/>
              </w:rPr>
              <w:t>U.S. - federal and state</w:t>
            </w:r>
          </w:p>
        </w:tc>
        <w:tc>
          <w:tcPr>
            <w:tcW w:w="1820" w:type="dxa"/>
            <w:vAlign w:val="bottom"/>
            <w:gridSpan w:val="2"/>
            <w:shd w:val="clear" w:color="auto" w:fill="E6E6E6"/>
          </w:tcPr>
          <w:p>
            <w:pPr>
              <w:jc w:val="center"/>
              <w:spacing w:after="0"/>
              <w:rPr>
                <w:sz w:val="20"/>
                <w:szCs w:val="20"/>
                <w:color w:val="auto"/>
              </w:rPr>
            </w:pPr>
            <w:r>
              <w:rPr>
                <w:rFonts w:ascii="Arial" w:cs="Arial" w:eastAsia="Arial" w:hAnsi="Arial"/>
                <w:sz w:val="20"/>
                <w:szCs w:val="20"/>
                <w:color w:val="auto"/>
                <w:w w:val="85"/>
              </w:rPr>
              <w:t>2020</w:t>
            </w:r>
          </w:p>
        </w:tc>
      </w:tr>
      <w:tr>
        <w:trPr>
          <w:trHeight w:val="274"/>
        </w:trPr>
        <w:tc>
          <w:tcPr>
            <w:tcW w:w="8220" w:type="dxa"/>
            <w:vAlign w:val="bottom"/>
          </w:tcPr>
          <w:p>
            <w:pPr>
              <w:ind w:left="40"/>
              <w:spacing w:after="0"/>
              <w:rPr>
                <w:sz w:val="20"/>
                <w:szCs w:val="20"/>
                <w:color w:val="auto"/>
              </w:rPr>
            </w:pPr>
            <w:r>
              <w:rPr>
                <w:rFonts w:ascii="Arial" w:cs="Arial" w:eastAsia="Arial" w:hAnsi="Arial"/>
                <w:sz w:val="20"/>
                <w:szCs w:val="20"/>
                <w:color w:val="auto"/>
              </w:rPr>
              <w:t>England and Wales</w:t>
            </w:r>
          </w:p>
        </w:tc>
        <w:tc>
          <w:tcPr>
            <w:tcW w:w="1820" w:type="dxa"/>
            <w:vAlign w:val="bottom"/>
            <w:gridSpan w:val="2"/>
          </w:tcPr>
          <w:p>
            <w:pPr>
              <w:jc w:val="center"/>
              <w:spacing w:after="0"/>
              <w:rPr>
                <w:sz w:val="20"/>
                <w:szCs w:val="20"/>
                <w:color w:val="auto"/>
              </w:rPr>
            </w:pPr>
            <w:r>
              <w:rPr>
                <w:rFonts w:ascii="Arial" w:cs="Arial" w:eastAsia="Arial" w:hAnsi="Arial"/>
                <w:sz w:val="20"/>
                <w:szCs w:val="20"/>
                <w:color w:val="auto"/>
                <w:w w:val="85"/>
              </w:rPr>
              <w:t>2020</w:t>
            </w:r>
          </w:p>
        </w:tc>
      </w:tr>
      <w:tr>
        <w:trPr>
          <w:trHeight w:val="285"/>
        </w:trPr>
        <w:tc>
          <w:tcPr>
            <w:tcW w:w="8220" w:type="dxa"/>
            <w:vAlign w:val="bottom"/>
            <w:shd w:val="clear" w:color="auto" w:fill="E6E6E6"/>
          </w:tcPr>
          <w:p>
            <w:pPr>
              <w:ind w:left="40"/>
              <w:spacing w:after="0"/>
              <w:rPr>
                <w:sz w:val="20"/>
                <w:szCs w:val="20"/>
                <w:color w:val="auto"/>
              </w:rPr>
            </w:pPr>
            <w:r>
              <w:rPr>
                <w:rFonts w:ascii="Arial" w:cs="Arial" w:eastAsia="Arial" w:hAnsi="Arial"/>
                <w:sz w:val="20"/>
                <w:szCs w:val="20"/>
                <w:color w:val="auto"/>
              </w:rPr>
              <w:t>Canada</w:t>
            </w:r>
          </w:p>
        </w:tc>
        <w:tc>
          <w:tcPr>
            <w:tcW w:w="1820" w:type="dxa"/>
            <w:vAlign w:val="bottom"/>
            <w:gridSpan w:val="2"/>
            <w:shd w:val="clear" w:color="auto" w:fill="E6E6E6"/>
          </w:tcPr>
          <w:p>
            <w:pPr>
              <w:jc w:val="center"/>
              <w:spacing w:after="0"/>
              <w:rPr>
                <w:sz w:val="20"/>
                <w:szCs w:val="20"/>
                <w:color w:val="auto"/>
              </w:rPr>
            </w:pPr>
            <w:r>
              <w:rPr>
                <w:rFonts w:ascii="Arial" w:cs="Arial" w:eastAsia="Arial" w:hAnsi="Arial"/>
                <w:sz w:val="20"/>
                <w:szCs w:val="20"/>
                <w:color w:val="auto"/>
                <w:w w:val="85"/>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-899160</wp:posOffset>
            </wp:positionV>
            <wp:extent cx="641032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48">
                      <a:extLst>
                        <a:ext uri="{28A0092B-C50C-407E-A947-70E740481C1C}"/>
                      </a:extLst>
                    </a:blip>
                    <a:srcRect/>
                    <a:stretch>
                      <a:fillRect/>
                    </a:stretch>
                  </pic:blipFill>
                  <pic:spPr bwMode="auto">
                    <a:xfrm>
                      <a:off x="0" y="0"/>
                      <a:ext cx="6410325" cy="2540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16. Earnings Per Share</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the basic and diluted earnings per share: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440" w:type="dxa"/>
            <w:vAlign w:val="bottom"/>
            <w:tcBorders>
              <w:bottom w:val="single" w:sz="8" w:color="E6E6E6"/>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2024</w:t>
            </w:r>
          </w:p>
        </w:tc>
        <w:tc>
          <w:tcPr>
            <w:tcW w:w="500" w:type="dxa"/>
            <w:vAlign w:val="bottom"/>
            <w:tcBorders>
              <w:bottom w:val="single" w:sz="8" w:color="auto"/>
            </w:tcBorders>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2023</w:t>
            </w:r>
          </w:p>
        </w:tc>
        <w:tc>
          <w:tcPr>
            <w:tcW w:w="480" w:type="dxa"/>
            <w:vAlign w:val="bottom"/>
            <w:tcBorders>
              <w:bottom w:val="single" w:sz="8" w:color="auto"/>
            </w:tcBorders>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2022</w:t>
            </w:r>
          </w:p>
        </w:tc>
      </w:tr>
      <w:tr>
        <w:trPr>
          <w:trHeight w:val="270"/>
        </w:trPr>
        <w:tc>
          <w:tcPr>
            <w:tcW w:w="5440" w:type="dxa"/>
            <w:vAlign w:val="bottom"/>
            <w:shd w:val="clear" w:color="auto" w:fill="E6E6E6"/>
          </w:tcPr>
          <w:p>
            <w:pPr>
              <w:ind w:left="40"/>
              <w:spacing w:after="0"/>
              <w:rPr>
                <w:sz w:val="20"/>
                <w:szCs w:val="20"/>
                <w:color w:val="auto"/>
              </w:rPr>
            </w:pPr>
            <w:r>
              <w:rPr>
                <w:rFonts w:ascii="Arial" w:cs="Arial" w:eastAsia="Arial" w:hAnsi="Arial"/>
                <w:sz w:val="20"/>
                <w:szCs w:val="20"/>
                <w:color w:val="auto"/>
              </w:rPr>
              <w:t>Basic income (loss) per share</w:t>
            </w:r>
          </w:p>
        </w:tc>
        <w:tc>
          <w:tcPr>
            <w:tcW w:w="1000" w:type="dxa"/>
            <w:vAlign w:val="bottom"/>
            <w:shd w:val="clear" w:color="auto" w:fill="E6E6E6"/>
          </w:tcPr>
          <w:p>
            <w:pPr>
              <w:jc w:val="right"/>
              <w:ind w:right="742"/>
              <w:spacing w:after="0"/>
              <w:rPr>
                <w:sz w:val="20"/>
                <w:szCs w:val="20"/>
                <w:color w:val="auto"/>
              </w:rPr>
            </w:pPr>
            <w:r>
              <w:rPr>
                <w:rFonts w:ascii="Arial" w:cs="Arial" w:eastAsia="Arial" w:hAnsi="Arial"/>
                <w:sz w:val="20"/>
                <w:szCs w:val="20"/>
                <w:color w:val="auto"/>
              </w:rPr>
              <w:t>$</w:t>
            </w:r>
          </w:p>
        </w:tc>
        <w:tc>
          <w:tcPr>
            <w:tcW w:w="5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1.17</w:t>
            </w:r>
          </w:p>
        </w:tc>
        <w:tc>
          <w:tcPr>
            <w:tcW w:w="1060" w:type="dxa"/>
            <w:vAlign w:val="bottom"/>
            <w:gridSpan w:val="2"/>
            <w:shd w:val="clear" w:color="auto" w:fill="E6E6E6"/>
          </w:tcPr>
          <w:p>
            <w:pPr>
              <w:jc w:val="right"/>
              <w:ind w:right="742"/>
              <w:spacing w:after="0"/>
              <w:rPr>
                <w:sz w:val="20"/>
                <w:szCs w:val="20"/>
                <w:color w:val="auto"/>
              </w:rPr>
            </w:pPr>
            <w:r>
              <w:rPr>
                <w:rFonts w:ascii="Arial" w:cs="Arial" w:eastAsia="Arial" w:hAnsi="Arial"/>
                <w:sz w:val="20"/>
                <w:szCs w:val="20"/>
                <w:color w:val="auto"/>
              </w:rPr>
              <w:t>$</w:t>
            </w:r>
          </w:p>
        </w:tc>
        <w:tc>
          <w:tcPr>
            <w:tcW w:w="480" w:type="dxa"/>
            <w:vAlign w:val="bottom"/>
            <w:shd w:val="clear" w:color="auto" w:fill="E6E6E6"/>
          </w:tcPr>
          <w:p>
            <w:pPr>
              <w:jc w:val="right"/>
              <w:spacing w:after="0"/>
              <w:rPr>
                <w:sz w:val="20"/>
                <w:szCs w:val="20"/>
                <w:color w:val="auto"/>
              </w:rPr>
            </w:pPr>
            <w:r>
              <w:rPr>
                <w:rFonts w:ascii="Arial" w:cs="Arial" w:eastAsia="Arial" w:hAnsi="Arial"/>
                <w:sz w:val="20"/>
                <w:szCs w:val="20"/>
                <w:color w:val="auto"/>
                <w:w w:val="97"/>
              </w:rPr>
              <w:t>0.33</w:t>
            </w:r>
          </w:p>
        </w:tc>
        <w:tc>
          <w:tcPr>
            <w:tcW w:w="440" w:type="dxa"/>
            <w:vAlign w:val="bottom"/>
            <w:gridSpan w:val="2"/>
            <w:shd w:val="clear" w:color="auto" w:fill="E6E6E6"/>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(1.61)</w:t>
            </w:r>
          </w:p>
        </w:tc>
      </w:tr>
      <w:tr>
        <w:trPr>
          <w:trHeight w:val="268"/>
        </w:trPr>
        <w:tc>
          <w:tcPr>
            <w:tcW w:w="5440" w:type="dxa"/>
            <w:vAlign w:val="bottom"/>
          </w:tcPr>
          <w:p>
            <w:pPr>
              <w:ind w:left="40"/>
              <w:spacing w:after="0"/>
              <w:rPr>
                <w:sz w:val="20"/>
                <w:szCs w:val="20"/>
                <w:color w:val="auto"/>
              </w:rPr>
            </w:pPr>
            <w:r>
              <w:rPr>
                <w:rFonts w:ascii="Arial" w:cs="Arial" w:eastAsia="Arial" w:hAnsi="Arial"/>
                <w:sz w:val="20"/>
                <w:szCs w:val="20"/>
                <w:color w:val="auto"/>
              </w:rPr>
              <w:t>Diluted income (loss) per share</w:t>
            </w:r>
          </w:p>
        </w:tc>
        <w:tc>
          <w:tcPr>
            <w:tcW w:w="10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rPr>
              <w:t>1.16</w:t>
            </w: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auto"/>
                <w:w w:val="97"/>
              </w:rPr>
              <w:t>0.32</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-359410</wp:posOffset>
            </wp:positionV>
            <wp:extent cx="294703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49">
                      <a:extLst>
                        <a:ext uri="{28A0092B-C50C-407E-A947-70E740481C1C}"/>
                      </a:extLst>
                    </a:blip>
                    <a:srcRect/>
                    <a:stretch>
                      <a:fillRect/>
                    </a:stretch>
                  </pic:blipFill>
                  <pic:spPr bwMode="auto">
                    <a:xfrm>
                      <a:off x="0" y="0"/>
                      <a:ext cx="2947035" cy="25400"/>
                    </a:xfrm>
                    <a:prstGeom prst="rect">
                      <a:avLst/>
                    </a:prstGeom>
                    <a:noFill/>
                  </pic:spPr>
                </pic:pic>
              </a:graphicData>
            </a:graphic>
          </wp:anchor>
        </w:drawing>
      </w:r>
    </w:p>
    <w:p>
      <w:pPr>
        <w:sectPr>
          <w:pgSz w:w="11880" w:h="15480" w:orient="portrait"/>
          <w:cols w:equalWidth="0" w:num="1">
            <w:col w:w="10040"/>
          </w:cols>
          <w:pgMar w:left="920" w:top="66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F-44</w:t>
      </w:r>
    </w:p>
    <w:p>
      <w:pPr>
        <w:sectPr>
          <w:pgSz w:w="11880" w:h="15480" w:orient="portrait"/>
          <w:cols w:equalWidth="0" w:num="1">
            <w:col w:w="10040"/>
          </w:cols>
          <w:pgMar w:left="920" w:top="664" w:right="920" w:bottom="0" w:gutter="0" w:footer="0" w:header="0"/>
          <w:type w:val="continuous"/>
        </w:sectPr>
      </w:pPr>
    </w:p>
    <w:bookmarkStart w:id="102" w:name="page103"/>
    <w:bookmarkEnd w:id="102"/>
    <w:p>
      <w:pPr>
        <w:ind w:right="20"/>
        <w:spacing w:after="0" w:line="284" w:lineRule="auto"/>
        <w:rPr>
          <w:sz w:val="20"/>
          <w:szCs w:val="20"/>
          <w:color w:val="auto"/>
        </w:rPr>
      </w:pPr>
      <w:r>
        <w:rPr>
          <w:rFonts w:ascii="Arial" w:cs="Arial" w:eastAsia="Arial" w:hAnsi="Arial"/>
          <w:sz w:val="20"/>
          <w:szCs w:val="20"/>
          <w:color w:val="auto"/>
        </w:rPr>
        <w:t>The following table presents the reconciliations of net income (loss) and weighted-average shares outstanding used in the calculations of basic and diluted earnings per share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2023</w:t>
            </w: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2022</w:t>
            </w:r>
          </w:p>
        </w:tc>
        <w:tc>
          <w:tcPr>
            <w:tcW w:w="0" w:type="dxa"/>
            <w:vAlign w:val="bottom"/>
          </w:tcPr>
          <w:p>
            <w:pPr>
              <w:spacing w:after="0"/>
              <w:rPr>
                <w:sz w:val="1"/>
                <w:szCs w:val="1"/>
                <w:color w:val="auto"/>
              </w:rPr>
            </w:pPr>
          </w:p>
        </w:tc>
      </w:tr>
      <w:tr>
        <w:trPr>
          <w:trHeight w:val="270"/>
        </w:trPr>
        <w:tc>
          <w:tcPr>
            <w:tcW w:w="5480" w:type="dxa"/>
            <w:vAlign w:val="bottom"/>
            <w:gridSpan w:val="2"/>
          </w:tcPr>
          <w:p>
            <w:pPr>
              <w:ind w:left="60"/>
              <w:spacing w:after="0" w:line="269" w:lineRule="exact"/>
              <w:rPr>
                <w:sz w:val="20"/>
                <w:szCs w:val="20"/>
                <w:color w:val="auto"/>
              </w:rPr>
            </w:pPr>
            <w:r>
              <w:rPr>
                <w:rFonts w:ascii="Arial" w:cs="Arial" w:eastAsia="Arial" w:hAnsi="Arial"/>
                <w:sz w:val="20"/>
                <w:szCs w:val="20"/>
                <w:b w:val="1"/>
                <w:bCs w:val="1"/>
                <w:color w:val="auto"/>
              </w:rPr>
              <w:t xml:space="preserve">Numerator: </w:t>
            </w:r>
            <w:r>
              <w:rPr>
                <w:rFonts w:ascii="Arial" w:cs="Arial" w:eastAsia="Arial" w:hAnsi="Arial"/>
                <w:sz w:val="25"/>
                <w:szCs w:val="25"/>
                <w:b w:val="1"/>
                <w:bCs w:val="1"/>
                <w:color w:val="auto"/>
                <w:vertAlign w:val="superscript"/>
              </w:rPr>
              <w:t>(1)</w:t>
            </w: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5480" w:type="dxa"/>
            <w:vAlign w:val="bottom"/>
            <w:gridSpan w:val="2"/>
            <w:shd w:val="clear" w:color="auto" w:fill="E6E6E6"/>
          </w:tcPr>
          <w:p>
            <w:pPr>
              <w:ind w:left="60"/>
              <w:spacing w:after="0"/>
              <w:rPr>
                <w:sz w:val="20"/>
                <w:szCs w:val="20"/>
                <w:color w:val="auto"/>
              </w:rPr>
            </w:pPr>
            <w:r>
              <w:rPr>
                <w:rFonts w:ascii="Arial" w:cs="Arial" w:eastAsia="Arial" w:hAnsi="Arial"/>
                <w:sz w:val="20"/>
                <w:szCs w:val="20"/>
                <w:color w:val="auto"/>
              </w:rPr>
              <w:t>Net income (loss) - basic and diluted</w:t>
            </w:r>
          </w:p>
        </w:tc>
        <w:tc>
          <w:tcPr>
            <w:tcW w:w="320" w:type="dxa"/>
            <w:vAlign w:val="bottom"/>
            <w:shd w:val="clear" w:color="auto" w:fill="E6E6E6"/>
          </w:tcPr>
          <w:p>
            <w:pPr>
              <w:jc w:val="right"/>
              <w:ind w:right="82"/>
              <w:spacing w:after="0"/>
              <w:rPr>
                <w:sz w:val="20"/>
                <w:szCs w:val="20"/>
                <w:color w:val="auto"/>
              </w:rPr>
            </w:pPr>
            <w:r>
              <w:rPr>
                <w:rFonts w:ascii="Arial" w:cs="Arial" w:eastAsia="Arial" w:hAnsi="Arial"/>
                <w:sz w:val="20"/>
                <w:szCs w:val="20"/>
                <w:color w:val="auto"/>
              </w:rPr>
              <w:t>$</w:t>
            </w:r>
          </w:p>
        </w:tc>
        <w:tc>
          <w:tcPr>
            <w:tcW w:w="11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63,234</w:t>
            </w:r>
          </w:p>
        </w:tc>
        <w:tc>
          <w:tcPr>
            <w:tcW w:w="420" w:type="dxa"/>
            <w:vAlign w:val="bottom"/>
            <w:gridSpan w:val="2"/>
            <w:shd w:val="clear" w:color="auto" w:fill="E6E6E6"/>
          </w:tcPr>
          <w:p>
            <w:pPr>
              <w:jc w:val="right"/>
              <w:ind w:right="200"/>
              <w:spacing w:after="0"/>
              <w:rPr>
                <w:sz w:val="20"/>
                <w:szCs w:val="20"/>
                <w:color w:val="auto"/>
              </w:rPr>
            </w:pPr>
            <w:r>
              <w:rPr>
                <w:rFonts w:ascii="Arial" w:cs="Arial" w:eastAsia="Arial" w:hAnsi="Arial"/>
                <w:sz w:val="20"/>
                <w:szCs w:val="20"/>
                <w:color w:val="auto"/>
              </w:rPr>
              <w:t>$</w:t>
            </w:r>
          </w:p>
        </w:tc>
        <w:tc>
          <w:tcPr>
            <w:tcW w:w="11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17,546</w:t>
            </w:r>
          </w:p>
        </w:tc>
        <w:tc>
          <w:tcPr>
            <w:tcW w:w="420" w:type="dxa"/>
            <w:vAlign w:val="bottom"/>
            <w:gridSpan w:val="2"/>
            <w:shd w:val="clear" w:color="auto" w:fill="E6E6E6"/>
          </w:tcPr>
          <w:p>
            <w:pPr>
              <w:jc w:val="right"/>
              <w:ind w:right="200"/>
              <w:spacing w:after="0"/>
              <w:rPr>
                <w:sz w:val="20"/>
                <w:szCs w:val="20"/>
                <w:color w:val="auto"/>
              </w:rPr>
            </w:pPr>
            <w:r>
              <w:rPr>
                <w:rFonts w:ascii="Arial" w:cs="Arial" w:eastAsia="Arial" w:hAnsi="Arial"/>
                <w:sz w:val="20"/>
                <w:szCs w:val="20"/>
                <w:color w:val="auto"/>
              </w:rPr>
              <w:t>$</w:t>
            </w:r>
          </w:p>
        </w:tc>
        <w:tc>
          <w:tcPr>
            <w:tcW w:w="11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(86,246)</w:t>
            </w:r>
          </w:p>
        </w:tc>
        <w:tc>
          <w:tcPr>
            <w:tcW w:w="0" w:type="dxa"/>
            <w:vAlign w:val="bottom"/>
          </w:tcPr>
          <w:p>
            <w:pPr>
              <w:spacing w:after="0"/>
              <w:rPr>
                <w:sz w:val="1"/>
                <w:szCs w:val="1"/>
                <w:color w:val="auto"/>
              </w:rPr>
            </w:pPr>
          </w:p>
        </w:tc>
      </w:tr>
      <w:tr>
        <w:trPr>
          <w:trHeight w:val="309"/>
        </w:trPr>
        <w:tc>
          <w:tcPr>
            <w:tcW w:w="5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5480" w:type="dxa"/>
            <w:vAlign w:val="bottom"/>
            <w:gridSpan w:val="2"/>
            <w:shd w:val="clear" w:color="auto" w:fill="E6E6E6"/>
          </w:tcPr>
          <w:p>
            <w:pPr>
              <w:ind w:left="60"/>
              <w:spacing w:after="0" w:line="280" w:lineRule="exact"/>
              <w:rPr>
                <w:sz w:val="20"/>
                <w:szCs w:val="20"/>
                <w:color w:val="auto"/>
              </w:rPr>
            </w:pPr>
            <w:r>
              <w:rPr>
                <w:rFonts w:ascii="Arial" w:cs="Arial" w:eastAsia="Arial" w:hAnsi="Arial"/>
                <w:sz w:val="20"/>
                <w:szCs w:val="20"/>
                <w:b w:val="1"/>
                <w:bCs w:val="1"/>
                <w:color w:val="auto"/>
              </w:rPr>
              <w:t xml:space="preserve">Denominator: </w:t>
            </w:r>
            <w:r>
              <w:rPr>
                <w:rFonts w:ascii="Arial" w:cs="Arial" w:eastAsia="Arial" w:hAnsi="Arial"/>
                <w:sz w:val="25"/>
                <w:szCs w:val="25"/>
                <w:b w:val="1"/>
                <w:bCs w:val="1"/>
                <w:color w:val="auto"/>
                <w:vertAlign w:val="superscript"/>
              </w:rPr>
              <w:t>(1)</w:t>
            </w:r>
          </w:p>
        </w:tc>
        <w:tc>
          <w:tcPr>
            <w:tcW w:w="320" w:type="dxa"/>
            <w:vAlign w:val="bottom"/>
            <w:shd w:val="clear" w:color="auto" w:fill="E6E6E6"/>
          </w:tcPr>
          <w:p>
            <w:pPr>
              <w:spacing w:after="0"/>
              <w:rPr>
                <w:sz w:val="24"/>
                <w:szCs w:val="24"/>
                <w:color w:val="auto"/>
              </w:rPr>
            </w:pPr>
          </w:p>
        </w:tc>
        <w:tc>
          <w:tcPr>
            <w:tcW w:w="114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14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14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480" w:type="dxa"/>
            <w:vAlign w:val="bottom"/>
            <w:gridSpan w:val="2"/>
          </w:tcPr>
          <w:p>
            <w:pPr>
              <w:ind w:left="60"/>
              <w:spacing w:after="0"/>
              <w:rPr>
                <w:sz w:val="20"/>
                <w:szCs w:val="20"/>
                <w:color w:val="auto"/>
              </w:rPr>
            </w:pPr>
            <w:r>
              <w:rPr>
                <w:rFonts w:ascii="Arial" w:cs="Arial" w:eastAsia="Arial" w:hAnsi="Arial"/>
                <w:sz w:val="20"/>
                <w:szCs w:val="20"/>
                <w:color w:val="auto"/>
              </w:rPr>
              <w:t>Weighted-average shares outstanding - basic</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54,240</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53,939</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53,472</w:t>
            </w:r>
          </w:p>
        </w:tc>
        <w:tc>
          <w:tcPr>
            <w:tcW w:w="0" w:type="dxa"/>
            <w:vAlign w:val="bottom"/>
          </w:tcPr>
          <w:p>
            <w:pPr>
              <w:spacing w:after="0"/>
              <w:rPr>
                <w:sz w:val="1"/>
                <w:szCs w:val="1"/>
                <w:color w:val="auto"/>
              </w:rPr>
            </w:pPr>
          </w:p>
        </w:tc>
      </w:tr>
      <w:tr>
        <w:trPr>
          <w:trHeight w:val="194"/>
        </w:trPr>
        <w:tc>
          <w:tcPr>
            <w:tcW w:w="5480" w:type="dxa"/>
            <w:vAlign w:val="bottom"/>
            <w:gridSpan w:val="2"/>
            <w:shd w:val="clear" w:color="auto" w:fill="E6E6E6"/>
          </w:tcPr>
          <w:p>
            <w:pPr>
              <w:ind w:left="60"/>
              <w:spacing w:after="0" w:line="194" w:lineRule="exact"/>
              <w:rPr>
                <w:sz w:val="20"/>
                <w:szCs w:val="20"/>
                <w:color w:val="auto"/>
              </w:rPr>
            </w:pPr>
            <w:r>
              <w:rPr>
                <w:rFonts w:ascii="Arial" w:cs="Arial" w:eastAsia="Arial" w:hAnsi="Arial"/>
                <w:sz w:val="20"/>
                <w:szCs w:val="20"/>
                <w:color w:val="auto"/>
                <w:w w:val="93"/>
              </w:rPr>
              <w:t>Add: Dilutive effect of share-based compensation and convertible</w:t>
            </w:r>
          </w:p>
        </w:tc>
        <w:tc>
          <w:tcPr>
            <w:tcW w:w="320" w:type="dxa"/>
            <w:vAlign w:val="bottom"/>
            <w:shd w:val="clear" w:color="auto" w:fill="E6E6E6"/>
          </w:tcPr>
          <w:p>
            <w:pPr>
              <w:spacing w:after="0"/>
              <w:rPr>
                <w:sz w:val="16"/>
                <w:szCs w:val="16"/>
                <w:color w:val="auto"/>
              </w:rPr>
            </w:pPr>
          </w:p>
        </w:tc>
        <w:tc>
          <w:tcPr>
            <w:tcW w:w="114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334</w:t>
            </w:r>
          </w:p>
        </w:tc>
        <w:tc>
          <w:tcPr>
            <w:tcW w:w="80" w:type="dxa"/>
            <w:vAlign w:val="bottom"/>
            <w:shd w:val="clear" w:color="auto" w:fill="E6E6E6"/>
          </w:tcPr>
          <w:p>
            <w:pPr>
              <w:spacing w:after="0"/>
              <w:rPr>
                <w:sz w:val="16"/>
                <w:szCs w:val="16"/>
                <w:color w:val="auto"/>
              </w:rPr>
            </w:pPr>
          </w:p>
        </w:tc>
        <w:tc>
          <w:tcPr>
            <w:tcW w:w="340" w:type="dxa"/>
            <w:vAlign w:val="bottom"/>
            <w:shd w:val="clear" w:color="auto" w:fill="E6E6E6"/>
          </w:tcPr>
          <w:p>
            <w:pPr>
              <w:spacing w:after="0"/>
              <w:rPr>
                <w:sz w:val="16"/>
                <w:szCs w:val="16"/>
                <w:color w:val="auto"/>
              </w:rPr>
            </w:pPr>
          </w:p>
        </w:tc>
        <w:tc>
          <w:tcPr>
            <w:tcW w:w="114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273</w:t>
            </w:r>
          </w:p>
        </w:tc>
        <w:tc>
          <w:tcPr>
            <w:tcW w:w="80" w:type="dxa"/>
            <w:vAlign w:val="bottom"/>
            <w:shd w:val="clear" w:color="auto" w:fill="E6E6E6"/>
          </w:tcPr>
          <w:p>
            <w:pPr>
              <w:spacing w:after="0"/>
              <w:rPr>
                <w:sz w:val="16"/>
                <w:szCs w:val="16"/>
                <w:color w:val="auto"/>
              </w:rPr>
            </w:pPr>
          </w:p>
        </w:tc>
        <w:tc>
          <w:tcPr>
            <w:tcW w:w="340" w:type="dxa"/>
            <w:vAlign w:val="bottom"/>
            <w:shd w:val="clear" w:color="auto" w:fill="E6E6E6"/>
          </w:tcPr>
          <w:p>
            <w:pPr>
              <w:spacing w:after="0"/>
              <w:rPr>
                <w:sz w:val="16"/>
                <w:szCs w:val="16"/>
                <w:color w:val="auto"/>
              </w:rPr>
            </w:pPr>
          </w:p>
        </w:tc>
        <w:tc>
          <w:tcPr>
            <w:tcW w:w="114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8"/>
        </w:trPr>
        <w:tc>
          <w:tcPr>
            <w:tcW w:w="5480" w:type="dxa"/>
            <w:vAlign w:val="bottom"/>
            <w:tcBorders>
              <w:bottom w:val="single" w:sz="8" w:color="E6E6E6"/>
            </w:tcBorders>
            <w:gridSpan w:val="2"/>
            <w:shd w:val="clear" w:color="auto" w:fill="E6E6E6"/>
          </w:tcPr>
          <w:p>
            <w:pPr>
              <w:ind w:left="60"/>
              <w:spacing w:after="0" w:line="258" w:lineRule="exact"/>
              <w:rPr>
                <w:sz w:val="20"/>
                <w:szCs w:val="20"/>
                <w:color w:val="auto"/>
              </w:rPr>
            </w:pPr>
            <w:r>
              <w:rPr>
                <w:rFonts w:ascii="Arial" w:cs="Arial" w:eastAsia="Arial" w:hAnsi="Arial"/>
                <w:sz w:val="20"/>
                <w:szCs w:val="20"/>
                <w:color w:val="auto"/>
              </w:rPr>
              <w:t xml:space="preserve">debt instruments </w:t>
            </w:r>
            <w:r>
              <w:rPr>
                <w:rFonts w:ascii="Arial" w:cs="Arial" w:eastAsia="Arial" w:hAnsi="Arial"/>
                <w:sz w:val="25"/>
                <w:szCs w:val="25"/>
                <w:color w:val="auto"/>
                <w:vertAlign w:val="superscript"/>
              </w:rPr>
              <w:t>(2)</w:t>
            </w:r>
          </w:p>
        </w:tc>
        <w:tc>
          <w:tcPr>
            <w:tcW w:w="320" w:type="dxa"/>
            <w:vAlign w:val="bottom"/>
            <w:tcBorders>
              <w:bottom w:val="single" w:sz="8" w:color="auto"/>
            </w:tcBorders>
            <w:shd w:val="clear" w:color="auto" w:fill="E6E6E6"/>
          </w:tcPr>
          <w:p>
            <w:pPr>
              <w:spacing w:after="0"/>
              <w:rPr>
                <w:sz w:val="24"/>
                <w:szCs w:val="24"/>
                <w:color w:val="auto"/>
              </w:rPr>
            </w:pPr>
          </w:p>
        </w:tc>
        <w:tc>
          <w:tcPr>
            <w:tcW w:w="1140" w:type="dxa"/>
            <w:vAlign w:val="bottom"/>
            <w:tcBorders>
              <w:bottom w:val="single" w:sz="8" w:color="auto"/>
            </w:tcBorders>
            <w:vMerge w:val="continue"/>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1140" w:type="dxa"/>
            <w:vAlign w:val="bottom"/>
            <w:tcBorders>
              <w:bottom w:val="single" w:sz="8" w:color="auto"/>
            </w:tcBorders>
            <w:vMerge w:val="continue"/>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1140" w:type="dxa"/>
            <w:vAlign w:val="bottom"/>
            <w:tcBorders>
              <w:bottom w:val="single" w:sz="8" w:color="auto"/>
            </w:tcBorders>
            <w:vMerge w:val="continue"/>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480" w:type="dxa"/>
            <w:vAlign w:val="bottom"/>
            <w:gridSpan w:val="2"/>
          </w:tcPr>
          <w:p>
            <w:pPr>
              <w:ind w:left="60"/>
              <w:spacing w:after="0" w:line="220" w:lineRule="exact"/>
              <w:rPr>
                <w:sz w:val="20"/>
                <w:szCs w:val="20"/>
                <w:color w:val="auto"/>
              </w:rPr>
            </w:pPr>
            <w:r>
              <w:rPr>
                <w:rFonts w:ascii="Arial" w:cs="Arial" w:eastAsia="Arial" w:hAnsi="Arial"/>
                <w:sz w:val="20"/>
                <w:szCs w:val="20"/>
                <w:color w:val="auto"/>
              </w:rPr>
              <w:t>Weighted-average shares outstanding - diluted</w:t>
            </w:r>
          </w:p>
        </w:tc>
        <w:tc>
          <w:tcPr>
            <w:tcW w:w="320" w:type="dxa"/>
            <w:vAlign w:val="bottom"/>
          </w:tcPr>
          <w:p>
            <w:pPr>
              <w:spacing w:after="0"/>
              <w:rPr>
                <w:sz w:val="19"/>
                <w:szCs w:val="19"/>
                <w:color w:val="auto"/>
              </w:rPr>
            </w:pPr>
          </w:p>
        </w:tc>
        <w:tc>
          <w:tcPr>
            <w:tcW w:w="1140" w:type="dxa"/>
            <w:vAlign w:val="bottom"/>
          </w:tcPr>
          <w:p>
            <w:pPr>
              <w:jc w:val="right"/>
              <w:spacing w:after="0" w:line="220" w:lineRule="exact"/>
              <w:rPr>
                <w:sz w:val="20"/>
                <w:szCs w:val="20"/>
                <w:color w:val="auto"/>
              </w:rPr>
            </w:pPr>
            <w:r>
              <w:rPr>
                <w:rFonts w:ascii="Arial" w:cs="Arial" w:eastAsia="Arial" w:hAnsi="Arial"/>
                <w:sz w:val="20"/>
                <w:szCs w:val="20"/>
                <w:color w:val="auto"/>
              </w:rPr>
              <w:t>54,574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line="220" w:lineRule="exact"/>
              <w:rPr>
                <w:sz w:val="20"/>
                <w:szCs w:val="20"/>
                <w:color w:val="auto"/>
              </w:rPr>
            </w:pPr>
            <w:r>
              <w:rPr>
                <w:rFonts w:ascii="Arial" w:cs="Arial" w:eastAsia="Arial" w:hAnsi="Arial"/>
                <w:sz w:val="20"/>
                <w:szCs w:val="20"/>
                <w:color w:val="auto"/>
              </w:rPr>
              <w:t>54,212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line="220" w:lineRule="exact"/>
              <w:rPr>
                <w:sz w:val="20"/>
                <w:szCs w:val="20"/>
                <w:color w:val="auto"/>
              </w:rPr>
            </w:pPr>
            <w:r>
              <w:rPr>
                <w:rFonts w:ascii="Arial" w:cs="Arial" w:eastAsia="Arial" w:hAnsi="Arial"/>
                <w:sz w:val="20"/>
                <w:szCs w:val="20"/>
                <w:color w:val="auto"/>
              </w:rPr>
              <w:t>53,472</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3455035</wp:posOffset>
            </wp:positionH>
            <wp:positionV relativeFrom="paragraph">
              <wp:posOffset>-208280</wp:posOffset>
            </wp:positionV>
            <wp:extent cx="294703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50">
                      <a:extLst>
                        <a:ext uri="{28A0092B-C50C-407E-A947-70E740481C1C}"/>
                      </a:extLst>
                    </a:blip>
                    <a:srcRect/>
                    <a:stretch>
                      <a:fillRect/>
                    </a:stretch>
                  </pic:blipFill>
                  <pic:spPr bwMode="auto">
                    <a:xfrm>
                      <a:off x="0" y="0"/>
                      <a:ext cx="2947035" cy="25400"/>
                    </a:xfrm>
                    <a:prstGeom prst="rect">
                      <a:avLst/>
                    </a:prstGeom>
                    <a:noFill/>
                  </pic:spPr>
                </pic:pic>
              </a:graphicData>
            </a:graphic>
          </wp:anchor>
        </w:drawing>
      </w:r>
    </w:p>
    <w:p>
      <w:pPr>
        <w:spacing w:after="0" w:line="111" w:lineRule="exact"/>
        <w:rPr>
          <w:sz w:val="20"/>
          <w:szCs w:val="20"/>
          <w:color w:val="auto"/>
        </w:rPr>
      </w:pPr>
    </w:p>
    <w:p>
      <w:pPr>
        <w:ind w:left="700" w:right="540" w:hanging="355"/>
        <w:spacing w:after="0" w:line="236" w:lineRule="auto"/>
        <w:tabs>
          <w:tab w:leader="none" w:pos="700" w:val="left"/>
        </w:tabs>
        <w:numPr>
          <w:ilvl w:val="0"/>
          <w:numId w:val="22"/>
        </w:numPr>
        <w:rPr>
          <w:rFonts w:ascii="Arial" w:cs="Arial" w:eastAsia="Arial" w:hAnsi="Arial"/>
          <w:sz w:val="22"/>
          <w:szCs w:val="22"/>
          <w:color w:val="auto"/>
          <w:vertAlign w:val="superscript"/>
        </w:rPr>
      </w:pPr>
      <w:r>
        <w:rPr>
          <w:rFonts w:ascii="Arial" w:cs="Arial" w:eastAsia="Arial" w:hAnsi="Arial"/>
          <w:sz w:val="17"/>
          <w:szCs w:val="17"/>
          <w:color w:val="auto"/>
        </w:rPr>
        <w:t>For the year ended December 31, 2024, the 2029 Notes were outstanding and potentially dilutive securities, but were excluded from the computation of diluted earnings per share because their effect would have been anti-dilutive.</w:t>
      </w:r>
    </w:p>
    <w:p>
      <w:pPr>
        <w:jc w:val="both"/>
        <w:ind w:left="700" w:right="540" w:hanging="355"/>
        <w:spacing w:after="0" w:line="237" w:lineRule="auto"/>
        <w:tabs>
          <w:tab w:leader="none" w:pos="70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Excluded from the computation of diluted earnings per share for the years ended December 31, 2024, 2023, and 2022 were shares for stock options, SARs, and RSUs totaling 2.8 million, 3.0 million, and 3.9 million, respectively, because to include them would have been anti-dilutive under the treasury stock method.</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17. Geographic and Segment Information</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Segment Information</w:t>
      </w:r>
    </w:p>
    <w:p>
      <w:pPr>
        <w:spacing w:after="0" w:line="14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LivaNova identifies operating segments based on how it manages, evaluates, and internally reports its business activities to allocate resources, develop, and execute its strategy and assess performance. Prior to 2024, LivaNova operated through three segments: Cardiopulmonary, Neuromodulation, and ACS. During the first quarter of 2024, the Company reorganized its operating and reporting structure upon initiating the 2024 Restructuring Plan. This involved transitioning all ACS standalone cannulae and accessories, including ProtekDuo and transseptal (TandemHeart) cannulae, into its Cardiopulmonary segment. Operations for other ACS products, including LifeSPARC and Hemolung systems, were discontinued in 2024. For additional information, refer to “Note 4. Restructuring.” This restructuring, along with changes in how the Company’s CODM regularly reviews information, allocates resources, and assesses performance, resulted in modifications to LivaNova’s reportable segments. Specifically, LivaNova’s former ACS segment is now included in “Other,” excluding the ACS standalone cannulae and accessories business, which is now included in the Cardiopulmonary reportable segment. As a result, LivaNova now has two reportable segments: Cardiopulmonary and Neuromodulation. The segment financial information presented herein reflects these changes for all periods presented.</w:t>
      </w:r>
    </w:p>
    <w:p>
      <w:pPr>
        <w:spacing w:after="0" w:line="298" w:lineRule="exact"/>
        <w:rPr>
          <w:sz w:val="20"/>
          <w:szCs w:val="20"/>
          <w:color w:val="auto"/>
        </w:rPr>
      </w:pPr>
    </w:p>
    <w:p>
      <w:pPr>
        <w:jc w:val="both"/>
        <w:ind w:right="20"/>
        <w:spacing w:after="0" w:line="269" w:lineRule="auto"/>
        <w:rPr>
          <w:sz w:val="20"/>
          <w:szCs w:val="20"/>
          <w:color w:val="auto"/>
        </w:rPr>
      </w:pPr>
      <w:r>
        <w:rPr>
          <w:rFonts w:ascii="Arial" w:cs="Arial" w:eastAsia="Arial" w:hAnsi="Arial"/>
          <w:sz w:val="20"/>
          <w:szCs w:val="20"/>
          <w:color w:val="auto"/>
        </w:rPr>
        <w:t>LivaNova’s Cardiopulmonary segment is engaged in the design, development, manufacture, marketing, and sale of cardiopulmonary products, including HLMs, oxygenators, autotransfusion systems, perfusion tubing systems, cannulae, and other related accessories.</w:t>
      </w:r>
    </w:p>
    <w:p>
      <w:pPr>
        <w:spacing w:after="0" w:line="79"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color w:val="auto"/>
        </w:rPr>
        <w:t>LivaNova’s Neuromodulation segment is engaged in the design, development, manufacture, marketing, and sale of devices that deliver neuromodulation therapy for treating DRE and DTD. Neuromodulation products include the VNS Therapy System, which consists of an implantable pulse generator, a lead that connects the generator to the vagus nerve, and other accessories. It also includes the development and management of clinical testing of LivaNova’s aura6000 System for treating OSA. LivaNova’s Neuromodulation segment also includes costs associated with the Company’s former heart failure program, which the Company wound down during 2023.</w:t>
      </w:r>
    </w:p>
    <w:p>
      <w:pPr>
        <w:sectPr>
          <w:pgSz w:w="11880" w:h="15480" w:orient="portrait"/>
          <w:cols w:equalWidth="0" w:num="1">
            <w:col w:w="10060"/>
          </w:cols>
          <w:pgMar w:left="920" w:top="66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F-45</w:t>
      </w:r>
    </w:p>
    <w:p>
      <w:pPr>
        <w:sectPr>
          <w:pgSz w:w="11880" w:h="15480" w:orient="portrait"/>
          <w:cols w:equalWidth="0" w:num="1">
            <w:col w:w="10060"/>
          </w:cols>
          <w:pgMar w:left="920" w:top="664" w:right="900" w:bottom="0" w:gutter="0" w:footer="0" w:header="0"/>
          <w:type w:val="continuous"/>
        </w:sectPr>
      </w:pPr>
    </w:p>
    <w:bookmarkStart w:id="103" w:name="page104"/>
    <w:bookmarkEnd w:id="103"/>
    <w:p>
      <w:pPr>
        <w:spacing w:after="0" w:line="284" w:lineRule="auto"/>
        <w:rPr>
          <w:sz w:val="20"/>
          <w:szCs w:val="20"/>
          <w:color w:val="auto"/>
        </w:rPr>
      </w:pPr>
      <w:r>
        <w:rPr>
          <w:rFonts w:ascii="Arial" w:cs="Arial" w:eastAsia="Arial" w:hAnsi="Arial"/>
          <w:sz w:val="20"/>
          <w:szCs w:val="20"/>
          <w:color w:val="auto"/>
        </w:rPr>
        <w:t>LivaNova operates under three geographic regions: U.S., Europe, and Rest of World. The following table presents net revenue by operating segment and geographic region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4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62"/>
              <w:spacing w:after="0"/>
              <w:rPr>
                <w:sz w:val="20"/>
                <w:szCs w:val="20"/>
                <w:color w:val="auto"/>
              </w:rPr>
            </w:pPr>
            <w:r>
              <w:rPr>
                <w:rFonts w:ascii="Arial" w:cs="Arial" w:eastAsia="Arial" w:hAnsi="Arial"/>
                <w:sz w:val="20"/>
                <w:szCs w:val="20"/>
                <w:b w:val="1"/>
                <w:bCs w:val="1"/>
                <w:color w:val="auto"/>
              </w:rPr>
              <w:t>2024</w:t>
            </w:r>
          </w:p>
        </w:tc>
        <w:tc>
          <w:tcPr>
            <w:tcW w:w="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2023</w:t>
            </w: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2022</w:t>
            </w:r>
          </w:p>
        </w:tc>
      </w:tr>
      <w:tr>
        <w:trPr>
          <w:trHeight w:val="264"/>
        </w:trPr>
        <w:tc>
          <w:tcPr>
            <w:tcW w:w="5440" w:type="dxa"/>
            <w:vAlign w:val="bottom"/>
          </w:tcPr>
          <w:p>
            <w:pPr>
              <w:ind w:left="40"/>
              <w:spacing w:after="0"/>
              <w:rPr>
                <w:sz w:val="20"/>
                <w:szCs w:val="20"/>
                <w:color w:val="auto"/>
              </w:rPr>
            </w:pPr>
            <w:r>
              <w:rPr>
                <w:rFonts w:ascii="Arial" w:cs="Arial" w:eastAsia="Arial" w:hAnsi="Arial"/>
                <w:sz w:val="20"/>
                <w:szCs w:val="20"/>
                <w:b w:val="1"/>
                <w:bCs w:val="1"/>
                <w:color w:val="auto"/>
              </w:rPr>
              <w:t>Cardiopulmonary</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85"/>
        </w:trPr>
        <w:tc>
          <w:tcPr>
            <w:tcW w:w="5440" w:type="dxa"/>
            <w:vAlign w:val="bottom"/>
            <w:shd w:val="clear" w:color="auto" w:fill="E6E6E6"/>
          </w:tcPr>
          <w:p>
            <w:pPr>
              <w:ind w:left="280"/>
              <w:spacing w:after="0"/>
              <w:rPr>
                <w:sz w:val="20"/>
                <w:szCs w:val="20"/>
                <w:color w:val="auto"/>
              </w:rPr>
            </w:pPr>
            <w:r>
              <w:rPr>
                <w:rFonts w:ascii="Arial" w:cs="Arial" w:eastAsia="Arial" w:hAnsi="Arial"/>
                <w:sz w:val="20"/>
                <w:szCs w:val="20"/>
                <w:color w:val="auto"/>
              </w:rPr>
              <w:t>United States</w:t>
            </w:r>
          </w:p>
        </w:tc>
        <w:tc>
          <w:tcPr>
            <w:tcW w:w="360" w:type="dxa"/>
            <w:vAlign w:val="bottom"/>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242,463</w:t>
            </w:r>
          </w:p>
        </w:tc>
        <w:tc>
          <w:tcPr>
            <w:tcW w:w="420" w:type="dxa"/>
            <w:vAlign w:val="bottom"/>
            <w:gridSpan w:val="3"/>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202,358</w:t>
            </w:r>
          </w:p>
        </w:tc>
        <w:tc>
          <w:tcPr>
            <w:tcW w:w="440" w:type="dxa"/>
            <w:vAlign w:val="bottom"/>
            <w:gridSpan w:val="3"/>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171,632</w:t>
            </w:r>
          </w:p>
        </w:tc>
      </w:tr>
      <w:tr>
        <w:trPr>
          <w:trHeight w:val="279"/>
        </w:trPr>
        <w:tc>
          <w:tcPr>
            <w:tcW w:w="5440" w:type="dxa"/>
            <w:vAlign w:val="bottom"/>
          </w:tcPr>
          <w:p>
            <w:pPr>
              <w:ind w:left="280"/>
              <w:spacing w:after="0" w:line="280" w:lineRule="exact"/>
              <w:rPr>
                <w:sz w:val="20"/>
                <w:szCs w:val="20"/>
                <w:color w:val="auto"/>
              </w:rPr>
            </w:pPr>
            <w:r>
              <w:rPr>
                <w:rFonts w:ascii="Arial" w:cs="Arial" w:eastAsia="Arial" w:hAnsi="Arial"/>
                <w:sz w:val="20"/>
                <w:szCs w:val="20"/>
                <w:color w:val="auto"/>
              </w:rPr>
              <w:t xml:space="preserve">Europe </w:t>
            </w:r>
            <w:r>
              <w:rPr>
                <w:rFonts w:ascii="Arial" w:cs="Arial" w:eastAsia="Arial" w:hAnsi="Arial"/>
                <w:sz w:val="25"/>
                <w:szCs w:val="25"/>
                <w:color w:val="auto"/>
                <w:vertAlign w:val="superscript"/>
              </w:rPr>
              <w:t>(1)</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168,024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157,414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128,545</w:t>
            </w:r>
          </w:p>
        </w:tc>
      </w:tr>
      <w:tr>
        <w:trPr>
          <w:trHeight w:val="270"/>
        </w:trPr>
        <w:tc>
          <w:tcPr>
            <w:tcW w:w="5440" w:type="dxa"/>
            <w:vAlign w:val="bottom"/>
            <w:tcBorders>
              <w:bottom w:val="single" w:sz="8" w:color="E6E6E6"/>
            </w:tcBorders>
            <w:shd w:val="clear" w:color="auto" w:fill="E6E6E6"/>
          </w:tcPr>
          <w:p>
            <w:pPr>
              <w:ind w:left="280"/>
              <w:spacing w:after="0" w:line="269" w:lineRule="exact"/>
              <w:rPr>
                <w:sz w:val="20"/>
                <w:szCs w:val="20"/>
                <w:color w:val="auto"/>
              </w:rPr>
            </w:pPr>
            <w:r>
              <w:rPr>
                <w:rFonts w:ascii="Arial" w:cs="Arial" w:eastAsia="Arial" w:hAnsi="Arial"/>
                <w:sz w:val="20"/>
                <w:szCs w:val="20"/>
                <w:color w:val="auto"/>
              </w:rPr>
              <w:t xml:space="preserve">Rest of World </w:t>
            </w:r>
            <w:r>
              <w:rPr>
                <w:rFonts w:ascii="Arial" w:cs="Arial" w:eastAsia="Arial" w:hAnsi="Arial"/>
                <w:sz w:val="25"/>
                <w:szCs w:val="25"/>
                <w:color w:val="auto"/>
                <w:vertAlign w:val="superscript"/>
              </w:rPr>
              <w:t>(1)</w:t>
            </w:r>
          </w:p>
        </w:tc>
        <w:tc>
          <w:tcPr>
            <w:tcW w:w="360" w:type="dxa"/>
            <w:vAlign w:val="bottom"/>
            <w:tcBorders>
              <w:bottom w:val="single" w:sz="8" w:color="auto"/>
            </w:tcBorders>
            <w:shd w:val="clear" w:color="auto" w:fill="E6E6E6"/>
          </w:tcPr>
          <w:p>
            <w:pPr>
              <w:spacing w:after="0"/>
              <w:rPr>
                <w:sz w:val="23"/>
                <w:szCs w:val="23"/>
                <w:color w:val="auto"/>
              </w:rPr>
            </w:pPr>
          </w:p>
        </w:tc>
        <w:tc>
          <w:tcPr>
            <w:tcW w:w="1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273,025</w:t>
            </w:r>
          </w:p>
        </w:tc>
        <w:tc>
          <w:tcPr>
            <w:tcW w:w="6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auto"/>
            </w:tcBorders>
            <w:shd w:val="clear" w:color="auto" w:fill="E6E6E6"/>
          </w:tcPr>
          <w:p>
            <w:pPr>
              <w:spacing w:after="0"/>
              <w:rPr>
                <w:sz w:val="23"/>
                <w:szCs w:val="23"/>
                <w:color w:val="auto"/>
              </w:rPr>
            </w:pPr>
          </w:p>
        </w:tc>
        <w:tc>
          <w:tcPr>
            <w:tcW w:w="340" w:type="dxa"/>
            <w:vAlign w:val="bottom"/>
            <w:tcBorders>
              <w:bottom w:val="single" w:sz="8" w:color="auto"/>
            </w:tcBorders>
            <w:shd w:val="clear" w:color="auto" w:fill="E6E6E6"/>
          </w:tcPr>
          <w:p>
            <w:pPr>
              <w:spacing w:after="0"/>
              <w:rPr>
                <w:sz w:val="23"/>
                <w:szCs w:val="23"/>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244,340</w:t>
            </w:r>
          </w:p>
        </w:tc>
        <w:tc>
          <w:tcPr>
            <w:tcW w:w="8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auto"/>
            </w:tcBorders>
            <w:shd w:val="clear" w:color="auto" w:fill="E6E6E6"/>
          </w:tcPr>
          <w:p>
            <w:pPr>
              <w:spacing w:after="0"/>
              <w:rPr>
                <w:sz w:val="23"/>
                <w:szCs w:val="23"/>
                <w:color w:val="auto"/>
              </w:rPr>
            </w:pPr>
          </w:p>
        </w:tc>
        <w:tc>
          <w:tcPr>
            <w:tcW w:w="340" w:type="dxa"/>
            <w:vAlign w:val="bottom"/>
            <w:tcBorders>
              <w:bottom w:val="single" w:sz="8" w:color="auto"/>
            </w:tcBorders>
            <w:shd w:val="clear" w:color="auto" w:fill="E6E6E6"/>
          </w:tcPr>
          <w:p>
            <w:pPr>
              <w:spacing w:after="0"/>
              <w:rPr>
                <w:sz w:val="23"/>
                <w:szCs w:val="23"/>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214,021</w:t>
            </w:r>
          </w:p>
        </w:tc>
      </w:tr>
      <w:tr>
        <w:trPr>
          <w:trHeight w:val="259"/>
        </w:trPr>
        <w:tc>
          <w:tcPr>
            <w:tcW w:w="544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683,512</w:t>
            </w:r>
          </w:p>
        </w:tc>
        <w:tc>
          <w:tcPr>
            <w:tcW w:w="60" w:type="dxa"/>
            <w:vAlign w:val="bottom"/>
            <w:tcBorders>
              <w:bottom w:val="single" w:sz="8" w:color="E6E6E6"/>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604,112</w:t>
            </w:r>
          </w:p>
        </w:tc>
        <w:tc>
          <w:tcPr>
            <w:tcW w:w="80" w:type="dxa"/>
            <w:vAlign w:val="bottom"/>
            <w:tcBorders>
              <w:bottom w:val="single" w:sz="8" w:color="E6E6E6"/>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514,198</w:t>
            </w:r>
          </w:p>
        </w:tc>
      </w:tr>
      <w:tr>
        <w:trPr>
          <w:trHeight w:val="270"/>
        </w:trPr>
        <w:tc>
          <w:tcPr>
            <w:tcW w:w="5440" w:type="dxa"/>
            <w:vAlign w:val="bottom"/>
            <w:shd w:val="clear" w:color="auto" w:fill="E6E6E6"/>
          </w:tcPr>
          <w:p>
            <w:pPr>
              <w:ind w:left="40"/>
              <w:spacing w:after="0"/>
              <w:rPr>
                <w:sz w:val="20"/>
                <w:szCs w:val="20"/>
                <w:color w:val="auto"/>
              </w:rPr>
            </w:pPr>
            <w:r>
              <w:rPr>
                <w:rFonts w:ascii="Arial" w:cs="Arial" w:eastAsia="Arial" w:hAnsi="Arial"/>
                <w:sz w:val="20"/>
                <w:szCs w:val="20"/>
                <w:b w:val="1"/>
                <w:bCs w:val="1"/>
                <w:color w:val="auto"/>
              </w:rPr>
              <w:t>Neuromodulation</w:t>
            </w:r>
          </w:p>
        </w:tc>
        <w:tc>
          <w:tcPr>
            <w:tcW w:w="360" w:type="dxa"/>
            <w:vAlign w:val="bottom"/>
            <w:shd w:val="clear" w:color="auto" w:fill="E6E6E6"/>
          </w:tcPr>
          <w:p>
            <w:pPr>
              <w:spacing w:after="0"/>
              <w:rPr>
                <w:sz w:val="23"/>
                <w:szCs w:val="23"/>
                <w:color w:val="auto"/>
              </w:rPr>
            </w:pPr>
          </w:p>
        </w:tc>
        <w:tc>
          <w:tcPr>
            <w:tcW w:w="114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340" w:type="dxa"/>
            <w:vAlign w:val="bottom"/>
            <w:shd w:val="clear" w:color="auto" w:fill="E6E6E6"/>
          </w:tcPr>
          <w:p>
            <w:pPr>
              <w:spacing w:after="0"/>
              <w:rPr>
                <w:sz w:val="23"/>
                <w:szCs w:val="23"/>
                <w:color w:val="auto"/>
              </w:rPr>
            </w:pPr>
          </w:p>
        </w:tc>
        <w:tc>
          <w:tcPr>
            <w:tcW w:w="112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340" w:type="dxa"/>
            <w:vAlign w:val="bottom"/>
            <w:shd w:val="clear" w:color="auto" w:fill="E6E6E6"/>
          </w:tcPr>
          <w:p>
            <w:pPr>
              <w:spacing w:after="0"/>
              <w:rPr>
                <w:sz w:val="23"/>
                <w:szCs w:val="23"/>
                <w:color w:val="auto"/>
              </w:rPr>
            </w:pPr>
          </w:p>
        </w:tc>
        <w:tc>
          <w:tcPr>
            <w:tcW w:w="1120" w:type="dxa"/>
            <w:vAlign w:val="bottom"/>
            <w:shd w:val="clear" w:color="auto" w:fill="E6E6E6"/>
          </w:tcPr>
          <w:p>
            <w:pPr>
              <w:spacing w:after="0"/>
              <w:rPr>
                <w:sz w:val="23"/>
                <w:szCs w:val="23"/>
                <w:color w:val="auto"/>
              </w:rPr>
            </w:pPr>
          </w:p>
        </w:tc>
      </w:tr>
      <w:tr>
        <w:trPr>
          <w:trHeight w:val="274"/>
        </w:trPr>
        <w:tc>
          <w:tcPr>
            <w:tcW w:w="5440" w:type="dxa"/>
            <w:vAlign w:val="bottom"/>
          </w:tcPr>
          <w:p>
            <w:pPr>
              <w:ind w:left="280"/>
              <w:spacing w:after="0"/>
              <w:rPr>
                <w:sz w:val="20"/>
                <w:szCs w:val="20"/>
                <w:color w:val="auto"/>
              </w:rPr>
            </w:pPr>
            <w:r>
              <w:rPr>
                <w:rFonts w:ascii="Arial" w:cs="Arial" w:eastAsia="Arial" w:hAnsi="Arial"/>
                <w:sz w:val="20"/>
                <w:szCs w:val="20"/>
                <w:color w:val="auto"/>
              </w:rPr>
              <w:t>United States</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441,022</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407,493</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374,542</w:t>
            </w:r>
          </w:p>
        </w:tc>
      </w:tr>
      <w:tr>
        <w:trPr>
          <w:trHeight w:val="285"/>
        </w:trPr>
        <w:tc>
          <w:tcPr>
            <w:tcW w:w="5440" w:type="dxa"/>
            <w:vAlign w:val="bottom"/>
            <w:shd w:val="clear" w:color="auto" w:fill="E6E6E6"/>
          </w:tcPr>
          <w:p>
            <w:pPr>
              <w:ind w:left="280"/>
              <w:spacing w:after="0" w:line="284" w:lineRule="exact"/>
              <w:rPr>
                <w:sz w:val="20"/>
                <w:szCs w:val="20"/>
                <w:color w:val="auto"/>
              </w:rPr>
            </w:pPr>
            <w:r>
              <w:rPr>
                <w:rFonts w:ascii="Arial" w:cs="Arial" w:eastAsia="Arial" w:hAnsi="Arial"/>
                <w:sz w:val="20"/>
                <w:szCs w:val="20"/>
                <w:color w:val="auto"/>
              </w:rPr>
              <w:t xml:space="preserve">Europe </w:t>
            </w:r>
            <w:r>
              <w:rPr>
                <w:rFonts w:ascii="Arial" w:cs="Arial" w:eastAsia="Arial" w:hAnsi="Arial"/>
                <w:sz w:val="25"/>
                <w:szCs w:val="25"/>
                <w:color w:val="auto"/>
                <w:vertAlign w:val="superscript"/>
              </w:rPr>
              <w:t>(1)</w:t>
            </w:r>
          </w:p>
        </w:tc>
        <w:tc>
          <w:tcPr>
            <w:tcW w:w="360" w:type="dxa"/>
            <w:vAlign w:val="bottom"/>
            <w:shd w:val="clear" w:color="auto" w:fill="E6E6E6"/>
          </w:tcPr>
          <w:p>
            <w:pPr>
              <w:spacing w:after="0"/>
              <w:rPr>
                <w:sz w:val="24"/>
                <w:szCs w:val="24"/>
                <w:color w:val="auto"/>
              </w:rPr>
            </w:pPr>
          </w:p>
        </w:tc>
        <w:tc>
          <w:tcPr>
            <w:tcW w:w="11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54,899</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57,435</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50,291</w:t>
            </w:r>
          </w:p>
        </w:tc>
      </w:tr>
      <w:tr>
        <w:trPr>
          <w:trHeight w:val="269"/>
        </w:trPr>
        <w:tc>
          <w:tcPr>
            <w:tcW w:w="5440" w:type="dxa"/>
            <w:vAlign w:val="bottom"/>
            <w:tcBorders>
              <w:bottom w:val="single" w:sz="8" w:color="E6E6E6"/>
            </w:tcBorders>
          </w:tcPr>
          <w:p>
            <w:pPr>
              <w:ind w:left="280"/>
              <w:spacing w:after="0" w:line="269" w:lineRule="exact"/>
              <w:rPr>
                <w:sz w:val="20"/>
                <w:szCs w:val="20"/>
                <w:color w:val="auto"/>
              </w:rPr>
            </w:pPr>
            <w:r>
              <w:rPr>
                <w:rFonts w:ascii="Arial" w:cs="Arial" w:eastAsia="Arial" w:hAnsi="Arial"/>
                <w:sz w:val="20"/>
                <w:szCs w:val="20"/>
                <w:color w:val="auto"/>
              </w:rPr>
              <w:t xml:space="preserve">Rest of World </w:t>
            </w:r>
            <w:r>
              <w:rPr>
                <w:rFonts w:ascii="Arial" w:cs="Arial" w:eastAsia="Arial" w:hAnsi="Arial"/>
                <w:sz w:val="25"/>
                <w:szCs w:val="25"/>
                <w:color w:val="auto"/>
                <w:vertAlign w:val="superscript"/>
              </w:rPr>
              <w:t>(1)</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58,302</w:t>
            </w:r>
          </w:p>
        </w:tc>
        <w:tc>
          <w:tcPr>
            <w:tcW w:w="60" w:type="dxa"/>
            <w:vAlign w:val="bottom"/>
            <w:tcBorders>
              <w:bottom w:val="single" w:sz="8" w:color="E6E6E6"/>
            </w:tcBorders>
          </w:tcPr>
          <w:p>
            <w:pPr>
              <w:spacing w:after="0"/>
              <w:rPr>
                <w:sz w:val="23"/>
                <w:szCs w:val="23"/>
                <w:color w:val="auto"/>
              </w:rPr>
            </w:pPr>
          </w:p>
        </w:tc>
        <w:tc>
          <w:tcPr>
            <w:tcW w:w="20" w:type="dxa"/>
            <w:vAlign w:val="bottom"/>
            <w:tcBorders>
              <w:bottom w:val="single" w:sz="8" w:color="E6E6E6"/>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54,782</w:t>
            </w:r>
          </w:p>
        </w:tc>
        <w:tc>
          <w:tcPr>
            <w:tcW w:w="80" w:type="dxa"/>
            <w:vAlign w:val="bottom"/>
            <w:tcBorders>
              <w:bottom w:val="single" w:sz="8" w:color="E6E6E6"/>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52,160</w:t>
            </w:r>
          </w:p>
        </w:tc>
      </w:tr>
      <w:tr>
        <w:trPr>
          <w:trHeight w:val="278"/>
        </w:trPr>
        <w:tc>
          <w:tcPr>
            <w:tcW w:w="544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spacing w:after="0"/>
              <w:rPr>
                <w:sz w:val="24"/>
                <w:szCs w:val="24"/>
                <w:color w:val="auto"/>
              </w:rPr>
            </w:pPr>
          </w:p>
        </w:tc>
        <w:tc>
          <w:tcPr>
            <w:tcW w:w="1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554,223</w:t>
            </w:r>
          </w:p>
        </w:tc>
        <w:tc>
          <w:tcPr>
            <w:tcW w:w="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519,710</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476,993</w:t>
            </w:r>
          </w:p>
        </w:tc>
      </w:tr>
      <w:tr>
        <w:trPr>
          <w:trHeight w:val="240"/>
        </w:trPr>
        <w:tc>
          <w:tcPr>
            <w:tcW w:w="5440" w:type="dxa"/>
            <w:vAlign w:val="bottom"/>
            <w:tcBorders>
              <w:bottom w:val="single" w:sz="8" w:color="E6E6E6"/>
            </w:tcBorders>
          </w:tcPr>
          <w:p>
            <w:pPr>
              <w:ind w:left="40"/>
              <w:spacing w:after="0" w:line="240" w:lineRule="exact"/>
              <w:rPr>
                <w:sz w:val="20"/>
                <w:szCs w:val="20"/>
                <w:color w:val="auto"/>
              </w:rPr>
            </w:pPr>
            <w:r>
              <w:rPr>
                <w:rFonts w:ascii="Arial" w:cs="Arial" w:eastAsia="Arial" w:hAnsi="Arial"/>
                <w:sz w:val="20"/>
                <w:szCs w:val="20"/>
                <w:b w:val="1"/>
                <w:bCs w:val="1"/>
                <w:color w:val="auto"/>
              </w:rPr>
              <w:t xml:space="preserve">Other Revenue </w:t>
            </w:r>
            <w:r>
              <w:rPr>
                <w:rFonts w:ascii="Arial" w:cs="Arial" w:eastAsia="Arial" w:hAnsi="Arial"/>
                <w:sz w:val="25"/>
                <w:szCs w:val="25"/>
                <w:b w:val="1"/>
                <w:bCs w:val="1"/>
                <w:color w:val="auto"/>
                <w:vertAlign w:val="superscript"/>
              </w:rPr>
              <w:t>(2)</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15,702</w:t>
            </w:r>
          </w:p>
        </w:tc>
        <w:tc>
          <w:tcPr>
            <w:tcW w:w="6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29,723</w:t>
            </w:r>
          </w:p>
        </w:tc>
        <w:tc>
          <w:tcPr>
            <w:tcW w:w="8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30,614</w:t>
            </w:r>
          </w:p>
        </w:tc>
      </w:tr>
      <w:tr>
        <w:trPr>
          <w:trHeight w:val="269"/>
        </w:trPr>
        <w:tc>
          <w:tcPr>
            <w:tcW w:w="5440" w:type="dxa"/>
            <w:vAlign w:val="bottom"/>
            <w:shd w:val="clear" w:color="auto" w:fill="E6E6E6"/>
          </w:tcPr>
          <w:p>
            <w:pPr>
              <w:ind w:left="40"/>
              <w:spacing w:after="0" w:line="269" w:lineRule="exact"/>
              <w:rPr>
                <w:sz w:val="20"/>
                <w:szCs w:val="20"/>
                <w:color w:val="auto"/>
              </w:rPr>
            </w:pPr>
            <w:r>
              <w:rPr>
                <w:rFonts w:ascii="Arial" w:cs="Arial" w:eastAsia="Arial" w:hAnsi="Arial"/>
                <w:sz w:val="20"/>
                <w:szCs w:val="20"/>
                <w:b w:val="1"/>
                <w:bCs w:val="1"/>
                <w:color w:val="auto"/>
              </w:rPr>
              <w:t xml:space="preserve">Totals </w:t>
            </w:r>
            <w:r>
              <w:rPr>
                <w:rFonts w:ascii="Arial" w:cs="Arial" w:eastAsia="Arial" w:hAnsi="Arial"/>
                <w:sz w:val="25"/>
                <w:szCs w:val="25"/>
                <w:b w:val="1"/>
                <w:bCs w:val="1"/>
                <w:color w:val="auto"/>
                <w:vertAlign w:val="superscript"/>
              </w:rPr>
              <w:t>(3) (4)</w:t>
            </w:r>
          </w:p>
        </w:tc>
        <w:tc>
          <w:tcPr>
            <w:tcW w:w="360" w:type="dxa"/>
            <w:vAlign w:val="bottom"/>
            <w:shd w:val="clear" w:color="auto" w:fill="E6E6E6"/>
          </w:tcPr>
          <w:p>
            <w:pPr>
              <w:spacing w:after="0"/>
              <w:rPr>
                <w:sz w:val="23"/>
                <w:szCs w:val="23"/>
                <w:color w:val="auto"/>
              </w:rPr>
            </w:pPr>
          </w:p>
        </w:tc>
        <w:tc>
          <w:tcPr>
            <w:tcW w:w="114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340" w:type="dxa"/>
            <w:vAlign w:val="bottom"/>
            <w:shd w:val="clear" w:color="auto" w:fill="E6E6E6"/>
          </w:tcPr>
          <w:p>
            <w:pPr>
              <w:spacing w:after="0"/>
              <w:rPr>
                <w:sz w:val="23"/>
                <w:szCs w:val="23"/>
                <w:color w:val="auto"/>
              </w:rPr>
            </w:pPr>
          </w:p>
        </w:tc>
        <w:tc>
          <w:tcPr>
            <w:tcW w:w="112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340" w:type="dxa"/>
            <w:vAlign w:val="bottom"/>
            <w:shd w:val="clear" w:color="auto" w:fill="E6E6E6"/>
          </w:tcPr>
          <w:p>
            <w:pPr>
              <w:spacing w:after="0"/>
              <w:rPr>
                <w:sz w:val="23"/>
                <w:szCs w:val="23"/>
                <w:color w:val="auto"/>
              </w:rPr>
            </w:pPr>
          </w:p>
        </w:tc>
        <w:tc>
          <w:tcPr>
            <w:tcW w:w="1120" w:type="dxa"/>
            <w:vAlign w:val="bottom"/>
            <w:shd w:val="clear" w:color="auto" w:fill="E6E6E6"/>
          </w:tcPr>
          <w:p>
            <w:pPr>
              <w:spacing w:after="0"/>
              <w:rPr>
                <w:sz w:val="23"/>
                <w:szCs w:val="23"/>
                <w:color w:val="auto"/>
              </w:rPr>
            </w:pPr>
          </w:p>
        </w:tc>
      </w:tr>
      <w:tr>
        <w:trPr>
          <w:trHeight w:val="274"/>
        </w:trPr>
        <w:tc>
          <w:tcPr>
            <w:tcW w:w="5440" w:type="dxa"/>
            <w:vAlign w:val="bottom"/>
          </w:tcPr>
          <w:p>
            <w:pPr>
              <w:ind w:left="280"/>
              <w:spacing w:after="0"/>
              <w:rPr>
                <w:sz w:val="20"/>
                <w:szCs w:val="20"/>
                <w:color w:val="auto"/>
              </w:rPr>
            </w:pPr>
            <w:r>
              <w:rPr>
                <w:rFonts w:ascii="Arial" w:cs="Arial" w:eastAsia="Arial" w:hAnsi="Arial"/>
                <w:sz w:val="20"/>
                <w:szCs w:val="20"/>
                <w:color w:val="auto"/>
              </w:rPr>
              <w:t>United States</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695,083</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635,044</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571,558</w:t>
            </w:r>
          </w:p>
        </w:tc>
      </w:tr>
      <w:tr>
        <w:trPr>
          <w:trHeight w:val="285"/>
        </w:trPr>
        <w:tc>
          <w:tcPr>
            <w:tcW w:w="5440" w:type="dxa"/>
            <w:vAlign w:val="bottom"/>
            <w:shd w:val="clear" w:color="auto" w:fill="E6E6E6"/>
          </w:tcPr>
          <w:p>
            <w:pPr>
              <w:ind w:left="280"/>
              <w:spacing w:after="0" w:line="284" w:lineRule="exact"/>
              <w:rPr>
                <w:sz w:val="20"/>
                <w:szCs w:val="20"/>
                <w:color w:val="auto"/>
              </w:rPr>
            </w:pPr>
            <w:r>
              <w:rPr>
                <w:rFonts w:ascii="Arial" w:cs="Arial" w:eastAsia="Arial" w:hAnsi="Arial"/>
                <w:sz w:val="20"/>
                <w:szCs w:val="20"/>
                <w:color w:val="auto"/>
              </w:rPr>
              <w:t xml:space="preserve">Europe </w:t>
            </w:r>
            <w:r>
              <w:rPr>
                <w:rFonts w:ascii="Arial" w:cs="Arial" w:eastAsia="Arial" w:hAnsi="Arial"/>
                <w:sz w:val="25"/>
                <w:szCs w:val="25"/>
                <w:color w:val="auto"/>
                <w:vertAlign w:val="superscript"/>
              </w:rPr>
              <w:t>(1)</w:t>
            </w:r>
          </w:p>
        </w:tc>
        <w:tc>
          <w:tcPr>
            <w:tcW w:w="360" w:type="dxa"/>
            <w:vAlign w:val="bottom"/>
            <w:shd w:val="clear" w:color="auto" w:fill="E6E6E6"/>
          </w:tcPr>
          <w:p>
            <w:pPr>
              <w:spacing w:after="0"/>
              <w:rPr>
                <w:sz w:val="24"/>
                <w:szCs w:val="24"/>
                <w:color w:val="auto"/>
              </w:rPr>
            </w:pPr>
          </w:p>
        </w:tc>
        <w:tc>
          <w:tcPr>
            <w:tcW w:w="11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220,032</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214,792</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178,802</w:t>
            </w:r>
          </w:p>
        </w:tc>
      </w:tr>
      <w:tr>
        <w:trPr>
          <w:trHeight w:val="269"/>
        </w:trPr>
        <w:tc>
          <w:tcPr>
            <w:tcW w:w="5440" w:type="dxa"/>
            <w:vAlign w:val="bottom"/>
            <w:tcBorders>
              <w:bottom w:val="single" w:sz="8" w:color="E6E6E6"/>
            </w:tcBorders>
          </w:tcPr>
          <w:p>
            <w:pPr>
              <w:ind w:left="280"/>
              <w:spacing w:after="0" w:line="269" w:lineRule="exact"/>
              <w:rPr>
                <w:sz w:val="20"/>
                <w:szCs w:val="20"/>
                <w:color w:val="auto"/>
              </w:rPr>
            </w:pPr>
            <w:r>
              <w:rPr>
                <w:rFonts w:ascii="Arial" w:cs="Arial" w:eastAsia="Arial" w:hAnsi="Arial"/>
                <w:sz w:val="20"/>
                <w:szCs w:val="20"/>
                <w:color w:val="auto"/>
              </w:rPr>
              <w:t xml:space="preserve">Rest of World </w:t>
            </w:r>
            <w:r>
              <w:rPr>
                <w:rFonts w:ascii="Arial" w:cs="Arial" w:eastAsia="Arial" w:hAnsi="Arial"/>
                <w:sz w:val="25"/>
                <w:szCs w:val="25"/>
                <w:color w:val="auto"/>
                <w:vertAlign w:val="superscript"/>
              </w:rPr>
              <w:t>(1)</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338,322</w:t>
            </w:r>
          </w:p>
        </w:tc>
        <w:tc>
          <w:tcPr>
            <w:tcW w:w="60" w:type="dxa"/>
            <w:vAlign w:val="bottom"/>
            <w:tcBorders>
              <w:bottom w:val="single" w:sz="8" w:color="E6E6E6"/>
            </w:tcBorders>
          </w:tcPr>
          <w:p>
            <w:pPr>
              <w:spacing w:after="0"/>
              <w:rPr>
                <w:sz w:val="23"/>
                <w:szCs w:val="23"/>
                <w:color w:val="auto"/>
              </w:rPr>
            </w:pPr>
          </w:p>
        </w:tc>
        <w:tc>
          <w:tcPr>
            <w:tcW w:w="20" w:type="dxa"/>
            <w:vAlign w:val="bottom"/>
            <w:tcBorders>
              <w:bottom w:val="single" w:sz="8" w:color="E6E6E6"/>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303,709</w:t>
            </w:r>
          </w:p>
        </w:tc>
        <w:tc>
          <w:tcPr>
            <w:tcW w:w="80" w:type="dxa"/>
            <w:vAlign w:val="bottom"/>
            <w:tcBorders>
              <w:bottom w:val="single" w:sz="8" w:color="E6E6E6"/>
            </w:tcBorders>
          </w:tcPr>
          <w:p>
            <w:pPr>
              <w:spacing w:after="0"/>
              <w:rPr>
                <w:sz w:val="23"/>
                <w:szCs w:val="23"/>
                <w:color w:val="auto"/>
              </w:rPr>
            </w:pPr>
          </w:p>
        </w:tc>
        <w:tc>
          <w:tcPr>
            <w:tcW w:w="20" w:type="dxa"/>
            <w:vAlign w:val="bottom"/>
            <w:tcBorders>
              <w:bottom w:val="single" w:sz="8" w:color="E6E6E6"/>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271,445</w:t>
            </w:r>
          </w:p>
        </w:tc>
      </w:tr>
      <w:tr>
        <w:trPr>
          <w:trHeight w:val="278"/>
        </w:trPr>
        <w:tc>
          <w:tcPr>
            <w:tcW w:w="544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1,253,437</w:t>
            </w:r>
          </w:p>
        </w:tc>
        <w:tc>
          <w:tcPr>
            <w:tcW w:w="80" w:type="dxa"/>
            <w:vAlign w:val="bottom"/>
            <w:tcBorders>
              <w:bottom w:val="single" w:sz="8" w:color="E6E6E6"/>
            </w:tcBorders>
            <w:gridSpan w:val="2"/>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1,153,545</w:t>
            </w:r>
          </w:p>
        </w:tc>
        <w:tc>
          <w:tcPr>
            <w:tcW w:w="100" w:type="dxa"/>
            <w:vAlign w:val="bottom"/>
            <w:tcBorders>
              <w:bottom w:val="single" w:sz="8" w:color="E6E6E6"/>
            </w:tcBorders>
            <w:gridSpan w:val="2"/>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1,021,805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-2159000</wp:posOffset>
            </wp:positionV>
            <wp:extent cx="294703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51">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-1981835</wp:posOffset>
            </wp:positionV>
            <wp:extent cx="294703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52">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-1272540</wp:posOffset>
            </wp:positionV>
            <wp:extent cx="294703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53">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-1094740</wp:posOffset>
            </wp:positionV>
            <wp:extent cx="294703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54">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-917575</wp:posOffset>
            </wp:positionV>
            <wp:extent cx="294703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55">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-208280</wp:posOffset>
            </wp:positionV>
            <wp:extent cx="294703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56">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-43180</wp:posOffset>
            </wp:positionV>
            <wp:extent cx="2947035" cy="5016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57">
                      <a:extLst>
                        <a:ext uri="{28A0092B-C50C-407E-A947-70E740481C1C}"/>
                      </a:extLst>
                    </a:blip>
                    <a:srcRect/>
                    <a:stretch>
                      <a:fillRect/>
                    </a:stretch>
                  </pic:blipFill>
                  <pic:spPr bwMode="auto">
                    <a:xfrm>
                      <a:off x="0" y="0"/>
                      <a:ext cx="2947035" cy="50165"/>
                    </a:xfrm>
                    <a:prstGeom prst="rect">
                      <a:avLst/>
                    </a:prstGeom>
                    <a:noFill/>
                  </pic:spPr>
                </pic:pic>
              </a:graphicData>
            </a:graphic>
          </wp:anchor>
        </w:drawing>
      </w:r>
    </w:p>
    <w:p>
      <w:pPr>
        <w:spacing w:after="0" w:line="111" w:lineRule="exact"/>
        <w:rPr>
          <w:sz w:val="20"/>
          <w:szCs w:val="20"/>
          <w:color w:val="auto"/>
        </w:rPr>
      </w:pPr>
    </w:p>
    <w:p>
      <w:pPr>
        <w:jc w:val="both"/>
        <w:ind w:left="700" w:right="520" w:hanging="355"/>
        <w:spacing w:after="0" w:line="234" w:lineRule="auto"/>
        <w:tabs>
          <w:tab w:leader="none" w:pos="70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“Europe” includes the UK, Germany, France, Italy, the Netherlands, Spain, Belgium, Poland, Sweden, Switzerland, Austria, Norway, Portugal, Finland, and Denmark. Excluding Europe and the U.S., “Rest of World” includes all other countries where LivaNova operates.</w:t>
      </w:r>
    </w:p>
    <w:p>
      <w:pPr>
        <w:ind w:left="700" w:right="520" w:hanging="355"/>
        <w:spacing w:after="0" w:line="224" w:lineRule="auto"/>
        <w:tabs>
          <w:tab w:leader="none" w:pos="70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“Other Revenue” includes revenue from the Company’s former ACS reportable segment, as discussed above, as well as rental and site services income not allocated to segments.</w:t>
      </w:r>
    </w:p>
    <w:p>
      <w:pPr>
        <w:ind w:left="700" w:right="520" w:hanging="355"/>
        <w:spacing w:after="0" w:line="224" w:lineRule="auto"/>
        <w:tabs>
          <w:tab w:leader="none" w:pos="70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Net revenue to external customers includes $48.9 million, $41.5 million, and $32.3 million in the UK, LivaNova’s country of domicile, for the years ended December 31, 2024, 2023, and 2022, respectively.</w:t>
      </w:r>
    </w:p>
    <w:p>
      <w:pPr>
        <w:ind w:left="700" w:right="520" w:hanging="355"/>
        <w:spacing w:after="0" w:line="230" w:lineRule="auto"/>
        <w:tabs>
          <w:tab w:leader="none" w:pos="70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No single customer represented over 10% of the Company’s consolidated net revenue. No country’s net revenue exceeded 10% of the Company’s consolidated revenue except for the U.S.</w:t>
      </w:r>
    </w:p>
    <w:p>
      <w:pPr>
        <w:spacing w:after="0" w:line="101" w:lineRule="exact"/>
        <w:rPr>
          <w:sz w:val="20"/>
          <w:szCs w:val="20"/>
          <w:color w:val="auto"/>
        </w:rPr>
      </w:pPr>
    </w:p>
    <w:p>
      <w:pPr>
        <w:jc w:val="both"/>
        <w:spacing w:after="0" w:line="316" w:lineRule="auto"/>
        <w:rPr>
          <w:sz w:val="20"/>
          <w:szCs w:val="20"/>
          <w:color w:val="auto"/>
        </w:rPr>
      </w:pPr>
      <w:r>
        <w:rPr>
          <w:rFonts w:ascii="Arial" w:cs="Arial" w:eastAsia="Arial" w:hAnsi="Arial"/>
          <w:sz w:val="17"/>
          <w:szCs w:val="17"/>
          <w:color w:val="auto"/>
        </w:rPr>
        <w:t>LivaNova defines segment income as operating income before restructuring expense, amortization of intangible assets, the Saluggia site provision, merger and integration expense, and other income and expense not allocated to segments. Other income and expense not allocated to segments primarily includes corporate expense, rental income, and the results of LivaNova’s former ACS reportable segment, as discussed above. LivaNova’s CODM is the Company’s CEO, who is regularly provided the results comprising segment income to make strategic business decisions, including, but not limited to, evaluation of the Company’s business portfolio, R&amp;D investment decisions, and consideration of the Company’s organizational structure.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 reconciliation of segment income to consolidated income (loss) before tax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44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62"/>
              <w:spacing w:after="0"/>
              <w:rPr>
                <w:sz w:val="20"/>
                <w:szCs w:val="20"/>
                <w:color w:val="auto"/>
              </w:rPr>
            </w:pPr>
            <w:r>
              <w:rPr>
                <w:rFonts w:ascii="Arial" w:cs="Arial" w:eastAsia="Arial" w:hAnsi="Arial"/>
                <w:sz w:val="20"/>
                <w:szCs w:val="20"/>
                <w:b w:val="1"/>
                <w:bCs w:val="1"/>
                <w:color w:val="auto"/>
              </w:rPr>
              <w:t>2024</w:t>
            </w:r>
          </w:p>
        </w:tc>
        <w:tc>
          <w:tcPr>
            <w:tcW w:w="60" w:type="dxa"/>
            <w:vAlign w:val="bottom"/>
            <w:tcBorders>
              <w:bottom w:val="single" w:sz="8" w:color="E6E6E6"/>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2023</w:t>
            </w:r>
          </w:p>
        </w:tc>
        <w:tc>
          <w:tcPr>
            <w:tcW w:w="80" w:type="dxa"/>
            <w:vAlign w:val="bottom"/>
            <w:tcBorders>
              <w:bottom w:val="single" w:sz="8" w:color="E6E6E6"/>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2022</w:t>
            </w:r>
          </w:p>
        </w:tc>
      </w:tr>
      <w:tr>
        <w:trPr>
          <w:trHeight w:val="269"/>
        </w:trPr>
        <w:tc>
          <w:tcPr>
            <w:tcW w:w="5440" w:type="dxa"/>
            <w:vAlign w:val="bottom"/>
            <w:shd w:val="clear" w:color="auto" w:fill="E6E6E6"/>
          </w:tcPr>
          <w:p>
            <w:pPr>
              <w:ind w:left="40"/>
              <w:spacing w:after="0"/>
              <w:rPr>
                <w:sz w:val="20"/>
                <w:szCs w:val="20"/>
                <w:color w:val="auto"/>
              </w:rPr>
            </w:pPr>
            <w:r>
              <w:rPr>
                <w:rFonts w:ascii="Arial" w:cs="Arial" w:eastAsia="Arial" w:hAnsi="Arial"/>
                <w:sz w:val="20"/>
                <w:szCs w:val="20"/>
                <w:color w:val="auto"/>
              </w:rPr>
              <w:t>Cardiopulmonary</w:t>
            </w:r>
          </w:p>
        </w:tc>
        <w:tc>
          <w:tcPr>
            <w:tcW w:w="360" w:type="dxa"/>
            <w:vAlign w:val="bottom"/>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76,848</w:t>
            </w:r>
          </w:p>
        </w:tc>
        <w:tc>
          <w:tcPr>
            <w:tcW w:w="420" w:type="dxa"/>
            <w:vAlign w:val="bottom"/>
            <w:gridSpan w:val="3"/>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26,407</w:t>
            </w:r>
          </w:p>
        </w:tc>
        <w:tc>
          <w:tcPr>
            <w:tcW w:w="440" w:type="dxa"/>
            <w:vAlign w:val="bottom"/>
            <w:gridSpan w:val="3"/>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17,106</w:t>
            </w:r>
          </w:p>
        </w:tc>
      </w:tr>
      <w:tr>
        <w:trPr>
          <w:trHeight w:val="269"/>
        </w:trPr>
        <w:tc>
          <w:tcPr>
            <w:tcW w:w="5440" w:type="dxa"/>
            <w:vAlign w:val="bottom"/>
            <w:tcBorders>
              <w:bottom w:val="single" w:sz="8" w:color="E6E6E6"/>
            </w:tcBorders>
          </w:tcPr>
          <w:p>
            <w:pPr>
              <w:ind w:left="40"/>
              <w:spacing w:after="0"/>
              <w:rPr>
                <w:sz w:val="20"/>
                <w:szCs w:val="20"/>
                <w:color w:val="auto"/>
              </w:rPr>
            </w:pPr>
            <w:r>
              <w:rPr>
                <w:rFonts w:ascii="Arial" w:cs="Arial" w:eastAsia="Arial" w:hAnsi="Arial"/>
                <w:sz w:val="20"/>
                <w:szCs w:val="20"/>
                <w:color w:val="auto"/>
              </w:rPr>
              <w:t>Neuromodulation</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195,309</w:t>
            </w:r>
          </w:p>
        </w:tc>
        <w:tc>
          <w:tcPr>
            <w:tcW w:w="60" w:type="dxa"/>
            <w:vAlign w:val="bottom"/>
            <w:tcBorders>
              <w:bottom w:val="single" w:sz="8" w:color="E6E6E6"/>
            </w:tcBorders>
          </w:tcPr>
          <w:p>
            <w:pPr>
              <w:spacing w:after="0"/>
              <w:rPr>
                <w:sz w:val="23"/>
                <w:szCs w:val="23"/>
                <w:color w:val="auto"/>
              </w:rPr>
            </w:pPr>
          </w:p>
        </w:tc>
        <w:tc>
          <w:tcPr>
            <w:tcW w:w="20" w:type="dxa"/>
            <w:vAlign w:val="bottom"/>
            <w:tcBorders>
              <w:bottom w:val="single" w:sz="8" w:color="E6E6E6"/>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153,384</w:t>
            </w:r>
          </w:p>
        </w:tc>
        <w:tc>
          <w:tcPr>
            <w:tcW w:w="80" w:type="dxa"/>
            <w:vAlign w:val="bottom"/>
            <w:tcBorders>
              <w:bottom w:val="single" w:sz="8" w:color="E6E6E6"/>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172,775</w:t>
            </w:r>
          </w:p>
        </w:tc>
      </w:tr>
      <w:tr>
        <w:trPr>
          <w:trHeight w:val="270"/>
        </w:trPr>
        <w:tc>
          <w:tcPr>
            <w:tcW w:w="5440" w:type="dxa"/>
            <w:vAlign w:val="bottom"/>
            <w:shd w:val="clear" w:color="auto" w:fill="E6E6E6"/>
          </w:tcPr>
          <w:p>
            <w:pPr>
              <w:ind w:left="160"/>
              <w:spacing w:after="0"/>
              <w:rPr>
                <w:sz w:val="20"/>
                <w:szCs w:val="20"/>
                <w:color w:val="auto"/>
              </w:rPr>
            </w:pPr>
            <w:r>
              <w:rPr>
                <w:rFonts w:ascii="Arial" w:cs="Arial" w:eastAsia="Arial" w:hAnsi="Arial"/>
                <w:sz w:val="20"/>
                <w:szCs w:val="20"/>
                <w:color w:val="auto"/>
              </w:rPr>
              <w:t>Segment income</w:t>
            </w:r>
          </w:p>
        </w:tc>
        <w:tc>
          <w:tcPr>
            <w:tcW w:w="360" w:type="dxa"/>
            <w:vAlign w:val="bottom"/>
            <w:shd w:val="clear" w:color="auto" w:fill="E6E6E6"/>
          </w:tcPr>
          <w:p>
            <w:pPr>
              <w:spacing w:after="0"/>
              <w:rPr>
                <w:sz w:val="23"/>
                <w:szCs w:val="23"/>
                <w:color w:val="auto"/>
              </w:rPr>
            </w:pPr>
          </w:p>
        </w:tc>
        <w:tc>
          <w:tcPr>
            <w:tcW w:w="11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272,157</w:t>
            </w:r>
          </w:p>
        </w:tc>
        <w:tc>
          <w:tcPr>
            <w:tcW w:w="6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340" w:type="dxa"/>
            <w:vAlign w:val="bottom"/>
            <w:shd w:val="clear" w:color="auto" w:fill="E6E6E6"/>
          </w:tcPr>
          <w:p>
            <w:pPr>
              <w:spacing w:after="0"/>
              <w:rPr>
                <w:sz w:val="23"/>
                <w:szCs w:val="23"/>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179,791</w:t>
            </w:r>
          </w:p>
        </w:tc>
        <w:tc>
          <w:tcPr>
            <w:tcW w:w="8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340" w:type="dxa"/>
            <w:vAlign w:val="bottom"/>
            <w:shd w:val="clear" w:color="auto" w:fill="E6E6E6"/>
          </w:tcPr>
          <w:p>
            <w:pPr>
              <w:spacing w:after="0"/>
              <w:rPr>
                <w:sz w:val="23"/>
                <w:szCs w:val="23"/>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189,881</w:t>
            </w:r>
          </w:p>
        </w:tc>
      </w:tr>
      <w:tr>
        <w:trPr>
          <w:trHeight w:val="269"/>
        </w:trPr>
        <w:tc>
          <w:tcPr>
            <w:tcW w:w="5440" w:type="dxa"/>
            <w:vAlign w:val="bottom"/>
            <w:tcBorders>
              <w:bottom w:val="single" w:sz="8" w:color="E6E6E6"/>
            </w:tcBorders>
          </w:tcPr>
          <w:p>
            <w:pPr>
              <w:ind w:left="40"/>
              <w:spacing w:after="0"/>
              <w:rPr>
                <w:sz w:val="20"/>
                <w:szCs w:val="20"/>
                <w:color w:val="auto"/>
              </w:rPr>
            </w:pPr>
            <w:r>
              <w:rPr>
                <w:rFonts w:ascii="Arial" w:cs="Arial" w:eastAsia="Arial" w:hAnsi="Arial"/>
                <w:sz w:val="20"/>
                <w:szCs w:val="20"/>
                <w:color w:val="auto"/>
              </w:rPr>
              <w:t>Other income/(expense)</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(143,106)</w:t>
            </w:r>
          </w:p>
        </w:tc>
        <w:tc>
          <w:tcPr>
            <w:tcW w:w="60" w:type="dxa"/>
            <w:vAlign w:val="bottom"/>
            <w:tcBorders>
              <w:bottom w:val="single" w:sz="8" w:color="E6E6E6"/>
            </w:tcBorders>
          </w:tcPr>
          <w:p>
            <w:pPr>
              <w:spacing w:after="0"/>
              <w:rPr>
                <w:sz w:val="23"/>
                <w:szCs w:val="23"/>
                <w:color w:val="auto"/>
              </w:rPr>
            </w:pPr>
          </w:p>
        </w:tc>
        <w:tc>
          <w:tcPr>
            <w:tcW w:w="20" w:type="dxa"/>
            <w:vAlign w:val="bottom"/>
            <w:tcBorders>
              <w:bottom w:val="single" w:sz="8" w:color="E6E6E6"/>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(248,289)</w:t>
            </w:r>
          </w:p>
        </w:tc>
        <w:tc>
          <w:tcPr>
            <w:tcW w:w="80" w:type="dxa"/>
            <w:vAlign w:val="bottom"/>
            <w:tcBorders>
              <w:bottom w:val="single" w:sz="8" w:color="E6E6E6"/>
            </w:tcBorders>
          </w:tcPr>
          <w:p>
            <w:pPr>
              <w:spacing w:after="0"/>
              <w:rPr>
                <w:sz w:val="23"/>
                <w:szCs w:val="23"/>
                <w:color w:val="auto"/>
              </w:rPr>
            </w:pPr>
          </w:p>
        </w:tc>
        <w:tc>
          <w:tcPr>
            <w:tcW w:w="20" w:type="dxa"/>
            <w:vAlign w:val="bottom"/>
            <w:tcBorders>
              <w:bottom w:val="single" w:sz="8" w:color="E6E6E6"/>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(266,633)</w:t>
            </w:r>
          </w:p>
        </w:tc>
      </w:tr>
      <w:tr>
        <w:trPr>
          <w:trHeight w:val="269"/>
        </w:trPr>
        <w:tc>
          <w:tcPr>
            <w:tcW w:w="5440" w:type="dxa"/>
            <w:vAlign w:val="bottom"/>
            <w:shd w:val="clear" w:color="auto" w:fill="E6E6E6"/>
          </w:tcPr>
          <w:p>
            <w:pPr>
              <w:ind w:left="160"/>
              <w:spacing w:after="0"/>
              <w:rPr>
                <w:sz w:val="20"/>
                <w:szCs w:val="20"/>
                <w:color w:val="auto"/>
              </w:rPr>
            </w:pPr>
            <w:r>
              <w:rPr>
                <w:rFonts w:ascii="Arial" w:cs="Arial" w:eastAsia="Arial" w:hAnsi="Arial"/>
                <w:sz w:val="20"/>
                <w:szCs w:val="20"/>
                <w:color w:val="auto"/>
              </w:rPr>
              <w:t>Operating income (loss)</w:t>
            </w:r>
          </w:p>
        </w:tc>
        <w:tc>
          <w:tcPr>
            <w:tcW w:w="360" w:type="dxa"/>
            <w:vAlign w:val="bottom"/>
            <w:shd w:val="clear" w:color="auto" w:fill="E6E6E6"/>
          </w:tcPr>
          <w:p>
            <w:pPr>
              <w:spacing w:after="0"/>
              <w:rPr>
                <w:sz w:val="23"/>
                <w:szCs w:val="23"/>
                <w:color w:val="auto"/>
              </w:rPr>
            </w:pPr>
          </w:p>
        </w:tc>
        <w:tc>
          <w:tcPr>
            <w:tcW w:w="11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129,051</w:t>
            </w:r>
          </w:p>
        </w:tc>
        <w:tc>
          <w:tcPr>
            <w:tcW w:w="6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340" w:type="dxa"/>
            <w:vAlign w:val="bottom"/>
            <w:shd w:val="clear" w:color="auto" w:fill="E6E6E6"/>
          </w:tcPr>
          <w:p>
            <w:pPr>
              <w:spacing w:after="0"/>
              <w:rPr>
                <w:sz w:val="23"/>
                <w:szCs w:val="23"/>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(68,498)</w:t>
            </w:r>
          </w:p>
        </w:tc>
        <w:tc>
          <w:tcPr>
            <w:tcW w:w="8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340" w:type="dxa"/>
            <w:vAlign w:val="bottom"/>
            <w:shd w:val="clear" w:color="auto" w:fill="E6E6E6"/>
          </w:tcPr>
          <w:p>
            <w:pPr>
              <w:spacing w:after="0"/>
              <w:rPr>
                <w:sz w:val="23"/>
                <w:szCs w:val="23"/>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(76,752)</w:t>
            </w:r>
          </w:p>
        </w:tc>
      </w:tr>
      <w:tr>
        <w:trPr>
          <w:trHeight w:val="279"/>
        </w:trPr>
        <w:tc>
          <w:tcPr>
            <w:tcW w:w="5440" w:type="dxa"/>
            <w:vAlign w:val="bottom"/>
          </w:tcPr>
          <w:p>
            <w:pPr>
              <w:ind w:left="40"/>
              <w:spacing w:after="0" w:line="280" w:lineRule="exact"/>
              <w:rPr>
                <w:sz w:val="20"/>
                <w:szCs w:val="20"/>
                <w:color w:val="auto"/>
              </w:rPr>
            </w:pPr>
            <w:r>
              <w:rPr>
                <w:rFonts w:ascii="Arial" w:cs="Arial" w:eastAsia="Arial" w:hAnsi="Arial"/>
                <w:sz w:val="20"/>
                <w:szCs w:val="20"/>
                <w:color w:val="auto"/>
              </w:rPr>
              <w:t xml:space="preserve">Interest expense </w:t>
            </w:r>
            <w:r>
              <w:rPr>
                <w:rFonts w:ascii="Arial" w:cs="Arial" w:eastAsia="Arial" w:hAnsi="Arial"/>
                <w:sz w:val="25"/>
                <w:szCs w:val="25"/>
                <w:color w:val="auto"/>
                <w:vertAlign w:val="superscript"/>
              </w:rPr>
              <w:t>(1)</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(63,070)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(58,853)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(48,250)</w:t>
            </w:r>
          </w:p>
        </w:tc>
      </w:tr>
      <w:tr>
        <w:trPr>
          <w:trHeight w:val="279"/>
        </w:trPr>
        <w:tc>
          <w:tcPr>
            <w:tcW w:w="5440" w:type="dxa"/>
            <w:vAlign w:val="bottom"/>
            <w:shd w:val="clear" w:color="auto" w:fill="E6E6E6"/>
          </w:tcPr>
          <w:p>
            <w:pPr>
              <w:ind w:left="40"/>
              <w:spacing w:after="0"/>
              <w:rPr>
                <w:sz w:val="20"/>
                <w:szCs w:val="20"/>
                <w:color w:val="auto"/>
              </w:rPr>
            </w:pPr>
            <w:r>
              <w:rPr>
                <w:rFonts w:ascii="Arial" w:cs="Arial" w:eastAsia="Arial" w:hAnsi="Arial"/>
                <w:sz w:val="20"/>
                <w:szCs w:val="20"/>
                <w:color w:val="auto"/>
              </w:rPr>
              <w:t>Loss on debt extinguishment</w:t>
            </w:r>
          </w:p>
        </w:tc>
        <w:tc>
          <w:tcPr>
            <w:tcW w:w="360" w:type="dxa"/>
            <w:vAlign w:val="bottom"/>
            <w:shd w:val="clear" w:color="auto" w:fill="E6E6E6"/>
          </w:tcPr>
          <w:p>
            <w:pPr>
              <w:spacing w:after="0"/>
              <w:rPr>
                <w:sz w:val="24"/>
                <w:szCs w:val="24"/>
                <w:color w:val="auto"/>
              </w:rPr>
            </w:pPr>
          </w:p>
        </w:tc>
        <w:tc>
          <w:tcPr>
            <w:tcW w:w="11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(25,482)</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r>
      <w:tr>
        <w:trPr>
          <w:trHeight w:val="269"/>
        </w:trPr>
        <w:tc>
          <w:tcPr>
            <w:tcW w:w="5440" w:type="dxa"/>
            <w:vAlign w:val="bottom"/>
            <w:tcBorders>
              <w:bottom w:val="single" w:sz="8" w:color="E6E6E6"/>
            </w:tcBorders>
          </w:tcPr>
          <w:p>
            <w:pPr>
              <w:ind w:left="40"/>
              <w:spacing w:after="0"/>
              <w:rPr>
                <w:sz w:val="20"/>
                <w:szCs w:val="20"/>
                <w:color w:val="auto"/>
              </w:rPr>
            </w:pPr>
            <w:r>
              <w:rPr>
                <w:rFonts w:ascii="Arial" w:cs="Arial" w:eastAsia="Arial" w:hAnsi="Arial"/>
                <w:sz w:val="20"/>
                <w:szCs w:val="20"/>
                <w:color w:val="auto"/>
              </w:rPr>
              <w:t>Foreign exchange and other income/(expense)</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47,811</w:t>
            </w:r>
          </w:p>
        </w:tc>
        <w:tc>
          <w:tcPr>
            <w:tcW w:w="60" w:type="dxa"/>
            <w:vAlign w:val="bottom"/>
            <w:tcBorders>
              <w:bottom w:val="single" w:sz="8" w:color="E6E6E6"/>
            </w:tcBorders>
          </w:tcPr>
          <w:p>
            <w:pPr>
              <w:spacing w:after="0"/>
              <w:rPr>
                <w:sz w:val="23"/>
                <w:szCs w:val="23"/>
                <w:color w:val="auto"/>
              </w:rPr>
            </w:pPr>
          </w:p>
        </w:tc>
        <w:tc>
          <w:tcPr>
            <w:tcW w:w="20" w:type="dxa"/>
            <w:vAlign w:val="bottom"/>
            <w:tcBorders>
              <w:bottom w:val="single" w:sz="8" w:color="E6E6E6"/>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46,125</w:t>
            </w:r>
          </w:p>
        </w:tc>
        <w:tc>
          <w:tcPr>
            <w:tcW w:w="80" w:type="dxa"/>
            <w:vAlign w:val="bottom"/>
            <w:tcBorders>
              <w:bottom w:val="single" w:sz="8" w:color="E6E6E6"/>
            </w:tcBorders>
          </w:tcPr>
          <w:p>
            <w:pPr>
              <w:spacing w:after="0"/>
              <w:rPr>
                <w:sz w:val="23"/>
                <w:szCs w:val="23"/>
                <w:color w:val="auto"/>
              </w:rPr>
            </w:pPr>
          </w:p>
        </w:tc>
        <w:tc>
          <w:tcPr>
            <w:tcW w:w="20" w:type="dxa"/>
            <w:vAlign w:val="bottom"/>
            <w:tcBorders>
              <w:bottom w:val="single" w:sz="8" w:color="E6E6E6"/>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49,860</w:t>
            </w:r>
          </w:p>
        </w:tc>
      </w:tr>
      <w:tr>
        <w:trPr>
          <w:trHeight w:val="279"/>
        </w:trPr>
        <w:tc>
          <w:tcPr>
            <w:tcW w:w="544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20"/>
                <w:szCs w:val="20"/>
                <w:color w:val="auto"/>
              </w:rPr>
              <w:t>Income (loss) before tax</w:t>
            </w:r>
          </w:p>
        </w:tc>
        <w:tc>
          <w:tcPr>
            <w:tcW w:w="360" w:type="dxa"/>
            <w:vAlign w:val="bottom"/>
            <w:tcBorders>
              <w:bottom w:val="single" w:sz="8" w:color="auto"/>
            </w:tcBorders>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88,310</w:t>
            </w:r>
          </w:p>
        </w:tc>
        <w:tc>
          <w:tcPr>
            <w:tcW w:w="80" w:type="dxa"/>
            <w:vAlign w:val="bottom"/>
            <w:tcBorders>
              <w:bottom w:val="single" w:sz="8" w:color="E6E6E6"/>
            </w:tcBorders>
            <w:gridSpan w:val="2"/>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(81,226)</w:t>
            </w:r>
          </w:p>
        </w:tc>
        <w:tc>
          <w:tcPr>
            <w:tcW w:w="100" w:type="dxa"/>
            <w:vAlign w:val="bottom"/>
            <w:tcBorders>
              <w:bottom w:val="single" w:sz="8" w:color="E6E6E6"/>
            </w:tcBorders>
            <w:gridSpan w:val="2"/>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(75,142)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-1626870</wp:posOffset>
            </wp:positionV>
            <wp:extent cx="294703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58">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-1271905</wp:posOffset>
            </wp:positionV>
            <wp:extent cx="294703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59">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-917575</wp:posOffset>
            </wp:positionV>
            <wp:extent cx="294703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260">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-208280</wp:posOffset>
            </wp:positionV>
            <wp:extent cx="294703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261">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-43180</wp:posOffset>
            </wp:positionV>
            <wp:extent cx="2947035" cy="501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262">
                      <a:extLst>
                        <a:ext uri="{28A0092B-C50C-407E-A947-70E740481C1C}"/>
                      </a:extLst>
                    </a:blip>
                    <a:srcRect/>
                    <a:stretch>
                      <a:fillRect/>
                    </a:stretch>
                  </pic:blipFill>
                  <pic:spPr bwMode="auto">
                    <a:xfrm>
                      <a:off x="0" y="0"/>
                      <a:ext cx="2947035" cy="50165"/>
                    </a:xfrm>
                    <a:prstGeom prst="rect">
                      <a:avLst/>
                    </a:prstGeom>
                    <a:noFill/>
                  </pic:spPr>
                </pic:pic>
              </a:graphicData>
            </a:graphic>
          </wp:anchor>
        </w:drawing>
      </w:r>
    </w:p>
    <w:p>
      <w:pPr>
        <w:spacing w:after="0" w:line="111" w:lineRule="exact"/>
        <w:rPr>
          <w:sz w:val="20"/>
          <w:szCs w:val="20"/>
          <w:color w:val="auto"/>
        </w:rPr>
      </w:pPr>
    </w:p>
    <w:p>
      <w:pPr>
        <w:jc w:val="both"/>
        <w:ind w:left="700" w:right="520" w:hanging="355"/>
        <w:spacing w:after="0" w:line="237" w:lineRule="auto"/>
        <w:tabs>
          <w:tab w:leader="none" w:pos="700"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Interest expense includes contractual interest expense associated with LivaNova’s short- and long-term financing arrangements and the amortization of debt discount and issuance costs of $21.6 million, $19.1 million, and $21.3 million for the years ended December 31, 2024, 2023, and 2022, respectively.</w:t>
      </w:r>
    </w:p>
    <w:p>
      <w:pPr>
        <w:sectPr>
          <w:pgSz w:w="11880" w:h="15480" w:orient="portrait"/>
          <w:cols w:equalWidth="0" w:num="1">
            <w:col w:w="10040"/>
          </w:cols>
          <w:pgMar w:left="920" w:top="66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F-46</w:t>
      </w:r>
    </w:p>
    <w:p>
      <w:pPr>
        <w:sectPr>
          <w:pgSz w:w="11880" w:h="15480" w:orient="portrait"/>
          <w:cols w:equalWidth="0" w:num="1">
            <w:col w:w="10040"/>
          </w:cols>
          <w:pgMar w:left="920" w:top="664" w:right="920" w:bottom="0" w:gutter="0" w:footer="0" w:header="0"/>
          <w:type w:val="continuous"/>
        </w:sectPr>
      </w:pPr>
    </w:p>
    <w:bookmarkStart w:id="104" w:name="page105"/>
    <w:bookmarkEnd w:id="104"/>
    <w:p>
      <w:pPr>
        <w:spacing w:after="0" w:line="284" w:lineRule="auto"/>
        <w:rPr>
          <w:sz w:val="20"/>
          <w:szCs w:val="20"/>
          <w:color w:val="auto"/>
        </w:rPr>
      </w:pPr>
      <w:r>
        <w:rPr>
          <w:rFonts w:ascii="Arial" w:cs="Arial" w:eastAsia="Arial" w:hAnsi="Arial"/>
          <w:sz w:val="20"/>
          <w:szCs w:val="20"/>
          <w:color w:val="auto"/>
        </w:rPr>
        <w:t>The following table presents the components of segment income, including significant expenses, of LivaNova’s reportable segments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0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7"/>
          </w:tcPr>
          <w:p>
            <w:pPr>
              <w:jc w:val="right"/>
              <w:ind w:right="122"/>
              <w:spacing w:after="0"/>
              <w:rPr>
                <w:sz w:val="20"/>
                <w:szCs w:val="20"/>
                <w:color w:val="auto"/>
              </w:rPr>
            </w:pPr>
            <w:r>
              <w:rPr>
                <w:rFonts w:ascii="Arial" w:cs="Arial" w:eastAsia="Arial" w:hAnsi="Arial"/>
                <w:sz w:val="20"/>
                <w:szCs w:val="20"/>
                <w:b w:val="1"/>
                <w:bCs w:val="1"/>
                <w:color w:val="auto"/>
              </w:rPr>
              <w:t>Cardiopulmonary</w:t>
            </w:r>
          </w:p>
        </w:tc>
        <w:tc>
          <w:tcPr>
            <w:tcW w:w="7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360" w:type="dxa"/>
            <w:vAlign w:val="bottom"/>
            <w:tcBorders>
              <w:bottom w:val="single" w:sz="8" w:color="auto"/>
            </w:tcBorders>
            <w:gridSpan w:val="6"/>
          </w:tcPr>
          <w:p>
            <w:pPr>
              <w:jc w:val="right"/>
              <w:ind w:right="42"/>
              <w:spacing w:after="0"/>
              <w:rPr>
                <w:sz w:val="20"/>
                <w:szCs w:val="20"/>
                <w:color w:val="auto"/>
              </w:rPr>
            </w:pPr>
            <w:r>
              <w:rPr>
                <w:rFonts w:ascii="Arial" w:cs="Arial" w:eastAsia="Arial" w:hAnsi="Arial"/>
                <w:sz w:val="20"/>
                <w:szCs w:val="20"/>
                <w:b w:val="1"/>
                <w:bCs w:val="1"/>
                <w:color w:val="auto"/>
              </w:rPr>
              <w:t>Neuromodulation</w:t>
            </w:r>
          </w:p>
        </w:tc>
        <w:tc>
          <w:tcPr>
            <w:tcW w:w="840" w:type="dxa"/>
            <w:vAlign w:val="bottom"/>
            <w:tcBorders>
              <w:bottom w:val="single" w:sz="8" w:color="auto"/>
            </w:tcBorders>
          </w:tcPr>
          <w:p>
            <w:pPr>
              <w:spacing w:after="0"/>
              <w:rPr>
                <w:sz w:val="22"/>
                <w:szCs w:val="22"/>
                <w:color w:val="auto"/>
              </w:rPr>
            </w:pPr>
          </w:p>
        </w:tc>
      </w:tr>
      <w:tr>
        <w:trPr>
          <w:trHeight w:val="260"/>
        </w:trPr>
        <w:tc>
          <w:tcPr>
            <w:tcW w:w="3060" w:type="dxa"/>
            <w:vAlign w:val="bottom"/>
            <w:tcBorders>
              <w:bottom w:val="single" w:sz="8" w:color="E6E6E6"/>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42"/>
              <w:spacing w:after="0"/>
              <w:rPr>
                <w:sz w:val="20"/>
                <w:szCs w:val="20"/>
                <w:color w:val="auto"/>
              </w:rPr>
            </w:pPr>
            <w:r>
              <w:rPr>
                <w:rFonts w:ascii="Arial" w:cs="Arial" w:eastAsia="Arial" w:hAnsi="Arial"/>
                <w:sz w:val="20"/>
                <w:szCs w:val="20"/>
                <w:b w:val="1"/>
                <w:bCs w:val="1"/>
                <w:color w:val="auto"/>
              </w:rPr>
              <w:t>2024</w:t>
            </w:r>
          </w:p>
        </w:tc>
        <w:tc>
          <w:tcPr>
            <w:tcW w:w="80" w:type="dxa"/>
            <w:vAlign w:val="bottom"/>
            <w:tcBorders>
              <w:bottom w:val="single" w:sz="8" w:color="E6E6E6"/>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62"/>
              <w:spacing w:after="0"/>
              <w:rPr>
                <w:sz w:val="20"/>
                <w:szCs w:val="20"/>
                <w:color w:val="auto"/>
              </w:rPr>
            </w:pPr>
            <w:r>
              <w:rPr>
                <w:rFonts w:ascii="Arial" w:cs="Arial" w:eastAsia="Arial" w:hAnsi="Arial"/>
                <w:sz w:val="20"/>
                <w:szCs w:val="20"/>
                <w:b w:val="1"/>
                <w:bCs w:val="1"/>
                <w:color w:val="auto"/>
              </w:rPr>
              <w:t>2023</w:t>
            </w: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62"/>
              <w:spacing w:after="0"/>
              <w:rPr>
                <w:sz w:val="20"/>
                <w:szCs w:val="20"/>
                <w:color w:val="auto"/>
              </w:rPr>
            </w:pPr>
            <w:r>
              <w:rPr>
                <w:rFonts w:ascii="Arial" w:cs="Arial" w:eastAsia="Arial" w:hAnsi="Arial"/>
                <w:sz w:val="20"/>
                <w:szCs w:val="20"/>
                <w:b w:val="1"/>
                <w:bCs w:val="1"/>
                <w:color w:val="auto"/>
                <w:w w:val="85"/>
              </w:rPr>
              <w:t>2022</w:t>
            </w:r>
          </w:p>
        </w:tc>
        <w:tc>
          <w:tcPr>
            <w:tcW w:w="80" w:type="dxa"/>
            <w:vAlign w:val="bottom"/>
            <w:tcBorders>
              <w:bottom w:val="single" w:sz="8" w:color="E6E6E6"/>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62"/>
              <w:spacing w:after="0"/>
              <w:rPr>
                <w:sz w:val="20"/>
                <w:szCs w:val="20"/>
                <w:color w:val="auto"/>
              </w:rPr>
            </w:pPr>
            <w:r>
              <w:rPr>
                <w:rFonts w:ascii="Arial" w:cs="Arial" w:eastAsia="Arial" w:hAnsi="Arial"/>
                <w:sz w:val="20"/>
                <w:szCs w:val="20"/>
                <w:b w:val="1"/>
                <w:bCs w:val="1"/>
                <w:color w:val="auto"/>
              </w:rPr>
              <w:t>2024</w:t>
            </w:r>
          </w:p>
        </w:tc>
        <w:tc>
          <w:tcPr>
            <w:tcW w:w="60" w:type="dxa"/>
            <w:vAlign w:val="bottom"/>
            <w:tcBorders>
              <w:bottom w:val="single" w:sz="8" w:color="E6E6E6"/>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62"/>
              <w:spacing w:after="0"/>
              <w:rPr>
                <w:sz w:val="20"/>
                <w:szCs w:val="20"/>
                <w:color w:val="auto"/>
              </w:rPr>
            </w:pPr>
            <w:r>
              <w:rPr>
                <w:rFonts w:ascii="Arial" w:cs="Arial" w:eastAsia="Arial" w:hAnsi="Arial"/>
                <w:sz w:val="20"/>
                <w:szCs w:val="20"/>
                <w:b w:val="1"/>
                <w:bCs w:val="1"/>
                <w:color w:val="auto"/>
              </w:rPr>
              <w:t>2023</w:t>
            </w:r>
          </w:p>
        </w:tc>
        <w:tc>
          <w:tcPr>
            <w:tcW w:w="60" w:type="dxa"/>
            <w:vAlign w:val="bottom"/>
            <w:tcBorders>
              <w:bottom w:val="single" w:sz="8" w:color="E6E6E6"/>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42"/>
              <w:spacing w:after="0"/>
              <w:rPr>
                <w:sz w:val="20"/>
                <w:szCs w:val="20"/>
                <w:color w:val="auto"/>
              </w:rPr>
            </w:pPr>
            <w:r>
              <w:rPr>
                <w:rFonts w:ascii="Arial" w:cs="Arial" w:eastAsia="Arial" w:hAnsi="Arial"/>
                <w:sz w:val="20"/>
                <w:szCs w:val="20"/>
                <w:b w:val="1"/>
                <w:bCs w:val="1"/>
                <w:color w:val="auto"/>
              </w:rPr>
              <w:t>2022</w:t>
            </w:r>
          </w:p>
        </w:tc>
      </w:tr>
      <w:tr>
        <w:trPr>
          <w:trHeight w:val="269"/>
        </w:trPr>
        <w:tc>
          <w:tcPr>
            <w:tcW w:w="3060" w:type="dxa"/>
            <w:vAlign w:val="bottom"/>
            <w:shd w:val="clear" w:color="auto" w:fill="E6E6E6"/>
          </w:tcPr>
          <w:p>
            <w:pPr>
              <w:ind w:left="40"/>
              <w:spacing w:after="0"/>
              <w:rPr>
                <w:sz w:val="20"/>
                <w:szCs w:val="20"/>
                <w:color w:val="auto"/>
              </w:rPr>
            </w:pPr>
            <w:r>
              <w:rPr>
                <w:rFonts w:ascii="Arial" w:cs="Arial" w:eastAsia="Arial" w:hAnsi="Arial"/>
                <w:sz w:val="20"/>
                <w:szCs w:val="20"/>
                <w:color w:val="auto"/>
              </w:rPr>
              <w:t>Net revenue</w:t>
            </w:r>
          </w:p>
        </w:tc>
        <w:tc>
          <w:tcPr>
            <w:tcW w:w="260" w:type="dxa"/>
            <w:vAlign w:val="bottom"/>
            <w:shd w:val="clear" w:color="auto" w:fill="E6E6E6"/>
          </w:tcPr>
          <w:p>
            <w:pPr>
              <w:jc w:val="right"/>
              <w:ind w:right="2"/>
              <w:spacing w:after="0"/>
              <w:rPr>
                <w:sz w:val="20"/>
                <w:szCs w:val="20"/>
                <w:color w:val="auto"/>
              </w:rPr>
            </w:pPr>
            <w:r>
              <w:rPr>
                <w:rFonts w:ascii="Arial" w:cs="Arial" w:eastAsia="Arial" w:hAnsi="Arial"/>
                <w:sz w:val="20"/>
                <w:szCs w:val="20"/>
                <w:color w:val="auto"/>
              </w:rPr>
              <w:t>$</w:t>
            </w:r>
          </w:p>
        </w:tc>
        <w:tc>
          <w:tcPr>
            <w:tcW w:w="8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683,512</w:t>
            </w:r>
          </w:p>
        </w:tc>
        <w:tc>
          <w:tcPr>
            <w:tcW w:w="340" w:type="dxa"/>
            <w:vAlign w:val="bottom"/>
            <w:gridSpan w:val="2"/>
            <w:shd w:val="clear" w:color="auto" w:fill="E6E6E6"/>
          </w:tcPr>
          <w:p>
            <w:pPr>
              <w:jc w:val="right"/>
              <w:ind w:right="2"/>
              <w:spacing w:after="0"/>
              <w:rPr>
                <w:sz w:val="20"/>
                <w:szCs w:val="20"/>
                <w:color w:val="auto"/>
              </w:rPr>
            </w:pPr>
            <w:r>
              <w:rPr>
                <w:rFonts w:ascii="Arial" w:cs="Arial" w:eastAsia="Arial" w:hAnsi="Arial"/>
                <w:sz w:val="20"/>
                <w:szCs w:val="20"/>
                <w:color w:val="auto"/>
              </w:rPr>
              <w:t>$</w:t>
            </w:r>
          </w:p>
        </w:tc>
        <w:tc>
          <w:tcPr>
            <w:tcW w:w="8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604,112</w:t>
            </w:r>
          </w:p>
        </w:tc>
        <w:tc>
          <w:tcPr>
            <w:tcW w:w="20" w:type="dxa"/>
            <w:vAlign w:val="bottom"/>
            <w:shd w:val="clear" w:color="auto" w:fill="E6E6E6"/>
          </w:tcPr>
          <w:p>
            <w:pPr>
              <w:spacing w:after="0"/>
              <w:rPr>
                <w:sz w:val="23"/>
                <w:szCs w:val="23"/>
                <w:color w:val="auto"/>
              </w:rPr>
            </w:pPr>
          </w:p>
        </w:tc>
        <w:tc>
          <w:tcPr>
            <w:tcW w:w="400" w:type="dxa"/>
            <w:vAlign w:val="bottom"/>
            <w:gridSpan w:val="2"/>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760" w:type="dxa"/>
            <w:vAlign w:val="bottom"/>
            <w:shd w:val="clear" w:color="auto" w:fill="E6E6E6"/>
          </w:tcPr>
          <w:p>
            <w:pPr>
              <w:jc w:val="right"/>
              <w:spacing w:after="0"/>
              <w:rPr>
                <w:sz w:val="20"/>
                <w:szCs w:val="20"/>
                <w:color w:val="auto"/>
              </w:rPr>
            </w:pPr>
            <w:r>
              <w:rPr>
                <w:rFonts w:ascii="Arial" w:cs="Arial" w:eastAsia="Arial" w:hAnsi="Arial"/>
                <w:sz w:val="20"/>
                <w:szCs w:val="20"/>
                <w:color w:val="auto"/>
                <w:w w:val="91"/>
              </w:rPr>
              <w:t>514,198</w:t>
            </w:r>
          </w:p>
        </w:tc>
        <w:tc>
          <w:tcPr>
            <w:tcW w:w="320" w:type="dxa"/>
            <w:vAlign w:val="bottom"/>
            <w:gridSpan w:val="2"/>
            <w:shd w:val="clear" w:color="auto" w:fill="E6E6E6"/>
          </w:tcPr>
          <w:p>
            <w:pPr>
              <w:jc w:val="right"/>
              <w:ind w:right="2"/>
              <w:spacing w:after="0"/>
              <w:rPr>
                <w:sz w:val="20"/>
                <w:szCs w:val="20"/>
                <w:color w:val="auto"/>
              </w:rPr>
            </w:pPr>
            <w:r>
              <w:rPr>
                <w:rFonts w:ascii="Arial" w:cs="Arial" w:eastAsia="Arial" w:hAnsi="Arial"/>
                <w:sz w:val="20"/>
                <w:szCs w:val="20"/>
                <w:color w:val="auto"/>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554,223</w:t>
            </w:r>
          </w:p>
        </w:tc>
        <w:tc>
          <w:tcPr>
            <w:tcW w:w="320" w:type="dxa"/>
            <w:vAlign w:val="bottom"/>
            <w:gridSpan w:val="2"/>
            <w:shd w:val="clear" w:color="auto" w:fill="E6E6E6"/>
          </w:tcPr>
          <w:p>
            <w:pPr>
              <w:jc w:val="right"/>
              <w:ind w:right="2"/>
              <w:spacing w:after="0"/>
              <w:rPr>
                <w:sz w:val="20"/>
                <w:szCs w:val="20"/>
                <w:color w:val="auto"/>
              </w:rPr>
            </w:pPr>
            <w:r>
              <w:rPr>
                <w:rFonts w:ascii="Arial" w:cs="Arial" w:eastAsia="Arial" w:hAnsi="Arial"/>
                <w:sz w:val="20"/>
                <w:szCs w:val="20"/>
                <w:color w:val="auto"/>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519,710</w:t>
            </w:r>
          </w:p>
        </w:tc>
        <w:tc>
          <w:tcPr>
            <w:tcW w:w="320" w:type="dxa"/>
            <w:vAlign w:val="bottom"/>
            <w:gridSpan w:val="2"/>
            <w:shd w:val="clear" w:color="auto" w:fill="E6E6E6"/>
          </w:tcPr>
          <w:p>
            <w:pPr>
              <w:jc w:val="right"/>
              <w:ind w:right="2"/>
              <w:spacing w:after="0"/>
              <w:rPr>
                <w:sz w:val="20"/>
                <w:szCs w:val="20"/>
                <w:color w:val="auto"/>
              </w:rPr>
            </w:pPr>
            <w:r>
              <w:rPr>
                <w:rFonts w:ascii="Arial" w:cs="Arial" w:eastAsia="Arial" w:hAnsi="Arial"/>
                <w:sz w:val="20"/>
                <w:szCs w:val="20"/>
                <w:color w:val="auto"/>
              </w:rPr>
              <w:t>$</w:t>
            </w:r>
          </w:p>
        </w:tc>
        <w:tc>
          <w:tcPr>
            <w:tcW w:w="8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476,993</w:t>
            </w:r>
          </w:p>
        </w:tc>
      </w:tr>
      <w:tr>
        <w:trPr>
          <w:trHeight w:val="274"/>
        </w:trPr>
        <w:tc>
          <w:tcPr>
            <w:tcW w:w="3060" w:type="dxa"/>
            <w:vAlign w:val="bottom"/>
          </w:tcPr>
          <w:p>
            <w:pPr>
              <w:ind w:left="40"/>
              <w:spacing w:after="0"/>
              <w:rPr>
                <w:sz w:val="20"/>
                <w:szCs w:val="20"/>
                <w:color w:val="auto"/>
              </w:rPr>
            </w:pPr>
            <w:r>
              <w:rPr>
                <w:rFonts w:ascii="Arial" w:cs="Arial" w:eastAsia="Arial" w:hAnsi="Arial"/>
                <w:sz w:val="20"/>
                <w:szCs w:val="20"/>
                <w:color w:val="auto"/>
              </w:rPr>
              <w:t>Less:</w:t>
            </w: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85"/>
        </w:trPr>
        <w:tc>
          <w:tcPr>
            <w:tcW w:w="3060" w:type="dxa"/>
            <w:vAlign w:val="bottom"/>
            <w:shd w:val="clear" w:color="auto" w:fill="E6E6E6"/>
          </w:tcPr>
          <w:p>
            <w:pPr>
              <w:ind w:left="40"/>
              <w:spacing w:after="0"/>
              <w:rPr>
                <w:sz w:val="20"/>
                <w:szCs w:val="20"/>
                <w:color w:val="auto"/>
              </w:rPr>
            </w:pPr>
            <w:r>
              <w:rPr>
                <w:rFonts w:ascii="Arial" w:cs="Arial" w:eastAsia="Arial" w:hAnsi="Arial"/>
                <w:sz w:val="20"/>
                <w:szCs w:val="20"/>
                <w:color w:val="auto"/>
              </w:rPr>
              <w:t>Cost of sales</w:t>
            </w:r>
          </w:p>
        </w:tc>
        <w:tc>
          <w:tcPr>
            <w:tcW w:w="260" w:type="dxa"/>
            <w:vAlign w:val="bottom"/>
            <w:shd w:val="clear" w:color="auto" w:fill="E6E6E6"/>
          </w:tcPr>
          <w:p>
            <w:pPr>
              <w:spacing w:after="0"/>
              <w:rPr>
                <w:sz w:val="24"/>
                <w:szCs w:val="24"/>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316,937</w:t>
            </w:r>
          </w:p>
        </w:tc>
        <w:tc>
          <w:tcPr>
            <w:tcW w:w="8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290,929</w:t>
            </w:r>
          </w:p>
        </w:tc>
        <w:tc>
          <w:tcPr>
            <w:tcW w:w="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20"/>
                <w:szCs w:val="20"/>
                <w:color w:val="auto"/>
                <w:w w:val="91"/>
              </w:rPr>
              <w:t>251,858</w:t>
            </w:r>
          </w:p>
        </w:tc>
        <w:tc>
          <w:tcPr>
            <w:tcW w:w="8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50,236</w:t>
            </w: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50,213</w:t>
            </w: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31,618</w:t>
            </w:r>
          </w:p>
        </w:tc>
      </w:tr>
      <w:tr>
        <w:trPr>
          <w:trHeight w:val="274"/>
        </w:trPr>
        <w:tc>
          <w:tcPr>
            <w:tcW w:w="3060" w:type="dxa"/>
            <w:vAlign w:val="bottom"/>
          </w:tcPr>
          <w:p>
            <w:pPr>
              <w:ind w:left="40"/>
              <w:spacing w:after="0"/>
              <w:rPr>
                <w:sz w:val="20"/>
                <w:szCs w:val="20"/>
                <w:color w:val="auto"/>
              </w:rPr>
            </w:pPr>
            <w:r>
              <w:rPr>
                <w:rFonts w:ascii="Arial" w:cs="Arial" w:eastAsia="Arial" w:hAnsi="Arial"/>
                <w:sz w:val="20"/>
                <w:szCs w:val="20"/>
                <w:color w:val="auto"/>
                <w:w w:val="96"/>
              </w:rPr>
              <w:t>Selling, general, and administrative</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217,136</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207,001</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w w:val="91"/>
              </w:rPr>
              <w:t>168,601</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187,649</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175,273</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158,977</w:t>
            </w:r>
          </w:p>
        </w:tc>
      </w:tr>
      <w:tr>
        <w:trPr>
          <w:trHeight w:val="285"/>
        </w:trPr>
        <w:tc>
          <w:tcPr>
            <w:tcW w:w="3060" w:type="dxa"/>
            <w:vAlign w:val="bottom"/>
            <w:shd w:val="clear" w:color="auto" w:fill="E6E6E6"/>
          </w:tcPr>
          <w:p>
            <w:pPr>
              <w:ind w:left="40"/>
              <w:spacing w:after="0"/>
              <w:rPr>
                <w:sz w:val="20"/>
                <w:szCs w:val="20"/>
                <w:color w:val="auto"/>
              </w:rPr>
            </w:pPr>
            <w:r>
              <w:rPr>
                <w:rFonts w:ascii="Arial" w:cs="Arial" w:eastAsia="Arial" w:hAnsi="Arial"/>
                <w:sz w:val="20"/>
                <w:szCs w:val="20"/>
                <w:color w:val="auto"/>
              </w:rPr>
              <w:t>Research and development</w:t>
            </w:r>
          </w:p>
        </w:tc>
        <w:tc>
          <w:tcPr>
            <w:tcW w:w="260" w:type="dxa"/>
            <w:vAlign w:val="bottom"/>
            <w:shd w:val="clear" w:color="auto" w:fill="E6E6E6"/>
          </w:tcPr>
          <w:p>
            <w:pPr>
              <w:spacing w:after="0"/>
              <w:rPr>
                <w:sz w:val="24"/>
                <w:szCs w:val="24"/>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52,904</w:t>
            </w:r>
          </w:p>
        </w:tc>
        <w:tc>
          <w:tcPr>
            <w:tcW w:w="8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45,255</w:t>
            </w:r>
          </w:p>
        </w:tc>
        <w:tc>
          <w:tcPr>
            <w:tcW w:w="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42,112</w:t>
            </w:r>
          </w:p>
        </w:tc>
        <w:tc>
          <w:tcPr>
            <w:tcW w:w="8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121,029</w:t>
            </w: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140,840</w:t>
            </w: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113,623</w:t>
            </w:r>
          </w:p>
        </w:tc>
      </w:tr>
      <w:tr>
        <w:trPr>
          <w:trHeight w:val="269"/>
        </w:trPr>
        <w:tc>
          <w:tcPr>
            <w:tcW w:w="3060" w:type="dxa"/>
            <w:vAlign w:val="bottom"/>
            <w:tcBorders>
              <w:bottom w:val="single" w:sz="8" w:color="E6E6E6"/>
            </w:tcBorders>
          </w:tcPr>
          <w:p>
            <w:pPr>
              <w:ind w:left="40"/>
              <w:spacing w:after="0"/>
              <w:rPr>
                <w:sz w:val="20"/>
                <w:szCs w:val="20"/>
                <w:color w:val="auto"/>
              </w:rPr>
            </w:pPr>
            <w:r>
              <w:rPr>
                <w:rFonts w:ascii="Arial" w:cs="Arial" w:eastAsia="Arial" w:hAnsi="Arial"/>
                <w:sz w:val="20"/>
                <w:szCs w:val="20"/>
                <w:color w:val="auto"/>
              </w:rPr>
              <w:t>3T litigation provision</w:t>
            </w: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19,687</w:t>
            </w:r>
          </w:p>
        </w:tc>
        <w:tc>
          <w:tcPr>
            <w:tcW w:w="80" w:type="dxa"/>
            <w:vAlign w:val="bottom"/>
            <w:tcBorders>
              <w:bottom w:val="single" w:sz="8" w:color="E6E6E6"/>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34,520</w:t>
            </w:r>
          </w:p>
        </w:tc>
        <w:tc>
          <w:tcPr>
            <w:tcW w:w="20" w:type="dxa"/>
            <w:vAlign w:val="bottom"/>
            <w:tcBorders>
              <w:bottom w:val="single" w:sz="8" w:color="E6E6E6"/>
            </w:tcBorders>
          </w:tcPr>
          <w:p>
            <w:pPr>
              <w:spacing w:after="0"/>
              <w:rPr>
                <w:sz w:val="23"/>
                <w:szCs w:val="23"/>
                <w:color w:val="auto"/>
              </w:rPr>
            </w:pPr>
          </w:p>
        </w:tc>
        <w:tc>
          <w:tcPr>
            <w:tcW w:w="60" w:type="dxa"/>
            <w:vAlign w:val="bottom"/>
            <w:tcBorders>
              <w:bottom w:val="single" w:sz="8" w:color="E6E6E6"/>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34,521</w:t>
            </w:r>
          </w:p>
        </w:tc>
        <w:tc>
          <w:tcPr>
            <w:tcW w:w="80" w:type="dxa"/>
            <w:vAlign w:val="bottom"/>
            <w:tcBorders>
              <w:bottom w:val="single" w:sz="8" w:color="E6E6E6"/>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79"/>
        </w:trPr>
        <w:tc>
          <w:tcPr>
            <w:tcW w:w="306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jc w:val="right"/>
              <w:ind w:right="2"/>
              <w:spacing w:after="0"/>
              <w:rPr>
                <w:sz w:val="20"/>
                <w:szCs w:val="20"/>
                <w:color w:val="auto"/>
              </w:rPr>
            </w:pPr>
            <w:r>
              <w:rPr>
                <w:rFonts w:ascii="Arial" w:cs="Arial" w:eastAsia="Arial" w:hAnsi="Arial"/>
                <w:sz w:val="20"/>
                <w:szCs w:val="20"/>
                <w:color w:val="auto"/>
              </w:rPr>
              <w:t>$</w:t>
            </w:r>
          </w:p>
        </w:tc>
        <w:tc>
          <w:tcPr>
            <w:tcW w:w="8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76,848</w:t>
            </w:r>
          </w:p>
        </w:tc>
        <w:tc>
          <w:tcPr>
            <w:tcW w:w="8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jc w:val="right"/>
              <w:ind w:right="2"/>
              <w:spacing w:after="0"/>
              <w:rPr>
                <w:sz w:val="20"/>
                <w:szCs w:val="20"/>
                <w:color w:val="auto"/>
              </w:rPr>
            </w:pPr>
            <w:r>
              <w:rPr>
                <w:rFonts w:ascii="Arial" w:cs="Arial" w:eastAsia="Arial" w:hAnsi="Arial"/>
                <w:sz w:val="20"/>
                <w:szCs w:val="20"/>
                <w:color w:val="auto"/>
              </w:rPr>
              <w:t>$</w:t>
            </w:r>
          </w:p>
        </w:tc>
        <w:tc>
          <w:tcPr>
            <w:tcW w:w="8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26,407</w:t>
            </w:r>
          </w:p>
        </w:tc>
        <w:tc>
          <w:tcPr>
            <w:tcW w:w="2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7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17,106</w:t>
            </w:r>
          </w:p>
        </w:tc>
        <w:tc>
          <w:tcPr>
            <w:tcW w:w="8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jc w:val="right"/>
              <w:ind w:right="2"/>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195,309</w:t>
            </w:r>
          </w:p>
        </w:tc>
        <w:tc>
          <w:tcPr>
            <w:tcW w:w="6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jc w:val="right"/>
              <w:ind w:right="2"/>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153,384</w:t>
            </w:r>
          </w:p>
        </w:tc>
        <w:tc>
          <w:tcPr>
            <w:tcW w:w="6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jc w:val="right"/>
              <w:ind w:right="2"/>
              <w:spacing w:after="0"/>
              <w:rPr>
                <w:sz w:val="20"/>
                <w:szCs w:val="20"/>
                <w:color w:val="auto"/>
              </w:rPr>
            </w:pPr>
            <w:r>
              <w:rPr>
                <w:rFonts w:ascii="Arial" w:cs="Arial" w:eastAsia="Arial" w:hAnsi="Arial"/>
                <w:sz w:val="20"/>
                <w:szCs w:val="20"/>
                <w:color w:val="auto"/>
              </w:rPr>
              <w:t>$</w:t>
            </w:r>
          </w:p>
        </w:tc>
        <w:tc>
          <w:tcPr>
            <w:tcW w:w="8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172,775</w:t>
            </w:r>
          </w:p>
        </w:tc>
      </w:tr>
      <w:tr>
        <w:trPr>
          <w:trHeight w:val="382"/>
        </w:trPr>
        <w:tc>
          <w:tcPr>
            <w:tcW w:w="5760" w:type="dxa"/>
            <w:vAlign w:val="bottom"/>
            <w:gridSpan w:val="9"/>
          </w:tcPr>
          <w:p>
            <w:pPr>
              <w:spacing w:after="0"/>
              <w:rPr>
                <w:sz w:val="20"/>
                <w:szCs w:val="20"/>
                <w:color w:val="auto"/>
              </w:rPr>
            </w:pPr>
            <w:r>
              <w:rPr>
                <w:rFonts w:ascii="Arial" w:cs="Arial" w:eastAsia="Arial" w:hAnsi="Arial"/>
                <w:sz w:val="20"/>
                <w:szCs w:val="20"/>
                <w:color w:val="auto"/>
                <w:w w:val="87"/>
              </w:rPr>
              <w:t>The following table presents assets by reportable segment (in thousands):</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-1515110</wp:posOffset>
            </wp:positionV>
            <wp:extent cx="445960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263">
                      <a:extLst>
                        <a:ext uri="{28A0092B-C50C-407E-A947-70E740481C1C}"/>
                      </a:extLst>
                    </a:blip>
                    <a:srcRect/>
                    <a:stretch>
                      <a:fillRect/>
                    </a:stretch>
                  </pic:blipFill>
                  <pic:spPr bwMode="auto">
                    <a:xfrm>
                      <a:off x="0" y="0"/>
                      <a:ext cx="4459605" cy="25400"/>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-450850</wp:posOffset>
            </wp:positionV>
            <wp:extent cx="445960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264">
                      <a:extLst>
                        <a:ext uri="{28A0092B-C50C-407E-A947-70E740481C1C}"/>
                      </a:extLst>
                    </a:blip>
                    <a:srcRect/>
                    <a:stretch>
                      <a:fillRect/>
                    </a:stretch>
                  </pic:blipFill>
                  <pic:spPr bwMode="auto">
                    <a:xfrm>
                      <a:off x="0" y="0"/>
                      <a:ext cx="4459605" cy="25400"/>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-285750</wp:posOffset>
            </wp:positionV>
            <wp:extent cx="4459605" cy="5016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265">
                      <a:extLst>
                        <a:ext uri="{28A0092B-C50C-407E-A947-70E740481C1C}"/>
                      </a:extLst>
                    </a:blip>
                    <a:srcRect/>
                    <a:stretch>
                      <a:fillRect/>
                    </a:stretch>
                  </pic:blipFill>
                  <pic:spPr bwMode="auto">
                    <a:xfrm>
                      <a:off x="0" y="0"/>
                      <a:ext cx="4459605" cy="50165"/>
                    </a:xfrm>
                    <a:prstGeom prst="rect">
                      <a:avLst/>
                    </a:prstGeom>
                    <a:noFill/>
                  </pic:spPr>
                </pic:pic>
              </a:graphicData>
            </a:graphic>
          </wp:anchor>
        </w:drawing>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0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rPr>
              <w:t>December 31,</w:t>
            </w:r>
          </w:p>
        </w:tc>
        <w:tc>
          <w:tcPr>
            <w:tcW w:w="940" w:type="dxa"/>
            <w:vAlign w:val="bottom"/>
            <w:tcBorders>
              <w:bottom w:val="single" w:sz="8" w:color="auto"/>
            </w:tcBorders>
          </w:tcPr>
          <w:p>
            <w:pPr>
              <w:spacing w:after="0"/>
              <w:rPr>
                <w:sz w:val="22"/>
                <w:szCs w:val="22"/>
                <w:color w:val="auto"/>
              </w:rPr>
            </w:pPr>
          </w:p>
        </w:tc>
      </w:tr>
      <w:tr>
        <w:trPr>
          <w:trHeight w:val="260"/>
        </w:trPr>
        <w:tc>
          <w:tcPr>
            <w:tcW w:w="700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2024</w:t>
            </w:r>
          </w:p>
        </w:tc>
        <w:tc>
          <w:tcPr>
            <w:tcW w:w="80" w:type="dxa"/>
            <w:vAlign w:val="bottom"/>
            <w:tcBorders>
              <w:bottom w:val="single" w:sz="8" w:color="E6E6E6"/>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w w:val="85"/>
              </w:rPr>
              <w:t>2023</w:t>
            </w:r>
          </w:p>
        </w:tc>
      </w:tr>
      <w:tr>
        <w:trPr>
          <w:trHeight w:val="269"/>
        </w:trPr>
        <w:tc>
          <w:tcPr>
            <w:tcW w:w="7000" w:type="dxa"/>
            <w:vAlign w:val="bottom"/>
            <w:shd w:val="clear" w:color="auto" w:fill="E6E6E6"/>
          </w:tcPr>
          <w:p>
            <w:pPr>
              <w:ind w:left="40"/>
              <w:spacing w:after="0"/>
              <w:rPr>
                <w:sz w:val="20"/>
                <w:szCs w:val="20"/>
                <w:color w:val="auto"/>
              </w:rPr>
            </w:pPr>
            <w:r>
              <w:rPr>
                <w:rFonts w:ascii="Arial" w:cs="Arial" w:eastAsia="Arial" w:hAnsi="Arial"/>
                <w:sz w:val="20"/>
                <w:szCs w:val="20"/>
                <w:color w:val="auto"/>
              </w:rPr>
              <w:t>Cardiopulmonary</w:t>
            </w:r>
          </w:p>
        </w:tc>
        <w:tc>
          <w:tcPr>
            <w:tcW w:w="360" w:type="dxa"/>
            <w:vAlign w:val="bottom"/>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900,672</w:t>
            </w:r>
          </w:p>
        </w:tc>
        <w:tc>
          <w:tcPr>
            <w:tcW w:w="620" w:type="dxa"/>
            <w:vAlign w:val="bottom"/>
            <w:gridSpan w:val="2"/>
            <w:shd w:val="clear" w:color="auto" w:fill="E6E6E6"/>
          </w:tcPr>
          <w:p>
            <w:pPr>
              <w:jc w:val="right"/>
              <w:ind w:right="380"/>
              <w:spacing w:after="0"/>
              <w:rPr>
                <w:sz w:val="20"/>
                <w:szCs w:val="20"/>
                <w:color w:val="auto"/>
              </w:rPr>
            </w:pPr>
            <w:r>
              <w:rPr>
                <w:rFonts w:ascii="Arial" w:cs="Arial" w:eastAsia="Arial" w:hAnsi="Arial"/>
                <w:sz w:val="20"/>
                <w:szCs w:val="20"/>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961,976</w:t>
            </w:r>
          </w:p>
        </w:tc>
      </w:tr>
      <w:tr>
        <w:trPr>
          <w:trHeight w:val="274"/>
        </w:trPr>
        <w:tc>
          <w:tcPr>
            <w:tcW w:w="7000" w:type="dxa"/>
            <w:vAlign w:val="bottom"/>
          </w:tcPr>
          <w:p>
            <w:pPr>
              <w:ind w:left="40"/>
              <w:spacing w:after="0"/>
              <w:rPr>
                <w:sz w:val="20"/>
                <w:szCs w:val="20"/>
                <w:color w:val="auto"/>
              </w:rPr>
            </w:pPr>
            <w:r>
              <w:rPr>
                <w:rFonts w:ascii="Arial" w:cs="Arial" w:eastAsia="Arial" w:hAnsi="Arial"/>
                <w:sz w:val="20"/>
                <w:szCs w:val="20"/>
                <w:color w:val="auto"/>
              </w:rPr>
              <w:t>Neuromodulation</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640,956</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647,391</w:t>
            </w:r>
          </w:p>
        </w:tc>
      </w:tr>
      <w:tr>
        <w:trPr>
          <w:trHeight w:val="275"/>
        </w:trPr>
        <w:tc>
          <w:tcPr>
            <w:tcW w:w="7000" w:type="dxa"/>
            <w:vAlign w:val="bottom"/>
            <w:tcBorders>
              <w:bottom w:val="single" w:sz="8" w:color="E6E6E6"/>
            </w:tcBorders>
            <w:shd w:val="clear" w:color="auto" w:fill="E6E6E6"/>
          </w:tcPr>
          <w:p>
            <w:pPr>
              <w:ind w:left="40"/>
              <w:spacing w:after="0" w:line="275" w:lineRule="exact"/>
              <w:rPr>
                <w:sz w:val="20"/>
                <w:szCs w:val="20"/>
                <w:color w:val="auto"/>
              </w:rPr>
            </w:pPr>
            <w:r>
              <w:rPr>
                <w:rFonts w:ascii="Arial" w:cs="Arial" w:eastAsia="Arial" w:hAnsi="Arial"/>
                <w:sz w:val="20"/>
                <w:szCs w:val="20"/>
                <w:color w:val="auto"/>
              </w:rPr>
              <w:t xml:space="preserve">Other assets </w:t>
            </w:r>
            <w:r>
              <w:rPr>
                <w:rFonts w:ascii="Arial" w:cs="Arial" w:eastAsia="Arial" w:hAnsi="Arial"/>
                <w:sz w:val="25"/>
                <w:szCs w:val="25"/>
                <w:color w:val="auto"/>
                <w:vertAlign w:val="superscript"/>
              </w:rPr>
              <w:t>(1)</w:t>
            </w:r>
          </w:p>
        </w:tc>
        <w:tc>
          <w:tcPr>
            <w:tcW w:w="360" w:type="dxa"/>
            <w:vAlign w:val="bottom"/>
            <w:tcBorders>
              <w:bottom w:val="single" w:sz="8" w:color="auto"/>
            </w:tcBorders>
            <w:shd w:val="clear" w:color="auto" w:fill="E6E6E6"/>
          </w:tcPr>
          <w:p>
            <w:pPr>
              <w:spacing w:after="0"/>
              <w:rPr>
                <w:sz w:val="23"/>
                <w:szCs w:val="23"/>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964,761</w:t>
            </w:r>
          </w:p>
        </w:tc>
        <w:tc>
          <w:tcPr>
            <w:tcW w:w="80" w:type="dxa"/>
            <w:vAlign w:val="bottom"/>
            <w:tcBorders>
              <w:bottom w:val="single" w:sz="8" w:color="E6E6E6"/>
            </w:tcBorders>
            <w:shd w:val="clear" w:color="auto" w:fill="E6E6E6"/>
          </w:tcPr>
          <w:p>
            <w:pPr>
              <w:spacing w:after="0"/>
              <w:rPr>
                <w:sz w:val="23"/>
                <w:szCs w:val="23"/>
                <w:color w:val="auto"/>
              </w:rPr>
            </w:pPr>
          </w:p>
        </w:tc>
        <w:tc>
          <w:tcPr>
            <w:tcW w:w="540" w:type="dxa"/>
            <w:vAlign w:val="bottom"/>
            <w:tcBorders>
              <w:bottom w:val="single" w:sz="8" w:color="auto"/>
            </w:tcBorders>
            <w:shd w:val="clear" w:color="auto" w:fill="E6E6E6"/>
          </w:tcPr>
          <w:p>
            <w:pPr>
              <w:spacing w:after="0"/>
              <w:rPr>
                <w:sz w:val="23"/>
                <w:szCs w:val="23"/>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820,196</w:t>
            </w:r>
          </w:p>
        </w:tc>
      </w:tr>
      <w:tr>
        <w:trPr>
          <w:trHeight w:val="240"/>
        </w:trPr>
        <w:tc>
          <w:tcPr>
            <w:tcW w:w="7000" w:type="dxa"/>
            <w:vAlign w:val="bottom"/>
          </w:tcPr>
          <w:p>
            <w:pPr>
              <w:spacing w:after="0"/>
              <w:rPr>
                <w:sz w:val="20"/>
                <w:szCs w:val="20"/>
                <w:color w:val="auto"/>
              </w:rPr>
            </w:pP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2,506,389</w:t>
            </w:r>
          </w:p>
        </w:tc>
        <w:tc>
          <w:tcPr>
            <w:tcW w:w="620" w:type="dxa"/>
            <w:vAlign w:val="bottom"/>
            <w:gridSpan w:val="2"/>
          </w:tcPr>
          <w:p>
            <w:pPr>
              <w:jc w:val="right"/>
              <w:ind w:right="38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w w:val="94"/>
              </w:rPr>
              <w:t>2,429,563</w:t>
            </w:r>
          </w:p>
        </w:tc>
      </w:tr>
      <w:tr>
        <w:trPr>
          <w:trHeight w:val="20"/>
        </w:trPr>
        <w:tc>
          <w:tcPr>
            <w:tcW w:w="70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4435475</wp:posOffset>
            </wp:positionH>
            <wp:positionV relativeFrom="paragraph">
              <wp:posOffset>-740410</wp:posOffset>
            </wp:positionV>
            <wp:extent cx="195770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266">
                      <a:extLst>
                        <a:ext uri="{28A0092B-C50C-407E-A947-70E740481C1C}"/>
                      </a:extLst>
                    </a:blip>
                    <a:srcRect/>
                    <a:stretch>
                      <a:fillRect/>
                    </a:stretch>
                  </pic:blipFill>
                  <pic:spPr bwMode="auto">
                    <a:xfrm>
                      <a:off x="0" y="0"/>
                      <a:ext cx="1957705" cy="25400"/>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-208280</wp:posOffset>
            </wp:positionV>
            <wp:extent cx="195770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267">
                      <a:extLst>
                        <a:ext uri="{28A0092B-C50C-407E-A947-70E740481C1C}"/>
                      </a:extLst>
                    </a:blip>
                    <a:srcRect/>
                    <a:stretch>
                      <a:fillRect/>
                    </a:stretch>
                  </pic:blipFill>
                  <pic:spPr bwMode="auto">
                    <a:xfrm>
                      <a:off x="0" y="0"/>
                      <a:ext cx="1957705" cy="25400"/>
                    </a:xfrm>
                    <a:prstGeom prst="rect">
                      <a:avLst/>
                    </a:prstGeom>
                    <a:noFill/>
                  </pic:spPr>
                </pic:pic>
              </a:graphicData>
            </a:graphic>
          </wp:anchor>
        </w:drawing>
      </w:r>
    </w:p>
    <w:p>
      <w:pPr>
        <w:spacing w:after="0" w:line="78" w:lineRule="exact"/>
        <w:rPr>
          <w:sz w:val="20"/>
          <w:szCs w:val="20"/>
          <w:color w:val="auto"/>
        </w:rPr>
      </w:pPr>
    </w:p>
    <w:p>
      <w:pPr>
        <w:ind w:left="700" w:hanging="355"/>
        <w:spacing w:after="0"/>
        <w:tabs>
          <w:tab w:leader="none" w:pos="700"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“Other assets” primarily include corporate assets not allocated to segments.</w:t>
      </w:r>
    </w:p>
    <w:p>
      <w:pPr>
        <w:spacing w:after="0" w:line="100" w:lineRule="exact"/>
        <w:rPr>
          <w:rFonts w:ascii="Arial" w:cs="Arial" w:eastAsia="Arial" w:hAnsi="Arial"/>
          <w:sz w:val="23"/>
          <w:szCs w:val="23"/>
          <w:color w:val="auto"/>
          <w:vertAlign w:val="superscript"/>
        </w:rPr>
      </w:pPr>
    </w:p>
    <w:p>
      <w:pPr>
        <w:spacing w:after="0"/>
        <w:rPr>
          <w:rFonts w:ascii="Arial" w:cs="Arial" w:eastAsia="Arial" w:hAnsi="Arial"/>
          <w:sz w:val="23"/>
          <w:szCs w:val="23"/>
          <w:color w:val="auto"/>
          <w:vertAlign w:val="superscript"/>
        </w:rPr>
      </w:pPr>
      <w:r>
        <w:rPr>
          <w:rFonts w:ascii="Arial" w:cs="Arial" w:eastAsia="Arial" w:hAnsi="Arial"/>
          <w:sz w:val="20"/>
          <w:szCs w:val="20"/>
          <w:color w:val="auto"/>
        </w:rPr>
        <w:t>The following table presents capital expenditures by segment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44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62"/>
              <w:spacing w:after="0"/>
              <w:rPr>
                <w:sz w:val="20"/>
                <w:szCs w:val="20"/>
                <w:color w:val="auto"/>
              </w:rPr>
            </w:pPr>
            <w:r>
              <w:rPr>
                <w:rFonts w:ascii="Arial" w:cs="Arial" w:eastAsia="Arial" w:hAnsi="Arial"/>
                <w:sz w:val="20"/>
                <w:szCs w:val="20"/>
                <w:b w:val="1"/>
                <w:bCs w:val="1"/>
                <w:color w:val="auto"/>
              </w:rPr>
              <w:t>2024</w:t>
            </w:r>
          </w:p>
        </w:tc>
        <w:tc>
          <w:tcPr>
            <w:tcW w:w="60" w:type="dxa"/>
            <w:vAlign w:val="bottom"/>
            <w:tcBorders>
              <w:bottom w:val="single" w:sz="8" w:color="E6E6E6"/>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2023</w:t>
            </w:r>
          </w:p>
        </w:tc>
        <w:tc>
          <w:tcPr>
            <w:tcW w:w="80" w:type="dxa"/>
            <w:vAlign w:val="bottom"/>
            <w:tcBorders>
              <w:bottom w:val="single" w:sz="8" w:color="E6E6E6"/>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2022</w:t>
            </w:r>
          </w:p>
        </w:tc>
      </w:tr>
      <w:tr>
        <w:trPr>
          <w:trHeight w:val="270"/>
        </w:trPr>
        <w:tc>
          <w:tcPr>
            <w:tcW w:w="5440" w:type="dxa"/>
            <w:vAlign w:val="bottom"/>
            <w:shd w:val="clear" w:color="auto" w:fill="E6E6E6"/>
          </w:tcPr>
          <w:p>
            <w:pPr>
              <w:ind w:left="40"/>
              <w:spacing w:after="0"/>
              <w:rPr>
                <w:sz w:val="20"/>
                <w:szCs w:val="20"/>
                <w:color w:val="auto"/>
              </w:rPr>
            </w:pPr>
            <w:r>
              <w:rPr>
                <w:rFonts w:ascii="Arial" w:cs="Arial" w:eastAsia="Arial" w:hAnsi="Arial"/>
                <w:sz w:val="20"/>
                <w:szCs w:val="20"/>
                <w:color w:val="auto"/>
              </w:rPr>
              <w:t>Cardiopulmonary</w:t>
            </w:r>
          </w:p>
        </w:tc>
        <w:tc>
          <w:tcPr>
            <w:tcW w:w="360" w:type="dxa"/>
            <w:vAlign w:val="bottom"/>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28,089</w:t>
            </w:r>
          </w:p>
        </w:tc>
        <w:tc>
          <w:tcPr>
            <w:tcW w:w="420" w:type="dxa"/>
            <w:vAlign w:val="bottom"/>
            <w:gridSpan w:val="3"/>
            <w:shd w:val="clear" w:color="auto" w:fill="E6E6E6"/>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22,367</w:t>
            </w:r>
          </w:p>
        </w:tc>
        <w:tc>
          <w:tcPr>
            <w:tcW w:w="440" w:type="dxa"/>
            <w:vAlign w:val="bottom"/>
            <w:gridSpan w:val="3"/>
            <w:shd w:val="clear" w:color="auto" w:fill="E6E6E6"/>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13,828</w:t>
            </w:r>
          </w:p>
        </w:tc>
      </w:tr>
      <w:tr>
        <w:trPr>
          <w:trHeight w:val="274"/>
        </w:trPr>
        <w:tc>
          <w:tcPr>
            <w:tcW w:w="5440" w:type="dxa"/>
            <w:vAlign w:val="bottom"/>
          </w:tcPr>
          <w:p>
            <w:pPr>
              <w:ind w:left="40"/>
              <w:spacing w:after="0"/>
              <w:rPr>
                <w:sz w:val="20"/>
                <w:szCs w:val="20"/>
                <w:color w:val="auto"/>
              </w:rPr>
            </w:pPr>
            <w:r>
              <w:rPr>
                <w:rFonts w:ascii="Arial" w:cs="Arial" w:eastAsia="Arial" w:hAnsi="Arial"/>
                <w:sz w:val="20"/>
                <w:szCs w:val="20"/>
                <w:color w:val="auto"/>
              </w:rPr>
              <w:t>Neuromodulation</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4,244</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1,201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369</w:t>
            </w:r>
          </w:p>
        </w:tc>
      </w:tr>
      <w:tr>
        <w:trPr>
          <w:trHeight w:val="275"/>
        </w:trPr>
        <w:tc>
          <w:tcPr>
            <w:tcW w:w="5440" w:type="dxa"/>
            <w:vAlign w:val="bottom"/>
            <w:tcBorders>
              <w:bottom w:val="single" w:sz="8" w:color="E6E6E6"/>
            </w:tcBorders>
            <w:shd w:val="clear" w:color="auto" w:fill="E6E6E6"/>
          </w:tcPr>
          <w:p>
            <w:pPr>
              <w:ind w:left="40"/>
              <w:spacing w:after="0" w:line="275" w:lineRule="exact"/>
              <w:rPr>
                <w:sz w:val="20"/>
                <w:szCs w:val="20"/>
                <w:color w:val="auto"/>
              </w:rPr>
            </w:pPr>
            <w:r>
              <w:rPr>
                <w:rFonts w:ascii="Arial" w:cs="Arial" w:eastAsia="Arial" w:hAnsi="Arial"/>
                <w:sz w:val="20"/>
                <w:szCs w:val="20"/>
                <w:color w:val="auto"/>
              </w:rPr>
              <w:t xml:space="preserve">Other capital expenditures </w:t>
            </w:r>
            <w:r>
              <w:rPr>
                <w:rFonts w:ascii="Arial" w:cs="Arial" w:eastAsia="Arial" w:hAnsi="Arial"/>
                <w:sz w:val="25"/>
                <w:szCs w:val="25"/>
                <w:color w:val="auto"/>
                <w:vertAlign w:val="superscript"/>
              </w:rPr>
              <w:t>(1)</w:t>
            </w:r>
          </w:p>
        </w:tc>
        <w:tc>
          <w:tcPr>
            <w:tcW w:w="360" w:type="dxa"/>
            <w:vAlign w:val="bottom"/>
            <w:tcBorders>
              <w:bottom w:val="single" w:sz="8" w:color="auto"/>
            </w:tcBorders>
            <w:shd w:val="clear" w:color="auto" w:fill="E6E6E6"/>
          </w:tcPr>
          <w:p>
            <w:pPr>
              <w:spacing w:after="0"/>
              <w:rPr>
                <w:sz w:val="23"/>
                <w:szCs w:val="23"/>
                <w:color w:val="auto"/>
              </w:rPr>
            </w:pPr>
          </w:p>
        </w:tc>
        <w:tc>
          <w:tcPr>
            <w:tcW w:w="1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17,621</w:t>
            </w:r>
          </w:p>
        </w:tc>
        <w:tc>
          <w:tcPr>
            <w:tcW w:w="6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340" w:type="dxa"/>
            <w:vAlign w:val="bottom"/>
            <w:tcBorders>
              <w:bottom w:val="single" w:sz="8" w:color="auto"/>
            </w:tcBorders>
            <w:shd w:val="clear" w:color="auto" w:fill="E6E6E6"/>
          </w:tcPr>
          <w:p>
            <w:pPr>
              <w:spacing w:after="0"/>
              <w:rPr>
                <w:sz w:val="23"/>
                <w:szCs w:val="23"/>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11,539</w:t>
            </w:r>
          </w:p>
        </w:tc>
        <w:tc>
          <w:tcPr>
            <w:tcW w:w="8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340" w:type="dxa"/>
            <w:vAlign w:val="bottom"/>
            <w:tcBorders>
              <w:bottom w:val="single" w:sz="8" w:color="auto"/>
            </w:tcBorders>
            <w:shd w:val="clear" w:color="auto" w:fill="E6E6E6"/>
          </w:tcPr>
          <w:p>
            <w:pPr>
              <w:spacing w:after="0"/>
              <w:rPr>
                <w:sz w:val="23"/>
                <w:szCs w:val="23"/>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12,395</w:t>
            </w:r>
          </w:p>
        </w:tc>
      </w:tr>
      <w:tr>
        <w:trPr>
          <w:trHeight w:val="240"/>
        </w:trPr>
        <w:tc>
          <w:tcPr>
            <w:tcW w:w="5440" w:type="dxa"/>
            <w:vAlign w:val="bottom"/>
          </w:tcPr>
          <w:p>
            <w:pPr>
              <w:spacing w:after="0"/>
              <w:rPr>
                <w:sz w:val="20"/>
                <w:szCs w:val="20"/>
                <w:color w:val="auto"/>
              </w:rPr>
            </w:pP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49,954</w:t>
            </w:r>
          </w:p>
        </w:tc>
        <w:tc>
          <w:tcPr>
            <w:tcW w:w="420" w:type="dxa"/>
            <w:vAlign w:val="bottom"/>
            <w:gridSpan w:val="3"/>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35,107</w:t>
            </w:r>
          </w:p>
        </w:tc>
        <w:tc>
          <w:tcPr>
            <w:tcW w:w="440" w:type="dxa"/>
            <w:vAlign w:val="bottom"/>
            <w:gridSpan w:val="3"/>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26,592</w:t>
            </w:r>
          </w:p>
        </w:tc>
      </w:tr>
      <w:tr>
        <w:trPr>
          <w:trHeight w:val="20"/>
        </w:trPr>
        <w:tc>
          <w:tcPr>
            <w:tcW w:w="5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-740410</wp:posOffset>
            </wp:positionV>
            <wp:extent cx="294703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268">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-208280</wp:posOffset>
            </wp:positionV>
            <wp:extent cx="294703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269">
                      <a:extLst>
                        <a:ext uri="{28A0092B-C50C-407E-A947-70E740481C1C}"/>
                      </a:extLst>
                    </a:blip>
                    <a:srcRect/>
                    <a:stretch>
                      <a:fillRect/>
                    </a:stretch>
                  </pic:blipFill>
                  <pic:spPr bwMode="auto">
                    <a:xfrm>
                      <a:off x="0" y="0"/>
                      <a:ext cx="2947035" cy="25400"/>
                    </a:xfrm>
                    <a:prstGeom prst="rect">
                      <a:avLst/>
                    </a:prstGeom>
                    <a:noFill/>
                  </pic:spPr>
                </pic:pic>
              </a:graphicData>
            </a:graphic>
          </wp:anchor>
        </w:drawing>
      </w:r>
    </w:p>
    <w:p>
      <w:pPr>
        <w:spacing w:after="0" w:line="111" w:lineRule="exact"/>
        <w:rPr>
          <w:sz w:val="20"/>
          <w:szCs w:val="20"/>
          <w:color w:val="auto"/>
        </w:rPr>
      </w:pPr>
    </w:p>
    <w:p>
      <w:pPr>
        <w:ind w:left="700" w:right="520" w:hanging="355"/>
        <w:spacing w:after="0" w:line="230" w:lineRule="auto"/>
        <w:tabs>
          <w:tab w:leader="none" w:pos="700"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“Other capital expenditures” primarily includes corporate capital expenditures not allocated to segments and capital expenditures of LivaNova’s former ACS reportable segment.</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Geographic Information</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The following table presents property, plant, and equipment, net </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by geographic region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0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rPr>
              <w:t>December 31,</w:t>
            </w:r>
          </w:p>
        </w:tc>
        <w:tc>
          <w:tcPr>
            <w:tcW w:w="940" w:type="dxa"/>
            <w:vAlign w:val="bottom"/>
            <w:tcBorders>
              <w:bottom w:val="single" w:sz="8" w:color="auto"/>
            </w:tcBorders>
          </w:tcPr>
          <w:p>
            <w:pPr>
              <w:spacing w:after="0"/>
              <w:rPr>
                <w:sz w:val="22"/>
                <w:szCs w:val="22"/>
                <w:color w:val="auto"/>
              </w:rPr>
            </w:pPr>
          </w:p>
        </w:tc>
      </w:tr>
      <w:tr>
        <w:trPr>
          <w:trHeight w:val="260"/>
        </w:trPr>
        <w:tc>
          <w:tcPr>
            <w:tcW w:w="700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2024</w:t>
            </w:r>
          </w:p>
        </w:tc>
        <w:tc>
          <w:tcPr>
            <w:tcW w:w="80" w:type="dxa"/>
            <w:vAlign w:val="bottom"/>
            <w:tcBorders>
              <w:bottom w:val="single" w:sz="8" w:color="E6E6E6"/>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w w:val="85"/>
              </w:rPr>
              <w:t>2023</w:t>
            </w:r>
          </w:p>
        </w:tc>
      </w:tr>
      <w:tr>
        <w:trPr>
          <w:trHeight w:val="269"/>
        </w:trPr>
        <w:tc>
          <w:tcPr>
            <w:tcW w:w="7000" w:type="dxa"/>
            <w:vAlign w:val="bottom"/>
            <w:shd w:val="clear" w:color="auto" w:fill="E6E6E6"/>
          </w:tcPr>
          <w:p>
            <w:pPr>
              <w:ind w:left="40"/>
              <w:spacing w:after="0"/>
              <w:rPr>
                <w:sz w:val="20"/>
                <w:szCs w:val="20"/>
                <w:color w:val="auto"/>
              </w:rPr>
            </w:pPr>
            <w:r>
              <w:rPr>
                <w:rFonts w:ascii="Arial" w:cs="Arial" w:eastAsia="Arial" w:hAnsi="Arial"/>
                <w:sz w:val="20"/>
                <w:szCs w:val="20"/>
                <w:color w:val="auto"/>
              </w:rPr>
              <w:t>United States</w:t>
            </w:r>
          </w:p>
        </w:tc>
        <w:tc>
          <w:tcPr>
            <w:tcW w:w="360" w:type="dxa"/>
            <w:vAlign w:val="bottom"/>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65,170</w:t>
            </w:r>
          </w:p>
        </w:tc>
        <w:tc>
          <w:tcPr>
            <w:tcW w:w="620" w:type="dxa"/>
            <w:vAlign w:val="bottom"/>
            <w:gridSpan w:val="2"/>
            <w:shd w:val="clear" w:color="auto" w:fill="E6E6E6"/>
          </w:tcPr>
          <w:p>
            <w:pPr>
              <w:jc w:val="right"/>
              <w:ind w:right="380"/>
              <w:spacing w:after="0"/>
              <w:rPr>
                <w:sz w:val="20"/>
                <w:szCs w:val="20"/>
                <w:color w:val="auto"/>
              </w:rPr>
            </w:pPr>
            <w:r>
              <w:rPr>
                <w:rFonts w:ascii="Arial" w:cs="Arial" w:eastAsia="Arial" w:hAnsi="Arial"/>
                <w:sz w:val="20"/>
                <w:szCs w:val="20"/>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62,701</w:t>
            </w:r>
          </w:p>
        </w:tc>
      </w:tr>
      <w:tr>
        <w:trPr>
          <w:trHeight w:val="274"/>
        </w:trPr>
        <w:tc>
          <w:tcPr>
            <w:tcW w:w="7000" w:type="dxa"/>
            <w:vAlign w:val="bottom"/>
          </w:tcPr>
          <w:p>
            <w:pPr>
              <w:ind w:left="40"/>
              <w:spacing w:after="0"/>
              <w:rPr>
                <w:sz w:val="20"/>
                <w:szCs w:val="20"/>
                <w:color w:val="auto"/>
              </w:rPr>
            </w:pPr>
            <w:r>
              <w:rPr>
                <w:rFonts w:ascii="Arial" w:cs="Arial" w:eastAsia="Arial" w:hAnsi="Arial"/>
                <w:sz w:val="20"/>
                <w:szCs w:val="20"/>
                <w:color w:val="auto"/>
              </w:rPr>
              <w:t>Europe</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94,394</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85,606</w:t>
            </w:r>
          </w:p>
        </w:tc>
      </w:tr>
      <w:tr>
        <w:trPr>
          <w:trHeight w:val="275"/>
        </w:trPr>
        <w:tc>
          <w:tcPr>
            <w:tcW w:w="70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Rest of World</w:t>
            </w:r>
          </w:p>
        </w:tc>
        <w:tc>
          <w:tcPr>
            <w:tcW w:w="360" w:type="dxa"/>
            <w:vAlign w:val="bottom"/>
            <w:tcBorders>
              <w:bottom w:val="single" w:sz="8" w:color="auto"/>
            </w:tcBorders>
            <w:shd w:val="clear" w:color="auto" w:fill="E6E6E6"/>
          </w:tcPr>
          <w:p>
            <w:pPr>
              <w:spacing w:after="0"/>
              <w:rPr>
                <w:sz w:val="23"/>
                <w:szCs w:val="23"/>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10,696</w:t>
            </w:r>
          </w:p>
        </w:tc>
        <w:tc>
          <w:tcPr>
            <w:tcW w:w="80" w:type="dxa"/>
            <w:vAlign w:val="bottom"/>
            <w:tcBorders>
              <w:bottom w:val="single" w:sz="8" w:color="E6E6E6"/>
            </w:tcBorders>
            <w:shd w:val="clear" w:color="auto" w:fill="E6E6E6"/>
          </w:tcPr>
          <w:p>
            <w:pPr>
              <w:spacing w:after="0"/>
              <w:rPr>
                <w:sz w:val="23"/>
                <w:szCs w:val="23"/>
                <w:color w:val="auto"/>
              </w:rPr>
            </w:pPr>
          </w:p>
        </w:tc>
        <w:tc>
          <w:tcPr>
            <w:tcW w:w="540" w:type="dxa"/>
            <w:vAlign w:val="bottom"/>
            <w:tcBorders>
              <w:bottom w:val="single" w:sz="8" w:color="auto"/>
            </w:tcBorders>
            <w:shd w:val="clear" w:color="auto" w:fill="E6E6E6"/>
          </w:tcPr>
          <w:p>
            <w:pPr>
              <w:spacing w:after="0"/>
              <w:rPr>
                <w:sz w:val="23"/>
                <w:szCs w:val="23"/>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5,874</w:t>
            </w:r>
          </w:p>
        </w:tc>
      </w:tr>
      <w:tr>
        <w:trPr>
          <w:trHeight w:val="240"/>
        </w:trPr>
        <w:tc>
          <w:tcPr>
            <w:tcW w:w="7000" w:type="dxa"/>
            <w:vAlign w:val="bottom"/>
          </w:tcPr>
          <w:p>
            <w:pPr>
              <w:spacing w:after="0"/>
              <w:rPr>
                <w:sz w:val="20"/>
                <w:szCs w:val="20"/>
                <w:color w:val="auto"/>
              </w:rPr>
            </w:pP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170,260</w:t>
            </w:r>
          </w:p>
        </w:tc>
        <w:tc>
          <w:tcPr>
            <w:tcW w:w="620" w:type="dxa"/>
            <w:vAlign w:val="bottom"/>
            <w:gridSpan w:val="2"/>
          </w:tcPr>
          <w:p>
            <w:pPr>
              <w:jc w:val="right"/>
              <w:ind w:right="38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154,181</w:t>
            </w:r>
          </w:p>
        </w:tc>
      </w:tr>
      <w:tr>
        <w:trPr>
          <w:trHeight w:val="20"/>
        </w:trPr>
        <w:tc>
          <w:tcPr>
            <w:tcW w:w="70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4435475</wp:posOffset>
            </wp:positionH>
            <wp:positionV relativeFrom="paragraph">
              <wp:posOffset>-740410</wp:posOffset>
            </wp:positionV>
            <wp:extent cx="195770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270">
                      <a:extLst>
                        <a:ext uri="{28A0092B-C50C-407E-A947-70E740481C1C}"/>
                      </a:extLst>
                    </a:blip>
                    <a:srcRect/>
                    <a:stretch>
                      <a:fillRect/>
                    </a:stretch>
                  </pic:blipFill>
                  <pic:spPr bwMode="auto">
                    <a:xfrm>
                      <a:off x="0" y="0"/>
                      <a:ext cx="1957705" cy="25400"/>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-208280</wp:posOffset>
            </wp:positionV>
            <wp:extent cx="195770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271">
                      <a:extLst>
                        <a:ext uri="{28A0092B-C50C-407E-A947-70E740481C1C}"/>
                      </a:extLst>
                    </a:blip>
                    <a:srcRect/>
                    <a:stretch>
                      <a:fillRect/>
                    </a:stretch>
                  </pic:blipFill>
                  <pic:spPr bwMode="auto">
                    <a:xfrm>
                      <a:off x="0" y="0"/>
                      <a:ext cx="1957705" cy="25400"/>
                    </a:xfrm>
                    <a:prstGeom prst="rect">
                      <a:avLst/>
                    </a:prstGeom>
                    <a:noFill/>
                  </pic:spPr>
                </pic:pic>
              </a:graphicData>
            </a:graphic>
          </wp:anchor>
        </w:drawing>
      </w:r>
    </w:p>
    <w:p>
      <w:pPr>
        <w:spacing w:after="0" w:line="111" w:lineRule="exact"/>
        <w:rPr>
          <w:sz w:val="20"/>
          <w:szCs w:val="20"/>
          <w:color w:val="auto"/>
        </w:rPr>
      </w:pPr>
    </w:p>
    <w:p>
      <w:pPr>
        <w:jc w:val="both"/>
        <w:ind w:left="700" w:right="520" w:hanging="355"/>
        <w:spacing w:after="0" w:line="237" w:lineRule="auto"/>
        <w:tabs>
          <w:tab w:leader="none" w:pos="700"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No country’s property, plant and equipment, net exceeded 10% of LivaNova’s consolidated property, plant and equipment, net except for the U.S. and Italy. Italian plant, property and equipment, net included within Europe was $73.7 million and $69.9 million as of December 31, 2024 and 2023, respectively.</w:t>
      </w:r>
    </w:p>
    <w:p>
      <w:pPr>
        <w:sectPr>
          <w:pgSz w:w="11880" w:h="15480" w:orient="portrait"/>
          <w:cols w:equalWidth="0" w:num="1">
            <w:col w:w="10040"/>
          </w:cols>
          <w:pgMar w:left="920" w:top="66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F-47</w:t>
      </w:r>
    </w:p>
    <w:p>
      <w:pPr>
        <w:sectPr>
          <w:pgSz w:w="11880" w:h="15480" w:orient="portrait"/>
          <w:cols w:equalWidth="0" w:num="1">
            <w:col w:w="10040"/>
          </w:cols>
          <w:pgMar w:left="920" w:top="664" w:right="920" w:bottom="0" w:gutter="0" w:footer="0" w:header="0"/>
          <w:type w:val="continuous"/>
        </w:sectPr>
      </w:pPr>
    </w:p>
    <w:bookmarkStart w:id="105" w:name="page106"/>
    <w:bookmarkEnd w:id="105"/>
    <w:p>
      <w:pPr>
        <w:spacing w:after="0"/>
        <w:rPr>
          <w:sz w:val="20"/>
          <w:szCs w:val="20"/>
          <w:color w:val="auto"/>
        </w:rPr>
      </w:pPr>
      <w:r>
        <w:rPr>
          <w:rFonts w:ascii="Arial" w:cs="Arial" w:eastAsia="Arial" w:hAnsi="Arial"/>
          <w:sz w:val="22"/>
          <w:szCs w:val="22"/>
          <w:b w:val="1"/>
          <w:bCs w:val="1"/>
          <w:color w:val="auto"/>
        </w:rPr>
        <w:t>Note 18. Supplemental Financial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the components of inventories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0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rPr>
              <w:t>December 31,</w:t>
            </w:r>
          </w:p>
        </w:tc>
        <w:tc>
          <w:tcPr>
            <w:tcW w:w="940" w:type="dxa"/>
            <w:vAlign w:val="bottom"/>
            <w:tcBorders>
              <w:bottom w:val="single" w:sz="8" w:color="auto"/>
            </w:tcBorders>
          </w:tcPr>
          <w:p>
            <w:pPr>
              <w:spacing w:after="0"/>
              <w:rPr>
                <w:sz w:val="22"/>
                <w:szCs w:val="22"/>
                <w:color w:val="auto"/>
              </w:rPr>
            </w:pPr>
          </w:p>
        </w:tc>
      </w:tr>
      <w:tr>
        <w:trPr>
          <w:trHeight w:val="260"/>
        </w:trPr>
        <w:tc>
          <w:tcPr>
            <w:tcW w:w="700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2024</w:t>
            </w:r>
          </w:p>
        </w:tc>
        <w:tc>
          <w:tcPr>
            <w:tcW w:w="80" w:type="dxa"/>
            <w:vAlign w:val="bottom"/>
            <w:tcBorders>
              <w:bottom w:val="single" w:sz="8" w:color="E6E6E6"/>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w w:val="85"/>
              </w:rPr>
              <w:t>2023</w:t>
            </w:r>
          </w:p>
        </w:tc>
      </w:tr>
      <w:tr>
        <w:trPr>
          <w:trHeight w:val="269"/>
        </w:trPr>
        <w:tc>
          <w:tcPr>
            <w:tcW w:w="7000" w:type="dxa"/>
            <w:vAlign w:val="bottom"/>
            <w:shd w:val="clear" w:color="auto" w:fill="E6E6E6"/>
          </w:tcPr>
          <w:p>
            <w:pPr>
              <w:ind w:left="40"/>
              <w:spacing w:after="0"/>
              <w:rPr>
                <w:sz w:val="20"/>
                <w:szCs w:val="20"/>
                <w:color w:val="auto"/>
              </w:rPr>
            </w:pPr>
            <w:r>
              <w:rPr>
                <w:rFonts w:ascii="Arial" w:cs="Arial" w:eastAsia="Arial" w:hAnsi="Arial"/>
                <w:sz w:val="20"/>
                <w:szCs w:val="20"/>
                <w:color w:val="auto"/>
              </w:rPr>
              <w:t>Raw materials</w:t>
            </w:r>
          </w:p>
        </w:tc>
        <w:tc>
          <w:tcPr>
            <w:tcW w:w="360" w:type="dxa"/>
            <w:vAlign w:val="bottom"/>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71,949</w:t>
            </w:r>
          </w:p>
        </w:tc>
        <w:tc>
          <w:tcPr>
            <w:tcW w:w="620" w:type="dxa"/>
            <w:vAlign w:val="bottom"/>
            <w:gridSpan w:val="2"/>
            <w:shd w:val="clear" w:color="auto" w:fill="E6E6E6"/>
          </w:tcPr>
          <w:p>
            <w:pPr>
              <w:jc w:val="right"/>
              <w:ind w:right="380"/>
              <w:spacing w:after="0"/>
              <w:rPr>
                <w:sz w:val="20"/>
                <w:szCs w:val="20"/>
                <w:color w:val="auto"/>
              </w:rPr>
            </w:pPr>
            <w:r>
              <w:rPr>
                <w:rFonts w:ascii="Arial" w:cs="Arial" w:eastAsia="Arial" w:hAnsi="Arial"/>
                <w:sz w:val="20"/>
                <w:szCs w:val="20"/>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81,878</w:t>
            </w:r>
          </w:p>
        </w:tc>
      </w:tr>
      <w:tr>
        <w:trPr>
          <w:trHeight w:val="274"/>
        </w:trPr>
        <w:tc>
          <w:tcPr>
            <w:tcW w:w="7000" w:type="dxa"/>
            <w:vAlign w:val="bottom"/>
          </w:tcPr>
          <w:p>
            <w:pPr>
              <w:ind w:left="40"/>
              <w:spacing w:after="0"/>
              <w:rPr>
                <w:sz w:val="20"/>
                <w:szCs w:val="20"/>
                <w:color w:val="auto"/>
              </w:rPr>
            </w:pPr>
            <w:r>
              <w:rPr>
                <w:rFonts w:ascii="Arial" w:cs="Arial" w:eastAsia="Arial" w:hAnsi="Arial"/>
                <w:sz w:val="20"/>
                <w:szCs w:val="20"/>
                <w:color w:val="auto"/>
              </w:rPr>
              <w:t>Work-in-process</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12,322</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12,901</w:t>
            </w:r>
          </w:p>
        </w:tc>
      </w:tr>
      <w:tr>
        <w:trPr>
          <w:trHeight w:val="275"/>
        </w:trPr>
        <w:tc>
          <w:tcPr>
            <w:tcW w:w="70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Finished goods</w:t>
            </w:r>
          </w:p>
        </w:tc>
        <w:tc>
          <w:tcPr>
            <w:tcW w:w="360" w:type="dxa"/>
            <w:vAlign w:val="bottom"/>
            <w:tcBorders>
              <w:bottom w:val="single" w:sz="8" w:color="auto"/>
            </w:tcBorders>
            <w:shd w:val="clear" w:color="auto" w:fill="E6E6E6"/>
          </w:tcPr>
          <w:p>
            <w:pPr>
              <w:spacing w:after="0"/>
              <w:rPr>
                <w:sz w:val="23"/>
                <w:szCs w:val="23"/>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63,295</w:t>
            </w:r>
          </w:p>
        </w:tc>
        <w:tc>
          <w:tcPr>
            <w:tcW w:w="80" w:type="dxa"/>
            <w:vAlign w:val="bottom"/>
            <w:tcBorders>
              <w:bottom w:val="single" w:sz="8" w:color="E6E6E6"/>
            </w:tcBorders>
            <w:shd w:val="clear" w:color="auto" w:fill="E6E6E6"/>
          </w:tcPr>
          <w:p>
            <w:pPr>
              <w:spacing w:after="0"/>
              <w:rPr>
                <w:sz w:val="23"/>
                <w:szCs w:val="23"/>
                <w:color w:val="auto"/>
              </w:rPr>
            </w:pPr>
          </w:p>
        </w:tc>
        <w:tc>
          <w:tcPr>
            <w:tcW w:w="540" w:type="dxa"/>
            <w:vAlign w:val="bottom"/>
            <w:tcBorders>
              <w:bottom w:val="single" w:sz="8" w:color="auto"/>
            </w:tcBorders>
            <w:shd w:val="clear" w:color="auto" w:fill="E6E6E6"/>
          </w:tcPr>
          <w:p>
            <w:pPr>
              <w:spacing w:after="0"/>
              <w:rPr>
                <w:sz w:val="23"/>
                <w:szCs w:val="23"/>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53,108</w:t>
            </w:r>
          </w:p>
        </w:tc>
      </w:tr>
      <w:tr>
        <w:trPr>
          <w:trHeight w:val="240"/>
        </w:trPr>
        <w:tc>
          <w:tcPr>
            <w:tcW w:w="7000" w:type="dxa"/>
            <w:vAlign w:val="bottom"/>
          </w:tcPr>
          <w:p>
            <w:pPr>
              <w:spacing w:after="0"/>
              <w:rPr>
                <w:sz w:val="20"/>
                <w:szCs w:val="20"/>
                <w:color w:val="auto"/>
              </w:rPr>
            </w:pP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147,566</w:t>
            </w:r>
          </w:p>
        </w:tc>
        <w:tc>
          <w:tcPr>
            <w:tcW w:w="620" w:type="dxa"/>
            <w:vAlign w:val="bottom"/>
            <w:gridSpan w:val="2"/>
          </w:tcPr>
          <w:p>
            <w:pPr>
              <w:jc w:val="right"/>
              <w:ind w:right="38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147,887</w:t>
            </w:r>
          </w:p>
        </w:tc>
      </w:tr>
      <w:tr>
        <w:trPr>
          <w:trHeight w:val="20"/>
        </w:trPr>
        <w:tc>
          <w:tcPr>
            <w:tcW w:w="70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4435475</wp:posOffset>
            </wp:positionH>
            <wp:positionV relativeFrom="paragraph">
              <wp:posOffset>-740410</wp:posOffset>
            </wp:positionV>
            <wp:extent cx="195770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272">
                      <a:extLst>
                        <a:ext uri="{28A0092B-C50C-407E-A947-70E740481C1C}"/>
                      </a:extLst>
                    </a:blip>
                    <a:srcRect/>
                    <a:stretch>
                      <a:fillRect/>
                    </a:stretch>
                  </pic:blipFill>
                  <pic:spPr bwMode="auto">
                    <a:xfrm>
                      <a:off x="0" y="0"/>
                      <a:ext cx="1957705" cy="25400"/>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-208280</wp:posOffset>
            </wp:positionV>
            <wp:extent cx="195770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273">
                      <a:extLst>
                        <a:ext uri="{28A0092B-C50C-407E-A947-70E740481C1C}"/>
                      </a:extLst>
                    </a:blip>
                    <a:srcRect/>
                    <a:stretch>
                      <a:fillRect/>
                    </a:stretch>
                  </pic:blipFill>
                  <pic:spPr bwMode="auto">
                    <a:xfrm>
                      <a:off x="0" y="0"/>
                      <a:ext cx="1957705" cy="25400"/>
                    </a:xfrm>
                    <a:prstGeom prst="rect">
                      <a:avLst/>
                    </a:prstGeom>
                    <a:noFill/>
                  </pic:spPr>
                </pic:pic>
              </a:graphicData>
            </a:graphic>
          </wp:anchor>
        </w:drawing>
      </w:r>
    </w:p>
    <w:p>
      <w:pPr>
        <w:spacing w:after="0" w:line="105"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As of December 31, 2024 and 2023, inventories included adjustments totaling $16.4 million and $24.4 million, respectively, to record balances at lower of cost or net realizable value.</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the components of property, plant, and equipment, net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20"/>
                <w:szCs w:val="20"/>
                <w:b w:val="1"/>
                <w:bCs w:val="1"/>
                <w:color w:val="auto"/>
              </w:rPr>
              <w:t>December 31,</w:t>
            </w:r>
          </w:p>
        </w:tc>
        <w:tc>
          <w:tcPr>
            <w:tcW w:w="94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60"/>
        </w:trPr>
        <w:tc>
          <w:tcPr>
            <w:tcW w:w="560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2024</w:t>
            </w:r>
          </w:p>
        </w:tc>
        <w:tc>
          <w:tcPr>
            <w:tcW w:w="80" w:type="dxa"/>
            <w:vAlign w:val="bottom"/>
            <w:tcBorders>
              <w:bottom w:val="single" w:sz="8" w:color="E6E6E6"/>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62"/>
              <w:spacing w:after="0"/>
              <w:rPr>
                <w:sz w:val="20"/>
                <w:szCs w:val="20"/>
                <w:color w:val="auto"/>
              </w:rPr>
            </w:pPr>
            <w:r>
              <w:rPr>
                <w:rFonts w:ascii="Arial" w:cs="Arial" w:eastAsia="Arial" w:hAnsi="Arial"/>
                <w:sz w:val="20"/>
                <w:szCs w:val="20"/>
                <w:b w:val="1"/>
                <w:bCs w:val="1"/>
                <w:color w:val="auto"/>
                <w:w w:val="80"/>
              </w:rPr>
              <w:t>2023</w:t>
            </w:r>
          </w:p>
        </w:tc>
        <w:tc>
          <w:tcPr>
            <w:tcW w:w="60" w:type="dxa"/>
            <w:vAlign w:val="bottom"/>
            <w:tcBorders>
              <w:bottom w:val="single" w:sz="8" w:color="E6E6E6"/>
            </w:tcBorders>
          </w:tcPr>
          <w:p>
            <w:pPr>
              <w:spacing w:after="0"/>
              <w:rPr>
                <w:sz w:val="22"/>
                <w:szCs w:val="22"/>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b w:val="1"/>
                <w:bCs w:val="1"/>
                <w:color w:val="auto"/>
                <w:w w:val="89"/>
              </w:rPr>
              <w:t>Lives in Years</w:t>
            </w:r>
          </w:p>
        </w:tc>
      </w:tr>
      <w:tr>
        <w:trPr>
          <w:trHeight w:val="269"/>
        </w:trPr>
        <w:tc>
          <w:tcPr>
            <w:tcW w:w="5620" w:type="dxa"/>
            <w:vAlign w:val="bottom"/>
            <w:gridSpan w:val="2"/>
            <w:shd w:val="clear" w:color="auto" w:fill="E6E6E6"/>
          </w:tcPr>
          <w:p>
            <w:pPr>
              <w:ind w:left="40"/>
              <w:spacing w:after="0"/>
              <w:rPr>
                <w:sz w:val="20"/>
                <w:szCs w:val="20"/>
                <w:color w:val="auto"/>
              </w:rPr>
            </w:pPr>
            <w:r>
              <w:rPr>
                <w:rFonts w:ascii="Arial" w:cs="Arial" w:eastAsia="Arial" w:hAnsi="Arial"/>
                <w:sz w:val="20"/>
                <w:szCs w:val="20"/>
                <w:color w:val="auto"/>
              </w:rPr>
              <w:t>Land</w:t>
            </w:r>
          </w:p>
        </w:tc>
        <w:tc>
          <w:tcPr>
            <w:tcW w:w="320" w:type="dxa"/>
            <w:vAlign w:val="bottom"/>
            <w:shd w:val="clear" w:color="auto" w:fill="E6E6E6"/>
          </w:tcPr>
          <w:p>
            <w:pPr>
              <w:jc w:val="right"/>
              <w:ind w:right="102"/>
              <w:spacing w:after="0"/>
              <w:rPr>
                <w:sz w:val="20"/>
                <w:szCs w:val="20"/>
                <w:color w:val="auto"/>
              </w:rPr>
            </w:pPr>
            <w:r>
              <w:rPr>
                <w:rFonts w:ascii="Arial" w:cs="Arial" w:eastAsia="Arial" w:hAnsi="Arial"/>
                <w:sz w:val="20"/>
                <w:szCs w:val="20"/>
                <w:color w:val="auto"/>
                <w:w w:val="89"/>
              </w:rPr>
              <w:t>$</w:t>
            </w:r>
          </w:p>
        </w:tc>
        <w:tc>
          <w:tcPr>
            <w:tcW w:w="11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12,097</w:t>
            </w:r>
          </w:p>
        </w:tc>
        <w:tc>
          <w:tcPr>
            <w:tcW w:w="620" w:type="dxa"/>
            <w:vAlign w:val="bottom"/>
            <w:gridSpan w:val="2"/>
            <w:shd w:val="clear" w:color="auto" w:fill="E6E6E6"/>
          </w:tcPr>
          <w:p>
            <w:pPr>
              <w:jc w:val="right"/>
              <w:ind w:right="400"/>
              <w:spacing w:after="0"/>
              <w:rPr>
                <w:sz w:val="20"/>
                <w:szCs w:val="20"/>
                <w:color w:val="auto"/>
              </w:rPr>
            </w:pPr>
            <w:r>
              <w:rPr>
                <w:rFonts w:ascii="Arial" w:cs="Arial" w:eastAsia="Arial" w:hAnsi="Arial"/>
                <w:sz w:val="20"/>
                <w:szCs w:val="20"/>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14,902</w:t>
            </w:r>
          </w:p>
        </w:tc>
        <w:tc>
          <w:tcPr>
            <w:tcW w:w="60" w:type="dxa"/>
            <w:vAlign w:val="bottom"/>
            <w:shd w:val="clear" w:color="auto" w:fill="E6E6E6"/>
          </w:tcPr>
          <w:p>
            <w:pPr>
              <w:spacing w:after="0"/>
              <w:rPr>
                <w:sz w:val="23"/>
                <w:szCs w:val="23"/>
                <w:color w:val="auto"/>
              </w:rPr>
            </w:pPr>
          </w:p>
        </w:tc>
        <w:tc>
          <w:tcPr>
            <w:tcW w:w="480" w:type="dxa"/>
            <w:vAlign w:val="bottom"/>
            <w:shd w:val="clear" w:color="auto" w:fill="E6E6E6"/>
          </w:tcPr>
          <w:p>
            <w:pPr>
              <w:spacing w:after="0"/>
              <w:rPr>
                <w:sz w:val="23"/>
                <w:szCs w:val="23"/>
                <w:color w:val="auto"/>
              </w:rPr>
            </w:pPr>
          </w:p>
        </w:tc>
        <w:tc>
          <w:tcPr>
            <w:tcW w:w="380" w:type="dxa"/>
            <w:vAlign w:val="bottom"/>
            <w:shd w:val="clear" w:color="auto" w:fill="E6E6E6"/>
          </w:tcPr>
          <w:p>
            <w:pPr>
              <w:spacing w:after="0"/>
              <w:rPr>
                <w:sz w:val="23"/>
                <w:szCs w:val="23"/>
                <w:color w:val="auto"/>
              </w:rPr>
            </w:pPr>
          </w:p>
        </w:tc>
        <w:tc>
          <w:tcPr>
            <w:tcW w:w="480" w:type="dxa"/>
            <w:vAlign w:val="bottom"/>
            <w:shd w:val="clear" w:color="auto" w:fill="E6E6E6"/>
          </w:tcPr>
          <w:p>
            <w:pPr>
              <w:spacing w:after="0"/>
              <w:rPr>
                <w:sz w:val="23"/>
                <w:szCs w:val="23"/>
                <w:color w:val="auto"/>
              </w:rPr>
            </w:pPr>
          </w:p>
        </w:tc>
      </w:tr>
      <w:tr>
        <w:trPr>
          <w:trHeight w:val="274"/>
        </w:trPr>
        <w:tc>
          <w:tcPr>
            <w:tcW w:w="5620" w:type="dxa"/>
            <w:vAlign w:val="bottom"/>
            <w:gridSpan w:val="2"/>
          </w:tcPr>
          <w:p>
            <w:pPr>
              <w:ind w:left="40"/>
              <w:spacing w:after="0"/>
              <w:rPr>
                <w:sz w:val="20"/>
                <w:szCs w:val="20"/>
                <w:color w:val="auto"/>
              </w:rPr>
            </w:pPr>
            <w:r>
              <w:rPr>
                <w:rFonts w:ascii="Arial" w:cs="Arial" w:eastAsia="Arial" w:hAnsi="Arial"/>
                <w:sz w:val="20"/>
                <w:szCs w:val="20"/>
                <w:color w:val="auto"/>
              </w:rPr>
              <w:t>Building and building improvements</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87,741</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84,543</w:t>
            </w:r>
          </w:p>
        </w:tc>
        <w:tc>
          <w:tcPr>
            <w:tcW w:w="540" w:type="dxa"/>
            <w:vAlign w:val="bottom"/>
            <w:gridSpan w:val="2"/>
          </w:tcPr>
          <w:p>
            <w:pPr>
              <w:jc w:val="right"/>
              <w:ind w:right="62"/>
              <w:spacing w:after="0"/>
              <w:rPr>
                <w:sz w:val="20"/>
                <w:szCs w:val="20"/>
                <w:color w:val="auto"/>
              </w:rPr>
            </w:pPr>
            <w:r>
              <w:rPr>
                <w:rFonts w:ascii="Arial" w:cs="Arial" w:eastAsia="Arial" w:hAnsi="Arial"/>
                <w:sz w:val="20"/>
                <w:szCs w:val="20"/>
                <w:color w:val="auto"/>
              </w:rPr>
              <w:t>2</w:t>
            </w:r>
          </w:p>
        </w:tc>
        <w:tc>
          <w:tcPr>
            <w:tcW w:w="380" w:type="dxa"/>
            <w:vAlign w:val="bottom"/>
          </w:tcPr>
          <w:p>
            <w:pPr>
              <w:jc w:val="center"/>
              <w:spacing w:after="0"/>
              <w:rPr>
                <w:sz w:val="20"/>
                <w:szCs w:val="20"/>
                <w:color w:val="auto"/>
              </w:rPr>
            </w:pPr>
            <w:r>
              <w:rPr>
                <w:rFonts w:ascii="Arial" w:cs="Arial" w:eastAsia="Arial" w:hAnsi="Arial"/>
                <w:sz w:val="20"/>
                <w:szCs w:val="20"/>
                <w:color w:val="auto"/>
              </w:rPr>
              <w:t>-</w:t>
            </w:r>
          </w:p>
        </w:tc>
        <w:tc>
          <w:tcPr>
            <w:tcW w:w="480" w:type="dxa"/>
            <w:vAlign w:val="bottom"/>
          </w:tcPr>
          <w:p>
            <w:pPr>
              <w:jc w:val="center"/>
              <w:spacing w:after="0"/>
              <w:rPr>
                <w:sz w:val="20"/>
                <w:szCs w:val="20"/>
                <w:color w:val="auto"/>
              </w:rPr>
            </w:pPr>
            <w:r>
              <w:rPr>
                <w:rFonts w:ascii="Arial" w:cs="Arial" w:eastAsia="Arial" w:hAnsi="Arial"/>
                <w:sz w:val="20"/>
                <w:szCs w:val="20"/>
                <w:color w:val="auto"/>
                <w:w w:val="80"/>
              </w:rPr>
              <w:t>36</w:t>
            </w:r>
          </w:p>
        </w:tc>
      </w:tr>
      <w:tr>
        <w:trPr>
          <w:trHeight w:val="285"/>
        </w:trPr>
        <w:tc>
          <w:tcPr>
            <w:tcW w:w="5620" w:type="dxa"/>
            <w:vAlign w:val="bottom"/>
            <w:gridSpan w:val="2"/>
            <w:shd w:val="clear" w:color="auto" w:fill="E6E6E6"/>
          </w:tcPr>
          <w:p>
            <w:pPr>
              <w:ind w:left="40"/>
              <w:spacing w:after="0"/>
              <w:rPr>
                <w:sz w:val="20"/>
                <w:szCs w:val="20"/>
                <w:color w:val="auto"/>
              </w:rPr>
            </w:pPr>
            <w:r>
              <w:rPr>
                <w:rFonts w:ascii="Arial" w:cs="Arial" w:eastAsia="Arial" w:hAnsi="Arial"/>
                <w:sz w:val="20"/>
                <w:szCs w:val="20"/>
                <w:color w:val="auto"/>
              </w:rPr>
              <w:t>Equipment, software, furniture, and fixtures</w:t>
            </w:r>
          </w:p>
        </w:tc>
        <w:tc>
          <w:tcPr>
            <w:tcW w:w="320" w:type="dxa"/>
            <w:vAlign w:val="bottom"/>
            <w:shd w:val="clear" w:color="auto" w:fill="E6E6E6"/>
          </w:tcPr>
          <w:p>
            <w:pPr>
              <w:spacing w:after="0"/>
              <w:rPr>
                <w:sz w:val="24"/>
                <w:szCs w:val="24"/>
                <w:color w:val="auto"/>
              </w:rPr>
            </w:pPr>
          </w:p>
        </w:tc>
        <w:tc>
          <w:tcPr>
            <w:tcW w:w="11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242,947</w:t>
            </w:r>
          </w:p>
        </w:tc>
        <w:tc>
          <w:tcPr>
            <w:tcW w:w="80" w:type="dxa"/>
            <w:vAlign w:val="bottom"/>
            <w:shd w:val="clear" w:color="auto" w:fill="E6E6E6"/>
          </w:tcPr>
          <w:p>
            <w:pPr>
              <w:spacing w:after="0"/>
              <w:rPr>
                <w:sz w:val="24"/>
                <w:szCs w:val="24"/>
                <w:color w:val="auto"/>
              </w:rPr>
            </w:pPr>
          </w:p>
        </w:tc>
        <w:tc>
          <w:tcPr>
            <w:tcW w:w="54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233,337</w:t>
            </w:r>
          </w:p>
        </w:tc>
        <w:tc>
          <w:tcPr>
            <w:tcW w:w="540" w:type="dxa"/>
            <w:vAlign w:val="bottom"/>
            <w:gridSpan w:val="2"/>
            <w:shd w:val="clear" w:color="auto" w:fill="E6E6E6"/>
          </w:tcPr>
          <w:p>
            <w:pPr>
              <w:jc w:val="right"/>
              <w:ind w:right="62"/>
              <w:spacing w:after="0"/>
              <w:rPr>
                <w:sz w:val="20"/>
                <w:szCs w:val="20"/>
                <w:color w:val="auto"/>
              </w:rPr>
            </w:pPr>
            <w:r>
              <w:rPr>
                <w:rFonts w:ascii="Arial" w:cs="Arial" w:eastAsia="Arial" w:hAnsi="Arial"/>
                <w:sz w:val="20"/>
                <w:szCs w:val="20"/>
                <w:color w:val="auto"/>
              </w:rPr>
              <w:t>3</w:t>
            </w:r>
          </w:p>
        </w:tc>
        <w:tc>
          <w:tcPr>
            <w:tcW w:w="380" w:type="dxa"/>
            <w:vAlign w:val="bottom"/>
            <w:shd w:val="clear" w:color="auto" w:fill="E6E6E6"/>
          </w:tcPr>
          <w:p>
            <w:pPr>
              <w:jc w:val="center"/>
              <w:spacing w:after="0"/>
              <w:rPr>
                <w:sz w:val="20"/>
                <w:szCs w:val="20"/>
                <w:color w:val="auto"/>
              </w:rPr>
            </w:pPr>
            <w:r>
              <w:rPr>
                <w:rFonts w:ascii="Arial" w:cs="Arial" w:eastAsia="Arial" w:hAnsi="Arial"/>
                <w:sz w:val="20"/>
                <w:szCs w:val="20"/>
                <w:color w:val="auto"/>
              </w:rPr>
              <w:t>-</w:t>
            </w:r>
          </w:p>
        </w:tc>
        <w:tc>
          <w:tcPr>
            <w:tcW w:w="480" w:type="dxa"/>
            <w:vAlign w:val="bottom"/>
            <w:shd w:val="clear" w:color="auto" w:fill="E6E6E6"/>
          </w:tcPr>
          <w:p>
            <w:pPr>
              <w:jc w:val="center"/>
              <w:spacing w:after="0"/>
              <w:rPr>
                <w:sz w:val="20"/>
                <w:szCs w:val="20"/>
                <w:color w:val="auto"/>
              </w:rPr>
            </w:pPr>
            <w:r>
              <w:rPr>
                <w:rFonts w:ascii="Arial" w:cs="Arial" w:eastAsia="Arial" w:hAnsi="Arial"/>
                <w:sz w:val="20"/>
                <w:szCs w:val="20"/>
                <w:color w:val="auto"/>
                <w:w w:val="80"/>
              </w:rPr>
              <w:t>20</w:t>
            </w:r>
          </w:p>
        </w:tc>
      </w:tr>
      <w:tr>
        <w:trPr>
          <w:trHeight w:val="274"/>
        </w:trPr>
        <w:tc>
          <w:tcPr>
            <w:tcW w:w="5620" w:type="dxa"/>
            <w:vAlign w:val="bottom"/>
            <w:gridSpan w:val="2"/>
          </w:tcPr>
          <w:p>
            <w:pPr>
              <w:ind w:left="40"/>
              <w:spacing w:after="0"/>
              <w:rPr>
                <w:sz w:val="20"/>
                <w:szCs w:val="20"/>
                <w:color w:val="auto"/>
              </w:rPr>
            </w:pPr>
            <w:r>
              <w:rPr>
                <w:rFonts w:ascii="Arial" w:cs="Arial" w:eastAsia="Arial" w:hAnsi="Arial"/>
                <w:sz w:val="20"/>
                <w:szCs w:val="20"/>
                <w:color w:val="auto"/>
              </w:rPr>
              <w:t>Other</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6,208</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6,690</w:t>
            </w:r>
          </w:p>
        </w:tc>
        <w:tc>
          <w:tcPr>
            <w:tcW w:w="540" w:type="dxa"/>
            <w:vAlign w:val="bottom"/>
            <w:gridSpan w:val="2"/>
          </w:tcPr>
          <w:p>
            <w:pPr>
              <w:jc w:val="right"/>
              <w:ind w:right="62"/>
              <w:spacing w:after="0"/>
              <w:rPr>
                <w:sz w:val="20"/>
                <w:szCs w:val="20"/>
                <w:color w:val="auto"/>
              </w:rPr>
            </w:pPr>
            <w:r>
              <w:rPr>
                <w:rFonts w:ascii="Arial" w:cs="Arial" w:eastAsia="Arial" w:hAnsi="Arial"/>
                <w:sz w:val="20"/>
                <w:szCs w:val="20"/>
                <w:color w:val="auto"/>
              </w:rPr>
              <w:t>5</w:t>
            </w:r>
          </w:p>
        </w:tc>
        <w:tc>
          <w:tcPr>
            <w:tcW w:w="380" w:type="dxa"/>
            <w:vAlign w:val="bottom"/>
          </w:tcPr>
          <w:p>
            <w:pPr>
              <w:jc w:val="center"/>
              <w:spacing w:after="0"/>
              <w:rPr>
                <w:sz w:val="20"/>
                <w:szCs w:val="20"/>
                <w:color w:val="auto"/>
              </w:rPr>
            </w:pPr>
            <w:r>
              <w:rPr>
                <w:rFonts w:ascii="Arial" w:cs="Arial" w:eastAsia="Arial" w:hAnsi="Arial"/>
                <w:sz w:val="20"/>
                <w:szCs w:val="20"/>
                <w:color w:val="auto"/>
              </w:rPr>
              <w:t>-</w:t>
            </w:r>
          </w:p>
        </w:tc>
        <w:tc>
          <w:tcPr>
            <w:tcW w:w="480" w:type="dxa"/>
            <w:vAlign w:val="bottom"/>
          </w:tcPr>
          <w:p>
            <w:pPr>
              <w:jc w:val="center"/>
              <w:spacing w:after="0"/>
              <w:rPr>
                <w:sz w:val="20"/>
                <w:szCs w:val="20"/>
                <w:color w:val="auto"/>
              </w:rPr>
            </w:pPr>
            <w:r>
              <w:rPr>
                <w:rFonts w:ascii="Arial" w:cs="Arial" w:eastAsia="Arial" w:hAnsi="Arial"/>
                <w:sz w:val="20"/>
                <w:szCs w:val="20"/>
                <w:color w:val="auto"/>
                <w:w w:val="89"/>
              </w:rPr>
              <w:t>7</w:t>
            </w:r>
          </w:p>
        </w:tc>
      </w:tr>
      <w:tr>
        <w:trPr>
          <w:trHeight w:val="294"/>
        </w:trPr>
        <w:tc>
          <w:tcPr>
            <w:tcW w:w="5620" w:type="dxa"/>
            <w:vAlign w:val="bottom"/>
            <w:tcBorders>
              <w:bottom w:val="single" w:sz="8" w:color="E6E6E6"/>
            </w:tcBorders>
            <w:gridSpan w:val="2"/>
            <w:shd w:val="clear" w:color="auto" w:fill="E6E6E6"/>
          </w:tcPr>
          <w:p>
            <w:pPr>
              <w:ind w:left="40"/>
              <w:spacing w:after="0"/>
              <w:rPr>
                <w:sz w:val="20"/>
                <w:szCs w:val="20"/>
                <w:color w:val="auto"/>
              </w:rPr>
            </w:pPr>
            <w:r>
              <w:rPr>
                <w:rFonts w:ascii="Arial" w:cs="Arial" w:eastAsia="Arial" w:hAnsi="Arial"/>
                <w:sz w:val="20"/>
                <w:szCs w:val="20"/>
                <w:color w:val="auto"/>
              </w:rPr>
              <w:t>Capital investment in process</w:t>
            </w:r>
          </w:p>
        </w:tc>
        <w:tc>
          <w:tcPr>
            <w:tcW w:w="320" w:type="dxa"/>
            <w:vAlign w:val="bottom"/>
            <w:tcBorders>
              <w:bottom w:val="single" w:sz="8" w:color="auto"/>
            </w:tcBorders>
            <w:shd w:val="clear" w:color="auto" w:fill="E6E6E6"/>
          </w:tcPr>
          <w:p>
            <w:pPr>
              <w:spacing w:after="0"/>
              <w:rPr>
                <w:sz w:val="24"/>
                <w:szCs w:val="24"/>
                <w:color w:val="auto"/>
              </w:rPr>
            </w:pPr>
          </w:p>
        </w:tc>
        <w:tc>
          <w:tcPr>
            <w:tcW w:w="1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28,020</w:t>
            </w:r>
          </w:p>
        </w:tc>
        <w:tc>
          <w:tcPr>
            <w:tcW w:w="80" w:type="dxa"/>
            <w:vAlign w:val="bottom"/>
            <w:tcBorders>
              <w:bottom w:val="single" w:sz="8" w:color="E6E6E6"/>
            </w:tcBorders>
            <w:shd w:val="clear" w:color="auto" w:fill="E6E6E6"/>
          </w:tcPr>
          <w:p>
            <w:pPr>
              <w:spacing w:after="0"/>
              <w:rPr>
                <w:sz w:val="24"/>
                <w:szCs w:val="24"/>
                <w:color w:val="auto"/>
              </w:rPr>
            </w:pPr>
          </w:p>
        </w:tc>
        <w:tc>
          <w:tcPr>
            <w:tcW w:w="54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10,745</w:t>
            </w:r>
          </w:p>
        </w:tc>
        <w:tc>
          <w:tcPr>
            <w:tcW w:w="60" w:type="dxa"/>
            <w:vAlign w:val="bottom"/>
            <w:tcBorders>
              <w:bottom w:val="single" w:sz="8" w:color="E6E6E6"/>
            </w:tcBorders>
            <w:shd w:val="clear" w:color="auto" w:fill="E6E6E6"/>
          </w:tcPr>
          <w:p>
            <w:pPr>
              <w:spacing w:after="0"/>
              <w:rPr>
                <w:sz w:val="24"/>
                <w:szCs w:val="24"/>
                <w:color w:val="auto"/>
              </w:rPr>
            </w:pPr>
          </w:p>
        </w:tc>
        <w:tc>
          <w:tcPr>
            <w:tcW w:w="480" w:type="dxa"/>
            <w:vAlign w:val="bottom"/>
            <w:tcBorders>
              <w:bottom w:val="single" w:sz="8" w:color="E6E6E6"/>
            </w:tcBorders>
            <w:shd w:val="clear" w:color="auto" w:fill="E6E6E6"/>
          </w:tcPr>
          <w:p>
            <w:pPr>
              <w:spacing w:after="0"/>
              <w:rPr>
                <w:sz w:val="24"/>
                <w:szCs w:val="24"/>
                <w:color w:val="auto"/>
              </w:rPr>
            </w:pPr>
          </w:p>
        </w:tc>
        <w:tc>
          <w:tcPr>
            <w:tcW w:w="380" w:type="dxa"/>
            <w:vAlign w:val="bottom"/>
            <w:tcBorders>
              <w:bottom w:val="single" w:sz="8" w:color="E6E6E6"/>
            </w:tcBorders>
            <w:shd w:val="clear" w:color="auto" w:fill="E6E6E6"/>
          </w:tcPr>
          <w:p>
            <w:pPr>
              <w:spacing w:after="0"/>
              <w:rPr>
                <w:sz w:val="24"/>
                <w:szCs w:val="24"/>
                <w:color w:val="auto"/>
              </w:rPr>
            </w:pPr>
          </w:p>
        </w:tc>
        <w:tc>
          <w:tcPr>
            <w:tcW w:w="480" w:type="dxa"/>
            <w:vAlign w:val="bottom"/>
            <w:tcBorders>
              <w:bottom w:val="single" w:sz="8" w:color="E6E6E6"/>
            </w:tcBorders>
            <w:shd w:val="clear" w:color="auto" w:fill="E6E6E6"/>
          </w:tcPr>
          <w:p>
            <w:pPr>
              <w:spacing w:after="0"/>
              <w:rPr>
                <w:sz w:val="24"/>
                <w:szCs w:val="24"/>
                <w:color w:val="auto"/>
              </w:rPr>
            </w:pPr>
          </w:p>
        </w:tc>
      </w:tr>
      <w:tr>
        <w:trPr>
          <w:trHeight w:val="244"/>
        </w:trPr>
        <w:tc>
          <w:tcPr>
            <w:tcW w:w="5620" w:type="dxa"/>
            <w:vAlign w:val="bottom"/>
            <w:gridSpan w:val="2"/>
          </w:tcPr>
          <w:p>
            <w:pPr>
              <w:ind w:left="40"/>
              <w:spacing w:after="0"/>
              <w:rPr>
                <w:sz w:val="20"/>
                <w:szCs w:val="20"/>
                <w:color w:val="auto"/>
              </w:rPr>
            </w:pPr>
            <w:r>
              <w:rPr>
                <w:rFonts w:ascii="Arial" w:cs="Arial" w:eastAsia="Arial" w:hAnsi="Arial"/>
                <w:sz w:val="20"/>
                <w:szCs w:val="20"/>
                <w:color w:val="auto"/>
              </w:rPr>
              <w:t>Total gross property, plant, and equipment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377,013</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350,217</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75"/>
        </w:trPr>
        <w:tc>
          <w:tcPr>
            <w:tcW w:w="56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Accumulated depreciation</w:t>
            </w:r>
          </w:p>
        </w:tc>
        <w:tc>
          <w:tcPr>
            <w:tcW w:w="20" w:type="dxa"/>
            <w:vAlign w:val="bottom"/>
            <w:tcBorders>
              <w:bottom w:val="single" w:sz="8" w:color="auto"/>
            </w:tcBorders>
            <w:shd w:val="clear" w:color="auto" w:fill="E6E6E6"/>
          </w:tcPr>
          <w:p>
            <w:pPr>
              <w:spacing w:after="0"/>
              <w:rPr>
                <w:sz w:val="23"/>
                <w:szCs w:val="23"/>
                <w:color w:val="auto"/>
              </w:rPr>
            </w:pPr>
          </w:p>
        </w:tc>
        <w:tc>
          <w:tcPr>
            <w:tcW w:w="320" w:type="dxa"/>
            <w:vAlign w:val="bottom"/>
            <w:tcBorders>
              <w:bottom w:val="single" w:sz="8" w:color="auto"/>
            </w:tcBorders>
            <w:shd w:val="clear" w:color="auto" w:fill="E6E6E6"/>
          </w:tcPr>
          <w:p>
            <w:pPr>
              <w:spacing w:after="0"/>
              <w:rPr>
                <w:sz w:val="23"/>
                <w:szCs w:val="23"/>
                <w:color w:val="auto"/>
              </w:rPr>
            </w:pPr>
          </w:p>
        </w:tc>
        <w:tc>
          <w:tcPr>
            <w:tcW w:w="1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(206,753)</w:t>
            </w:r>
          </w:p>
        </w:tc>
        <w:tc>
          <w:tcPr>
            <w:tcW w:w="80" w:type="dxa"/>
            <w:vAlign w:val="bottom"/>
            <w:tcBorders>
              <w:bottom w:val="single" w:sz="8" w:color="E6E6E6"/>
            </w:tcBorders>
            <w:shd w:val="clear" w:color="auto" w:fill="E6E6E6"/>
          </w:tcPr>
          <w:p>
            <w:pPr>
              <w:spacing w:after="0"/>
              <w:rPr>
                <w:sz w:val="23"/>
                <w:szCs w:val="23"/>
                <w:color w:val="auto"/>
              </w:rPr>
            </w:pPr>
          </w:p>
        </w:tc>
        <w:tc>
          <w:tcPr>
            <w:tcW w:w="540" w:type="dxa"/>
            <w:vAlign w:val="bottom"/>
            <w:tcBorders>
              <w:bottom w:val="single" w:sz="8" w:color="auto"/>
            </w:tcBorders>
            <w:shd w:val="clear" w:color="auto" w:fill="E6E6E6"/>
          </w:tcPr>
          <w:p>
            <w:pPr>
              <w:spacing w:after="0"/>
              <w:rPr>
                <w:sz w:val="23"/>
                <w:szCs w:val="23"/>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(196,036)</w:t>
            </w:r>
          </w:p>
        </w:tc>
        <w:tc>
          <w:tcPr>
            <w:tcW w:w="60" w:type="dxa"/>
            <w:vAlign w:val="bottom"/>
            <w:tcBorders>
              <w:bottom w:val="single" w:sz="8" w:color="E6E6E6"/>
            </w:tcBorders>
            <w:shd w:val="clear" w:color="auto" w:fill="E6E6E6"/>
          </w:tcPr>
          <w:p>
            <w:pPr>
              <w:spacing w:after="0"/>
              <w:rPr>
                <w:sz w:val="23"/>
                <w:szCs w:val="23"/>
                <w:color w:val="auto"/>
              </w:rPr>
            </w:pPr>
          </w:p>
        </w:tc>
        <w:tc>
          <w:tcPr>
            <w:tcW w:w="480" w:type="dxa"/>
            <w:vAlign w:val="bottom"/>
            <w:tcBorders>
              <w:bottom w:val="single" w:sz="8" w:color="E6E6E6"/>
            </w:tcBorders>
            <w:shd w:val="clear" w:color="auto" w:fill="E6E6E6"/>
          </w:tcPr>
          <w:p>
            <w:pPr>
              <w:spacing w:after="0"/>
              <w:rPr>
                <w:sz w:val="23"/>
                <w:szCs w:val="23"/>
                <w:color w:val="auto"/>
              </w:rPr>
            </w:pPr>
          </w:p>
        </w:tc>
        <w:tc>
          <w:tcPr>
            <w:tcW w:w="380" w:type="dxa"/>
            <w:vAlign w:val="bottom"/>
            <w:tcBorders>
              <w:bottom w:val="single" w:sz="8" w:color="E6E6E6"/>
            </w:tcBorders>
            <w:shd w:val="clear" w:color="auto" w:fill="E6E6E6"/>
          </w:tcPr>
          <w:p>
            <w:pPr>
              <w:spacing w:after="0"/>
              <w:rPr>
                <w:sz w:val="23"/>
                <w:szCs w:val="23"/>
                <w:color w:val="auto"/>
              </w:rPr>
            </w:pPr>
          </w:p>
        </w:tc>
        <w:tc>
          <w:tcPr>
            <w:tcW w:w="480" w:type="dxa"/>
            <w:vAlign w:val="bottom"/>
            <w:tcBorders>
              <w:bottom w:val="single" w:sz="8" w:color="E6E6E6"/>
            </w:tcBorders>
            <w:shd w:val="clear" w:color="auto" w:fill="E6E6E6"/>
          </w:tcPr>
          <w:p>
            <w:pPr>
              <w:spacing w:after="0"/>
              <w:rPr>
                <w:sz w:val="23"/>
                <w:szCs w:val="23"/>
                <w:color w:val="auto"/>
              </w:rPr>
            </w:pPr>
          </w:p>
        </w:tc>
      </w:tr>
      <w:tr>
        <w:trPr>
          <w:trHeight w:val="240"/>
        </w:trPr>
        <w:tc>
          <w:tcPr>
            <w:tcW w:w="5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jc w:val="right"/>
              <w:ind w:right="102"/>
              <w:spacing w:after="0"/>
              <w:rPr>
                <w:sz w:val="20"/>
                <w:szCs w:val="20"/>
                <w:color w:val="auto"/>
              </w:rPr>
            </w:pPr>
            <w:r>
              <w:rPr>
                <w:rFonts w:ascii="Arial" w:cs="Arial" w:eastAsia="Arial" w:hAnsi="Arial"/>
                <w:sz w:val="20"/>
                <w:szCs w:val="20"/>
                <w:color w:val="auto"/>
                <w:w w:val="89"/>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170,260</w:t>
            </w:r>
          </w:p>
        </w:tc>
        <w:tc>
          <w:tcPr>
            <w:tcW w:w="620" w:type="dxa"/>
            <w:vAlign w:val="bottom"/>
            <w:gridSpan w:val="2"/>
          </w:tcPr>
          <w:p>
            <w:pPr>
              <w:jc w:val="right"/>
              <w:ind w:right="40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154,181</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0"/>
        </w:trPr>
        <w:tc>
          <w:tcPr>
            <w:tcW w:w="5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3538855</wp:posOffset>
            </wp:positionH>
            <wp:positionV relativeFrom="paragraph">
              <wp:posOffset>-1449705</wp:posOffset>
            </wp:positionV>
            <wp:extent cx="2853690"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274">
                      <a:extLst>
                        <a:ext uri="{28A0092B-C50C-407E-A947-70E740481C1C}"/>
                      </a:extLst>
                    </a:blip>
                    <a:srcRect/>
                    <a:stretch>
                      <a:fillRect/>
                    </a:stretch>
                  </pic:blipFill>
                  <pic:spPr bwMode="auto">
                    <a:xfrm>
                      <a:off x="0" y="0"/>
                      <a:ext cx="2853690" cy="25400"/>
                    </a:xfrm>
                    <a:prstGeom prst="rect">
                      <a:avLst/>
                    </a:prstGeom>
                    <a:noFill/>
                  </pic:spPr>
                </pic:pic>
              </a:graphicData>
            </a:graphic>
          </wp:anchor>
        </w:drawing>
        <w:drawing>
          <wp:anchor simplePos="0" relativeHeight="251657728" behindDoc="1" locked="0" layoutInCell="0" allowOverlap="1">
            <wp:simplePos x="0" y="0"/>
            <wp:positionH relativeFrom="column">
              <wp:posOffset>3538855</wp:posOffset>
            </wp:positionH>
            <wp:positionV relativeFrom="paragraph">
              <wp:posOffset>-562610</wp:posOffset>
            </wp:positionV>
            <wp:extent cx="195770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275">
                      <a:extLst>
                        <a:ext uri="{28A0092B-C50C-407E-A947-70E740481C1C}"/>
                      </a:extLst>
                    </a:blip>
                    <a:srcRect/>
                    <a:stretch>
                      <a:fillRect/>
                    </a:stretch>
                  </pic:blipFill>
                  <pic:spPr bwMode="auto">
                    <a:xfrm>
                      <a:off x="0" y="0"/>
                      <a:ext cx="1957705" cy="25400"/>
                    </a:xfrm>
                    <a:prstGeom prst="rect">
                      <a:avLst/>
                    </a:prstGeom>
                    <a:noFill/>
                  </pic:spPr>
                </pic:pic>
              </a:graphicData>
            </a:graphic>
          </wp:anchor>
        </w:drawing>
        <w:drawing>
          <wp:anchor simplePos="0" relativeHeight="251657728" behindDoc="1" locked="0" layoutInCell="0" allowOverlap="1">
            <wp:simplePos x="0" y="0"/>
            <wp:positionH relativeFrom="column">
              <wp:posOffset>3538855</wp:posOffset>
            </wp:positionH>
            <wp:positionV relativeFrom="paragraph">
              <wp:posOffset>-208280</wp:posOffset>
            </wp:positionV>
            <wp:extent cx="195770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276">
                      <a:extLst>
                        <a:ext uri="{28A0092B-C50C-407E-A947-70E740481C1C}"/>
                      </a:extLst>
                    </a:blip>
                    <a:srcRect/>
                    <a:stretch>
                      <a:fillRect/>
                    </a:stretch>
                  </pic:blipFill>
                  <pic:spPr bwMode="auto">
                    <a:xfrm>
                      <a:off x="0" y="0"/>
                      <a:ext cx="1957705" cy="2540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the components of accrued liabilities and other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0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rPr>
              <w:t>December 31,</w:t>
            </w:r>
          </w:p>
        </w:tc>
        <w:tc>
          <w:tcPr>
            <w:tcW w:w="940" w:type="dxa"/>
            <w:vAlign w:val="bottom"/>
            <w:tcBorders>
              <w:bottom w:val="single" w:sz="8" w:color="auto"/>
            </w:tcBorders>
          </w:tcPr>
          <w:p>
            <w:pPr>
              <w:spacing w:after="0"/>
              <w:rPr>
                <w:sz w:val="22"/>
                <w:szCs w:val="22"/>
                <w:color w:val="auto"/>
              </w:rPr>
            </w:pPr>
          </w:p>
        </w:tc>
      </w:tr>
      <w:tr>
        <w:trPr>
          <w:trHeight w:val="260"/>
        </w:trPr>
        <w:tc>
          <w:tcPr>
            <w:tcW w:w="700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2024</w:t>
            </w:r>
          </w:p>
        </w:tc>
        <w:tc>
          <w:tcPr>
            <w:tcW w:w="80" w:type="dxa"/>
            <w:vAlign w:val="bottom"/>
            <w:tcBorders>
              <w:bottom w:val="single" w:sz="8" w:color="E6E6E6"/>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w w:val="85"/>
              </w:rPr>
              <w:t>2023</w:t>
            </w:r>
          </w:p>
        </w:tc>
      </w:tr>
      <w:tr>
        <w:trPr>
          <w:trHeight w:val="269"/>
        </w:trPr>
        <w:tc>
          <w:tcPr>
            <w:tcW w:w="7000" w:type="dxa"/>
            <w:vAlign w:val="bottom"/>
            <w:shd w:val="clear" w:color="auto" w:fill="E6E6E6"/>
          </w:tcPr>
          <w:p>
            <w:pPr>
              <w:ind w:left="40"/>
              <w:spacing w:after="0"/>
              <w:rPr>
                <w:sz w:val="20"/>
                <w:szCs w:val="20"/>
                <w:color w:val="auto"/>
              </w:rPr>
            </w:pPr>
            <w:r>
              <w:rPr>
                <w:rFonts w:ascii="Arial" w:cs="Arial" w:eastAsia="Arial" w:hAnsi="Arial"/>
                <w:sz w:val="20"/>
                <w:szCs w:val="20"/>
                <w:color w:val="auto"/>
              </w:rPr>
              <w:t>Legal and professional costs</w:t>
            </w:r>
          </w:p>
        </w:tc>
        <w:tc>
          <w:tcPr>
            <w:tcW w:w="360" w:type="dxa"/>
            <w:vAlign w:val="bottom"/>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17,379</w:t>
            </w:r>
          </w:p>
        </w:tc>
        <w:tc>
          <w:tcPr>
            <w:tcW w:w="620" w:type="dxa"/>
            <w:vAlign w:val="bottom"/>
            <w:gridSpan w:val="2"/>
            <w:shd w:val="clear" w:color="auto" w:fill="E6E6E6"/>
          </w:tcPr>
          <w:p>
            <w:pPr>
              <w:jc w:val="right"/>
              <w:ind w:right="282"/>
              <w:spacing w:after="0"/>
              <w:rPr>
                <w:sz w:val="20"/>
                <w:szCs w:val="20"/>
                <w:color w:val="auto"/>
              </w:rPr>
            </w:pPr>
            <w:r>
              <w:rPr>
                <w:rFonts w:ascii="Arial" w:cs="Arial" w:eastAsia="Arial" w:hAnsi="Arial"/>
                <w:sz w:val="20"/>
                <w:szCs w:val="20"/>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17,794</w:t>
            </w:r>
          </w:p>
        </w:tc>
      </w:tr>
      <w:tr>
        <w:trPr>
          <w:trHeight w:val="274"/>
        </w:trPr>
        <w:tc>
          <w:tcPr>
            <w:tcW w:w="7000" w:type="dxa"/>
            <w:vAlign w:val="bottom"/>
          </w:tcPr>
          <w:p>
            <w:pPr>
              <w:ind w:left="40"/>
              <w:spacing w:after="0"/>
              <w:rPr>
                <w:sz w:val="20"/>
                <w:szCs w:val="20"/>
                <w:color w:val="auto"/>
              </w:rPr>
            </w:pPr>
            <w:r>
              <w:rPr>
                <w:rFonts w:ascii="Arial" w:cs="Arial" w:eastAsia="Arial" w:hAnsi="Arial"/>
                <w:sz w:val="20"/>
                <w:szCs w:val="20"/>
                <w:color w:val="auto"/>
              </w:rPr>
              <w:t>Italian MedTech payback measure</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15,981</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8,223</w:t>
            </w:r>
          </w:p>
        </w:tc>
      </w:tr>
      <w:tr>
        <w:trPr>
          <w:trHeight w:val="285"/>
        </w:trPr>
        <w:tc>
          <w:tcPr>
            <w:tcW w:w="7000" w:type="dxa"/>
            <w:vAlign w:val="bottom"/>
            <w:shd w:val="clear" w:color="auto" w:fill="E6E6E6"/>
          </w:tcPr>
          <w:p>
            <w:pPr>
              <w:ind w:left="40"/>
              <w:spacing w:after="0"/>
              <w:rPr>
                <w:sz w:val="20"/>
                <w:szCs w:val="20"/>
                <w:color w:val="auto"/>
              </w:rPr>
            </w:pPr>
            <w:r>
              <w:rPr>
                <w:rFonts w:ascii="Arial" w:cs="Arial" w:eastAsia="Arial" w:hAnsi="Arial"/>
                <w:sz w:val="20"/>
                <w:szCs w:val="20"/>
                <w:color w:val="auto"/>
              </w:rPr>
              <w:t>Contract liabilities</w:t>
            </w:r>
          </w:p>
        </w:tc>
        <w:tc>
          <w:tcPr>
            <w:tcW w:w="3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10,848</w:t>
            </w:r>
          </w:p>
        </w:tc>
        <w:tc>
          <w:tcPr>
            <w:tcW w:w="80" w:type="dxa"/>
            <w:vAlign w:val="bottom"/>
            <w:shd w:val="clear" w:color="auto" w:fill="E6E6E6"/>
          </w:tcPr>
          <w:p>
            <w:pPr>
              <w:spacing w:after="0"/>
              <w:rPr>
                <w:sz w:val="24"/>
                <w:szCs w:val="24"/>
                <w:color w:val="auto"/>
              </w:rPr>
            </w:pPr>
          </w:p>
        </w:tc>
        <w:tc>
          <w:tcPr>
            <w:tcW w:w="54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10,725</w:t>
            </w:r>
          </w:p>
        </w:tc>
      </w:tr>
      <w:tr>
        <w:trPr>
          <w:trHeight w:val="274"/>
        </w:trPr>
        <w:tc>
          <w:tcPr>
            <w:tcW w:w="7000" w:type="dxa"/>
            <w:vAlign w:val="bottom"/>
          </w:tcPr>
          <w:p>
            <w:pPr>
              <w:ind w:left="40"/>
              <w:spacing w:after="0"/>
              <w:rPr>
                <w:sz w:val="20"/>
                <w:szCs w:val="20"/>
                <w:color w:val="auto"/>
              </w:rPr>
            </w:pPr>
            <w:r>
              <w:rPr>
                <w:rFonts w:ascii="Arial" w:cs="Arial" w:eastAsia="Arial" w:hAnsi="Arial"/>
                <w:sz w:val="20"/>
                <w:szCs w:val="20"/>
                <w:color w:val="auto"/>
              </w:rPr>
              <w:t>Interest payable</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9,479</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7,840</w:t>
            </w:r>
          </w:p>
        </w:tc>
      </w:tr>
      <w:tr>
        <w:trPr>
          <w:trHeight w:val="285"/>
        </w:trPr>
        <w:tc>
          <w:tcPr>
            <w:tcW w:w="7000" w:type="dxa"/>
            <w:vAlign w:val="bottom"/>
            <w:shd w:val="clear" w:color="auto" w:fill="E6E6E6"/>
          </w:tcPr>
          <w:p>
            <w:pPr>
              <w:ind w:left="40"/>
              <w:spacing w:after="0" w:line="284" w:lineRule="exact"/>
              <w:rPr>
                <w:sz w:val="20"/>
                <w:szCs w:val="20"/>
                <w:color w:val="auto"/>
              </w:rPr>
            </w:pPr>
            <w:r>
              <w:rPr>
                <w:rFonts w:ascii="Arial" w:cs="Arial" w:eastAsia="Arial" w:hAnsi="Arial"/>
                <w:sz w:val="20"/>
                <w:szCs w:val="20"/>
                <w:color w:val="auto"/>
              </w:rPr>
              <w:t xml:space="preserve">Operating lease liabilities </w:t>
            </w:r>
            <w:r>
              <w:rPr>
                <w:rFonts w:ascii="Arial" w:cs="Arial" w:eastAsia="Arial" w:hAnsi="Arial"/>
                <w:sz w:val="25"/>
                <w:szCs w:val="25"/>
                <w:color w:val="auto"/>
                <w:vertAlign w:val="superscript"/>
              </w:rPr>
              <w:t>(1)</w:t>
            </w:r>
          </w:p>
        </w:tc>
        <w:tc>
          <w:tcPr>
            <w:tcW w:w="3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9,040</w:t>
            </w:r>
          </w:p>
        </w:tc>
        <w:tc>
          <w:tcPr>
            <w:tcW w:w="80" w:type="dxa"/>
            <w:vAlign w:val="bottom"/>
            <w:shd w:val="clear" w:color="auto" w:fill="E6E6E6"/>
          </w:tcPr>
          <w:p>
            <w:pPr>
              <w:spacing w:after="0"/>
              <w:rPr>
                <w:sz w:val="24"/>
                <w:szCs w:val="24"/>
                <w:color w:val="auto"/>
              </w:rPr>
            </w:pPr>
          </w:p>
        </w:tc>
        <w:tc>
          <w:tcPr>
            <w:tcW w:w="54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8,362</w:t>
            </w:r>
          </w:p>
        </w:tc>
      </w:tr>
      <w:tr>
        <w:trPr>
          <w:trHeight w:val="274"/>
        </w:trPr>
        <w:tc>
          <w:tcPr>
            <w:tcW w:w="7000" w:type="dxa"/>
            <w:vAlign w:val="bottom"/>
          </w:tcPr>
          <w:p>
            <w:pPr>
              <w:ind w:left="40"/>
              <w:spacing w:after="0"/>
              <w:rPr>
                <w:sz w:val="20"/>
                <w:szCs w:val="20"/>
                <w:color w:val="auto"/>
              </w:rPr>
            </w:pPr>
            <w:r>
              <w:rPr>
                <w:rFonts w:ascii="Arial" w:cs="Arial" w:eastAsia="Arial" w:hAnsi="Arial"/>
                <w:sz w:val="20"/>
                <w:szCs w:val="20"/>
                <w:color w:val="auto"/>
              </w:rPr>
              <w:t>Provisions for agents, returns, and other</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6,744</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4,464</w:t>
            </w:r>
          </w:p>
        </w:tc>
      </w:tr>
      <w:tr>
        <w:trPr>
          <w:trHeight w:val="285"/>
        </w:trPr>
        <w:tc>
          <w:tcPr>
            <w:tcW w:w="7000" w:type="dxa"/>
            <w:vAlign w:val="bottom"/>
            <w:shd w:val="clear" w:color="auto" w:fill="E6E6E6"/>
          </w:tcPr>
          <w:p>
            <w:pPr>
              <w:ind w:left="40"/>
              <w:spacing w:after="0"/>
              <w:rPr>
                <w:sz w:val="20"/>
                <w:szCs w:val="20"/>
                <w:color w:val="auto"/>
              </w:rPr>
            </w:pPr>
            <w:r>
              <w:rPr>
                <w:rFonts w:ascii="Arial" w:cs="Arial" w:eastAsia="Arial" w:hAnsi="Arial"/>
                <w:sz w:val="20"/>
                <w:szCs w:val="20"/>
                <w:color w:val="auto"/>
              </w:rPr>
              <w:t>Research and development costs</w:t>
            </w:r>
          </w:p>
        </w:tc>
        <w:tc>
          <w:tcPr>
            <w:tcW w:w="3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6,167</w:t>
            </w:r>
          </w:p>
        </w:tc>
        <w:tc>
          <w:tcPr>
            <w:tcW w:w="80" w:type="dxa"/>
            <w:vAlign w:val="bottom"/>
            <w:shd w:val="clear" w:color="auto" w:fill="E6E6E6"/>
          </w:tcPr>
          <w:p>
            <w:pPr>
              <w:spacing w:after="0"/>
              <w:rPr>
                <w:sz w:val="24"/>
                <w:szCs w:val="24"/>
                <w:color w:val="auto"/>
              </w:rPr>
            </w:pPr>
          </w:p>
        </w:tc>
        <w:tc>
          <w:tcPr>
            <w:tcW w:w="54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2,462</w:t>
            </w:r>
          </w:p>
        </w:tc>
      </w:tr>
      <w:tr>
        <w:trPr>
          <w:trHeight w:val="274"/>
        </w:trPr>
        <w:tc>
          <w:tcPr>
            <w:tcW w:w="7000" w:type="dxa"/>
            <w:vAlign w:val="bottom"/>
          </w:tcPr>
          <w:p>
            <w:pPr>
              <w:ind w:left="40"/>
              <w:spacing w:after="0"/>
              <w:rPr>
                <w:sz w:val="20"/>
                <w:szCs w:val="20"/>
                <w:color w:val="auto"/>
              </w:rPr>
            </w:pPr>
            <w:r>
              <w:rPr>
                <w:rFonts w:ascii="Arial" w:cs="Arial" w:eastAsia="Arial" w:hAnsi="Arial"/>
                <w:sz w:val="20"/>
                <w:szCs w:val="20"/>
                <w:color w:val="auto"/>
              </w:rPr>
              <w:t>Royalty accrual</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4,466</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4,441</w:t>
            </w:r>
          </w:p>
        </w:tc>
      </w:tr>
      <w:tr>
        <w:trPr>
          <w:trHeight w:val="285"/>
        </w:trPr>
        <w:tc>
          <w:tcPr>
            <w:tcW w:w="7000" w:type="dxa"/>
            <w:vAlign w:val="bottom"/>
            <w:shd w:val="clear" w:color="auto" w:fill="E6E6E6"/>
          </w:tcPr>
          <w:p>
            <w:pPr>
              <w:ind w:left="40"/>
              <w:spacing w:after="0" w:line="284" w:lineRule="exact"/>
              <w:rPr>
                <w:sz w:val="20"/>
                <w:szCs w:val="20"/>
                <w:color w:val="auto"/>
              </w:rPr>
            </w:pPr>
            <w:r>
              <w:rPr>
                <w:rFonts w:ascii="Arial" w:cs="Arial" w:eastAsia="Arial" w:hAnsi="Arial"/>
                <w:sz w:val="20"/>
                <w:szCs w:val="20"/>
                <w:color w:val="auto"/>
              </w:rPr>
              <w:t xml:space="preserve">Current derivative liabilities </w:t>
            </w:r>
            <w:r>
              <w:rPr>
                <w:rFonts w:ascii="Arial" w:cs="Arial" w:eastAsia="Arial" w:hAnsi="Arial"/>
                <w:sz w:val="25"/>
                <w:szCs w:val="25"/>
                <w:color w:val="auto"/>
                <w:vertAlign w:val="superscript"/>
              </w:rPr>
              <w:t>(2)</w:t>
            </w:r>
          </w:p>
        </w:tc>
        <w:tc>
          <w:tcPr>
            <w:tcW w:w="3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2,915</w:t>
            </w:r>
          </w:p>
        </w:tc>
        <w:tc>
          <w:tcPr>
            <w:tcW w:w="80" w:type="dxa"/>
            <w:vAlign w:val="bottom"/>
            <w:shd w:val="clear" w:color="auto" w:fill="E6E6E6"/>
          </w:tcPr>
          <w:p>
            <w:pPr>
              <w:spacing w:after="0"/>
              <w:rPr>
                <w:sz w:val="24"/>
                <w:szCs w:val="24"/>
                <w:color w:val="auto"/>
              </w:rPr>
            </w:pPr>
          </w:p>
        </w:tc>
        <w:tc>
          <w:tcPr>
            <w:tcW w:w="54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3,883</w:t>
            </w:r>
          </w:p>
        </w:tc>
      </w:tr>
      <w:tr>
        <w:trPr>
          <w:trHeight w:val="279"/>
        </w:trPr>
        <w:tc>
          <w:tcPr>
            <w:tcW w:w="7000" w:type="dxa"/>
            <w:vAlign w:val="bottom"/>
          </w:tcPr>
          <w:p>
            <w:pPr>
              <w:ind w:left="40"/>
              <w:spacing w:after="0" w:line="280" w:lineRule="exact"/>
              <w:rPr>
                <w:sz w:val="20"/>
                <w:szCs w:val="20"/>
                <w:color w:val="auto"/>
              </w:rPr>
            </w:pPr>
            <w:r>
              <w:rPr>
                <w:rFonts w:ascii="Arial" w:cs="Arial" w:eastAsia="Arial" w:hAnsi="Arial"/>
                <w:sz w:val="20"/>
                <w:szCs w:val="20"/>
                <w:color w:val="auto"/>
              </w:rPr>
              <w:t xml:space="preserve">Restructuring liabilities </w:t>
            </w:r>
            <w:r>
              <w:rPr>
                <w:rFonts w:ascii="Arial" w:cs="Arial" w:eastAsia="Arial" w:hAnsi="Arial"/>
                <w:sz w:val="25"/>
                <w:szCs w:val="25"/>
                <w:color w:val="auto"/>
                <w:vertAlign w:val="superscript"/>
              </w:rPr>
              <w:t>(3)</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2,003</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911</w:t>
            </w:r>
          </w:p>
        </w:tc>
      </w:tr>
      <w:tr>
        <w:trPr>
          <w:trHeight w:val="279"/>
        </w:trPr>
        <w:tc>
          <w:tcPr>
            <w:tcW w:w="7000" w:type="dxa"/>
            <w:vAlign w:val="bottom"/>
            <w:shd w:val="clear" w:color="auto" w:fill="E6E6E6"/>
          </w:tcPr>
          <w:p>
            <w:pPr>
              <w:ind w:left="40"/>
              <w:spacing w:after="0"/>
              <w:rPr>
                <w:sz w:val="20"/>
                <w:szCs w:val="20"/>
                <w:color w:val="auto"/>
              </w:rPr>
            </w:pPr>
            <w:r>
              <w:rPr>
                <w:rFonts w:ascii="Arial" w:cs="Arial" w:eastAsia="Arial" w:hAnsi="Arial"/>
                <w:sz w:val="20"/>
                <w:szCs w:val="20"/>
                <w:color w:val="auto"/>
              </w:rPr>
              <w:t>Contingent consideration</w:t>
            </w:r>
          </w:p>
        </w:tc>
        <w:tc>
          <w:tcPr>
            <w:tcW w:w="3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54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13,750</w:t>
            </w:r>
          </w:p>
        </w:tc>
      </w:tr>
      <w:tr>
        <w:trPr>
          <w:trHeight w:val="269"/>
        </w:trPr>
        <w:tc>
          <w:tcPr>
            <w:tcW w:w="7000" w:type="dxa"/>
            <w:vAlign w:val="bottom"/>
            <w:tcBorders>
              <w:bottom w:val="single" w:sz="8" w:color="E6E6E6"/>
            </w:tcBorders>
          </w:tcPr>
          <w:p>
            <w:pPr>
              <w:ind w:left="40"/>
              <w:spacing w:after="0"/>
              <w:rPr>
                <w:sz w:val="20"/>
                <w:szCs w:val="20"/>
                <w:color w:val="auto"/>
              </w:rPr>
            </w:pPr>
            <w:r>
              <w:rPr>
                <w:rFonts w:ascii="Arial" w:cs="Arial" w:eastAsia="Arial" w:hAnsi="Arial"/>
                <w:sz w:val="20"/>
                <w:szCs w:val="20"/>
                <w:color w:val="auto"/>
              </w:rPr>
              <w:t>Other accrued expenses</w:t>
            </w: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33,463</w:t>
            </w:r>
          </w:p>
        </w:tc>
        <w:tc>
          <w:tcPr>
            <w:tcW w:w="80" w:type="dxa"/>
            <w:vAlign w:val="bottom"/>
            <w:tcBorders>
              <w:bottom w:val="single" w:sz="8" w:color="E6E6E6"/>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24,446</w:t>
            </w:r>
          </w:p>
        </w:tc>
      </w:tr>
      <w:tr>
        <w:trPr>
          <w:trHeight w:val="279"/>
        </w:trPr>
        <w:tc>
          <w:tcPr>
            <w:tcW w:w="700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118,485</w:t>
            </w:r>
          </w:p>
        </w:tc>
        <w:tc>
          <w:tcPr>
            <w:tcW w:w="80" w:type="dxa"/>
            <w:vAlign w:val="bottom"/>
            <w:tcBorders>
              <w:bottom w:val="single" w:sz="8" w:color="E6E6E6"/>
            </w:tcBorders>
            <w:shd w:val="clear" w:color="auto" w:fill="E6E6E6"/>
          </w:tcPr>
          <w:p>
            <w:pPr>
              <w:spacing w:after="0"/>
              <w:rPr>
                <w:sz w:val="24"/>
                <w:szCs w:val="24"/>
                <w:color w:val="auto"/>
              </w:rPr>
            </w:pPr>
          </w:p>
        </w:tc>
        <w:tc>
          <w:tcPr>
            <w:tcW w:w="540" w:type="dxa"/>
            <w:vAlign w:val="bottom"/>
            <w:tcBorders>
              <w:bottom w:val="single" w:sz="8" w:color="auto"/>
            </w:tcBorders>
            <w:shd w:val="clear" w:color="auto" w:fill="E6E6E6"/>
          </w:tcPr>
          <w:p>
            <w:pPr>
              <w:jc w:val="right"/>
              <w:ind w:right="282"/>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107,301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4434840</wp:posOffset>
            </wp:positionH>
            <wp:positionV relativeFrom="paragraph">
              <wp:posOffset>-2336165</wp:posOffset>
            </wp:positionV>
            <wp:extent cx="195770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277">
                      <a:extLst>
                        <a:ext uri="{28A0092B-C50C-407E-A947-70E740481C1C}"/>
                      </a:extLst>
                    </a:blip>
                    <a:srcRect/>
                    <a:stretch>
                      <a:fillRect/>
                    </a:stretch>
                  </pic:blipFill>
                  <pic:spPr bwMode="auto">
                    <a:xfrm>
                      <a:off x="0" y="0"/>
                      <a:ext cx="1957705" cy="25400"/>
                    </a:xfrm>
                    <a:prstGeom prst="rect">
                      <a:avLst/>
                    </a:prstGeom>
                    <a:noFill/>
                  </pic:spPr>
                </pic:pic>
              </a:graphicData>
            </a:graphic>
          </wp:anchor>
        </w:drawing>
        <w:drawing>
          <wp:anchor simplePos="0" relativeHeight="251657728" behindDoc="1" locked="0" layoutInCell="0" allowOverlap="1">
            <wp:simplePos x="0" y="0"/>
            <wp:positionH relativeFrom="column">
              <wp:posOffset>4434840</wp:posOffset>
            </wp:positionH>
            <wp:positionV relativeFrom="paragraph">
              <wp:posOffset>-208280</wp:posOffset>
            </wp:positionV>
            <wp:extent cx="195770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278">
                      <a:extLst>
                        <a:ext uri="{28A0092B-C50C-407E-A947-70E740481C1C}"/>
                      </a:extLst>
                    </a:blip>
                    <a:srcRect/>
                    <a:stretch>
                      <a:fillRect/>
                    </a:stretch>
                  </pic:blipFill>
                  <pic:spPr bwMode="auto">
                    <a:xfrm>
                      <a:off x="0" y="0"/>
                      <a:ext cx="1957705" cy="25400"/>
                    </a:xfrm>
                    <a:prstGeom prst="rect">
                      <a:avLst/>
                    </a:prstGeom>
                    <a:noFill/>
                  </pic:spPr>
                </pic:pic>
              </a:graphicData>
            </a:graphic>
          </wp:anchor>
        </w:drawing>
        <w:drawing>
          <wp:anchor simplePos="0" relativeHeight="251657728" behindDoc="1" locked="0" layoutInCell="0" allowOverlap="1">
            <wp:simplePos x="0" y="0"/>
            <wp:positionH relativeFrom="column">
              <wp:posOffset>4434840</wp:posOffset>
            </wp:positionH>
            <wp:positionV relativeFrom="paragraph">
              <wp:posOffset>-43180</wp:posOffset>
            </wp:positionV>
            <wp:extent cx="1957705" cy="5016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279">
                      <a:extLst>
                        <a:ext uri="{28A0092B-C50C-407E-A947-70E740481C1C}"/>
                      </a:extLst>
                    </a:blip>
                    <a:srcRect/>
                    <a:stretch>
                      <a:fillRect/>
                    </a:stretch>
                  </pic:blipFill>
                  <pic:spPr bwMode="auto">
                    <a:xfrm>
                      <a:off x="0" y="0"/>
                      <a:ext cx="1957705" cy="50165"/>
                    </a:xfrm>
                    <a:prstGeom prst="rect">
                      <a:avLst/>
                    </a:prstGeom>
                    <a:noFill/>
                  </pic:spPr>
                </pic:pic>
              </a:graphicData>
            </a:graphic>
          </wp:anchor>
        </w:drawing>
      </w:r>
    </w:p>
    <w:p>
      <w:pPr>
        <w:spacing w:after="0" w:line="67" w:lineRule="exact"/>
        <w:rPr>
          <w:sz w:val="20"/>
          <w:szCs w:val="20"/>
          <w:color w:val="auto"/>
        </w:rPr>
      </w:pPr>
    </w:p>
    <w:p>
      <w:pPr>
        <w:ind w:left="700" w:hanging="355"/>
        <w:spacing w:after="0"/>
        <w:tabs>
          <w:tab w:leader="none" w:pos="700"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Refer to “Note 10. Leases.”</w:t>
      </w:r>
    </w:p>
    <w:p>
      <w:pPr>
        <w:ind w:left="700" w:hanging="355"/>
        <w:spacing w:after="0" w:line="200" w:lineRule="auto"/>
        <w:tabs>
          <w:tab w:leader="none" w:pos="700"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Refer to “Note 7. Derivatives and Risk Management.”</w:t>
      </w:r>
    </w:p>
    <w:p>
      <w:pPr>
        <w:ind w:left="700" w:hanging="355"/>
        <w:spacing w:after="0" w:line="210" w:lineRule="auto"/>
        <w:tabs>
          <w:tab w:leader="none" w:pos="700"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Refer to “Note 4. Restructuring.”</w:t>
      </w:r>
    </w:p>
    <w:p>
      <w:pPr>
        <w:sectPr>
          <w:pgSz w:w="11880" w:h="15480" w:orient="portrait"/>
          <w:cols w:equalWidth="0" w:num="1">
            <w:col w:w="10040"/>
          </w:cols>
          <w:pgMar w:left="920" w:top="65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F-48</w:t>
      </w:r>
    </w:p>
    <w:p>
      <w:pPr>
        <w:sectPr>
          <w:pgSz w:w="11880" w:h="15480" w:orient="portrait"/>
          <w:cols w:equalWidth="0" w:num="1">
            <w:col w:w="10040"/>
          </w:cols>
          <w:pgMar w:left="920" w:top="650" w:right="920" w:bottom="0" w:gutter="0" w:footer="0" w:header="0"/>
          <w:type w:val="continuous"/>
        </w:sectPr>
      </w:pPr>
    </w:p>
    <w:bookmarkStart w:id="106" w:name="page107"/>
    <w:bookmarkEnd w:id="106"/>
    <w:p>
      <w:pPr>
        <w:spacing w:after="0" w:line="311" w:lineRule="auto"/>
        <w:rPr>
          <w:sz w:val="20"/>
          <w:szCs w:val="20"/>
          <w:color w:val="auto"/>
        </w:rPr>
      </w:pPr>
      <w:r>
        <w:rPr>
          <w:rFonts w:ascii="Arial" w:cs="Arial" w:eastAsia="Arial" w:hAnsi="Arial"/>
          <w:sz w:val="19"/>
          <w:szCs w:val="19"/>
          <w:color w:val="auto"/>
        </w:rPr>
        <w:t>The following table presents the items included within foreign exchange and other income/(expense) on the consolidated statements of income (loss) for the years ended December 31, 2024, 2023, and 2022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44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62"/>
              <w:spacing w:after="0"/>
              <w:rPr>
                <w:sz w:val="20"/>
                <w:szCs w:val="20"/>
                <w:color w:val="auto"/>
              </w:rPr>
            </w:pPr>
            <w:r>
              <w:rPr>
                <w:rFonts w:ascii="Arial" w:cs="Arial" w:eastAsia="Arial" w:hAnsi="Arial"/>
                <w:sz w:val="20"/>
                <w:szCs w:val="20"/>
                <w:b w:val="1"/>
                <w:bCs w:val="1"/>
                <w:color w:val="auto"/>
              </w:rPr>
              <w:t>2024</w:t>
            </w:r>
          </w:p>
        </w:tc>
        <w:tc>
          <w:tcPr>
            <w:tcW w:w="6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2023</w:t>
            </w:r>
          </w:p>
        </w:tc>
        <w:tc>
          <w:tcPr>
            <w:tcW w:w="8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2022</w:t>
            </w:r>
          </w:p>
        </w:tc>
      </w:tr>
      <w:tr>
        <w:trPr>
          <w:trHeight w:val="270"/>
        </w:trPr>
        <w:tc>
          <w:tcPr>
            <w:tcW w:w="5440" w:type="dxa"/>
            <w:vAlign w:val="bottom"/>
            <w:shd w:val="clear" w:color="auto" w:fill="E6E6E6"/>
          </w:tcPr>
          <w:p>
            <w:pPr>
              <w:ind w:left="40"/>
              <w:spacing w:after="0" w:line="269" w:lineRule="exact"/>
              <w:rPr>
                <w:sz w:val="20"/>
                <w:szCs w:val="20"/>
                <w:color w:val="auto"/>
              </w:rPr>
            </w:pPr>
            <w:r>
              <w:rPr>
                <w:rFonts w:ascii="Arial" w:cs="Arial" w:eastAsia="Arial" w:hAnsi="Arial"/>
                <w:sz w:val="20"/>
                <w:szCs w:val="20"/>
                <w:color w:val="auto"/>
              </w:rPr>
              <w:t xml:space="preserve">Embedded derivative fair value adjustment (2025 Notes) </w:t>
            </w:r>
            <w:r>
              <w:rPr>
                <w:rFonts w:ascii="Arial" w:cs="Arial" w:eastAsia="Arial" w:hAnsi="Arial"/>
                <w:sz w:val="25"/>
                <w:szCs w:val="25"/>
                <w:color w:val="auto"/>
                <w:vertAlign w:val="superscript"/>
              </w:rPr>
              <w:t>(1)</w:t>
            </w:r>
          </w:p>
        </w:tc>
        <w:tc>
          <w:tcPr>
            <w:tcW w:w="360" w:type="dxa"/>
            <w:vAlign w:val="bottom"/>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5,739</w:t>
            </w:r>
          </w:p>
        </w:tc>
        <w:tc>
          <w:tcPr>
            <w:tcW w:w="420" w:type="dxa"/>
            <w:vAlign w:val="bottom"/>
            <w:gridSpan w:val="2"/>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40,106</w:t>
            </w:r>
          </w:p>
        </w:tc>
        <w:tc>
          <w:tcPr>
            <w:tcW w:w="440" w:type="dxa"/>
            <w:vAlign w:val="bottom"/>
            <w:gridSpan w:val="2"/>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96,025</w:t>
            </w:r>
          </w:p>
        </w:tc>
      </w:tr>
      <w:tr>
        <w:trPr>
          <w:trHeight w:val="279"/>
        </w:trPr>
        <w:tc>
          <w:tcPr>
            <w:tcW w:w="5440" w:type="dxa"/>
            <w:vAlign w:val="bottom"/>
          </w:tcPr>
          <w:p>
            <w:pPr>
              <w:ind w:left="40"/>
              <w:spacing w:after="0" w:line="280" w:lineRule="exact"/>
              <w:rPr>
                <w:sz w:val="20"/>
                <w:szCs w:val="20"/>
                <w:color w:val="auto"/>
              </w:rPr>
            </w:pPr>
            <w:r>
              <w:rPr>
                <w:rFonts w:ascii="Arial" w:cs="Arial" w:eastAsia="Arial" w:hAnsi="Arial"/>
                <w:sz w:val="20"/>
                <w:szCs w:val="20"/>
                <w:color w:val="auto"/>
              </w:rPr>
              <w:t xml:space="preserve">Embedded derivative fair value adjustment (2029 Notes) </w:t>
            </w:r>
            <w:r>
              <w:rPr>
                <w:rFonts w:ascii="Arial" w:cs="Arial" w:eastAsia="Arial" w:hAnsi="Arial"/>
                <w:sz w:val="25"/>
                <w:szCs w:val="25"/>
                <w:color w:val="auto"/>
                <w:vertAlign w:val="superscript"/>
              </w:rPr>
              <w:t>(1)</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35,638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9"/>
        </w:trPr>
        <w:tc>
          <w:tcPr>
            <w:tcW w:w="5440" w:type="dxa"/>
            <w:vAlign w:val="bottom"/>
            <w:shd w:val="clear" w:color="auto" w:fill="E6E6E6"/>
          </w:tcPr>
          <w:p>
            <w:pPr>
              <w:ind w:left="40"/>
              <w:spacing w:after="0" w:line="280" w:lineRule="exact"/>
              <w:rPr>
                <w:sz w:val="20"/>
                <w:szCs w:val="20"/>
                <w:color w:val="auto"/>
              </w:rPr>
            </w:pPr>
            <w:r>
              <w:rPr>
                <w:rFonts w:ascii="Arial" w:cs="Arial" w:eastAsia="Arial" w:hAnsi="Arial"/>
                <w:sz w:val="20"/>
                <w:szCs w:val="20"/>
                <w:color w:val="auto"/>
              </w:rPr>
              <w:t xml:space="preserve">Capped call fair value adjustment (2025 Notes) </w:t>
            </w:r>
            <w:r>
              <w:rPr>
                <w:rFonts w:ascii="Arial" w:cs="Arial" w:eastAsia="Arial" w:hAnsi="Arial"/>
                <w:sz w:val="25"/>
                <w:szCs w:val="25"/>
                <w:color w:val="auto"/>
                <w:vertAlign w:val="superscript"/>
              </w:rPr>
              <w:t>(1)</w:t>
            </w:r>
          </w:p>
        </w:tc>
        <w:tc>
          <w:tcPr>
            <w:tcW w:w="360" w:type="dxa"/>
            <w:vAlign w:val="bottom"/>
            <w:shd w:val="clear" w:color="auto" w:fill="E6E6E6"/>
          </w:tcPr>
          <w:p>
            <w:pPr>
              <w:spacing w:after="0"/>
              <w:rPr>
                <w:sz w:val="24"/>
                <w:szCs w:val="24"/>
                <w:color w:val="auto"/>
              </w:rPr>
            </w:pPr>
          </w:p>
        </w:tc>
        <w:tc>
          <w:tcPr>
            <w:tcW w:w="11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(13,348)</w:t>
            </w:r>
          </w:p>
        </w:tc>
        <w:tc>
          <w:tcPr>
            <w:tcW w:w="6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(15,897)</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(52,236)</w:t>
            </w:r>
          </w:p>
        </w:tc>
      </w:tr>
      <w:tr>
        <w:trPr>
          <w:trHeight w:val="279"/>
        </w:trPr>
        <w:tc>
          <w:tcPr>
            <w:tcW w:w="5440" w:type="dxa"/>
            <w:vAlign w:val="bottom"/>
          </w:tcPr>
          <w:p>
            <w:pPr>
              <w:ind w:left="40"/>
              <w:spacing w:after="0" w:line="280" w:lineRule="exact"/>
              <w:rPr>
                <w:sz w:val="20"/>
                <w:szCs w:val="20"/>
                <w:color w:val="auto"/>
              </w:rPr>
            </w:pPr>
            <w:r>
              <w:rPr>
                <w:rFonts w:ascii="Arial" w:cs="Arial" w:eastAsia="Arial" w:hAnsi="Arial"/>
                <w:sz w:val="20"/>
                <w:szCs w:val="20"/>
                <w:color w:val="auto"/>
              </w:rPr>
              <w:t xml:space="preserve">Capped call fair value adjustment (2029 Notes) </w:t>
            </w:r>
            <w:r>
              <w:rPr>
                <w:rFonts w:ascii="Arial" w:cs="Arial" w:eastAsia="Arial" w:hAnsi="Arial"/>
                <w:sz w:val="25"/>
                <w:szCs w:val="25"/>
                <w:color w:val="auto"/>
                <w:vertAlign w:val="superscript"/>
              </w:rPr>
              <w:t>(1)</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(7,902)</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9"/>
        </w:trPr>
        <w:tc>
          <w:tcPr>
            <w:tcW w:w="5440" w:type="dxa"/>
            <w:vAlign w:val="bottom"/>
            <w:shd w:val="clear" w:color="auto" w:fill="E6E6E6"/>
          </w:tcPr>
          <w:p>
            <w:pPr>
              <w:ind w:left="40"/>
              <w:spacing w:after="0"/>
              <w:rPr>
                <w:sz w:val="20"/>
                <w:szCs w:val="20"/>
                <w:color w:val="auto"/>
              </w:rPr>
            </w:pPr>
            <w:r>
              <w:rPr>
                <w:rFonts w:ascii="Arial" w:cs="Arial" w:eastAsia="Arial" w:hAnsi="Arial"/>
                <w:sz w:val="20"/>
                <w:szCs w:val="20"/>
                <w:color w:val="auto"/>
              </w:rPr>
              <w:t>Interest income</w:t>
            </w:r>
          </w:p>
        </w:tc>
        <w:tc>
          <w:tcPr>
            <w:tcW w:w="360" w:type="dxa"/>
            <w:vAlign w:val="bottom"/>
            <w:shd w:val="clear" w:color="auto" w:fill="E6E6E6"/>
          </w:tcPr>
          <w:p>
            <w:pPr>
              <w:spacing w:after="0"/>
              <w:rPr>
                <w:sz w:val="24"/>
                <w:szCs w:val="24"/>
                <w:color w:val="auto"/>
              </w:rPr>
            </w:pPr>
          </w:p>
        </w:tc>
        <w:tc>
          <w:tcPr>
            <w:tcW w:w="11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30,075</w:t>
            </w:r>
          </w:p>
        </w:tc>
        <w:tc>
          <w:tcPr>
            <w:tcW w:w="6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22,012</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4,697</w:t>
            </w:r>
          </w:p>
        </w:tc>
      </w:tr>
      <w:tr>
        <w:trPr>
          <w:trHeight w:val="279"/>
        </w:trPr>
        <w:tc>
          <w:tcPr>
            <w:tcW w:w="5440" w:type="dxa"/>
            <w:vAlign w:val="bottom"/>
          </w:tcPr>
          <w:p>
            <w:pPr>
              <w:ind w:left="40"/>
              <w:spacing w:after="0" w:line="280" w:lineRule="exact"/>
              <w:rPr>
                <w:sz w:val="20"/>
                <w:szCs w:val="20"/>
                <w:color w:val="auto"/>
              </w:rPr>
            </w:pPr>
            <w:r>
              <w:rPr>
                <w:rFonts w:ascii="Arial" w:cs="Arial" w:eastAsia="Arial" w:hAnsi="Arial"/>
                <w:sz w:val="20"/>
                <w:szCs w:val="20"/>
                <w:color w:val="auto"/>
              </w:rPr>
              <w:t xml:space="preserve">Investment revaluation - Ceribell, Inc. </w:t>
            </w:r>
            <w:r>
              <w:rPr>
                <w:rFonts w:ascii="Arial" w:cs="Arial" w:eastAsia="Arial" w:hAnsi="Arial"/>
                <w:sz w:val="25"/>
                <w:szCs w:val="25"/>
                <w:color w:val="auto"/>
                <w:vertAlign w:val="superscript"/>
              </w:rPr>
              <w:t>(2)</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7,144</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9"/>
        </w:trPr>
        <w:tc>
          <w:tcPr>
            <w:tcW w:w="5440" w:type="dxa"/>
            <w:vAlign w:val="bottom"/>
            <w:shd w:val="clear" w:color="auto" w:fill="E6E6E6"/>
          </w:tcPr>
          <w:p>
            <w:pPr>
              <w:ind w:left="40"/>
              <w:spacing w:after="0" w:line="280" w:lineRule="exact"/>
              <w:rPr>
                <w:sz w:val="20"/>
                <w:szCs w:val="20"/>
                <w:color w:val="auto"/>
              </w:rPr>
            </w:pPr>
            <w:r>
              <w:rPr>
                <w:rFonts w:ascii="Arial" w:cs="Arial" w:eastAsia="Arial" w:hAnsi="Arial"/>
                <w:sz w:val="20"/>
                <w:szCs w:val="20"/>
                <w:color w:val="auto"/>
              </w:rPr>
              <w:t xml:space="preserve">Impairment of investment - ShiraTronics, Inc. </w:t>
            </w:r>
            <w:r>
              <w:rPr>
                <w:rFonts w:ascii="Arial" w:cs="Arial" w:eastAsia="Arial" w:hAnsi="Arial"/>
                <w:sz w:val="25"/>
                <w:szCs w:val="25"/>
                <w:color w:val="auto"/>
                <w:vertAlign w:val="superscript"/>
              </w:rPr>
              <w:t>(2)</w:t>
            </w:r>
          </w:p>
        </w:tc>
        <w:tc>
          <w:tcPr>
            <w:tcW w:w="360" w:type="dxa"/>
            <w:vAlign w:val="bottom"/>
            <w:shd w:val="clear" w:color="auto" w:fill="E6E6E6"/>
          </w:tcPr>
          <w:p>
            <w:pPr>
              <w:spacing w:after="0"/>
              <w:rPr>
                <w:sz w:val="24"/>
                <w:szCs w:val="24"/>
                <w:color w:val="auto"/>
              </w:rPr>
            </w:pPr>
          </w:p>
        </w:tc>
        <w:tc>
          <w:tcPr>
            <w:tcW w:w="11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(5,750)</w:t>
            </w:r>
          </w:p>
        </w:tc>
        <w:tc>
          <w:tcPr>
            <w:tcW w:w="6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r>
      <w:tr>
        <w:trPr>
          <w:trHeight w:val="274"/>
        </w:trPr>
        <w:tc>
          <w:tcPr>
            <w:tcW w:w="5440" w:type="dxa"/>
            <w:vAlign w:val="bottom"/>
          </w:tcPr>
          <w:p>
            <w:pPr>
              <w:ind w:left="40"/>
              <w:spacing w:after="0"/>
              <w:rPr>
                <w:sz w:val="20"/>
                <w:szCs w:val="20"/>
                <w:color w:val="auto"/>
              </w:rPr>
            </w:pPr>
            <w:r>
              <w:rPr>
                <w:rFonts w:ascii="Arial" w:cs="Arial" w:eastAsia="Arial" w:hAnsi="Arial"/>
                <w:sz w:val="20"/>
                <w:szCs w:val="20"/>
                <w:color w:val="auto"/>
              </w:rPr>
              <w:t>FX fluctuations</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(4,881)</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(705)</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378</w:t>
            </w:r>
          </w:p>
        </w:tc>
      </w:tr>
      <w:tr>
        <w:trPr>
          <w:trHeight w:val="285"/>
        </w:trPr>
        <w:tc>
          <w:tcPr>
            <w:tcW w:w="5440" w:type="dxa"/>
            <w:vAlign w:val="bottom"/>
            <w:shd w:val="clear" w:color="auto" w:fill="E6E6E6"/>
          </w:tcPr>
          <w:p>
            <w:pPr>
              <w:ind w:left="40"/>
              <w:spacing w:after="0"/>
              <w:rPr>
                <w:sz w:val="20"/>
                <w:szCs w:val="20"/>
                <w:color w:val="auto"/>
              </w:rPr>
            </w:pPr>
            <w:r>
              <w:rPr>
                <w:rFonts w:ascii="Arial" w:cs="Arial" w:eastAsia="Arial" w:hAnsi="Arial"/>
                <w:sz w:val="20"/>
                <w:szCs w:val="20"/>
                <w:color w:val="auto"/>
              </w:rPr>
              <w:t>Dividend income</w:t>
            </w:r>
          </w:p>
        </w:tc>
        <w:tc>
          <w:tcPr>
            <w:tcW w:w="360" w:type="dxa"/>
            <w:vAlign w:val="bottom"/>
            <w:shd w:val="clear" w:color="auto" w:fill="E6E6E6"/>
          </w:tcPr>
          <w:p>
            <w:pPr>
              <w:spacing w:after="0"/>
              <w:rPr>
                <w:sz w:val="24"/>
                <w:szCs w:val="24"/>
                <w:color w:val="auto"/>
              </w:rPr>
            </w:pPr>
          </w:p>
        </w:tc>
        <w:tc>
          <w:tcPr>
            <w:tcW w:w="11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82</w:t>
            </w:r>
          </w:p>
        </w:tc>
        <w:tc>
          <w:tcPr>
            <w:tcW w:w="6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1,540</w:t>
            </w:r>
          </w:p>
        </w:tc>
        <w:tc>
          <w:tcPr>
            <w:tcW w:w="8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305</w:t>
            </w:r>
          </w:p>
        </w:tc>
      </w:tr>
      <w:tr>
        <w:trPr>
          <w:trHeight w:val="269"/>
        </w:trPr>
        <w:tc>
          <w:tcPr>
            <w:tcW w:w="5440" w:type="dxa"/>
            <w:vAlign w:val="bottom"/>
            <w:tcBorders>
              <w:bottom w:val="single" w:sz="8" w:color="E6E6E6"/>
            </w:tcBorders>
          </w:tcPr>
          <w:p>
            <w:pPr>
              <w:ind w:left="40"/>
              <w:spacing w:after="0"/>
              <w:rPr>
                <w:sz w:val="20"/>
                <w:szCs w:val="20"/>
                <w:color w:val="auto"/>
              </w:rPr>
            </w:pPr>
            <w:r>
              <w:rPr>
                <w:rFonts w:ascii="Arial" w:cs="Arial" w:eastAsia="Arial" w:hAnsi="Arial"/>
                <w:sz w:val="20"/>
                <w:szCs w:val="20"/>
                <w:color w:val="auto"/>
              </w:rPr>
              <w:t>Other</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1,014</w:t>
            </w:r>
          </w:p>
        </w:tc>
        <w:tc>
          <w:tcPr>
            <w:tcW w:w="60" w:type="dxa"/>
            <w:vAlign w:val="bottom"/>
            <w:tcBorders>
              <w:bottom w:val="single" w:sz="8" w:color="E6E6E6"/>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(931)</w:t>
            </w:r>
          </w:p>
        </w:tc>
        <w:tc>
          <w:tcPr>
            <w:tcW w:w="80" w:type="dxa"/>
            <w:vAlign w:val="bottom"/>
            <w:tcBorders>
              <w:bottom w:val="single" w:sz="8" w:color="E6E6E6"/>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691</w:t>
            </w:r>
          </w:p>
        </w:tc>
      </w:tr>
      <w:tr>
        <w:trPr>
          <w:trHeight w:val="279"/>
        </w:trPr>
        <w:tc>
          <w:tcPr>
            <w:tcW w:w="544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47,811</w:t>
            </w:r>
          </w:p>
        </w:tc>
        <w:tc>
          <w:tcPr>
            <w:tcW w:w="6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46,125</w:t>
            </w:r>
          </w:p>
        </w:tc>
        <w:tc>
          <w:tcPr>
            <w:tcW w:w="8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49,860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-1981835</wp:posOffset>
            </wp:positionV>
            <wp:extent cx="294703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280">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-208280</wp:posOffset>
            </wp:positionV>
            <wp:extent cx="294703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281">
                      <a:extLst>
                        <a:ext uri="{28A0092B-C50C-407E-A947-70E740481C1C}"/>
                      </a:extLst>
                    </a:blip>
                    <a:srcRect/>
                    <a:stretch>
                      <a:fillRect/>
                    </a:stretch>
                  </pic:blipFill>
                  <pic:spPr bwMode="auto">
                    <a:xfrm>
                      <a:off x="0" y="0"/>
                      <a:ext cx="2947035" cy="2540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-43180</wp:posOffset>
            </wp:positionV>
            <wp:extent cx="2947035" cy="5016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82">
                      <a:extLst>
                        <a:ext uri="{28A0092B-C50C-407E-A947-70E740481C1C}"/>
                      </a:extLst>
                    </a:blip>
                    <a:srcRect/>
                    <a:stretch>
                      <a:fillRect/>
                    </a:stretch>
                  </pic:blipFill>
                  <pic:spPr bwMode="auto">
                    <a:xfrm>
                      <a:off x="0" y="0"/>
                      <a:ext cx="2947035" cy="50165"/>
                    </a:xfrm>
                    <a:prstGeom prst="rect">
                      <a:avLst/>
                    </a:prstGeom>
                    <a:noFill/>
                  </pic:spPr>
                </pic:pic>
              </a:graphicData>
            </a:graphic>
          </wp:anchor>
        </w:drawing>
      </w:r>
    </w:p>
    <w:p>
      <w:pPr>
        <w:spacing w:after="0" w:line="67" w:lineRule="exact"/>
        <w:rPr>
          <w:sz w:val="20"/>
          <w:szCs w:val="20"/>
          <w:color w:val="auto"/>
        </w:rPr>
      </w:pPr>
    </w:p>
    <w:p>
      <w:pPr>
        <w:ind w:left="700" w:hanging="355"/>
        <w:spacing w:after="0"/>
        <w:tabs>
          <w:tab w:leader="none" w:pos="700"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Refer to “Note 8. Fair Value Measurements.”</w:t>
      </w:r>
    </w:p>
    <w:p>
      <w:pPr>
        <w:ind w:left="700" w:hanging="355"/>
        <w:spacing w:after="0" w:line="210" w:lineRule="auto"/>
        <w:tabs>
          <w:tab w:leader="none" w:pos="700"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Refer to “Note 6. Investments.”</w:t>
      </w:r>
    </w:p>
    <w:p>
      <w:pPr>
        <w:spacing w:after="0" w:line="100" w:lineRule="exact"/>
        <w:rPr>
          <w:sz w:val="20"/>
          <w:szCs w:val="20"/>
          <w:color w:val="auto"/>
        </w:rPr>
      </w:pPr>
    </w:p>
    <w:p>
      <w:pPr>
        <w:spacing w:after="0" w:line="376" w:lineRule="auto"/>
        <w:rPr>
          <w:sz w:val="20"/>
          <w:szCs w:val="20"/>
          <w:color w:val="auto"/>
        </w:rPr>
      </w:pPr>
      <w:r>
        <w:rPr>
          <w:rFonts w:ascii="Arial" w:cs="Arial" w:eastAsia="Arial" w:hAnsi="Arial"/>
          <w:sz w:val="17"/>
          <w:szCs w:val="17"/>
          <w:color w:val="auto"/>
        </w:rPr>
        <w:t>The following table presents a reconciliation of cash, cash equivalents, and restricted cash reported on the consolidated balance sheets that sum to the total of the amounts shown on the consolidated statements of cash flows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0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rPr>
              <w:t>December 31,</w:t>
            </w:r>
          </w:p>
        </w:tc>
        <w:tc>
          <w:tcPr>
            <w:tcW w:w="940" w:type="dxa"/>
            <w:vAlign w:val="bottom"/>
            <w:tcBorders>
              <w:bottom w:val="single" w:sz="8" w:color="auto"/>
            </w:tcBorders>
          </w:tcPr>
          <w:p>
            <w:pPr>
              <w:spacing w:after="0"/>
              <w:rPr>
                <w:sz w:val="22"/>
                <w:szCs w:val="22"/>
                <w:color w:val="auto"/>
              </w:rPr>
            </w:pPr>
          </w:p>
        </w:tc>
      </w:tr>
      <w:tr>
        <w:trPr>
          <w:trHeight w:val="260"/>
        </w:trPr>
        <w:tc>
          <w:tcPr>
            <w:tcW w:w="7000" w:type="dxa"/>
            <w:vAlign w:val="bottom"/>
            <w:tcBorders>
              <w:bottom w:val="single" w:sz="8" w:color="E6E6E6"/>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2024</w:t>
            </w:r>
          </w:p>
        </w:tc>
        <w:tc>
          <w:tcPr>
            <w:tcW w:w="80" w:type="dxa"/>
            <w:vAlign w:val="bottom"/>
            <w:tcBorders>
              <w:bottom w:val="single" w:sz="8" w:color="E6E6E6"/>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w w:val="85"/>
              </w:rPr>
              <w:t>2023</w:t>
            </w:r>
          </w:p>
        </w:tc>
      </w:tr>
      <w:tr>
        <w:trPr>
          <w:trHeight w:val="269"/>
        </w:trPr>
        <w:tc>
          <w:tcPr>
            <w:tcW w:w="7000" w:type="dxa"/>
            <w:vAlign w:val="bottom"/>
            <w:shd w:val="clear" w:color="auto" w:fill="E6E6E6"/>
          </w:tcPr>
          <w:p>
            <w:pPr>
              <w:ind w:left="40"/>
              <w:spacing w:after="0"/>
              <w:rPr>
                <w:sz w:val="20"/>
                <w:szCs w:val="20"/>
                <w:color w:val="auto"/>
              </w:rPr>
            </w:pPr>
            <w:r>
              <w:rPr>
                <w:rFonts w:ascii="Arial" w:cs="Arial" w:eastAsia="Arial" w:hAnsi="Arial"/>
                <w:sz w:val="20"/>
                <w:szCs w:val="20"/>
                <w:color w:val="auto"/>
              </w:rPr>
              <w:t>Cash and cash equivalents</w:t>
            </w:r>
          </w:p>
        </w:tc>
        <w:tc>
          <w:tcPr>
            <w:tcW w:w="360" w:type="dxa"/>
            <w:vAlign w:val="bottom"/>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428,858</w:t>
            </w:r>
          </w:p>
        </w:tc>
        <w:tc>
          <w:tcPr>
            <w:tcW w:w="620" w:type="dxa"/>
            <w:vAlign w:val="bottom"/>
            <w:gridSpan w:val="2"/>
            <w:shd w:val="clear" w:color="auto" w:fill="E6E6E6"/>
          </w:tcPr>
          <w:p>
            <w:pPr>
              <w:jc w:val="right"/>
              <w:ind w:right="282"/>
              <w:spacing w:after="0"/>
              <w:rPr>
                <w:sz w:val="20"/>
                <w:szCs w:val="20"/>
                <w:color w:val="auto"/>
              </w:rPr>
            </w:pPr>
            <w:r>
              <w:rPr>
                <w:rFonts w:ascii="Arial" w:cs="Arial" w:eastAsia="Arial" w:hAnsi="Arial"/>
                <w:sz w:val="20"/>
                <w:szCs w:val="20"/>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266,504</w:t>
            </w:r>
          </w:p>
        </w:tc>
      </w:tr>
      <w:tr>
        <w:trPr>
          <w:trHeight w:val="270"/>
        </w:trPr>
        <w:tc>
          <w:tcPr>
            <w:tcW w:w="7000" w:type="dxa"/>
            <w:vAlign w:val="bottom"/>
            <w:tcBorders>
              <w:bottom w:val="single" w:sz="8" w:color="E6E6E6"/>
            </w:tcBorders>
          </w:tcPr>
          <w:p>
            <w:pPr>
              <w:ind w:left="40"/>
              <w:spacing w:after="0" w:line="269" w:lineRule="exact"/>
              <w:rPr>
                <w:sz w:val="20"/>
                <w:szCs w:val="20"/>
                <w:color w:val="auto"/>
              </w:rPr>
            </w:pPr>
            <w:r>
              <w:rPr>
                <w:rFonts w:ascii="Arial" w:cs="Arial" w:eastAsia="Arial" w:hAnsi="Arial"/>
                <w:sz w:val="20"/>
                <w:szCs w:val="20"/>
                <w:color w:val="auto"/>
              </w:rPr>
              <w:t xml:space="preserve">Restricted cash </w:t>
            </w:r>
            <w:r>
              <w:rPr>
                <w:rFonts w:ascii="Arial" w:cs="Arial" w:eastAsia="Arial" w:hAnsi="Arial"/>
                <w:sz w:val="25"/>
                <w:szCs w:val="25"/>
                <w:color w:val="auto"/>
                <w:vertAlign w:val="superscript"/>
              </w:rPr>
              <w:t>(1)</w:t>
            </w: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294,698</w:t>
            </w:r>
          </w:p>
        </w:tc>
        <w:tc>
          <w:tcPr>
            <w:tcW w:w="80" w:type="dxa"/>
            <w:vAlign w:val="bottom"/>
            <w:tcBorders>
              <w:bottom w:val="single" w:sz="8" w:color="E6E6E6"/>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311,368</w:t>
            </w:r>
          </w:p>
        </w:tc>
      </w:tr>
      <w:tr>
        <w:trPr>
          <w:trHeight w:val="278"/>
        </w:trPr>
        <w:tc>
          <w:tcPr>
            <w:tcW w:w="700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723,556</w:t>
            </w:r>
          </w:p>
        </w:tc>
        <w:tc>
          <w:tcPr>
            <w:tcW w:w="80" w:type="dxa"/>
            <w:vAlign w:val="bottom"/>
            <w:tcBorders>
              <w:bottom w:val="single" w:sz="8" w:color="E6E6E6"/>
            </w:tcBorders>
            <w:shd w:val="clear" w:color="auto" w:fill="E6E6E6"/>
          </w:tcPr>
          <w:p>
            <w:pPr>
              <w:spacing w:after="0"/>
              <w:rPr>
                <w:sz w:val="24"/>
                <w:szCs w:val="24"/>
                <w:color w:val="auto"/>
              </w:rPr>
            </w:pPr>
          </w:p>
        </w:tc>
        <w:tc>
          <w:tcPr>
            <w:tcW w:w="540" w:type="dxa"/>
            <w:vAlign w:val="bottom"/>
            <w:tcBorders>
              <w:bottom w:val="single" w:sz="8" w:color="auto"/>
            </w:tcBorders>
            <w:shd w:val="clear" w:color="auto" w:fill="E6E6E6"/>
          </w:tcPr>
          <w:p>
            <w:pPr>
              <w:jc w:val="right"/>
              <w:ind w:right="282"/>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577,872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4435475</wp:posOffset>
            </wp:positionH>
            <wp:positionV relativeFrom="paragraph">
              <wp:posOffset>-562610</wp:posOffset>
            </wp:positionV>
            <wp:extent cx="195770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283">
                      <a:extLst>
                        <a:ext uri="{28A0092B-C50C-407E-A947-70E740481C1C}"/>
                      </a:extLst>
                    </a:blip>
                    <a:srcRect/>
                    <a:stretch>
                      <a:fillRect/>
                    </a:stretch>
                  </pic:blipFill>
                  <pic:spPr bwMode="auto">
                    <a:xfrm>
                      <a:off x="0" y="0"/>
                      <a:ext cx="1957705" cy="25400"/>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-208280</wp:posOffset>
            </wp:positionV>
            <wp:extent cx="195770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284">
                      <a:extLst>
                        <a:ext uri="{28A0092B-C50C-407E-A947-70E740481C1C}"/>
                      </a:extLst>
                    </a:blip>
                    <a:srcRect/>
                    <a:stretch>
                      <a:fillRect/>
                    </a:stretch>
                  </pic:blipFill>
                  <pic:spPr bwMode="auto">
                    <a:xfrm>
                      <a:off x="0" y="0"/>
                      <a:ext cx="1957705" cy="25400"/>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-43180</wp:posOffset>
            </wp:positionV>
            <wp:extent cx="1957705" cy="5016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285">
                      <a:extLst>
                        <a:ext uri="{28A0092B-C50C-407E-A947-70E740481C1C}"/>
                      </a:extLst>
                    </a:blip>
                    <a:srcRect/>
                    <a:stretch>
                      <a:fillRect/>
                    </a:stretch>
                  </pic:blipFill>
                  <pic:spPr bwMode="auto">
                    <a:xfrm>
                      <a:off x="0" y="0"/>
                      <a:ext cx="1957705" cy="50165"/>
                    </a:xfrm>
                    <a:prstGeom prst="rect">
                      <a:avLst/>
                    </a:prstGeom>
                    <a:noFill/>
                  </pic:spPr>
                </pic:pic>
              </a:graphicData>
            </a:graphic>
          </wp:anchor>
        </w:drawing>
      </w:r>
    </w:p>
    <w:p>
      <w:pPr>
        <w:spacing w:after="0" w:line="111" w:lineRule="exact"/>
        <w:rPr>
          <w:sz w:val="20"/>
          <w:szCs w:val="20"/>
          <w:color w:val="auto"/>
        </w:rPr>
      </w:pPr>
    </w:p>
    <w:p>
      <w:pPr>
        <w:ind w:left="700" w:hanging="355"/>
        <w:spacing w:after="0" w:line="230" w:lineRule="auto"/>
        <w:tabs>
          <w:tab w:leader="none" w:pos="70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Restricted cash represents funds held as collateral for the SNIA Litigation Guarantee. Refer to “Note 11. Commitments and Contingencies.”</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19. New Accounting Pronouncements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Adoption of New Accounting Pronouncements</w:t>
      </w:r>
    </w:p>
    <w:p>
      <w:pPr>
        <w:spacing w:after="0" w:line="140" w:lineRule="exact"/>
        <w:rPr>
          <w:sz w:val="20"/>
          <w:szCs w:val="20"/>
          <w:color w:val="auto"/>
        </w:rPr>
      </w:pPr>
    </w:p>
    <w:p>
      <w:pPr>
        <w:spacing w:after="0" w:line="284" w:lineRule="auto"/>
        <w:rPr>
          <w:sz w:val="20"/>
          <w:szCs w:val="20"/>
          <w:color w:val="auto"/>
        </w:rPr>
      </w:pPr>
      <w:r>
        <w:rPr>
          <w:rFonts w:ascii="Arial" w:cs="Arial" w:eastAsia="Arial" w:hAnsi="Arial"/>
          <w:sz w:val="20"/>
          <w:szCs w:val="20"/>
          <w:color w:val="auto"/>
        </w:rPr>
        <w:t>The following table presents a description of LivaNova’s adoption of a new ASU issued by the FASB and the impact of the adoption on the Company’s consolidated financial statements: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40" w:type="dxa"/>
            <w:vAlign w:val="bottom"/>
          </w:tcPr>
          <w:p>
            <w:pPr>
              <w:ind w:left="280"/>
              <w:spacing w:after="0"/>
              <w:rPr>
                <w:sz w:val="20"/>
                <w:szCs w:val="20"/>
                <w:color w:val="auto"/>
              </w:rPr>
            </w:pPr>
            <w:r>
              <w:rPr>
                <w:rFonts w:ascii="Arial" w:cs="Arial" w:eastAsia="Arial" w:hAnsi="Arial"/>
                <w:sz w:val="20"/>
                <w:szCs w:val="20"/>
                <w:b w:val="1"/>
                <w:bCs w:val="1"/>
                <w:color w:val="auto"/>
              </w:rPr>
              <w:t>Issue Date &amp;</w:t>
            </w:r>
          </w:p>
        </w:tc>
        <w:tc>
          <w:tcPr>
            <w:tcW w:w="80" w:type="dxa"/>
            <w:vAlign w:val="bottom"/>
          </w:tcPr>
          <w:p>
            <w:pPr>
              <w:spacing w:after="0"/>
              <w:rPr>
                <w:sz w:val="19"/>
                <w:szCs w:val="19"/>
                <w:color w:val="auto"/>
              </w:rPr>
            </w:pPr>
          </w:p>
        </w:tc>
        <w:tc>
          <w:tcPr>
            <w:tcW w:w="4060" w:type="dxa"/>
            <w:vAlign w:val="bottom"/>
            <w:vMerge w:val="restart"/>
          </w:tcPr>
          <w:p>
            <w:pPr>
              <w:ind w:left="1540"/>
              <w:spacing w:after="0"/>
              <w:rPr>
                <w:sz w:val="20"/>
                <w:szCs w:val="20"/>
                <w:color w:val="auto"/>
              </w:rPr>
            </w:pPr>
            <w:r>
              <w:rPr>
                <w:rFonts w:ascii="Arial" w:cs="Arial" w:eastAsia="Arial" w:hAnsi="Arial"/>
                <w:sz w:val="20"/>
                <w:szCs w:val="20"/>
                <w:b w:val="1"/>
                <w:bCs w:val="1"/>
                <w:color w:val="auto"/>
              </w:rPr>
              <w:t>Description</w:t>
            </w:r>
          </w:p>
        </w:tc>
        <w:tc>
          <w:tcPr>
            <w:tcW w:w="80" w:type="dxa"/>
            <w:vAlign w:val="bottom"/>
          </w:tcPr>
          <w:p>
            <w:pPr>
              <w:spacing w:after="0"/>
              <w:rPr>
                <w:sz w:val="19"/>
                <w:szCs w:val="19"/>
                <w:color w:val="auto"/>
              </w:rPr>
            </w:pPr>
          </w:p>
        </w:tc>
        <w:tc>
          <w:tcPr>
            <w:tcW w:w="2300" w:type="dxa"/>
            <w:vAlign w:val="bottom"/>
            <w:vMerge w:val="restart"/>
          </w:tcPr>
          <w:p>
            <w:pPr>
              <w:ind w:left="760"/>
              <w:spacing w:after="0"/>
              <w:rPr>
                <w:sz w:val="20"/>
                <w:szCs w:val="20"/>
                <w:color w:val="auto"/>
              </w:rPr>
            </w:pPr>
            <w:r>
              <w:rPr>
                <w:rFonts w:ascii="Arial" w:cs="Arial" w:eastAsia="Arial" w:hAnsi="Arial"/>
                <w:sz w:val="20"/>
                <w:szCs w:val="20"/>
                <w:b w:val="1"/>
                <w:bCs w:val="1"/>
                <w:color w:val="auto"/>
              </w:rPr>
              <w:t>Adoption</w:t>
            </w:r>
          </w:p>
        </w:tc>
        <w:tc>
          <w:tcPr>
            <w:tcW w:w="100" w:type="dxa"/>
            <w:vAlign w:val="bottom"/>
          </w:tcPr>
          <w:p>
            <w:pPr>
              <w:spacing w:after="0"/>
              <w:rPr>
                <w:sz w:val="19"/>
                <w:szCs w:val="19"/>
                <w:color w:val="auto"/>
              </w:rPr>
            </w:pPr>
          </w:p>
        </w:tc>
        <w:tc>
          <w:tcPr>
            <w:tcW w:w="1780" w:type="dxa"/>
            <w:vAlign w:val="bottom"/>
            <w:vMerge w:val="restart"/>
          </w:tcPr>
          <w:p>
            <w:pPr>
              <w:ind w:left="420"/>
              <w:spacing w:after="0"/>
              <w:rPr>
                <w:sz w:val="20"/>
                <w:szCs w:val="20"/>
                <w:color w:val="auto"/>
              </w:rPr>
            </w:pPr>
            <w:r>
              <w:rPr>
                <w:rFonts w:ascii="Arial" w:cs="Arial" w:eastAsia="Arial" w:hAnsi="Arial"/>
                <w:sz w:val="20"/>
                <w:szCs w:val="20"/>
                <w:b w:val="1"/>
                <w:bCs w:val="1"/>
                <w:color w:val="auto"/>
              </w:rPr>
              <w:t>Assessment</w:t>
            </w:r>
          </w:p>
        </w:tc>
        <w:tc>
          <w:tcPr>
            <w:tcW w:w="0" w:type="dxa"/>
            <w:vAlign w:val="bottom"/>
          </w:tcPr>
          <w:p>
            <w:pPr>
              <w:spacing w:after="0"/>
              <w:rPr>
                <w:sz w:val="1"/>
                <w:szCs w:val="1"/>
                <w:color w:val="auto"/>
              </w:rPr>
            </w:pPr>
          </w:p>
        </w:tc>
      </w:tr>
      <w:tr>
        <w:trPr>
          <w:trHeight w:val="258"/>
        </w:trPr>
        <w:tc>
          <w:tcPr>
            <w:tcW w:w="1640" w:type="dxa"/>
            <w:vAlign w:val="bottom"/>
            <w:tcBorders>
              <w:bottom w:val="single" w:sz="8" w:color="auto"/>
            </w:tcBorders>
          </w:tcPr>
          <w:p>
            <w:pPr>
              <w:ind w:left="420"/>
              <w:spacing w:after="0"/>
              <w:rPr>
                <w:sz w:val="20"/>
                <w:szCs w:val="20"/>
                <w:color w:val="auto"/>
              </w:rPr>
            </w:pPr>
            <w:r>
              <w:rPr>
                <w:rFonts w:ascii="Arial" w:cs="Arial" w:eastAsia="Arial" w:hAnsi="Arial"/>
                <w:sz w:val="20"/>
                <w:szCs w:val="20"/>
                <w:b w:val="1"/>
                <w:bCs w:val="1"/>
                <w:color w:val="auto"/>
              </w:rPr>
              <w:t>Standard</w:t>
            </w:r>
          </w:p>
        </w:tc>
        <w:tc>
          <w:tcPr>
            <w:tcW w:w="80" w:type="dxa"/>
            <w:vAlign w:val="bottom"/>
            <w:tcBorders>
              <w:bottom w:val="single" w:sz="8" w:color="E6E6E6"/>
            </w:tcBorders>
          </w:tcPr>
          <w:p>
            <w:pPr>
              <w:spacing w:after="0"/>
              <w:rPr>
                <w:sz w:val="22"/>
                <w:szCs w:val="22"/>
                <w:color w:val="auto"/>
              </w:rPr>
            </w:pPr>
          </w:p>
        </w:tc>
        <w:tc>
          <w:tcPr>
            <w:tcW w:w="406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23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E6E6E6"/>
            </w:tcBorders>
          </w:tcPr>
          <w:p>
            <w:pPr>
              <w:spacing w:after="0"/>
              <w:rPr>
                <w:sz w:val="22"/>
                <w:szCs w:val="22"/>
                <w:color w:val="auto"/>
              </w:rPr>
            </w:pPr>
          </w:p>
        </w:tc>
        <w:tc>
          <w:tcPr>
            <w:tcW w:w="17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7"/>
        </w:trPr>
        <w:tc>
          <w:tcPr>
            <w:tcW w:w="1640" w:type="dxa"/>
            <w:vAlign w:val="bottom"/>
            <w:shd w:val="clear" w:color="auto" w:fill="E6E6E6"/>
          </w:tcPr>
          <w:p>
            <w:pPr>
              <w:ind w:left="40"/>
              <w:spacing w:after="0" w:line="177" w:lineRule="exact"/>
              <w:rPr>
                <w:sz w:val="20"/>
                <w:szCs w:val="20"/>
                <w:color w:val="auto"/>
              </w:rPr>
            </w:pPr>
            <w:r>
              <w:rPr>
                <w:rFonts w:ascii="Arial" w:cs="Arial" w:eastAsia="Arial" w:hAnsi="Arial"/>
                <w:sz w:val="20"/>
                <w:szCs w:val="20"/>
                <w:color w:val="auto"/>
              </w:rPr>
              <w:t>November 2023</w:t>
            </w:r>
          </w:p>
        </w:tc>
        <w:tc>
          <w:tcPr>
            <w:tcW w:w="80" w:type="dxa"/>
            <w:vAlign w:val="bottom"/>
            <w:shd w:val="clear" w:color="auto" w:fill="E6E6E6"/>
          </w:tcPr>
          <w:p>
            <w:pPr>
              <w:spacing w:after="0"/>
              <w:rPr>
                <w:sz w:val="15"/>
                <w:szCs w:val="15"/>
                <w:color w:val="auto"/>
              </w:rPr>
            </w:pPr>
          </w:p>
        </w:tc>
        <w:tc>
          <w:tcPr>
            <w:tcW w:w="4060" w:type="dxa"/>
            <w:vAlign w:val="bottom"/>
            <w:shd w:val="clear" w:color="auto" w:fill="E6E6E6"/>
          </w:tcPr>
          <w:p>
            <w:pPr>
              <w:ind w:left="40"/>
              <w:spacing w:after="0" w:line="177" w:lineRule="exact"/>
              <w:rPr>
                <w:sz w:val="20"/>
                <w:szCs w:val="20"/>
                <w:color w:val="auto"/>
              </w:rPr>
            </w:pPr>
            <w:r>
              <w:rPr>
                <w:rFonts w:ascii="Arial" w:cs="Arial" w:eastAsia="Arial" w:hAnsi="Arial"/>
                <w:sz w:val="20"/>
                <w:szCs w:val="20"/>
                <w:color w:val="auto"/>
              </w:rPr>
              <w:t>This ASU expands public entities’ reportable</w:t>
            </w:r>
          </w:p>
        </w:tc>
        <w:tc>
          <w:tcPr>
            <w:tcW w:w="80" w:type="dxa"/>
            <w:vAlign w:val="bottom"/>
            <w:shd w:val="clear" w:color="auto" w:fill="E6E6E6"/>
          </w:tcPr>
          <w:p>
            <w:pPr>
              <w:spacing w:after="0"/>
              <w:rPr>
                <w:sz w:val="15"/>
                <w:szCs w:val="15"/>
                <w:color w:val="auto"/>
              </w:rPr>
            </w:pPr>
          </w:p>
        </w:tc>
        <w:tc>
          <w:tcPr>
            <w:tcW w:w="2300" w:type="dxa"/>
            <w:vAlign w:val="bottom"/>
            <w:shd w:val="clear" w:color="auto" w:fill="E6E6E6"/>
          </w:tcPr>
          <w:p>
            <w:pPr>
              <w:ind w:left="40"/>
              <w:spacing w:after="0" w:line="177" w:lineRule="exact"/>
              <w:rPr>
                <w:sz w:val="20"/>
                <w:szCs w:val="20"/>
                <w:color w:val="auto"/>
              </w:rPr>
            </w:pPr>
            <w:r>
              <w:rPr>
                <w:rFonts w:ascii="Arial" w:cs="Arial" w:eastAsia="Arial" w:hAnsi="Arial"/>
                <w:sz w:val="20"/>
                <w:szCs w:val="20"/>
                <w:color w:val="auto"/>
                <w:w w:val="99"/>
              </w:rPr>
              <w:t>Annual periods beginning</w:t>
            </w:r>
          </w:p>
        </w:tc>
        <w:tc>
          <w:tcPr>
            <w:tcW w:w="100" w:type="dxa"/>
            <w:vAlign w:val="bottom"/>
            <w:shd w:val="clear" w:color="auto" w:fill="E6E6E6"/>
          </w:tcPr>
          <w:p>
            <w:pPr>
              <w:spacing w:after="0"/>
              <w:rPr>
                <w:sz w:val="15"/>
                <w:szCs w:val="15"/>
                <w:color w:val="auto"/>
              </w:rPr>
            </w:pPr>
          </w:p>
        </w:tc>
        <w:tc>
          <w:tcPr>
            <w:tcW w:w="1780" w:type="dxa"/>
            <w:vAlign w:val="bottom"/>
            <w:shd w:val="clear" w:color="auto" w:fill="E6E6E6"/>
          </w:tcPr>
          <w:p>
            <w:pPr>
              <w:ind w:left="60"/>
              <w:spacing w:after="0" w:line="177" w:lineRule="exact"/>
              <w:rPr>
                <w:sz w:val="20"/>
                <w:szCs w:val="20"/>
                <w:color w:val="auto"/>
              </w:rPr>
            </w:pPr>
            <w:r>
              <w:rPr>
                <w:rFonts w:ascii="Arial" w:cs="Arial" w:eastAsia="Arial" w:hAnsi="Arial"/>
                <w:sz w:val="20"/>
                <w:szCs w:val="20"/>
                <w:color w:val="auto"/>
              </w:rPr>
              <w:t>There was no</w:t>
            </w:r>
          </w:p>
        </w:tc>
        <w:tc>
          <w:tcPr>
            <w:tcW w:w="0" w:type="dxa"/>
            <w:vAlign w:val="bottom"/>
          </w:tcPr>
          <w:p>
            <w:pPr>
              <w:spacing w:after="0"/>
              <w:rPr>
                <w:sz w:val="1"/>
                <w:szCs w:val="1"/>
                <w:color w:val="auto"/>
              </w:rPr>
            </w:pPr>
          </w:p>
        </w:tc>
      </w:tr>
      <w:tr>
        <w:trPr>
          <w:trHeight w:val="196"/>
        </w:trPr>
        <w:tc>
          <w:tcPr>
            <w:tcW w:w="1640" w:type="dxa"/>
            <w:vAlign w:val="bottom"/>
            <w:shd w:val="clear" w:color="auto" w:fill="E6E6E6"/>
          </w:tcPr>
          <w:p>
            <w:pPr>
              <w:ind w:left="40"/>
              <w:spacing w:after="0" w:line="196" w:lineRule="exact"/>
              <w:rPr>
                <w:sz w:val="20"/>
                <w:szCs w:val="20"/>
                <w:color w:val="auto"/>
              </w:rPr>
            </w:pPr>
            <w:r>
              <w:rPr>
                <w:rFonts w:ascii="Arial" w:cs="Arial" w:eastAsia="Arial" w:hAnsi="Arial"/>
                <w:sz w:val="20"/>
                <w:szCs w:val="20"/>
                <w:color w:val="auto"/>
                <w:w w:val="97"/>
              </w:rPr>
              <w:t>ASU No. 2023-07,</w:t>
            </w:r>
          </w:p>
        </w:tc>
        <w:tc>
          <w:tcPr>
            <w:tcW w:w="80" w:type="dxa"/>
            <w:vAlign w:val="bottom"/>
            <w:shd w:val="clear" w:color="auto" w:fill="E6E6E6"/>
          </w:tcPr>
          <w:p>
            <w:pPr>
              <w:spacing w:after="0"/>
              <w:rPr>
                <w:sz w:val="17"/>
                <w:szCs w:val="17"/>
                <w:color w:val="auto"/>
              </w:rPr>
            </w:pPr>
          </w:p>
        </w:tc>
        <w:tc>
          <w:tcPr>
            <w:tcW w:w="4060" w:type="dxa"/>
            <w:vAlign w:val="bottom"/>
            <w:shd w:val="clear" w:color="auto" w:fill="E6E6E6"/>
          </w:tcPr>
          <w:p>
            <w:pPr>
              <w:ind w:left="40"/>
              <w:spacing w:after="0" w:line="196" w:lineRule="exact"/>
              <w:rPr>
                <w:sz w:val="20"/>
                <w:szCs w:val="20"/>
                <w:color w:val="auto"/>
              </w:rPr>
            </w:pPr>
            <w:r>
              <w:rPr>
                <w:rFonts w:ascii="Arial" w:cs="Arial" w:eastAsia="Arial" w:hAnsi="Arial"/>
                <w:sz w:val="20"/>
                <w:szCs w:val="20"/>
                <w:color w:val="auto"/>
                <w:w w:val="97"/>
              </w:rPr>
              <w:t>segment disclosures by requiring disclosure of</w:t>
            </w:r>
          </w:p>
        </w:tc>
        <w:tc>
          <w:tcPr>
            <w:tcW w:w="80" w:type="dxa"/>
            <w:vAlign w:val="bottom"/>
            <w:shd w:val="clear" w:color="auto" w:fill="E6E6E6"/>
          </w:tcPr>
          <w:p>
            <w:pPr>
              <w:spacing w:after="0"/>
              <w:rPr>
                <w:sz w:val="17"/>
                <w:szCs w:val="17"/>
                <w:color w:val="auto"/>
              </w:rPr>
            </w:pPr>
          </w:p>
        </w:tc>
        <w:tc>
          <w:tcPr>
            <w:tcW w:w="2300" w:type="dxa"/>
            <w:vAlign w:val="bottom"/>
            <w:shd w:val="clear" w:color="auto" w:fill="E6E6E6"/>
          </w:tcPr>
          <w:p>
            <w:pPr>
              <w:ind w:left="40"/>
              <w:spacing w:after="0" w:line="196" w:lineRule="exact"/>
              <w:rPr>
                <w:sz w:val="20"/>
                <w:szCs w:val="20"/>
                <w:color w:val="auto"/>
              </w:rPr>
            </w:pPr>
            <w:r>
              <w:rPr>
                <w:rFonts w:ascii="Arial" w:cs="Arial" w:eastAsia="Arial" w:hAnsi="Arial"/>
                <w:sz w:val="20"/>
                <w:szCs w:val="20"/>
                <w:color w:val="auto"/>
              </w:rPr>
              <w:t>after December 15, 2023</w:t>
            </w:r>
          </w:p>
        </w:tc>
        <w:tc>
          <w:tcPr>
            <w:tcW w:w="100" w:type="dxa"/>
            <w:vAlign w:val="bottom"/>
            <w:shd w:val="clear" w:color="auto" w:fill="E6E6E6"/>
          </w:tcPr>
          <w:p>
            <w:pPr>
              <w:spacing w:after="0"/>
              <w:rPr>
                <w:sz w:val="17"/>
                <w:szCs w:val="17"/>
                <w:color w:val="auto"/>
              </w:rPr>
            </w:pPr>
          </w:p>
        </w:tc>
        <w:tc>
          <w:tcPr>
            <w:tcW w:w="1780" w:type="dxa"/>
            <w:vAlign w:val="bottom"/>
            <w:shd w:val="clear" w:color="auto" w:fill="E6E6E6"/>
          </w:tcPr>
          <w:p>
            <w:pPr>
              <w:ind w:left="60"/>
              <w:spacing w:after="0" w:line="196" w:lineRule="exact"/>
              <w:rPr>
                <w:sz w:val="20"/>
                <w:szCs w:val="20"/>
                <w:color w:val="auto"/>
              </w:rPr>
            </w:pPr>
            <w:r>
              <w:rPr>
                <w:rFonts w:ascii="Arial" w:cs="Arial" w:eastAsia="Arial" w:hAnsi="Arial"/>
                <w:sz w:val="20"/>
                <w:szCs w:val="20"/>
                <w:color w:val="auto"/>
              </w:rPr>
              <w:t>material impact to</w:t>
            </w:r>
          </w:p>
        </w:tc>
        <w:tc>
          <w:tcPr>
            <w:tcW w:w="0" w:type="dxa"/>
            <w:vAlign w:val="bottom"/>
          </w:tcPr>
          <w:p>
            <w:pPr>
              <w:spacing w:after="0"/>
              <w:rPr>
                <w:sz w:val="1"/>
                <w:szCs w:val="1"/>
                <w:color w:val="auto"/>
              </w:rPr>
            </w:pPr>
          </w:p>
        </w:tc>
      </w:tr>
      <w:tr>
        <w:trPr>
          <w:trHeight w:val="196"/>
        </w:trPr>
        <w:tc>
          <w:tcPr>
            <w:tcW w:w="1640" w:type="dxa"/>
            <w:vAlign w:val="bottom"/>
            <w:shd w:val="clear" w:color="auto" w:fill="E6E6E6"/>
          </w:tcPr>
          <w:p>
            <w:pPr>
              <w:ind w:left="40"/>
              <w:spacing w:after="0" w:line="196" w:lineRule="exact"/>
              <w:rPr>
                <w:sz w:val="20"/>
                <w:szCs w:val="20"/>
                <w:color w:val="auto"/>
              </w:rPr>
            </w:pPr>
            <w:r>
              <w:rPr>
                <w:rFonts w:ascii="Arial" w:cs="Arial" w:eastAsia="Arial" w:hAnsi="Arial"/>
                <w:sz w:val="20"/>
                <w:szCs w:val="20"/>
                <w:b w:val="1"/>
                <w:bCs w:val="1"/>
                <w:i w:val="1"/>
                <w:iCs w:val="1"/>
                <w:color w:val="auto"/>
                <w:w w:val="85"/>
              </w:rPr>
              <w:t>Segment Reporting</w:t>
            </w:r>
          </w:p>
        </w:tc>
        <w:tc>
          <w:tcPr>
            <w:tcW w:w="80" w:type="dxa"/>
            <w:vAlign w:val="bottom"/>
            <w:shd w:val="clear" w:color="auto" w:fill="E6E6E6"/>
          </w:tcPr>
          <w:p>
            <w:pPr>
              <w:spacing w:after="0"/>
              <w:rPr>
                <w:sz w:val="17"/>
                <w:szCs w:val="17"/>
                <w:color w:val="auto"/>
              </w:rPr>
            </w:pPr>
          </w:p>
        </w:tc>
        <w:tc>
          <w:tcPr>
            <w:tcW w:w="4060" w:type="dxa"/>
            <w:vAlign w:val="bottom"/>
            <w:shd w:val="clear" w:color="auto" w:fill="E6E6E6"/>
          </w:tcPr>
          <w:p>
            <w:pPr>
              <w:ind w:left="40"/>
              <w:spacing w:after="0" w:line="196" w:lineRule="exact"/>
              <w:rPr>
                <w:sz w:val="20"/>
                <w:szCs w:val="20"/>
                <w:color w:val="auto"/>
              </w:rPr>
            </w:pPr>
            <w:r>
              <w:rPr>
                <w:rFonts w:ascii="Arial" w:cs="Arial" w:eastAsia="Arial" w:hAnsi="Arial"/>
                <w:sz w:val="20"/>
                <w:szCs w:val="20"/>
                <w:color w:val="auto"/>
                <w:w w:val="95"/>
              </w:rPr>
              <w:t>significant segment expenses that are regularly</w:t>
            </w:r>
          </w:p>
        </w:tc>
        <w:tc>
          <w:tcPr>
            <w:tcW w:w="80" w:type="dxa"/>
            <w:vAlign w:val="bottom"/>
            <w:shd w:val="clear" w:color="auto" w:fill="E6E6E6"/>
          </w:tcPr>
          <w:p>
            <w:pPr>
              <w:spacing w:after="0"/>
              <w:rPr>
                <w:sz w:val="17"/>
                <w:szCs w:val="17"/>
                <w:color w:val="auto"/>
              </w:rPr>
            </w:pPr>
          </w:p>
        </w:tc>
        <w:tc>
          <w:tcPr>
            <w:tcW w:w="2300" w:type="dxa"/>
            <w:vAlign w:val="bottom"/>
            <w:shd w:val="clear" w:color="auto" w:fill="E6E6E6"/>
          </w:tcPr>
          <w:p>
            <w:pPr>
              <w:ind w:left="40"/>
              <w:spacing w:after="0" w:line="196" w:lineRule="exact"/>
              <w:rPr>
                <w:sz w:val="20"/>
                <w:szCs w:val="20"/>
                <w:color w:val="auto"/>
              </w:rPr>
            </w:pPr>
            <w:r>
              <w:rPr>
                <w:rFonts w:ascii="Arial" w:cs="Arial" w:eastAsia="Arial" w:hAnsi="Arial"/>
                <w:sz w:val="20"/>
                <w:szCs w:val="20"/>
                <w:color w:val="auto"/>
                <w:w w:val="98"/>
              </w:rPr>
              <w:t>and interim periods within</w:t>
            </w:r>
          </w:p>
        </w:tc>
        <w:tc>
          <w:tcPr>
            <w:tcW w:w="100" w:type="dxa"/>
            <w:vAlign w:val="bottom"/>
            <w:shd w:val="clear" w:color="auto" w:fill="E6E6E6"/>
          </w:tcPr>
          <w:p>
            <w:pPr>
              <w:spacing w:after="0"/>
              <w:rPr>
                <w:sz w:val="17"/>
                <w:szCs w:val="17"/>
                <w:color w:val="auto"/>
              </w:rPr>
            </w:pPr>
          </w:p>
        </w:tc>
        <w:tc>
          <w:tcPr>
            <w:tcW w:w="1780" w:type="dxa"/>
            <w:vAlign w:val="bottom"/>
            <w:shd w:val="clear" w:color="auto" w:fill="E6E6E6"/>
          </w:tcPr>
          <w:p>
            <w:pPr>
              <w:ind w:left="60"/>
              <w:spacing w:after="0" w:line="196" w:lineRule="exact"/>
              <w:rPr>
                <w:sz w:val="20"/>
                <w:szCs w:val="20"/>
                <w:color w:val="auto"/>
              </w:rPr>
            </w:pPr>
            <w:r>
              <w:rPr>
                <w:rFonts w:ascii="Arial" w:cs="Arial" w:eastAsia="Arial" w:hAnsi="Arial"/>
                <w:sz w:val="20"/>
                <w:szCs w:val="20"/>
                <w:color w:val="auto"/>
              </w:rPr>
              <w:t>LivaNova’s</w:t>
            </w:r>
          </w:p>
        </w:tc>
        <w:tc>
          <w:tcPr>
            <w:tcW w:w="0" w:type="dxa"/>
            <w:vAlign w:val="bottom"/>
          </w:tcPr>
          <w:p>
            <w:pPr>
              <w:spacing w:after="0"/>
              <w:rPr>
                <w:sz w:val="1"/>
                <w:szCs w:val="1"/>
                <w:color w:val="auto"/>
              </w:rPr>
            </w:pPr>
          </w:p>
        </w:tc>
      </w:tr>
      <w:tr>
        <w:trPr>
          <w:trHeight w:val="196"/>
        </w:trPr>
        <w:tc>
          <w:tcPr>
            <w:tcW w:w="1640" w:type="dxa"/>
            <w:vAlign w:val="bottom"/>
            <w:shd w:val="clear" w:color="auto" w:fill="E6E6E6"/>
          </w:tcPr>
          <w:p>
            <w:pPr>
              <w:ind w:left="40"/>
              <w:spacing w:after="0" w:line="196" w:lineRule="exact"/>
              <w:rPr>
                <w:sz w:val="20"/>
                <w:szCs w:val="20"/>
                <w:color w:val="auto"/>
              </w:rPr>
            </w:pPr>
            <w:r>
              <w:rPr>
                <w:rFonts w:ascii="Arial" w:cs="Arial" w:eastAsia="Arial" w:hAnsi="Arial"/>
                <w:sz w:val="20"/>
                <w:szCs w:val="20"/>
                <w:b w:val="1"/>
                <w:bCs w:val="1"/>
                <w:i w:val="1"/>
                <w:iCs w:val="1"/>
                <w:color w:val="auto"/>
              </w:rPr>
              <w:t>(Topic 280):</w:t>
            </w:r>
          </w:p>
        </w:tc>
        <w:tc>
          <w:tcPr>
            <w:tcW w:w="80" w:type="dxa"/>
            <w:vAlign w:val="bottom"/>
            <w:shd w:val="clear" w:color="auto" w:fill="E6E6E6"/>
          </w:tcPr>
          <w:p>
            <w:pPr>
              <w:spacing w:after="0"/>
              <w:rPr>
                <w:sz w:val="17"/>
                <w:szCs w:val="17"/>
                <w:color w:val="auto"/>
              </w:rPr>
            </w:pPr>
          </w:p>
        </w:tc>
        <w:tc>
          <w:tcPr>
            <w:tcW w:w="4060" w:type="dxa"/>
            <w:vAlign w:val="bottom"/>
            <w:shd w:val="clear" w:color="auto" w:fill="E6E6E6"/>
          </w:tcPr>
          <w:p>
            <w:pPr>
              <w:ind w:left="40"/>
              <w:spacing w:after="0" w:line="196" w:lineRule="exact"/>
              <w:rPr>
                <w:sz w:val="20"/>
                <w:szCs w:val="20"/>
                <w:color w:val="auto"/>
              </w:rPr>
            </w:pPr>
            <w:r>
              <w:rPr>
                <w:rFonts w:ascii="Arial" w:cs="Arial" w:eastAsia="Arial" w:hAnsi="Arial"/>
                <w:sz w:val="20"/>
                <w:szCs w:val="20"/>
                <w:color w:val="auto"/>
                <w:w w:val="94"/>
              </w:rPr>
              <w:t>provided to the CODM and included within each</w:t>
            </w:r>
          </w:p>
        </w:tc>
        <w:tc>
          <w:tcPr>
            <w:tcW w:w="80" w:type="dxa"/>
            <w:vAlign w:val="bottom"/>
            <w:shd w:val="clear" w:color="auto" w:fill="E6E6E6"/>
          </w:tcPr>
          <w:p>
            <w:pPr>
              <w:spacing w:after="0"/>
              <w:rPr>
                <w:sz w:val="17"/>
                <w:szCs w:val="17"/>
                <w:color w:val="auto"/>
              </w:rPr>
            </w:pPr>
          </w:p>
        </w:tc>
        <w:tc>
          <w:tcPr>
            <w:tcW w:w="2300" w:type="dxa"/>
            <w:vAlign w:val="bottom"/>
            <w:shd w:val="clear" w:color="auto" w:fill="E6E6E6"/>
          </w:tcPr>
          <w:p>
            <w:pPr>
              <w:ind w:left="40"/>
              <w:spacing w:after="0" w:line="196" w:lineRule="exact"/>
              <w:rPr>
                <w:sz w:val="20"/>
                <w:szCs w:val="20"/>
                <w:color w:val="auto"/>
              </w:rPr>
            </w:pPr>
            <w:r>
              <w:rPr>
                <w:rFonts w:ascii="Arial" w:cs="Arial" w:eastAsia="Arial" w:hAnsi="Arial"/>
                <w:sz w:val="20"/>
                <w:szCs w:val="20"/>
                <w:color w:val="auto"/>
                <w:w w:val="94"/>
              </w:rPr>
              <w:t>fiscal years beginning after</w:t>
            </w:r>
          </w:p>
        </w:tc>
        <w:tc>
          <w:tcPr>
            <w:tcW w:w="100" w:type="dxa"/>
            <w:vAlign w:val="bottom"/>
            <w:shd w:val="clear" w:color="auto" w:fill="E6E6E6"/>
          </w:tcPr>
          <w:p>
            <w:pPr>
              <w:spacing w:after="0"/>
              <w:rPr>
                <w:sz w:val="17"/>
                <w:szCs w:val="17"/>
                <w:color w:val="auto"/>
              </w:rPr>
            </w:pPr>
          </w:p>
        </w:tc>
        <w:tc>
          <w:tcPr>
            <w:tcW w:w="1780" w:type="dxa"/>
            <w:vAlign w:val="bottom"/>
            <w:shd w:val="clear" w:color="auto" w:fill="E6E6E6"/>
          </w:tcPr>
          <w:p>
            <w:pPr>
              <w:ind w:left="60"/>
              <w:spacing w:after="0" w:line="196" w:lineRule="exact"/>
              <w:rPr>
                <w:sz w:val="20"/>
                <w:szCs w:val="20"/>
                <w:color w:val="auto"/>
              </w:rPr>
            </w:pPr>
            <w:r>
              <w:rPr>
                <w:rFonts w:ascii="Arial" w:cs="Arial" w:eastAsia="Arial" w:hAnsi="Arial"/>
                <w:sz w:val="20"/>
                <w:szCs w:val="20"/>
                <w:color w:val="auto"/>
                <w:w w:val="98"/>
              </w:rPr>
              <w:t>reportable segment</w:t>
            </w:r>
          </w:p>
        </w:tc>
        <w:tc>
          <w:tcPr>
            <w:tcW w:w="0" w:type="dxa"/>
            <w:vAlign w:val="bottom"/>
          </w:tcPr>
          <w:p>
            <w:pPr>
              <w:spacing w:after="0"/>
              <w:rPr>
                <w:sz w:val="1"/>
                <w:szCs w:val="1"/>
                <w:color w:val="auto"/>
              </w:rPr>
            </w:pPr>
          </w:p>
        </w:tc>
      </w:tr>
      <w:tr>
        <w:trPr>
          <w:trHeight w:val="196"/>
        </w:trPr>
        <w:tc>
          <w:tcPr>
            <w:tcW w:w="1640" w:type="dxa"/>
            <w:vAlign w:val="bottom"/>
            <w:shd w:val="clear" w:color="auto" w:fill="E6E6E6"/>
          </w:tcPr>
          <w:p>
            <w:pPr>
              <w:ind w:left="40"/>
              <w:spacing w:after="0" w:line="196" w:lineRule="exact"/>
              <w:rPr>
                <w:sz w:val="20"/>
                <w:szCs w:val="20"/>
                <w:color w:val="auto"/>
              </w:rPr>
            </w:pPr>
            <w:r>
              <w:rPr>
                <w:rFonts w:ascii="Arial" w:cs="Arial" w:eastAsia="Arial" w:hAnsi="Arial"/>
                <w:sz w:val="20"/>
                <w:szCs w:val="20"/>
                <w:b w:val="1"/>
                <w:bCs w:val="1"/>
                <w:i w:val="1"/>
                <w:iCs w:val="1"/>
                <w:color w:val="auto"/>
                <w:w w:val="98"/>
              </w:rPr>
              <w:t>Improvements to</w:t>
            </w:r>
          </w:p>
        </w:tc>
        <w:tc>
          <w:tcPr>
            <w:tcW w:w="80" w:type="dxa"/>
            <w:vAlign w:val="bottom"/>
            <w:shd w:val="clear" w:color="auto" w:fill="E6E6E6"/>
          </w:tcPr>
          <w:p>
            <w:pPr>
              <w:spacing w:after="0"/>
              <w:rPr>
                <w:sz w:val="17"/>
                <w:szCs w:val="17"/>
                <w:color w:val="auto"/>
              </w:rPr>
            </w:pPr>
          </w:p>
        </w:tc>
        <w:tc>
          <w:tcPr>
            <w:tcW w:w="4060" w:type="dxa"/>
            <w:vAlign w:val="bottom"/>
            <w:shd w:val="clear" w:color="auto" w:fill="E6E6E6"/>
          </w:tcPr>
          <w:p>
            <w:pPr>
              <w:ind w:left="40"/>
              <w:spacing w:after="0" w:line="196" w:lineRule="exact"/>
              <w:rPr>
                <w:sz w:val="20"/>
                <w:szCs w:val="20"/>
                <w:color w:val="auto"/>
              </w:rPr>
            </w:pPr>
            <w:r>
              <w:rPr>
                <w:rFonts w:ascii="Arial" w:cs="Arial" w:eastAsia="Arial" w:hAnsi="Arial"/>
                <w:sz w:val="20"/>
                <w:szCs w:val="20"/>
                <w:color w:val="auto"/>
                <w:w w:val="96"/>
              </w:rPr>
              <w:t>reported measure of segment profit or loss, the</w:t>
            </w:r>
          </w:p>
        </w:tc>
        <w:tc>
          <w:tcPr>
            <w:tcW w:w="80" w:type="dxa"/>
            <w:vAlign w:val="bottom"/>
            <w:shd w:val="clear" w:color="auto" w:fill="E6E6E6"/>
          </w:tcPr>
          <w:p>
            <w:pPr>
              <w:spacing w:after="0"/>
              <w:rPr>
                <w:sz w:val="17"/>
                <w:szCs w:val="17"/>
                <w:color w:val="auto"/>
              </w:rPr>
            </w:pPr>
          </w:p>
        </w:tc>
        <w:tc>
          <w:tcPr>
            <w:tcW w:w="2300" w:type="dxa"/>
            <w:vAlign w:val="bottom"/>
            <w:shd w:val="clear" w:color="auto" w:fill="E6E6E6"/>
          </w:tcPr>
          <w:p>
            <w:pPr>
              <w:ind w:left="40"/>
              <w:spacing w:after="0" w:line="196" w:lineRule="exact"/>
              <w:rPr>
                <w:sz w:val="20"/>
                <w:szCs w:val="20"/>
                <w:color w:val="auto"/>
              </w:rPr>
            </w:pPr>
            <w:r>
              <w:rPr>
                <w:rFonts w:ascii="Arial" w:cs="Arial" w:eastAsia="Arial" w:hAnsi="Arial"/>
                <w:sz w:val="20"/>
                <w:szCs w:val="20"/>
                <w:color w:val="auto"/>
                <w:w w:val="99"/>
              </w:rPr>
              <w:t>December 15, 2024, on a</w:t>
            </w:r>
          </w:p>
        </w:tc>
        <w:tc>
          <w:tcPr>
            <w:tcW w:w="100" w:type="dxa"/>
            <w:vAlign w:val="bottom"/>
            <w:shd w:val="clear" w:color="auto" w:fill="E6E6E6"/>
          </w:tcPr>
          <w:p>
            <w:pPr>
              <w:spacing w:after="0"/>
              <w:rPr>
                <w:sz w:val="17"/>
                <w:szCs w:val="17"/>
                <w:color w:val="auto"/>
              </w:rPr>
            </w:pPr>
          </w:p>
        </w:tc>
        <w:tc>
          <w:tcPr>
            <w:tcW w:w="1780" w:type="dxa"/>
            <w:vAlign w:val="bottom"/>
            <w:shd w:val="clear" w:color="auto" w:fill="E6E6E6"/>
          </w:tcPr>
          <w:p>
            <w:pPr>
              <w:ind w:left="60"/>
              <w:spacing w:after="0" w:line="196" w:lineRule="exact"/>
              <w:rPr>
                <w:sz w:val="20"/>
                <w:szCs w:val="20"/>
                <w:color w:val="auto"/>
              </w:rPr>
            </w:pPr>
            <w:r>
              <w:rPr>
                <w:rFonts w:ascii="Arial" w:cs="Arial" w:eastAsia="Arial" w:hAnsi="Arial"/>
                <w:sz w:val="20"/>
                <w:szCs w:val="20"/>
                <w:color w:val="auto"/>
              </w:rPr>
              <w:t>disclosures as a</w:t>
            </w:r>
          </w:p>
        </w:tc>
        <w:tc>
          <w:tcPr>
            <w:tcW w:w="0" w:type="dxa"/>
            <w:vAlign w:val="bottom"/>
          </w:tcPr>
          <w:p>
            <w:pPr>
              <w:spacing w:after="0"/>
              <w:rPr>
                <w:sz w:val="1"/>
                <w:szCs w:val="1"/>
                <w:color w:val="auto"/>
              </w:rPr>
            </w:pPr>
          </w:p>
        </w:tc>
      </w:tr>
      <w:tr>
        <w:trPr>
          <w:trHeight w:val="196"/>
        </w:trPr>
        <w:tc>
          <w:tcPr>
            <w:tcW w:w="1640" w:type="dxa"/>
            <w:vAlign w:val="bottom"/>
            <w:shd w:val="clear" w:color="auto" w:fill="E6E6E6"/>
          </w:tcPr>
          <w:p>
            <w:pPr>
              <w:ind w:left="40"/>
              <w:spacing w:after="0" w:line="196" w:lineRule="exact"/>
              <w:rPr>
                <w:sz w:val="20"/>
                <w:szCs w:val="20"/>
                <w:color w:val="auto"/>
              </w:rPr>
            </w:pPr>
            <w:r>
              <w:rPr>
                <w:rFonts w:ascii="Arial" w:cs="Arial" w:eastAsia="Arial" w:hAnsi="Arial"/>
                <w:sz w:val="20"/>
                <w:szCs w:val="20"/>
                <w:b w:val="1"/>
                <w:bCs w:val="1"/>
                <w:i w:val="1"/>
                <w:iCs w:val="1"/>
                <w:color w:val="auto"/>
              </w:rPr>
              <w:t>Reportable</w:t>
            </w:r>
          </w:p>
        </w:tc>
        <w:tc>
          <w:tcPr>
            <w:tcW w:w="80" w:type="dxa"/>
            <w:vAlign w:val="bottom"/>
            <w:shd w:val="clear" w:color="auto" w:fill="E6E6E6"/>
          </w:tcPr>
          <w:p>
            <w:pPr>
              <w:spacing w:after="0"/>
              <w:rPr>
                <w:sz w:val="17"/>
                <w:szCs w:val="17"/>
                <w:color w:val="auto"/>
              </w:rPr>
            </w:pPr>
          </w:p>
        </w:tc>
        <w:tc>
          <w:tcPr>
            <w:tcW w:w="4060" w:type="dxa"/>
            <w:vAlign w:val="bottom"/>
            <w:shd w:val="clear" w:color="auto" w:fill="E6E6E6"/>
          </w:tcPr>
          <w:p>
            <w:pPr>
              <w:ind w:left="40"/>
              <w:spacing w:after="0" w:line="196" w:lineRule="exact"/>
              <w:rPr>
                <w:sz w:val="20"/>
                <w:szCs w:val="20"/>
                <w:color w:val="auto"/>
              </w:rPr>
            </w:pPr>
            <w:r>
              <w:rPr>
                <w:rFonts w:ascii="Arial" w:cs="Arial" w:eastAsia="Arial" w:hAnsi="Arial"/>
                <w:sz w:val="20"/>
                <w:szCs w:val="20"/>
                <w:color w:val="auto"/>
                <w:w w:val="94"/>
              </w:rPr>
              <w:t>amount and description of other segment items,</w:t>
            </w:r>
          </w:p>
        </w:tc>
        <w:tc>
          <w:tcPr>
            <w:tcW w:w="80" w:type="dxa"/>
            <w:vAlign w:val="bottom"/>
            <w:shd w:val="clear" w:color="auto" w:fill="E6E6E6"/>
          </w:tcPr>
          <w:p>
            <w:pPr>
              <w:spacing w:after="0"/>
              <w:rPr>
                <w:sz w:val="17"/>
                <w:szCs w:val="17"/>
                <w:color w:val="auto"/>
              </w:rPr>
            </w:pPr>
          </w:p>
        </w:tc>
        <w:tc>
          <w:tcPr>
            <w:tcW w:w="2300" w:type="dxa"/>
            <w:vAlign w:val="bottom"/>
            <w:shd w:val="clear" w:color="auto" w:fill="E6E6E6"/>
          </w:tcPr>
          <w:p>
            <w:pPr>
              <w:ind w:left="40"/>
              <w:spacing w:after="0" w:line="196" w:lineRule="exact"/>
              <w:rPr>
                <w:sz w:val="20"/>
                <w:szCs w:val="20"/>
                <w:color w:val="auto"/>
              </w:rPr>
            </w:pPr>
            <w:r>
              <w:rPr>
                <w:rFonts w:ascii="Arial" w:cs="Arial" w:eastAsia="Arial" w:hAnsi="Arial"/>
                <w:sz w:val="20"/>
                <w:szCs w:val="20"/>
                <w:color w:val="auto"/>
              </w:rPr>
              <w:t>retrospective basis.</w:t>
            </w:r>
          </w:p>
        </w:tc>
        <w:tc>
          <w:tcPr>
            <w:tcW w:w="100" w:type="dxa"/>
            <w:vAlign w:val="bottom"/>
            <w:shd w:val="clear" w:color="auto" w:fill="E6E6E6"/>
          </w:tcPr>
          <w:p>
            <w:pPr>
              <w:spacing w:after="0"/>
              <w:rPr>
                <w:sz w:val="17"/>
                <w:szCs w:val="17"/>
                <w:color w:val="auto"/>
              </w:rPr>
            </w:pPr>
          </w:p>
        </w:tc>
        <w:tc>
          <w:tcPr>
            <w:tcW w:w="1780" w:type="dxa"/>
            <w:vAlign w:val="bottom"/>
            <w:shd w:val="clear" w:color="auto" w:fill="E6E6E6"/>
          </w:tcPr>
          <w:p>
            <w:pPr>
              <w:ind w:left="60"/>
              <w:spacing w:after="0" w:line="196" w:lineRule="exact"/>
              <w:rPr>
                <w:sz w:val="20"/>
                <w:szCs w:val="20"/>
                <w:color w:val="auto"/>
              </w:rPr>
            </w:pPr>
            <w:r>
              <w:rPr>
                <w:rFonts w:ascii="Arial" w:cs="Arial" w:eastAsia="Arial" w:hAnsi="Arial"/>
                <w:sz w:val="20"/>
                <w:szCs w:val="20"/>
                <w:color w:val="auto"/>
              </w:rPr>
              <w:t>result of adopting</w:t>
            </w:r>
          </w:p>
        </w:tc>
        <w:tc>
          <w:tcPr>
            <w:tcW w:w="0" w:type="dxa"/>
            <w:vAlign w:val="bottom"/>
          </w:tcPr>
          <w:p>
            <w:pPr>
              <w:spacing w:after="0"/>
              <w:rPr>
                <w:sz w:val="1"/>
                <w:szCs w:val="1"/>
                <w:color w:val="auto"/>
              </w:rPr>
            </w:pPr>
          </w:p>
        </w:tc>
      </w:tr>
      <w:tr>
        <w:trPr>
          <w:trHeight w:val="196"/>
        </w:trPr>
        <w:tc>
          <w:tcPr>
            <w:tcW w:w="1640" w:type="dxa"/>
            <w:vAlign w:val="bottom"/>
            <w:shd w:val="clear" w:color="auto" w:fill="E6E6E6"/>
          </w:tcPr>
          <w:p>
            <w:pPr>
              <w:ind w:left="40"/>
              <w:spacing w:after="0" w:line="196" w:lineRule="exact"/>
              <w:rPr>
                <w:sz w:val="20"/>
                <w:szCs w:val="20"/>
                <w:color w:val="auto"/>
              </w:rPr>
            </w:pPr>
            <w:r>
              <w:rPr>
                <w:rFonts w:ascii="Arial" w:cs="Arial" w:eastAsia="Arial" w:hAnsi="Arial"/>
                <w:sz w:val="20"/>
                <w:szCs w:val="20"/>
                <w:b w:val="1"/>
                <w:bCs w:val="1"/>
                <w:i w:val="1"/>
                <w:iCs w:val="1"/>
                <w:color w:val="auto"/>
              </w:rPr>
              <w:t>Segment</w:t>
            </w:r>
          </w:p>
        </w:tc>
        <w:tc>
          <w:tcPr>
            <w:tcW w:w="80" w:type="dxa"/>
            <w:vAlign w:val="bottom"/>
            <w:shd w:val="clear" w:color="auto" w:fill="E6E6E6"/>
          </w:tcPr>
          <w:p>
            <w:pPr>
              <w:spacing w:after="0"/>
              <w:rPr>
                <w:sz w:val="17"/>
                <w:szCs w:val="17"/>
                <w:color w:val="auto"/>
              </w:rPr>
            </w:pPr>
          </w:p>
        </w:tc>
        <w:tc>
          <w:tcPr>
            <w:tcW w:w="4060" w:type="dxa"/>
            <w:vAlign w:val="bottom"/>
            <w:shd w:val="clear" w:color="auto" w:fill="E6E6E6"/>
          </w:tcPr>
          <w:p>
            <w:pPr>
              <w:ind w:left="40"/>
              <w:spacing w:after="0" w:line="196" w:lineRule="exact"/>
              <w:rPr>
                <w:sz w:val="20"/>
                <w:szCs w:val="20"/>
                <w:color w:val="auto"/>
              </w:rPr>
            </w:pPr>
            <w:r>
              <w:rPr>
                <w:rFonts w:ascii="Arial" w:cs="Arial" w:eastAsia="Arial" w:hAnsi="Arial"/>
                <w:sz w:val="20"/>
                <w:szCs w:val="20"/>
                <w:color w:val="auto"/>
              </w:rPr>
              <w:t>and the title and position of the Company’s</w:t>
            </w:r>
          </w:p>
        </w:tc>
        <w:tc>
          <w:tcPr>
            <w:tcW w:w="80" w:type="dxa"/>
            <w:vAlign w:val="bottom"/>
            <w:shd w:val="clear" w:color="auto" w:fill="E6E6E6"/>
          </w:tcPr>
          <w:p>
            <w:pPr>
              <w:spacing w:after="0"/>
              <w:rPr>
                <w:sz w:val="17"/>
                <w:szCs w:val="17"/>
                <w:color w:val="auto"/>
              </w:rPr>
            </w:pPr>
          </w:p>
        </w:tc>
        <w:tc>
          <w:tcPr>
            <w:tcW w:w="230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1780" w:type="dxa"/>
            <w:vAlign w:val="bottom"/>
            <w:shd w:val="clear" w:color="auto" w:fill="E6E6E6"/>
          </w:tcPr>
          <w:p>
            <w:pPr>
              <w:ind w:left="60"/>
              <w:spacing w:after="0" w:line="196" w:lineRule="exact"/>
              <w:rPr>
                <w:sz w:val="20"/>
                <w:szCs w:val="20"/>
                <w:color w:val="auto"/>
              </w:rPr>
            </w:pPr>
            <w:r>
              <w:rPr>
                <w:rFonts w:ascii="Arial" w:cs="Arial" w:eastAsia="Arial" w:hAnsi="Arial"/>
                <w:sz w:val="20"/>
                <w:szCs w:val="20"/>
                <w:color w:val="auto"/>
              </w:rPr>
              <w:t>this ASU.</w:t>
            </w:r>
          </w:p>
        </w:tc>
        <w:tc>
          <w:tcPr>
            <w:tcW w:w="0" w:type="dxa"/>
            <w:vAlign w:val="bottom"/>
          </w:tcPr>
          <w:p>
            <w:pPr>
              <w:spacing w:after="0"/>
              <w:rPr>
                <w:sz w:val="1"/>
                <w:szCs w:val="1"/>
                <w:color w:val="auto"/>
              </w:rPr>
            </w:pPr>
          </w:p>
        </w:tc>
      </w:tr>
      <w:tr>
        <w:trPr>
          <w:trHeight w:val="196"/>
        </w:trPr>
        <w:tc>
          <w:tcPr>
            <w:tcW w:w="1640" w:type="dxa"/>
            <w:vAlign w:val="bottom"/>
            <w:shd w:val="clear" w:color="auto" w:fill="E6E6E6"/>
          </w:tcPr>
          <w:p>
            <w:pPr>
              <w:ind w:left="40"/>
              <w:spacing w:after="0" w:line="196" w:lineRule="exact"/>
              <w:rPr>
                <w:sz w:val="20"/>
                <w:szCs w:val="20"/>
                <w:color w:val="auto"/>
              </w:rPr>
            </w:pPr>
            <w:r>
              <w:rPr>
                <w:rFonts w:ascii="Arial" w:cs="Arial" w:eastAsia="Arial" w:hAnsi="Arial"/>
                <w:sz w:val="20"/>
                <w:szCs w:val="20"/>
                <w:b w:val="1"/>
                <w:bCs w:val="1"/>
                <w:i w:val="1"/>
                <w:iCs w:val="1"/>
                <w:color w:val="auto"/>
              </w:rPr>
              <w:t>Disclosures</w:t>
            </w:r>
          </w:p>
        </w:tc>
        <w:tc>
          <w:tcPr>
            <w:tcW w:w="80" w:type="dxa"/>
            <w:vAlign w:val="bottom"/>
            <w:shd w:val="clear" w:color="auto" w:fill="E6E6E6"/>
          </w:tcPr>
          <w:p>
            <w:pPr>
              <w:spacing w:after="0"/>
              <w:rPr>
                <w:sz w:val="17"/>
                <w:szCs w:val="17"/>
                <w:color w:val="auto"/>
              </w:rPr>
            </w:pPr>
          </w:p>
        </w:tc>
        <w:tc>
          <w:tcPr>
            <w:tcW w:w="4060" w:type="dxa"/>
            <w:vAlign w:val="bottom"/>
            <w:shd w:val="clear" w:color="auto" w:fill="E6E6E6"/>
          </w:tcPr>
          <w:p>
            <w:pPr>
              <w:ind w:left="40"/>
              <w:spacing w:after="0" w:line="196" w:lineRule="exact"/>
              <w:rPr>
                <w:sz w:val="20"/>
                <w:szCs w:val="20"/>
                <w:color w:val="auto"/>
              </w:rPr>
            </w:pPr>
            <w:r>
              <w:rPr>
                <w:rFonts w:ascii="Arial" w:cs="Arial" w:eastAsia="Arial" w:hAnsi="Arial"/>
                <w:sz w:val="20"/>
                <w:szCs w:val="20"/>
                <w:color w:val="auto"/>
              </w:rPr>
              <w:t>CODM, as well as an explanation of how the</w:t>
            </w:r>
          </w:p>
        </w:tc>
        <w:tc>
          <w:tcPr>
            <w:tcW w:w="80" w:type="dxa"/>
            <w:vAlign w:val="bottom"/>
            <w:shd w:val="clear" w:color="auto" w:fill="E6E6E6"/>
          </w:tcPr>
          <w:p>
            <w:pPr>
              <w:spacing w:after="0"/>
              <w:rPr>
                <w:sz w:val="17"/>
                <w:szCs w:val="17"/>
                <w:color w:val="auto"/>
              </w:rPr>
            </w:pPr>
          </w:p>
        </w:tc>
        <w:tc>
          <w:tcPr>
            <w:tcW w:w="230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178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4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4060" w:type="dxa"/>
            <w:vAlign w:val="bottom"/>
            <w:shd w:val="clear" w:color="auto" w:fill="E6E6E6"/>
          </w:tcPr>
          <w:p>
            <w:pPr>
              <w:ind w:left="40"/>
              <w:spacing w:after="0" w:line="196" w:lineRule="exact"/>
              <w:rPr>
                <w:sz w:val="20"/>
                <w:szCs w:val="20"/>
                <w:color w:val="auto"/>
              </w:rPr>
            </w:pPr>
            <w:r>
              <w:rPr>
                <w:rFonts w:ascii="Arial" w:cs="Arial" w:eastAsia="Arial" w:hAnsi="Arial"/>
                <w:sz w:val="20"/>
                <w:szCs w:val="20"/>
                <w:color w:val="auto"/>
                <w:w w:val="90"/>
              </w:rPr>
              <w:t>CODM uses the Company’s reported measures of</w:t>
            </w:r>
          </w:p>
        </w:tc>
        <w:tc>
          <w:tcPr>
            <w:tcW w:w="80" w:type="dxa"/>
            <w:vAlign w:val="bottom"/>
            <w:shd w:val="clear" w:color="auto" w:fill="E6E6E6"/>
          </w:tcPr>
          <w:p>
            <w:pPr>
              <w:spacing w:after="0"/>
              <w:rPr>
                <w:sz w:val="17"/>
                <w:szCs w:val="17"/>
                <w:color w:val="auto"/>
              </w:rPr>
            </w:pPr>
          </w:p>
        </w:tc>
        <w:tc>
          <w:tcPr>
            <w:tcW w:w="230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178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4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4060" w:type="dxa"/>
            <w:vAlign w:val="bottom"/>
            <w:shd w:val="clear" w:color="auto" w:fill="E6E6E6"/>
          </w:tcPr>
          <w:p>
            <w:pPr>
              <w:ind w:left="40"/>
              <w:spacing w:after="0" w:line="196" w:lineRule="exact"/>
              <w:rPr>
                <w:sz w:val="20"/>
                <w:szCs w:val="20"/>
                <w:color w:val="auto"/>
              </w:rPr>
            </w:pPr>
            <w:r>
              <w:rPr>
                <w:rFonts w:ascii="Arial" w:cs="Arial" w:eastAsia="Arial" w:hAnsi="Arial"/>
                <w:sz w:val="20"/>
                <w:szCs w:val="20"/>
                <w:color w:val="auto"/>
              </w:rPr>
              <w:t>segment profit or loss in assessing segment</w:t>
            </w:r>
          </w:p>
        </w:tc>
        <w:tc>
          <w:tcPr>
            <w:tcW w:w="80" w:type="dxa"/>
            <w:vAlign w:val="bottom"/>
            <w:shd w:val="clear" w:color="auto" w:fill="E6E6E6"/>
          </w:tcPr>
          <w:p>
            <w:pPr>
              <w:spacing w:after="0"/>
              <w:rPr>
                <w:sz w:val="17"/>
                <w:szCs w:val="17"/>
                <w:color w:val="auto"/>
              </w:rPr>
            </w:pPr>
          </w:p>
        </w:tc>
        <w:tc>
          <w:tcPr>
            <w:tcW w:w="230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178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4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4060" w:type="dxa"/>
            <w:vAlign w:val="bottom"/>
            <w:shd w:val="clear" w:color="auto" w:fill="E6E6E6"/>
          </w:tcPr>
          <w:p>
            <w:pPr>
              <w:ind w:left="40"/>
              <w:spacing w:after="0" w:line="196" w:lineRule="exact"/>
              <w:rPr>
                <w:sz w:val="20"/>
                <w:szCs w:val="20"/>
                <w:color w:val="auto"/>
              </w:rPr>
            </w:pPr>
            <w:r>
              <w:rPr>
                <w:rFonts w:ascii="Arial" w:cs="Arial" w:eastAsia="Arial" w:hAnsi="Arial"/>
                <w:sz w:val="20"/>
                <w:szCs w:val="20"/>
                <w:color w:val="auto"/>
              </w:rPr>
              <w:t>performance and deciding how to allocate</w:t>
            </w:r>
          </w:p>
        </w:tc>
        <w:tc>
          <w:tcPr>
            <w:tcW w:w="80" w:type="dxa"/>
            <w:vAlign w:val="bottom"/>
            <w:shd w:val="clear" w:color="auto" w:fill="E6E6E6"/>
          </w:tcPr>
          <w:p>
            <w:pPr>
              <w:spacing w:after="0"/>
              <w:rPr>
                <w:sz w:val="17"/>
                <w:szCs w:val="17"/>
                <w:color w:val="auto"/>
              </w:rPr>
            </w:pPr>
          </w:p>
        </w:tc>
        <w:tc>
          <w:tcPr>
            <w:tcW w:w="230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178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64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4060" w:type="dxa"/>
            <w:vAlign w:val="bottom"/>
            <w:shd w:val="clear" w:color="auto" w:fill="E6E6E6"/>
          </w:tcPr>
          <w:p>
            <w:pPr>
              <w:ind w:left="40"/>
              <w:spacing w:after="0"/>
              <w:rPr>
                <w:sz w:val="20"/>
                <w:szCs w:val="20"/>
                <w:color w:val="auto"/>
              </w:rPr>
            </w:pPr>
            <w:r>
              <w:rPr>
                <w:rFonts w:ascii="Arial" w:cs="Arial" w:eastAsia="Arial" w:hAnsi="Arial"/>
                <w:sz w:val="20"/>
                <w:szCs w:val="20"/>
                <w:color w:val="auto"/>
              </w:rPr>
              <w:t>resources.</w:t>
            </w:r>
          </w:p>
        </w:tc>
        <w:tc>
          <w:tcPr>
            <w:tcW w:w="80" w:type="dxa"/>
            <w:vAlign w:val="bottom"/>
            <w:shd w:val="clear" w:color="auto" w:fill="E6E6E6"/>
          </w:tcPr>
          <w:p>
            <w:pPr>
              <w:spacing w:after="0"/>
              <w:rPr>
                <w:sz w:val="22"/>
                <w:szCs w:val="22"/>
                <w:color w:val="auto"/>
              </w:rPr>
            </w:pPr>
          </w:p>
        </w:tc>
        <w:tc>
          <w:tcPr>
            <w:tcW w:w="2300" w:type="dxa"/>
            <w:vAlign w:val="bottom"/>
            <w:shd w:val="clear" w:color="auto" w:fill="E6E6E6"/>
          </w:tcPr>
          <w:p>
            <w:pPr>
              <w:spacing w:after="0"/>
              <w:rPr>
                <w:sz w:val="22"/>
                <w:szCs w:val="22"/>
                <w:color w:val="auto"/>
              </w:rPr>
            </w:pPr>
          </w:p>
        </w:tc>
        <w:tc>
          <w:tcPr>
            <w:tcW w:w="100" w:type="dxa"/>
            <w:vAlign w:val="bottom"/>
            <w:shd w:val="clear" w:color="auto" w:fill="E6E6E6"/>
          </w:tcPr>
          <w:p>
            <w:pPr>
              <w:spacing w:after="0"/>
              <w:rPr>
                <w:sz w:val="22"/>
                <w:szCs w:val="22"/>
                <w:color w:val="auto"/>
              </w:rPr>
            </w:pPr>
          </w:p>
        </w:tc>
        <w:tc>
          <w:tcPr>
            <w:tcW w:w="178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640" w:type="dxa"/>
            <w:vAlign w:val="bottom"/>
            <w:shd w:val="clear" w:color="auto" w:fill="E6E6E6"/>
          </w:tcPr>
          <w:p>
            <w:pPr>
              <w:spacing w:after="0" w:line="20" w:lineRule="exact"/>
              <w:rPr>
                <w:sz w:val="1"/>
                <w:szCs w:val="1"/>
                <w:color w:val="auto"/>
              </w:rPr>
            </w:pPr>
          </w:p>
        </w:tc>
        <w:tc>
          <w:tcPr>
            <w:tcW w:w="80" w:type="dxa"/>
            <w:vAlign w:val="bottom"/>
            <w:shd w:val="clear" w:color="auto" w:fill="E6E6E6"/>
          </w:tcPr>
          <w:p>
            <w:pPr>
              <w:spacing w:after="0" w:line="20" w:lineRule="exact"/>
              <w:rPr>
                <w:sz w:val="1"/>
                <w:szCs w:val="1"/>
                <w:color w:val="auto"/>
              </w:rPr>
            </w:pPr>
          </w:p>
        </w:tc>
        <w:tc>
          <w:tcPr>
            <w:tcW w:w="4060" w:type="dxa"/>
            <w:vAlign w:val="bottom"/>
            <w:shd w:val="clear" w:color="auto" w:fill="E6E6E6"/>
          </w:tcPr>
          <w:p>
            <w:pPr>
              <w:spacing w:after="0" w:line="20" w:lineRule="exact"/>
              <w:rPr>
                <w:sz w:val="1"/>
                <w:szCs w:val="1"/>
                <w:color w:val="auto"/>
              </w:rPr>
            </w:pPr>
          </w:p>
        </w:tc>
        <w:tc>
          <w:tcPr>
            <w:tcW w:w="80" w:type="dxa"/>
            <w:vAlign w:val="bottom"/>
            <w:shd w:val="clear" w:color="auto" w:fill="E6E6E6"/>
          </w:tcPr>
          <w:p>
            <w:pPr>
              <w:spacing w:after="0" w:line="20" w:lineRule="exact"/>
              <w:rPr>
                <w:sz w:val="1"/>
                <w:szCs w:val="1"/>
                <w:color w:val="auto"/>
              </w:rPr>
            </w:pPr>
          </w:p>
        </w:tc>
        <w:tc>
          <w:tcPr>
            <w:tcW w:w="2300" w:type="dxa"/>
            <w:vAlign w:val="bottom"/>
            <w:shd w:val="clear" w:color="auto" w:fill="E6E6E6"/>
          </w:tcPr>
          <w:p>
            <w:pPr>
              <w:spacing w:after="0" w:line="20" w:lineRule="exact"/>
              <w:rPr>
                <w:sz w:val="1"/>
                <w:szCs w:val="1"/>
                <w:color w:val="auto"/>
              </w:rPr>
            </w:pPr>
          </w:p>
        </w:tc>
        <w:tc>
          <w:tcPr>
            <w:tcW w:w="100" w:type="dxa"/>
            <w:vAlign w:val="bottom"/>
            <w:shd w:val="clear" w:color="auto" w:fill="E6E6E6"/>
          </w:tcPr>
          <w:p>
            <w:pPr>
              <w:spacing w:after="0" w:line="20" w:lineRule="exact"/>
              <w:rPr>
                <w:sz w:val="1"/>
                <w:szCs w:val="1"/>
                <w:color w:val="auto"/>
              </w:rPr>
            </w:pPr>
          </w:p>
        </w:tc>
        <w:tc>
          <w:tcPr>
            <w:tcW w:w="1780" w:type="dxa"/>
            <w:vAlign w:val="bottom"/>
            <w:shd w:val="clear" w:color="auto" w:fill="E6E6E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-1551940</wp:posOffset>
            </wp:positionV>
            <wp:extent cx="641032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286">
                      <a:extLst>
                        <a:ext uri="{28A0092B-C50C-407E-A947-70E740481C1C}"/>
                      </a:extLst>
                    </a:blip>
                    <a:srcRect/>
                    <a:stretch>
                      <a:fillRect/>
                    </a:stretch>
                  </pic:blipFill>
                  <pic:spPr bwMode="auto">
                    <a:xfrm>
                      <a:off x="0" y="0"/>
                      <a:ext cx="6410325" cy="25400"/>
                    </a:xfrm>
                    <a:prstGeom prst="rect">
                      <a:avLst/>
                    </a:prstGeom>
                    <a:noFill/>
                  </pic:spPr>
                </pic:pic>
              </a:graphicData>
            </a:graphic>
          </wp:anchor>
        </w:drawing>
      </w:r>
    </w:p>
    <w:p>
      <w:pPr>
        <w:sectPr>
          <w:pgSz w:w="11880" w:h="15480" w:orient="portrait"/>
          <w:cols w:equalWidth="0" w:num="1">
            <w:col w:w="10040"/>
          </w:cols>
          <w:pgMar w:left="920" w:top="66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F-49</w:t>
      </w:r>
    </w:p>
    <w:p>
      <w:pPr>
        <w:sectPr>
          <w:pgSz w:w="11880" w:h="15480" w:orient="portrait"/>
          <w:cols w:equalWidth="0" w:num="1">
            <w:col w:w="10040"/>
          </w:cols>
          <w:pgMar w:left="920" w:top="664" w:right="920" w:bottom="0" w:gutter="0" w:footer="0" w:header="0"/>
          <w:type w:val="continuous"/>
        </w:sectPr>
      </w:pPr>
    </w:p>
    <w:bookmarkStart w:id="107" w:name="page108"/>
    <w:bookmarkEnd w:id="107"/>
    <w:p>
      <w:pPr>
        <w:spacing w:after="0"/>
        <w:rPr>
          <w:sz w:val="20"/>
          <w:szCs w:val="20"/>
          <w:color w:val="auto"/>
        </w:rPr>
      </w:pPr>
      <w:r>
        <w:rPr>
          <w:rFonts w:ascii="Arial" w:cs="Arial" w:eastAsia="Arial" w:hAnsi="Arial"/>
          <w:sz w:val="22"/>
          <w:szCs w:val="22"/>
          <w:color w:val="auto"/>
        </w:rPr>
        <w:t>Future Adoption of New Accounting Pronouncements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 description of future adoptions of new ASUs issued by the FASB that may have an impact on</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LivaNova’s consolidated financial statements when adopted:</w:t>
      </w:r>
    </w:p>
    <w:p>
      <w:pPr>
        <w:sectPr>
          <w:pgSz w:w="11880" w:h="15480" w:orient="portrait"/>
          <w:cols w:equalWidth="0" w:num="1">
            <w:col w:w="10040"/>
          </w:cols>
          <w:pgMar w:left="920" w:top="658" w:right="920" w:bottom="0" w:gutter="0" w:footer="0" w:header="0"/>
        </w:sectPr>
      </w:pP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gridSpan w:val="2"/>
          </w:tcPr>
          <w:p>
            <w:pPr>
              <w:ind w:left="280"/>
              <w:spacing w:after="0"/>
              <w:rPr>
                <w:sz w:val="20"/>
                <w:szCs w:val="20"/>
                <w:color w:val="auto"/>
              </w:rPr>
            </w:pPr>
            <w:r>
              <w:rPr>
                <w:rFonts w:ascii="Arial" w:cs="Arial" w:eastAsia="Arial" w:hAnsi="Arial"/>
                <w:sz w:val="20"/>
                <w:szCs w:val="20"/>
                <w:b w:val="1"/>
                <w:bCs w:val="1"/>
                <w:color w:val="auto"/>
              </w:rPr>
              <w:t>Issue Date &amp;</w:t>
            </w:r>
          </w:p>
        </w:tc>
        <w:tc>
          <w:tcPr>
            <w:tcW w:w="20" w:type="dxa"/>
            <w:vAlign w:val="bottom"/>
          </w:tcPr>
          <w:p>
            <w:pPr>
              <w:spacing w:after="0"/>
              <w:rPr>
                <w:sz w:val="19"/>
                <w:szCs w:val="19"/>
                <w:color w:val="auto"/>
              </w:rPr>
            </w:pPr>
          </w:p>
        </w:tc>
        <w:tc>
          <w:tcPr>
            <w:tcW w:w="4040" w:type="dxa"/>
            <w:vAlign w:val="bottom"/>
            <w:vMerge w:val="restart"/>
          </w:tcPr>
          <w:p>
            <w:pPr>
              <w:ind w:left="1520"/>
              <w:spacing w:after="0"/>
              <w:rPr>
                <w:sz w:val="20"/>
                <w:szCs w:val="20"/>
                <w:color w:val="auto"/>
              </w:rPr>
            </w:pPr>
            <w:r>
              <w:rPr>
                <w:rFonts w:ascii="Arial" w:cs="Arial" w:eastAsia="Arial" w:hAnsi="Arial"/>
                <w:sz w:val="20"/>
                <w:szCs w:val="20"/>
                <w:b w:val="1"/>
                <w:bCs w:val="1"/>
                <w:color w:val="auto"/>
              </w:rPr>
              <w:t>Description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1720" w:type="dxa"/>
            <w:vAlign w:val="bottom"/>
            <w:gridSpan w:val="2"/>
          </w:tcPr>
          <w:p>
            <w:pPr>
              <w:ind w:left="420"/>
              <w:spacing w:after="0"/>
              <w:rPr>
                <w:sz w:val="20"/>
                <w:szCs w:val="20"/>
                <w:color w:val="auto"/>
              </w:rPr>
            </w:pPr>
            <w:r>
              <w:rPr>
                <w:rFonts w:ascii="Arial" w:cs="Arial" w:eastAsia="Arial" w:hAnsi="Arial"/>
                <w:sz w:val="20"/>
                <w:szCs w:val="20"/>
                <w:b w:val="1"/>
                <w:bCs w:val="1"/>
                <w:color w:val="auto"/>
              </w:rPr>
              <w:t>Standard</w:t>
            </w:r>
          </w:p>
        </w:tc>
        <w:tc>
          <w:tcPr>
            <w:tcW w:w="20" w:type="dxa"/>
            <w:vAlign w:val="bottom"/>
          </w:tcPr>
          <w:p>
            <w:pPr>
              <w:spacing w:after="0"/>
              <w:rPr>
                <w:sz w:val="22"/>
                <w:szCs w:val="22"/>
                <w:color w:val="auto"/>
              </w:rPr>
            </w:pPr>
          </w:p>
        </w:tc>
        <w:tc>
          <w:tcPr>
            <w:tcW w:w="404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7"/>
        </w:trPr>
        <w:tc>
          <w:tcPr>
            <w:tcW w:w="1640" w:type="dxa"/>
            <w:vAlign w:val="bottom"/>
            <w:tcBorders>
              <w:top w:val="single" w:sz="8" w:color="auto"/>
            </w:tcBorders>
          </w:tcPr>
          <w:p>
            <w:pPr>
              <w:ind w:left="40"/>
              <w:spacing w:after="0" w:line="177" w:lineRule="exact"/>
              <w:rPr>
                <w:sz w:val="20"/>
                <w:szCs w:val="20"/>
                <w:color w:val="auto"/>
              </w:rPr>
            </w:pPr>
            <w:r>
              <w:rPr>
                <w:rFonts w:ascii="Arial" w:cs="Arial" w:eastAsia="Arial" w:hAnsi="Arial"/>
                <w:sz w:val="20"/>
                <w:szCs w:val="20"/>
                <w:color w:val="auto"/>
              </w:rPr>
              <w:t>December 2023</w:t>
            </w:r>
          </w:p>
        </w:tc>
        <w:tc>
          <w:tcPr>
            <w:tcW w:w="80" w:type="dxa"/>
            <w:vAlign w:val="bottom"/>
          </w:tcPr>
          <w:p>
            <w:pPr>
              <w:spacing w:after="0"/>
              <w:rPr>
                <w:sz w:val="15"/>
                <w:szCs w:val="15"/>
                <w:color w:val="auto"/>
              </w:rPr>
            </w:pPr>
          </w:p>
        </w:tc>
        <w:tc>
          <w:tcPr>
            <w:tcW w:w="20" w:type="dxa"/>
            <w:vAlign w:val="bottom"/>
            <w:tcBorders>
              <w:top w:val="single" w:sz="8" w:color="auto"/>
            </w:tcBorders>
            <w:shd w:val="clear" w:color="auto" w:fill="E6E6E6"/>
          </w:tcPr>
          <w:p>
            <w:pPr>
              <w:spacing w:after="0"/>
              <w:rPr>
                <w:sz w:val="15"/>
                <w:szCs w:val="15"/>
                <w:color w:val="auto"/>
              </w:rPr>
            </w:pPr>
          </w:p>
        </w:tc>
        <w:tc>
          <w:tcPr>
            <w:tcW w:w="4040" w:type="dxa"/>
            <w:vAlign w:val="bottom"/>
            <w:tcBorders>
              <w:top w:val="single" w:sz="8" w:color="auto"/>
            </w:tcBorders>
          </w:tcPr>
          <w:p>
            <w:pPr>
              <w:ind w:left="20"/>
              <w:spacing w:after="0" w:line="177" w:lineRule="exact"/>
              <w:rPr>
                <w:sz w:val="20"/>
                <w:szCs w:val="20"/>
                <w:color w:val="auto"/>
              </w:rPr>
            </w:pPr>
            <w:r>
              <w:rPr>
                <w:rFonts w:ascii="Arial" w:cs="Arial" w:eastAsia="Arial" w:hAnsi="Arial"/>
                <w:sz w:val="20"/>
                <w:szCs w:val="20"/>
                <w:color w:val="auto"/>
                <w:w w:val="91"/>
              </w:rPr>
              <w:t>This ASU expands annual income tax disclosures</w:t>
            </w:r>
          </w:p>
        </w:tc>
        <w:tc>
          <w:tcPr>
            <w:tcW w:w="20" w:type="dxa"/>
            <w:vAlign w:val="bottom"/>
            <w:tcBorders>
              <w:top w:val="single" w:sz="8" w:color="auto"/>
            </w:tcBorders>
            <w:shd w:val="clear" w:color="auto" w:fill="E6E6E6"/>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720" w:type="dxa"/>
            <w:vAlign w:val="bottom"/>
            <w:gridSpan w:val="2"/>
          </w:tcPr>
          <w:p>
            <w:pPr>
              <w:ind w:left="40"/>
              <w:spacing w:after="0" w:line="196" w:lineRule="exact"/>
              <w:rPr>
                <w:sz w:val="20"/>
                <w:szCs w:val="20"/>
                <w:color w:val="auto"/>
              </w:rPr>
            </w:pPr>
            <w:r>
              <w:rPr>
                <w:rFonts w:ascii="Arial" w:cs="Arial" w:eastAsia="Arial" w:hAnsi="Arial"/>
                <w:sz w:val="20"/>
                <w:szCs w:val="20"/>
                <w:color w:val="auto"/>
              </w:rPr>
              <w:t>ASU No. 2023-09,</w:t>
            </w:r>
          </w:p>
        </w:tc>
        <w:tc>
          <w:tcPr>
            <w:tcW w:w="20" w:type="dxa"/>
            <w:vAlign w:val="bottom"/>
            <w:shd w:val="clear" w:color="auto" w:fill="E6E6E6"/>
          </w:tcPr>
          <w:p>
            <w:pPr>
              <w:spacing w:after="0"/>
              <w:rPr>
                <w:sz w:val="17"/>
                <w:szCs w:val="17"/>
                <w:color w:val="auto"/>
              </w:rPr>
            </w:pPr>
          </w:p>
        </w:tc>
        <w:tc>
          <w:tcPr>
            <w:tcW w:w="4040" w:type="dxa"/>
            <w:vAlign w:val="bottom"/>
          </w:tcPr>
          <w:p>
            <w:pPr>
              <w:ind w:left="20"/>
              <w:spacing w:after="0" w:line="196" w:lineRule="exact"/>
              <w:rPr>
                <w:sz w:val="20"/>
                <w:szCs w:val="20"/>
                <w:color w:val="auto"/>
              </w:rPr>
            </w:pPr>
            <w:r>
              <w:rPr>
                <w:rFonts w:ascii="Arial" w:cs="Arial" w:eastAsia="Arial" w:hAnsi="Arial"/>
                <w:sz w:val="20"/>
                <w:szCs w:val="20"/>
                <w:color w:val="auto"/>
              </w:rPr>
              <w:t>primarily related to the rate reconciliation and</w:t>
            </w:r>
          </w:p>
        </w:tc>
        <w:tc>
          <w:tcPr>
            <w:tcW w:w="2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gridSpan w:val="2"/>
          </w:tcPr>
          <w:p>
            <w:pPr>
              <w:ind w:left="40"/>
              <w:spacing w:after="0" w:line="196" w:lineRule="exact"/>
              <w:rPr>
                <w:sz w:val="20"/>
                <w:szCs w:val="20"/>
                <w:color w:val="auto"/>
              </w:rPr>
            </w:pPr>
            <w:r>
              <w:rPr>
                <w:rFonts w:ascii="Arial" w:cs="Arial" w:eastAsia="Arial" w:hAnsi="Arial"/>
                <w:sz w:val="20"/>
                <w:szCs w:val="20"/>
                <w:b w:val="1"/>
                <w:bCs w:val="1"/>
                <w:i w:val="1"/>
                <w:iCs w:val="1"/>
                <w:color w:val="auto"/>
              </w:rPr>
              <w:t>Income Taxes</w:t>
            </w:r>
          </w:p>
        </w:tc>
        <w:tc>
          <w:tcPr>
            <w:tcW w:w="20" w:type="dxa"/>
            <w:vAlign w:val="bottom"/>
            <w:shd w:val="clear" w:color="auto" w:fill="E6E6E6"/>
          </w:tcPr>
          <w:p>
            <w:pPr>
              <w:spacing w:after="0"/>
              <w:rPr>
                <w:sz w:val="17"/>
                <w:szCs w:val="17"/>
                <w:color w:val="auto"/>
              </w:rPr>
            </w:pPr>
          </w:p>
        </w:tc>
        <w:tc>
          <w:tcPr>
            <w:tcW w:w="4040" w:type="dxa"/>
            <w:vAlign w:val="bottom"/>
          </w:tcPr>
          <w:p>
            <w:pPr>
              <w:ind w:left="20"/>
              <w:spacing w:after="0" w:line="196" w:lineRule="exact"/>
              <w:rPr>
                <w:sz w:val="20"/>
                <w:szCs w:val="20"/>
                <w:color w:val="auto"/>
              </w:rPr>
            </w:pPr>
            <w:r>
              <w:rPr>
                <w:rFonts w:ascii="Arial" w:cs="Arial" w:eastAsia="Arial" w:hAnsi="Arial"/>
                <w:sz w:val="20"/>
                <w:szCs w:val="20"/>
                <w:color w:val="auto"/>
              </w:rPr>
              <w:t>income taxes paid.</w:t>
            </w:r>
          </w:p>
        </w:tc>
        <w:tc>
          <w:tcPr>
            <w:tcW w:w="2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gridSpan w:val="2"/>
          </w:tcPr>
          <w:p>
            <w:pPr>
              <w:ind w:left="40"/>
              <w:spacing w:after="0" w:line="196" w:lineRule="exact"/>
              <w:rPr>
                <w:sz w:val="20"/>
                <w:szCs w:val="20"/>
                <w:color w:val="auto"/>
              </w:rPr>
            </w:pPr>
            <w:r>
              <w:rPr>
                <w:rFonts w:ascii="Arial" w:cs="Arial" w:eastAsia="Arial" w:hAnsi="Arial"/>
                <w:sz w:val="20"/>
                <w:szCs w:val="20"/>
                <w:b w:val="1"/>
                <w:bCs w:val="1"/>
                <w:i w:val="1"/>
                <w:iCs w:val="1"/>
                <w:color w:val="auto"/>
              </w:rPr>
              <w:t>(Topic 740):</w:t>
            </w:r>
          </w:p>
        </w:tc>
        <w:tc>
          <w:tcPr>
            <w:tcW w:w="20" w:type="dxa"/>
            <w:vAlign w:val="bottom"/>
            <w:shd w:val="clear" w:color="auto" w:fill="E6E6E6"/>
          </w:tcPr>
          <w:p>
            <w:pPr>
              <w:spacing w:after="0"/>
              <w:rPr>
                <w:sz w:val="17"/>
                <w:szCs w:val="17"/>
                <w:color w:val="auto"/>
              </w:rPr>
            </w:pPr>
          </w:p>
        </w:tc>
        <w:tc>
          <w:tcPr>
            <w:tcW w:w="4040" w:type="dxa"/>
            <w:vAlign w:val="bottom"/>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gridSpan w:val="2"/>
          </w:tcPr>
          <w:p>
            <w:pPr>
              <w:ind w:left="40"/>
              <w:spacing w:after="0" w:line="196" w:lineRule="exact"/>
              <w:rPr>
                <w:sz w:val="20"/>
                <w:szCs w:val="20"/>
                <w:color w:val="auto"/>
              </w:rPr>
            </w:pPr>
            <w:r>
              <w:rPr>
                <w:rFonts w:ascii="Arial" w:cs="Arial" w:eastAsia="Arial" w:hAnsi="Arial"/>
                <w:sz w:val="20"/>
                <w:szCs w:val="20"/>
                <w:b w:val="1"/>
                <w:bCs w:val="1"/>
                <w:i w:val="1"/>
                <w:iCs w:val="1"/>
                <w:color w:val="auto"/>
              </w:rPr>
              <w:t>Improvements to</w:t>
            </w:r>
          </w:p>
        </w:tc>
        <w:tc>
          <w:tcPr>
            <w:tcW w:w="20" w:type="dxa"/>
            <w:vAlign w:val="bottom"/>
            <w:shd w:val="clear" w:color="auto" w:fill="E6E6E6"/>
          </w:tcPr>
          <w:p>
            <w:pPr>
              <w:spacing w:after="0"/>
              <w:rPr>
                <w:sz w:val="17"/>
                <w:szCs w:val="17"/>
                <w:color w:val="auto"/>
              </w:rPr>
            </w:pPr>
          </w:p>
        </w:tc>
        <w:tc>
          <w:tcPr>
            <w:tcW w:w="4040" w:type="dxa"/>
            <w:vAlign w:val="bottom"/>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gridSpan w:val="2"/>
          </w:tcPr>
          <w:p>
            <w:pPr>
              <w:ind w:left="40"/>
              <w:spacing w:after="0" w:line="196" w:lineRule="exact"/>
              <w:rPr>
                <w:sz w:val="20"/>
                <w:szCs w:val="20"/>
                <w:color w:val="auto"/>
              </w:rPr>
            </w:pPr>
            <w:r>
              <w:rPr>
                <w:rFonts w:ascii="Arial" w:cs="Arial" w:eastAsia="Arial" w:hAnsi="Arial"/>
                <w:sz w:val="20"/>
                <w:szCs w:val="20"/>
                <w:b w:val="1"/>
                <w:bCs w:val="1"/>
                <w:i w:val="1"/>
                <w:iCs w:val="1"/>
                <w:color w:val="auto"/>
              </w:rPr>
              <w:t>Income Tax</w:t>
            </w:r>
          </w:p>
        </w:tc>
        <w:tc>
          <w:tcPr>
            <w:tcW w:w="20" w:type="dxa"/>
            <w:vAlign w:val="bottom"/>
            <w:shd w:val="clear" w:color="auto" w:fill="E6E6E6"/>
          </w:tcPr>
          <w:p>
            <w:pPr>
              <w:spacing w:after="0"/>
              <w:rPr>
                <w:sz w:val="17"/>
                <w:szCs w:val="17"/>
                <w:color w:val="auto"/>
              </w:rPr>
            </w:pPr>
          </w:p>
        </w:tc>
        <w:tc>
          <w:tcPr>
            <w:tcW w:w="4040" w:type="dxa"/>
            <w:vAlign w:val="bottom"/>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1720" w:type="dxa"/>
            <w:vAlign w:val="bottom"/>
            <w:gridSpan w:val="2"/>
          </w:tcPr>
          <w:p>
            <w:pPr>
              <w:ind w:left="40"/>
              <w:spacing w:after="0"/>
              <w:rPr>
                <w:sz w:val="20"/>
                <w:szCs w:val="20"/>
                <w:color w:val="auto"/>
              </w:rPr>
            </w:pPr>
            <w:r>
              <w:rPr>
                <w:rFonts w:ascii="Arial" w:cs="Arial" w:eastAsia="Arial" w:hAnsi="Arial"/>
                <w:sz w:val="20"/>
                <w:szCs w:val="20"/>
                <w:b w:val="1"/>
                <w:bCs w:val="1"/>
                <w:i w:val="1"/>
                <w:iCs w:val="1"/>
                <w:color w:val="auto"/>
              </w:rPr>
              <w:t>Disclosures</w:t>
            </w:r>
          </w:p>
        </w:tc>
        <w:tc>
          <w:tcPr>
            <w:tcW w:w="20" w:type="dxa"/>
            <w:vAlign w:val="bottom"/>
            <w:shd w:val="clear" w:color="auto" w:fill="E6E6E6"/>
          </w:tcPr>
          <w:p>
            <w:pPr>
              <w:spacing w:after="0"/>
              <w:rPr>
                <w:sz w:val="22"/>
                <w:szCs w:val="22"/>
                <w:color w:val="auto"/>
              </w:rPr>
            </w:pPr>
          </w:p>
        </w:tc>
        <w:tc>
          <w:tcPr>
            <w:tcW w:w="4040" w:type="dxa"/>
            <w:vAlign w:val="bottom"/>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1720" w:type="dxa"/>
            <w:vAlign w:val="bottom"/>
            <w:gridSpan w:val="2"/>
            <w:vMerge w:val="restart"/>
          </w:tcPr>
          <w:p>
            <w:pPr>
              <w:ind w:left="40"/>
              <w:spacing w:after="0"/>
              <w:rPr>
                <w:sz w:val="20"/>
                <w:szCs w:val="20"/>
                <w:color w:val="auto"/>
              </w:rPr>
            </w:pPr>
            <w:r>
              <w:rPr>
                <w:rFonts w:ascii="Arial" w:cs="Arial" w:eastAsia="Arial" w:hAnsi="Arial"/>
                <w:sz w:val="20"/>
                <w:szCs w:val="20"/>
                <w:color w:val="auto"/>
              </w:rPr>
              <w:t>November 2024</w:t>
            </w:r>
          </w:p>
        </w:tc>
        <w:tc>
          <w:tcPr>
            <w:tcW w:w="20" w:type="dxa"/>
            <w:vAlign w:val="bottom"/>
            <w:shd w:val="clear" w:color="auto" w:fill="E6E6E6"/>
          </w:tcPr>
          <w:p>
            <w:pPr>
              <w:spacing w:after="0"/>
              <w:rPr>
                <w:sz w:val="17"/>
                <w:szCs w:val="17"/>
                <w:color w:val="auto"/>
              </w:rPr>
            </w:pPr>
          </w:p>
        </w:tc>
        <w:tc>
          <w:tcPr>
            <w:tcW w:w="4040" w:type="dxa"/>
            <w:vAlign w:val="bottom"/>
            <w:vMerge w:val="restart"/>
          </w:tcPr>
          <w:p>
            <w:pPr>
              <w:ind w:left="20"/>
              <w:spacing w:after="0"/>
              <w:rPr>
                <w:sz w:val="20"/>
                <w:szCs w:val="20"/>
                <w:color w:val="auto"/>
              </w:rPr>
            </w:pPr>
            <w:r>
              <w:rPr>
                <w:rFonts w:ascii="Arial" w:cs="Arial" w:eastAsia="Arial" w:hAnsi="Arial"/>
                <w:sz w:val="20"/>
                <w:szCs w:val="20"/>
                <w:color w:val="auto"/>
              </w:rPr>
              <w:t>This ASU requires disclosure in the notes to</w:t>
            </w:r>
          </w:p>
        </w:tc>
        <w:tc>
          <w:tcPr>
            <w:tcW w:w="2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7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40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720" w:type="dxa"/>
            <w:vAlign w:val="bottom"/>
            <w:gridSpan w:val="2"/>
          </w:tcPr>
          <w:p>
            <w:pPr>
              <w:ind w:left="40"/>
              <w:spacing w:after="0" w:line="196" w:lineRule="exact"/>
              <w:rPr>
                <w:sz w:val="20"/>
                <w:szCs w:val="20"/>
                <w:color w:val="auto"/>
              </w:rPr>
            </w:pPr>
            <w:r>
              <w:rPr>
                <w:rFonts w:ascii="Arial" w:cs="Arial" w:eastAsia="Arial" w:hAnsi="Arial"/>
                <w:sz w:val="20"/>
                <w:szCs w:val="20"/>
                <w:color w:val="auto"/>
              </w:rPr>
              <w:t>ASU No. 2024-03,</w:t>
            </w:r>
          </w:p>
        </w:tc>
        <w:tc>
          <w:tcPr>
            <w:tcW w:w="20" w:type="dxa"/>
            <w:vAlign w:val="bottom"/>
          </w:tcPr>
          <w:p>
            <w:pPr>
              <w:spacing w:after="0"/>
              <w:rPr>
                <w:sz w:val="17"/>
                <w:szCs w:val="17"/>
                <w:color w:val="auto"/>
              </w:rPr>
            </w:pPr>
          </w:p>
        </w:tc>
        <w:tc>
          <w:tcPr>
            <w:tcW w:w="4040" w:type="dxa"/>
            <w:vAlign w:val="bottom"/>
          </w:tcPr>
          <w:p>
            <w:pPr>
              <w:ind w:left="20"/>
              <w:spacing w:after="0" w:line="196" w:lineRule="exact"/>
              <w:rPr>
                <w:sz w:val="20"/>
                <w:szCs w:val="20"/>
                <w:color w:val="auto"/>
              </w:rPr>
            </w:pPr>
            <w:r>
              <w:rPr>
                <w:rFonts w:ascii="Arial" w:cs="Arial" w:eastAsia="Arial" w:hAnsi="Arial"/>
                <w:sz w:val="20"/>
                <w:szCs w:val="20"/>
                <w:color w:val="auto"/>
              </w:rPr>
              <w:t>financial statements of additional information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gridSpan w:val="2"/>
          </w:tcPr>
          <w:p>
            <w:pPr>
              <w:ind w:left="40"/>
              <w:spacing w:after="0" w:line="196" w:lineRule="exact"/>
              <w:rPr>
                <w:sz w:val="20"/>
                <w:szCs w:val="20"/>
                <w:color w:val="auto"/>
              </w:rPr>
            </w:pPr>
            <w:r>
              <w:rPr>
                <w:rFonts w:ascii="Arial" w:cs="Arial" w:eastAsia="Arial" w:hAnsi="Arial"/>
                <w:sz w:val="20"/>
                <w:szCs w:val="20"/>
                <w:b w:val="1"/>
                <w:bCs w:val="1"/>
                <w:i w:val="1"/>
                <w:iCs w:val="1"/>
                <w:color w:val="auto"/>
                <w:w w:val="96"/>
              </w:rPr>
              <w:t>Income Statement</w:t>
            </w:r>
          </w:p>
        </w:tc>
        <w:tc>
          <w:tcPr>
            <w:tcW w:w="20" w:type="dxa"/>
            <w:vAlign w:val="bottom"/>
          </w:tcPr>
          <w:p>
            <w:pPr>
              <w:spacing w:after="0"/>
              <w:rPr>
                <w:sz w:val="17"/>
                <w:szCs w:val="17"/>
                <w:color w:val="auto"/>
              </w:rPr>
            </w:pPr>
          </w:p>
        </w:tc>
        <w:tc>
          <w:tcPr>
            <w:tcW w:w="4040" w:type="dxa"/>
            <w:vAlign w:val="bottom"/>
          </w:tcPr>
          <w:p>
            <w:pPr>
              <w:ind w:left="20"/>
              <w:spacing w:after="0" w:line="196" w:lineRule="exact"/>
              <w:rPr>
                <w:sz w:val="20"/>
                <w:szCs w:val="20"/>
                <w:color w:val="auto"/>
              </w:rPr>
            </w:pPr>
            <w:r>
              <w:rPr>
                <w:rFonts w:ascii="Arial" w:cs="Arial" w:eastAsia="Arial" w:hAnsi="Arial"/>
                <w:sz w:val="20"/>
                <w:szCs w:val="20"/>
                <w:color w:val="auto"/>
              </w:rPr>
              <w:t>disaggregating specific expense categories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gridSpan w:val="2"/>
          </w:tcPr>
          <w:p>
            <w:pPr>
              <w:ind w:left="40"/>
              <w:spacing w:after="0" w:line="196" w:lineRule="exact"/>
              <w:rPr>
                <w:sz w:val="20"/>
                <w:szCs w:val="20"/>
                <w:color w:val="auto"/>
              </w:rPr>
            </w:pPr>
            <w:r>
              <w:rPr>
                <w:rFonts w:ascii="Arial" w:cs="Arial" w:eastAsia="Arial" w:hAnsi="Arial"/>
                <w:sz w:val="20"/>
                <w:szCs w:val="20"/>
                <w:b w:val="1"/>
                <w:bCs w:val="1"/>
                <w:i w:val="1"/>
                <w:iCs w:val="1"/>
                <w:color w:val="auto"/>
              </w:rPr>
              <w:t>—Reporting</w:t>
            </w:r>
          </w:p>
        </w:tc>
        <w:tc>
          <w:tcPr>
            <w:tcW w:w="20" w:type="dxa"/>
            <w:vAlign w:val="bottom"/>
          </w:tcPr>
          <w:p>
            <w:pPr>
              <w:spacing w:after="0"/>
              <w:rPr>
                <w:sz w:val="17"/>
                <w:szCs w:val="17"/>
                <w:color w:val="auto"/>
              </w:rPr>
            </w:pPr>
          </w:p>
        </w:tc>
        <w:tc>
          <w:tcPr>
            <w:tcW w:w="4040" w:type="dxa"/>
            <w:vAlign w:val="bottom"/>
          </w:tcPr>
          <w:p>
            <w:pPr>
              <w:ind w:left="20"/>
              <w:spacing w:after="0" w:line="196" w:lineRule="exact"/>
              <w:rPr>
                <w:sz w:val="20"/>
                <w:szCs w:val="20"/>
                <w:color w:val="auto"/>
              </w:rPr>
            </w:pPr>
            <w:r>
              <w:rPr>
                <w:rFonts w:ascii="Arial" w:cs="Arial" w:eastAsia="Arial" w:hAnsi="Arial"/>
                <w:sz w:val="20"/>
                <w:szCs w:val="20"/>
                <w:color w:val="auto"/>
                <w:w w:val="91"/>
              </w:rPr>
              <w:t>underlying certain income statement expense line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gridSpan w:val="2"/>
          </w:tcPr>
          <w:p>
            <w:pPr>
              <w:ind w:left="40"/>
              <w:spacing w:after="0" w:line="196" w:lineRule="exact"/>
              <w:rPr>
                <w:sz w:val="20"/>
                <w:szCs w:val="20"/>
                <w:color w:val="auto"/>
              </w:rPr>
            </w:pPr>
            <w:r>
              <w:rPr>
                <w:rFonts w:ascii="Arial" w:cs="Arial" w:eastAsia="Arial" w:hAnsi="Arial"/>
                <w:sz w:val="20"/>
                <w:szCs w:val="20"/>
                <w:b w:val="1"/>
                <w:bCs w:val="1"/>
                <w:i w:val="1"/>
                <w:iCs w:val="1"/>
                <w:color w:val="auto"/>
              </w:rPr>
              <w:t>Comprehensive</w:t>
            </w:r>
          </w:p>
        </w:tc>
        <w:tc>
          <w:tcPr>
            <w:tcW w:w="20" w:type="dxa"/>
            <w:vAlign w:val="bottom"/>
          </w:tcPr>
          <w:p>
            <w:pPr>
              <w:spacing w:after="0"/>
              <w:rPr>
                <w:sz w:val="17"/>
                <w:szCs w:val="17"/>
                <w:color w:val="auto"/>
              </w:rPr>
            </w:pPr>
          </w:p>
        </w:tc>
        <w:tc>
          <w:tcPr>
            <w:tcW w:w="4040" w:type="dxa"/>
            <w:vAlign w:val="bottom"/>
          </w:tcPr>
          <w:p>
            <w:pPr>
              <w:ind w:left="20"/>
              <w:spacing w:after="0" w:line="196" w:lineRule="exact"/>
              <w:rPr>
                <w:sz w:val="20"/>
                <w:szCs w:val="20"/>
                <w:color w:val="auto"/>
              </w:rPr>
            </w:pPr>
            <w:r>
              <w:rPr>
                <w:rFonts w:ascii="Arial" w:cs="Arial" w:eastAsia="Arial" w:hAnsi="Arial"/>
                <w:sz w:val="20"/>
                <w:szCs w:val="20"/>
                <w:color w:val="auto"/>
              </w:rPr>
              <w:t>items, including employee compensation,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gridSpan w:val="2"/>
          </w:tcPr>
          <w:p>
            <w:pPr>
              <w:ind w:left="40"/>
              <w:spacing w:after="0" w:line="196" w:lineRule="exact"/>
              <w:rPr>
                <w:sz w:val="20"/>
                <w:szCs w:val="20"/>
                <w:color w:val="auto"/>
              </w:rPr>
            </w:pPr>
            <w:r>
              <w:rPr>
                <w:rFonts w:ascii="Arial" w:cs="Arial" w:eastAsia="Arial" w:hAnsi="Arial"/>
                <w:sz w:val="20"/>
                <w:szCs w:val="20"/>
                <w:b w:val="1"/>
                <w:bCs w:val="1"/>
                <w:i w:val="1"/>
                <w:iCs w:val="1"/>
                <w:color w:val="auto"/>
                <w:w w:val="96"/>
              </w:rPr>
              <w:t>Income—Expense</w:t>
            </w:r>
          </w:p>
        </w:tc>
        <w:tc>
          <w:tcPr>
            <w:tcW w:w="20" w:type="dxa"/>
            <w:vAlign w:val="bottom"/>
          </w:tcPr>
          <w:p>
            <w:pPr>
              <w:spacing w:after="0"/>
              <w:rPr>
                <w:sz w:val="17"/>
                <w:szCs w:val="17"/>
                <w:color w:val="auto"/>
              </w:rPr>
            </w:pPr>
          </w:p>
        </w:tc>
        <w:tc>
          <w:tcPr>
            <w:tcW w:w="4040" w:type="dxa"/>
            <w:vAlign w:val="bottom"/>
          </w:tcPr>
          <w:p>
            <w:pPr>
              <w:ind w:left="20"/>
              <w:spacing w:after="0" w:line="196" w:lineRule="exact"/>
              <w:rPr>
                <w:sz w:val="20"/>
                <w:szCs w:val="20"/>
                <w:color w:val="auto"/>
              </w:rPr>
            </w:pPr>
            <w:r>
              <w:rPr>
                <w:rFonts w:ascii="Arial" w:cs="Arial" w:eastAsia="Arial" w:hAnsi="Arial"/>
                <w:sz w:val="20"/>
                <w:szCs w:val="20"/>
                <w:color w:val="auto"/>
                <w:w w:val="89"/>
              </w:rPr>
              <w:t>depreciation, and intangible asset amortization, as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gridSpan w:val="2"/>
          </w:tcPr>
          <w:p>
            <w:pPr>
              <w:ind w:left="40"/>
              <w:spacing w:after="0" w:line="196" w:lineRule="exact"/>
              <w:rPr>
                <w:sz w:val="20"/>
                <w:szCs w:val="20"/>
                <w:color w:val="auto"/>
              </w:rPr>
            </w:pPr>
            <w:r>
              <w:rPr>
                <w:rFonts w:ascii="Arial" w:cs="Arial" w:eastAsia="Arial" w:hAnsi="Arial"/>
                <w:sz w:val="20"/>
                <w:szCs w:val="20"/>
                <w:b w:val="1"/>
                <w:bCs w:val="1"/>
                <w:i w:val="1"/>
                <w:iCs w:val="1"/>
                <w:color w:val="auto"/>
              </w:rPr>
              <w:t>Disaggregation</w:t>
            </w:r>
          </w:p>
        </w:tc>
        <w:tc>
          <w:tcPr>
            <w:tcW w:w="20" w:type="dxa"/>
            <w:vAlign w:val="bottom"/>
          </w:tcPr>
          <w:p>
            <w:pPr>
              <w:spacing w:after="0"/>
              <w:rPr>
                <w:sz w:val="17"/>
                <w:szCs w:val="17"/>
                <w:color w:val="auto"/>
              </w:rPr>
            </w:pPr>
          </w:p>
        </w:tc>
        <w:tc>
          <w:tcPr>
            <w:tcW w:w="4040" w:type="dxa"/>
            <w:vAlign w:val="bottom"/>
          </w:tcPr>
          <w:p>
            <w:pPr>
              <w:ind w:left="20"/>
              <w:spacing w:after="0" w:line="196" w:lineRule="exact"/>
              <w:rPr>
                <w:sz w:val="20"/>
                <w:szCs w:val="20"/>
                <w:color w:val="auto"/>
              </w:rPr>
            </w:pPr>
            <w:r>
              <w:rPr>
                <w:rFonts w:ascii="Arial" w:cs="Arial" w:eastAsia="Arial" w:hAnsi="Arial"/>
                <w:sz w:val="20"/>
                <w:szCs w:val="20"/>
                <w:color w:val="auto"/>
              </w:rPr>
              <w:t>well as certain other disclosures to provide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gridSpan w:val="2"/>
          </w:tcPr>
          <w:p>
            <w:pPr>
              <w:ind w:left="40"/>
              <w:spacing w:after="0" w:line="196" w:lineRule="exact"/>
              <w:rPr>
                <w:sz w:val="20"/>
                <w:szCs w:val="20"/>
                <w:color w:val="auto"/>
              </w:rPr>
            </w:pPr>
            <w:r>
              <w:rPr>
                <w:rFonts w:ascii="Arial" w:cs="Arial" w:eastAsia="Arial" w:hAnsi="Arial"/>
                <w:sz w:val="20"/>
                <w:szCs w:val="20"/>
                <w:b w:val="1"/>
                <w:bCs w:val="1"/>
                <w:i w:val="1"/>
                <w:iCs w:val="1"/>
                <w:color w:val="auto"/>
              </w:rPr>
              <w:t>Disclosures</w:t>
            </w:r>
          </w:p>
        </w:tc>
        <w:tc>
          <w:tcPr>
            <w:tcW w:w="20" w:type="dxa"/>
            <w:vAlign w:val="bottom"/>
          </w:tcPr>
          <w:p>
            <w:pPr>
              <w:spacing w:after="0"/>
              <w:rPr>
                <w:sz w:val="17"/>
                <w:szCs w:val="17"/>
                <w:color w:val="auto"/>
              </w:rPr>
            </w:pPr>
          </w:p>
        </w:tc>
        <w:tc>
          <w:tcPr>
            <w:tcW w:w="4040" w:type="dxa"/>
            <w:vAlign w:val="bottom"/>
          </w:tcPr>
          <w:p>
            <w:pPr>
              <w:ind w:left="20"/>
              <w:spacing w:after="0" w:line="196" w:lineRule="exact"/>
              <w:rPr>
                <w:sz w:val="20"/>
                <w:szCs w:val="20"/>
                <w:color w:val="auto"/>
              </w:rPr>
            </w:pPr>
            <w:r>
              <w:rPr>
                <w:rFonts w:ascii="Arial" w:cs="Arial" w:eastAsia="Arial" w:hAnsi="Arial"/>
                <w:sz w:val="20"/>
                <w:szCs w:val="20"/>
                <w:color w:val="auto"/>
              </w:rPr>
              <w:t>enhanced transparency into the nature and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gridSpan w:val="2"/>
          </w:tcPr>
          <w:p>
            <w:pPr>
              <w:ind w:left="40"/>
              <w:spacing w:after="0" w:line="196" w:lineRule="exact"/>
              <w:rPr>
                <w:sz w:val="20"/>
                <w:szCs w:val="20"/>
                <w:color w:val="auto"/>
              </w:rPr>
            </w:pPr>
            <w:r>
              <w:rPr>
                <w:rFonts w:ascii="Arial" w:cs="Arial" w:eastAsia="Arial" w:hAnsi="Arial"/>
                <w:sz w:val="20"/>
                <w:szCs w:val="20"/>
                <w:b w:val="1"/>
                <w:bCs w:val="1"/>
                <w:i w:val="1"/>
                <w:iCs w:val="1"/>
                <w:color w:val="auto"/>
                <w:w w:val="95"/>
              </w:rPr>
              <w:t>(Subtopic 220-40):</w:t>
            </w:r>
          </w:p>
        </w:tc>
        <w:tc>
          <w:tcPr>
            <w:tcW w:w="20" w:type="dxa"/>
            <w:vAlign w:val="bottom"/>
          </w:tcPr>
          <w:p>
            <w:pPr>
              <w:spacing w:after="0"/>
              <w:rPr>
                <w:sz w:val="17"/>
                <w:szCs w:val="17"/>
                <w:color w:val="auto"/>
              </w:rPr>
            </w:pPr>
          </w:p>
        </w:tc>
        <w:tc>
          <w:tcPr>
            <w:tcW w:w="4040" w:type="dxa"/>
            <w:vAlign w:val="bottom"/>
          </w:tcPr>
          <w:p>
            <w:pPr>
              <w:ind w:left="20"/>
              <w:spacing w:after="0" w:line="196" w:lineRule="exact"/>
              <w:rPr>
                <w:sz w:val="20"/>
                <w:szCs w:val="20"/>
                <w:color w:val="auto"/>
              </w:rPr>
            </w:pPr>
            <w:r>
              <w:rPr>
                <w:rFonts w:ascii="Arial" w:cs="Arial" w:eastAsia="Arial" w:hAnsi="Arial"/>
                <w:sz w:val="20"/>
                <w:szCs w:val="20"/>
                <w:color w:val="auto"/>
              </w:rPr>
              <w:t>function of expenses.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gridSpan w:val="2"/>
          </w:tcPr>
          <w:p>
            <w:pPr>
              <w:ind w:left="40"/>
              <w:spacing w:after="0" w:line="196" w:lineRule="exact"/>
              <w:rPr>
                <w:sz w:val="20"/>
                <w:szCs w:val="20"/>
                <w:color w:val="auto"/>
              </w:rPr>
            </w:pPr>
            <w:r>
              <w:rPr>
                <w:rFonts w:ascii="Arial" w:cs="Arial" w:eastAsia="Arial" w:hAnsi="Arial"/>
                <w:sz w:val="20"/>
                <w:szCs w:val="20"/>
                <w:b w:val="1"/>
                <w:bCs w:val="1"/>
                <w:i w:val="1"/>
                <w:iCs w:val="1"/>
                <w:color w:val="auto"/>
                <w:w w:val="97"/>
              </w:rPr>
              <w:t>Disaggregation of</w:t>
            </w:r>
          </w:p>
        </w:tc>
        <w:tc>
          <w:tcPr>
            <w:tcW w:w="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gridSpan w:val="2"/>
          </w:tcPr>
          <w:p>
            <w:pPr>
              <w:ind w:left="40"/>
              <w:spacing w:after="0" w:line="196" w:lineRule="exact"/>
              <w:rPr>
                <w:sz w:val="20"/>
                <w:szCs w:val="20"/>
                <w:color w:val="auto"/>
              </w:rPr>
            </w:pPr>
            <w:r>
              <w:rPr>
                <w:rFonts w:ascii="Arial" w:cs="Arial" w:eastAsia="Arial" w:hAnsi="Arial"/>
                <w:sz w:val="20"/>
                <w:szCs w:val="20"/>
                <w:b w:val="1"/>
                <w:bCs w:val="1"/>
                <w:i w:val="1"/>
                <w:iCs w:val="1"/>
                <w:color w:val="auto"/>
                <w:w w:val="96"/>
              </w:rPr>
              <w:t>Income Statement</w:t>
            </w:r>
          </w:p>
        </w:tc>
        <w:tc>
          <w:tcPr>
            <w:tcW w:w="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1720" w:type="dxa"/>
            <w:vAlign w:val="bottom"/>
            <w:gridSpan w:val="2"/>
          </w:tcPr>
          <w:p>
            <w:pPr>
              <w:ind w:left="40"/>
              <w:spacing w:after="0"/>
              <w:rPr>
                <w:sz w:val="20"/>
                <w:szCs w:val="20"/>
                <w:color w:val="auto"/>
              </w:rPr>
            </w:pPr>
            <w:r>
              <w:rPr>
                <w:rFonts w:ascii="Arial" w:cs="Arial" w:eastAsia="Arial" w:hAnsi="Arial"/>
                <w:sz w:val="20"/>
                <w:szCs w:val="20"/>
                <w:b w:val="1"/>
                <w:bCs w:val="1"/>
                <w:i w:val="1"/>
                <w:iCs w:val="1"/>
                <w:color w:val="auto"/>
              </w:rPr>
              <w:t>Expenses</w:t>
            </w:r>
          </w:p>
        </w:tc>
        <w:tc>
          <w:tcPr>
            <w:tcW w:w="2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-2577465</wp:posOffset>
            </wp:positionV>
            <wp:extent cx="6410325" cy="260159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287">
                      <a:extLst>
                        <a:ext uri="{28A0092B-C50C-407E-A947-70E740481C1C}"/>
                      </a:extLst>
                    </a:blip>
                    <a:srcRect/>
                    <a:stretch>
                      <a:fillRect/>
                    </a:stretch>
                  </pic:blipFill>
                  <pic:spPr bwMode="auto">
                    <a:xfrm>
                      <a:off x="0" y="0"/>
                      <a:ext cx="6410325" cy="2601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2300" w:type="dxa"/>
            <w:vAlign w:val="bottom"/>
            <w:tcBorders>
              <w:bottom w:val="single" w:sz="8" w:color="auto"/>
            </w:tcBorders>
          </w:tcPr>
          <w:p>
            <w:pPr>
              <w:ind w:left="760"/>
              <w:spacing w:after="0"/>
              <w:rPr>
                <w:sz w:val="20"/>
                <w:szCs w:val="20"/>
                <w:color w:val="auto"/>
              </w:rPr>
            </w:pPr>
            <w:r>
              <w:rPr>
                <w:rFonts w:ascii="Arial" w:cs="Arial" w:eastAsia="Arial" w:hAnsi="Arial"/>
                <w:sz w:val="20"/>
                <w:szCs w:val="20"/>
                <w:b w:val="1"/>
                <w:bCs w:val="1"/>
                <w:color w:val="auto"/>
              </w:rPr>
              <w:t>Adoption</w:t>
            </w:r>
          </w:p>
        </w:tc>
        <w:tc>
          <w:tcPr>
            <w:tcW w:w="100" w:type="dxa"/>
            <w:vAlign w:val="bottom"/>
          </w:tcPr>
          <w:p>
            <w:pPr>
              <w:spacing w:after="0"/>
              <w:rPr>
                <w:sz w:val="22"/>
                <w:szCs w:val="22"/>
                <w:color w:val="auto"/>
              </w:rPr>
            </w:pPr>
          </w:p>
        </w:tc>
        <w:tc>
          <w:tcPr>
            <w:tcW w:w="1800" w:type="dxa"/>
            <w:vAlign w:val="bottom"/>
            <w:tcBorders>
              <w:bottom w:val="single" w:sz="8" w:color="auto"/>
            </w:tcBorders>
          </w:tcPr>
          <w:p>
            <w:pPr>
              <w:ind w:left="420"/>
              <w:spacing w:after="0"/>
              <w:rPr>
                <w:sz w:val="20"/>
                <w:szCs w:val="20"/>
                <w:color w:val="auto"/>
              </w:rPr>
            </w:pPr>
            <w:r>
              <w:rPr>
                <w:rFonts w:ascii="Arial" w:cs="Arial" w:eastAsia="Arial" w:hAnsi="Arial"/>
                <w:sz w:val="20"/>
                <w:szCs w:val="20"/>
                <w:b w:val="1"/>
                <w:bCs w:val="1"/>
                <w:color w:val="auto"/>
              </w:rPr>
              <w:t>Assessment</w:t>
            </w:r>
          </w:p>
        </w:tc>
      </w:tr>
      <w:tr>
        <w:trPr>
          <w:trHeight w:val="178"/>
        </w:trPr>
        <w:tc>
          <w:tcPr>
            <w:tcW w:w="2300" w:type="dxa"/>
            <w:vAlign w:val="bottom"/>
          </w:tcPr>
          <w:p>
            <w:pPr>
              <w:ind w:left="40"/>
              <w:spacing w:after="0" w:line="178" w:lineRule="exact"/>
              <w:rPr>
                <w:sz w:val="20"/>
                <w:szCs w:val="20"/>
                <w:color w:val="auto"/>
              </w:rPr>
            </w:pPr>
            <w:r>
              <w:rPr>
                <w:rFonts w:ascii="Arial" w:cs="Arial" w:eastAsia="Arial" w:hAnsi="Arial"/>
                <w:sz w:val="20"/>
                <w:szCs w:val="20"/>
                <w:color w:val="auto"/>
                <w:w w:val="99"/>
              </w:rPr>
              <w:t>This ASU will be effective</w:t>
            </w:r>
          </w:p>
        </w:tc>
        <w:tc>
          <w:tcPr>
            <w:tcW w:w="100" w:type="dxa"/>
            <w:vAlign w:val="bottom"/>
          </w:tcPr>
          <w:p>
            <w:pPr>
              <w:spacing w:after="0"/>
              <w:rPr>
                <w:sz w:val="15"/>
                <w:szCs w:val="15"/>
                <w:color w:val="auto"/>
              </w:rPr>
            </w:pPr>
          </w:p>
        </w:tc>
        <w:tc>
          <w:tcPr>
            <w:tcW w:w="1800" w:type="dxa"/>
            <w:vAlign w:val="bottom"/>
            <w:tcBorders>
              <w:right w:val="single" w:sz="8" w:color="E6E6E6"/>
            </w:tcBorders>
          </w:tcPr>
          <w:p>
            <w:pPr>
              <w:ind w:left="60"/>
              <w:spacing w:after="0" w:line="178" w:lineRule="exact"/>
              <w:rPr>
                <w:sz w:val="20"/>
                <w:szCs w:val="20"/>
                <w:color w:val="auto"/>
              </w:rPr>
            </w:pPr>
            <w:r>
              <w:rPr>
                <w:rFonts w:ascii="Arial" w:cs="Arial" w:eastAsia="Arial" w:hAnsi="Arial"/>
                <w:sz w:val="20"/>
                <w:szCs w:val="20"/>
                <w:color w:val="auto"/>
              </w:rPr>
              <w:t>LivaNova is</w:t>
            </w:r>
          </w:p>
        </w:tc>
      </w:tr>
      <w:tr>
        <w:trPr>
          <w:trHeight w:val="196"/>
        </w:trPr>
        <w:tc>
          <w:tcPr>
            <w:tcW w:w="2300" w:type="dxa"/>
            <w:vAlign w:val="bottom"/>
          </w:tcPr>
          <w:p>
            <w:pPr>
              <w:ind w:left="40"/>
              <w:spacing w:after="0" w:line="196" w:lineRule="exact"/>
              <w:rPr>
                <w:sz w:val="20"/>
                <w:szCs w:val="20"/>
                <w:color w:val="auto"/>
              </w:rPr>
            </w:pPr>
            <w:r>
              <w:rPr>
                <w:rFonts w:ascii="Arial" w:cs="Arial" w:eastAsia="Arial" w:hAnsi="Arial"/>
                <w:sz w:val="20"/>
                <w:szCs w:val="20"/>
                <w:color w:val="auto"/>
              </w:rPr>
              <w:t>for annual periods</w:t>
            </w:r>
          </w:p>
        </w:tc>
        <w:tc>
          <w:tcPr>
            <w:tcW w:w="100" w:type="dxa"/>
            <w:vAlign w:val="bottom"/>
          </w:tcPr>
          <w:p>
            <w:pPr>
              <w:spacing w:after="0"/>
              <w:rPr>
                <w:sz w:val="17"/>
                <w:szCs w:val="17"/>
                <w:color w:val="auto"/>
              </w:rPr>
            </w:pPr>
          </w:p>
        </w:tc>
        <w:tc>
          <w:tcPr>
            <w:tcW w:w="1800" w:type="dxa"/>
            <w:vAlign w:val="bottom"/>
            <w:tcBorders>
              <w:right w:val="single" w:sz="8" w:color="E6E6E6"/>
            </w:tcBorders>
          </w:tcPr>
          <w:p>
            <w:pPr>
              <w:ind w:left="60"/>
              <w:spacing w:after="0" w:line="196" w:lineRule="exact"/>
              <w:rPr>
                <w:sz w:val="20"/>
                <w:szCs w:val="20"/>
                <w:color w:val="auto"/>
              </w:rPr>
            </w:pPr>
            <w:r>
              <w:rPr>
                <w:rFonts w:ascii="Arial" w:cs="Arial" w:eastAsia="Arial" w:hAnsi="Arial"/>
                <w:sz w:val="20"/>
                <w:szCs w:val="20"/>
                <w:color w:val="auto"/>
                <w:w w:val="98"/>
              </w:rPr>
              <w:t>currently evaluating</w:t>
            </w:r>
          </w:p>
        </w:tc>
      </w:tr>
      <w:tr>
        <w:trPr>
          <w:trHeight w:val="196"/>
        </w:trPr>
        <w:tc>
          <w:tcPr>
            <w:tcW w:w="2300" w:type="dxa"/>
            <w:vAlign w:val="bottom"/>
          </w:tcPr>
          <w:p>
            <w:pPr>
              <w:ind w:left="40"/>
              <w:spacing w:after="0" w:line="196" w:lineRule="exact"/>
              <w:rPr>
                <w:sz w:val="20"/>
                <w:szCs w:val="20"/>
                <w:color w:val="auto"/>
              </w:rPr>
            </w:pPr>
            <w:r>
              <w:rPr>
                <w:rFonts w:ascii="Arial" w:cs="Arial" w:eastAsia="Arial" w:hAnsi="Arial"/>
                <w:sz w:val="20"/>
                <w:szCs w:val="20"/>
                <w:color w:val="auto"/>
                <w:w w:val="97"/>
              </w:rPr>
              <w:t>beginning after December</w:t>
            </w:r>
          </w:p>
        </w:tc>
        <w:tc>
          <w:tcPr>
            <w:tcW w:w="100" w:type="dxa"/>
            <w:vAlign w:val="bottom"/>
          </w:tcPr>
          <w:p>
            <w:pPr>
              <w:spacing w:after="0"/>
              <w:rPr>
                <w:sz w:val="17"/>
                <w:szCs w:val="17"/>
                <w:color w:val="auto"/>
              </w:rPr>
            </w:pPr>
          </w:p>
        </w:tc>
        <w:tc>
          <w:tcPr>
            <w:tcW w:w="1800" w:type="dxa"/>
            <w:vAlign w:val="bottom"/>
            <w:tcBorders>
              <w:right w:val="single" w:sz="8" w:color="E6E6E6"/>
            </w:tcBorders>
          </w:tcPr>
          <w:p>
            <w:pPr>
              <w:ind w:left="60"/>
              <w:spacing w:after="0" w:line="196" w:lineRule="exact"/>
              <w:rPr>
                <w:sz w:val="20"/>
                <w:szCs w:val="20"/>
                <w:color w:val="auto"/>
              </w:rPr>
            </w:pPr>
            <w:r>
              <w:rPr>
                <w:rFonts w:ascii="Arial" w:cs="Arial" w:eastAsia="Arial" w:hAnsi="Arial"/>
                <w:sz w:val="20"/>
                <w:szCs w:val="20"/>
                <w:color w:val="auto"/>
              </w:rPr>
              <w:t>the effect this</w:t>
            </w:r>
          </w:p>
        </w:tc>
      </w:tr>
      <w:tr>
        <w:trPr>
          <w:trHeight w:val="196"/>
        </w:trPr>
        <w:tc>
          <w:tcPr>
            <w:tcW w:w="2300" w:type="dxa"/>
            <w:vAlign w:val="bottom"/>
          </w:tcPr>
          <w:p>
            <w:pPr>
              <w:ind w:left="40"/>
              <w:spacing w:after="0" w:line="196" w:lineRule="exact"/>
              <w:rPr>
                <w:sz w:val="20"/>
                <w:szCs w:val="20"/>
                <w:color w:val="auto"/>
              </w:rPr>
            </w:pPr>
            <w:r>
              <w:rPr>
                <w:rFonts w:ascii="Arial" w:cs="Arial" w:eastAsia="Arial" w:hAnsi="Arial"/>
                <w:sz w:val="20"/>
                <w:szCs w:val="20"/>
                <w:color w:val="auto"/>
                <w:w w:val="95"/>
              </w:rPr>
              <w:t>15, 2024, on a prospective</w:t>
            </w:r>
          </w:p>
        </w:tc>
        <w:tc>
          <w:tcPr>
            <w:tcW w:w="100" w:type="dxa"/>
            <w:vAlign w:val="bottom"/>
          </w:tcPr>
          <w:p>
            <w:pPr>
              <w:spacing w:after="0"/>
              <w:rPr>
                <w:sz w:val="17"/>
                <w:szCs w:val="17"/>
                <w:color w:val="auto"/>
              </w:rPr>
            </w:pPr>
          </w:p>
        </w:tc>
        <w:tc>
          <w:tcPr>
            <w:tcW w:w="1800" w:type="dxa"/>
            <w:vAlign w:val="bottom"/>
            <w:tcBorders>
              <w:right w:val="single" w:sz="8" w:color="E6E6E6"/>
            </w:tcBorders>
          </w:tcPr>
          <w:p>
            <w:pPr>
              <w:ind w:left="60"/>
              <w:spacing w:after="0" w:line="196" w:lineRule="exact"/>
              <w:rPr>
                <w:sz w:val="20"/>
                <w:szCs w:val="20"/>
                <w:color w:val="auto"/>
              </w:rPr>
            </w:pPr>
            <w:r>
              <w:rPr>
                <w:rFonts w:ascii="Arial" w:cs="Arial" w:eastAsia="Arial" w:hAnsi="Arial"/>
                <w:sz w:val="20"/>
                <w:szCs w:val="20"/>
                <w:color w:val="auto"/>
              </w:rPr>
              <w:t>standard will have</w:t>
            </w:r>
          </w:p>
        </w:tc>
      </w:tr>
      <w:tr>
        <w:trPr>
          <w:trHeight w:val="196"/>
        </w:trPr>
        <w:tc>
          <w:tcPr>
            <w:tcW w:w="2300" w:type="dxa"/>
            <w:vAlign w:val="bottom"/>
          </w:tcPr>
          <w:p>
            <w:pPr>
              <w:ind w:left="40"/>
              <w:spacing w:after="0" w:line="196" w:lineRule="exact"/>
              <w:rPr>
                <w:sz w:val="20"/>
                <w:szCs w:val="20"/>
                <w:color w:val="auto"/>
              </w:rPr>
            </w:pPr>
            <w:r>
              <w:rPr>
                <w:rFonts w:ascii="Arial" w:cs="Arial" w:eastAsia="Arial" w:hAnsi="Arial"/>
                <w:sz w:val="20"/>
                <w:szCs w:val="20"/>
                <w:color w:val="auto"/>
                <w:w w:val="99"/>
              </w:rPr>
              <w:t>basis, with early adoption</w:t>
            </w:r>
          </w:p>
        </w:tc>
        <w:tc>
          <w:tcPr>
            <w:tcW w:w="100" w:type="dxa"/>
            <w:vAlign w:val="bottom"/>
          </w:tcPr>
          <w:p>
            <w:pPr>
              <w:spacing w:after="0"/>
              <w:rPr>
                <w:sz w:val="17"/>
                <w:szCs w:val="17"/>
                <w:color w:val="auto"/>
              </w:rPr>
            </w:pPr>
          </w:p>
        </w:tc>
        <w:tc>
          <w:tcPr>
            <w:tcW w:w="1800" w:type="dxa"/>
            <w:vAlign w:val="bottom"/>
            <w:tcBorders>
              <w:right w:val="single" w:sz="8" w:color="E6E6E6"/>
            </w:tcBorders>
          </w:tcPr>
          <w:p>
            <w:pPr>
              <w:ind w:left="60"/>
              <w:spacing w:after="0" w:line="196" w:lineRule="exact"/>
              <w:rPr>
                <w:sz w:val="20"/>
                <w:szCs w:val="20"/>
                <w:color w:val="auto"/>
              </w:rPr>
            </w:pPr>
            <w:r>
              <w:rPr>
                <w:rFonts w:ascii="Arial" w:cs="Arial" w:eastAsia="Arial" w:hAnsi="Arial"/>
                <w:sz w:val="20"/>
                <w:szCs w:val="20"/>
                <w:color w:val="auto"/>
              </w:rPr>
              <w:t>on its consolidated</w:t>
            </w:r>
          </w:p>
        </w:tc>
      </w:tr>
      <w:tr>
        <w:trPr>
          <w:trHeight w:val="196"/>
        </w:trPr>
        <w:tc>
          <w:tcPr>
            <w:tcW w:w="2300" w:type="dxa"/>
            <w:vAlign w:val="bottom"/>
          </w:tcPr>
          <w:p>
            <w:pPr>
              <w:ind w:left="40"/>
              <w:spacing w:after="0" w:line="196" w:lineRule="exact"/>
              <w:rPr>
                <w:sz w:val="20"/>
                <w:szCs w:val="20"/>
                <w:color w:val="auto"/>
              </w:rPr>
            </w:pPr>
            <w:r>
              <w:rPr>
                <w:rFonts w:ascii="Arial" w:cs="Arial" w:eastAsia="Arial" w:hAnsi="Arial"/>
                <w:sz w:val="20"/>
                <w:szCs w:val="20"/>
                <w:color w:val="auto"/>
              </w:rPr>
              <w:t>and retrospective</w:t>
            </w:r>
          </w:p>
        </w:tc>
        <w:tc>
          <w:tcPr>
            <w:tcW w:w="100" w:type="dxa"/>
            <w:vAlign w:val="bottom"/>
          </w:tcPr>
          <w:p>
            <w:pPr>
              <w:spacing w:after="0"/>
              <w:rPr>
                <w:sz w:val="17"/>
                <w:szCs w:val="17"/>
                <w:color w:val="auto"/>
              </w:rPr>
            </w:pPr>
          </w:p>
        </w:tc>
        <w:tc>
          <w:tcPr>
            <w:tcW w:w="1800" w:type="dxa"/>
            <w:vAlign w:val="bottom"/>
            <w:tcBorders>
              <w:right w:val="single" w:sz="8" w:color="E6E6E6"/>
            </w:tcBorders>
          </w:tcPr>
          <w:p>
            <w:pPr>
              <w:ind w:left="60"/>
              <w:spacing w:after="0" w:line="196" w:lineRule="exact"/>
              <w:rPr>
                <w:sz w:val="20"/>
                <w:szCs w:val="20"/>
                <w:color w:val="auto"/>
              </w:rPr>
            </w:pPr>
            <w:r>
              <w:rPr>
                <w:rFonts w:ascii="Arial" w:cs="Arial" w:eastAsia="Arial" w:hAnsi="Arial"/>
                <w:sz w:val="20"/>
                <w:szCs w:val="20"/>
                <w:color w:val="auto"/>
                <w:w w:val="96"/>
              </w:rPr>
              <w:t>financial statements</w:t>
            </w:r>
          </w:p>
        </w:tc>
      </w:tr>
      <w:tr>
        <w:trPr>
          <w:trHeight w:val="196"/>
        </w:trPr>
        <w:tc>
          <w:tcPr>
            <w:tcW w:w="2300" w:type="dxa"/>
            <w:vAlign w:val="bottom"/>
          </w:tcPr>
          <w:p>
            <w:pPr>
              <w:ind w:left="40"/>
              <w:spacing w:after="0" w:line="196" w:lineRule="exact"/>
              <w:rPr>
                <w:sz w:val="20"/>
                <w:szCs w:val="20"/>
                <w:color w:val="auto"/>
              </w:rPr>
            </w:pPr>
            <w:r>
              <w:rPr>
                <w:rFonts w:ascii="Arial" w:cs="Arial" w:eastAsia="Arial" w:hAnsi="Arial"/>
                <w:sz w:val="20"/>
                <w:szCs w:val="20"/>
                <w:color w:val="auto"/>
              </w:rPr>
              <w:t>application permitted.</w:t>
            </w:r>
          </w:p>
        </w:tc>
        <w:tc>
          <w:tcPr>
            <w:tcW w:w="100" w:type="dxa"/>
            <w:vAlign w:val="bottom"/>
          </w:tcPr>
          <w:p>
            <w:pPr>
              <w:spacing w:after="0"/>
              <w:rPr>
                <w:sz w:val="17"/>
                <w:szCs w:val="17"/>
                <w:color w:val="auto"/>
              </w:rPr>
            </w:pPr>
          </w:p>
        </w:tc>
        <w:tc>
          <w:tcPr>
            <w:tcW w:w="1800" w:type="dxa"/>
            <w:vAlign w:val="bottom"/>
            <w:tcBorders>
              <w:right w:val="single" w:sz="8" w:color="E6E6E6"/>
            </w:tcBorders>
          </w:tcPr>
          <w:p>
            <w:pPr>
              <w:ind w:left="60"/>
              <w:spacing w:after="0" w:line="196" w:lineRule="exact"/>
              <w:rPr>
                <w:sz w:val="20"/>
                <w:szCs w:val="20"/>
                <w:color w:val="auto"/>
              </w:rPr>
            </w:pPr>
            <w:r>
              <w:rPr>
                <w:rFonts w:ascii="Arial" w:cs="Arial" w:eastAsia="Arial" w:hAnsi="Arial"/>
                <w:sz w:val="20"/>
                <w:szCs w:val="20"/>
                <w:color w:val="auto"/>
              </w:rPr>
              <w:t>and related</w:t>
            </w:r>
          </w:p>
        </w:tc>
      </w:tr>
      <w:tr>
        <w:trPr>
          <w:trHeight w:val="268"/>
        </w:trPr>
        <w:tc>
          <w:tcPr>
            <w:tcW w:w="2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tcBorders>
              <w:right w:val="single" w:sz="8" w:color="E6E6E6"/>
            </w:tcBorders>
          </w:tcPr>
          <w:p>
            <w:pPr>
              <w:ind w:left="60"/>
              <w:spacing w:after="0"/>
              <w:rPr>
                <w:sz w:val="20"/>
                <w:szCs w:val="20"/>
                <w:color w:val="auto"/>
              </w:rPr>
            </w:pPr>
            <w:r>
              <w:rPr>
                <w:rFonts w:ascii="Arial" w:cs="Arial" w:eastAsia="Arial" w:hAnsi="Arial"/>
                <w:sz w:val="20"/>
                <w:szCs w:val="20"/>
                <w:color w:val="auto"/>
              </w:rPr>
              <w:t>disclosures.</w:t>
            </w:r>
          </w:p>
        </w:tc>
      </w:tr>
      <w:tr>
        <w:trPr>
          <w:trHeight w:val="187"/>
        </w:trPr>
        <w:tc>
          <w:tcPr>
            <w:tcW w:w="2300" w:type="dxa"/>
            <w:vAlign w:val="bottom"/>
          </w:tcPr>
          <w:p>
            <w:pPr>
              <w:ind w:left="40"/>
              <w:spacing w:after="0" w:line="187" w:lineRule="exact"/>
              <w:rPr>
                <w:sz w:val="20"/>
                <w:szCs w:val="20"/>
                <w:color w:val="auto"/>
              </w:rPr>
            </w:pPr>
            <w:r>
              <w:rPr>
                <w:rFonts w:ascii="Arial" w:cs="Arial" w:eastAsia="Arial" w:hAnsi="Arial"/>
                <w:sz w:val="20"/>
                <w:szCs w:val="20"/>
                <w:color w:val="auto"/>
                <w:w w:val="99"/>
              </w:rPr>
              <w:t>This ASU will be effective</w:t>
            </w:r>
          </w:p>
        </w:tc>
        <w:tc>
          <w:tcPr>
            <w:tcW w:w="100" w:type="dxa"/>
            <w:vAlign w:val="bottom"/>
          </w:tcPr>
          <w:p>
            <w:pPr>
              <w:spacing w:after="0"/>
              <w:rPr>
                <w:sz w:val="16"/>
                <w:szCs w:val="16"/>
                <w:color w:val="auto"/>
              </w:rPr>
            </w:pPr>
          </w:p>
        </w:tc>
        <w:tc>
          <w:tcPr>
            <w:tcW w:w="1800" w:type="dxa"/>
            <w:vAlign w:val="bottom"/>
          </w:tcPr>
          <w:p>
            <w:pPr>
              <w:ind w:left="60"/>
              <w:spacing w:after="0" w:line="187" w:lineRule="exact"/>
              <w:rPr>
                <w:sz w:val="20"/>
                <w:szCs w:val="20"/>
                <w:color w:val="auto"/>
              </w:rPr>
            </w:pPr>
            <w:r>
              <w:rPr>
                <w:rFonts w:ascii="Arial" w:cs="Arial" w:eastAsia="Arial" w:hAnsi="Arial"/>
                <w:sz w:val="20"/>
                <w:szCs w:val="20"/>
                <w:color w:val="auto"/>
              </w:rPr>
              <w:t>LivaNova is</w:t>
            </w:r>
          </w:p>
        </w:tc>
      </w:tr>
      <w:tr>
        <w:trPr>
          <w:trHeight w:val="196"/>
        </w:trPr>
        <w:tc>
          <w:tcPr>
            <w:tcW w:w="2300" w:type="dxa"/>
            <w:vAlign w:val="bottom"/>
          </w:tcPr>
          <w:p>
            <w:pPr>
              <w:ind w:left="40"/>
              <w:spacing w:after="0" w:line="196" w:lineRule="exact"/>
              <w:rPr>
                <w:sz w:val="20"/>
                <w:szCs w:val="20"/>
                <w:color w:val="auto"/>
              </w:rPr>
            </w:pPr>
            <w:r>
              <w:rPr>
                <w:rFonts w:ascii="Arial" w:cs="Arial" w:eastAsia="Arial" w:hAnsi="Arial"/>
                <w:sz w:val="20"/>
                <w:szCs w:val="20"/>
                <w:color w:val="auto"/>
              </w:rPr>
              <w:t>for annual periods</w:t>
            </w:r>
          </w:p>
        </w:tc>
        <w:tc>
          <w:tcPr>
            <w:tcW w:w="100" w:type="dxa"/>
            <w:vAlign w:val="bottom"/>
          </w:tcPr>
          <w:p>
            <w:pPr>
              <w:spacing w:after="0"/>
              <w:rPr>
                <w:sz w:val="17"/>
                <w:szCs w:val="17"/>
                <w:color w:val="auto"/>
              </w:rPr>
            </w:pPr>
          </w:p>
        </w:tc>
        <w:tc>
          <w:tcPr>
            <w:tcW w:w="1800" w:type="dxa"/>
            <w:vAlign w:val="bottom"/>
          </w:tcPr>
          <w:p>
            <w:pPr>
              <w:ind w:left="60"/>
              <w:spacing w:after="0" w:line="196" w:lineRule="exact"/>
              <w:rPr>
                <w:sz w:val="20"/>
                <w:szCs w:val="20"/>
                <w:color w:val="auto"/>
              </w:rPr>
            </w:pPr>
            <w:r>
              <w:rPr>
                <w:rFonts w:ascii="Arial" w:cs="Arial" w:eastAsia="Arial" w:hAnsi="Arial"/>
                <w:sz w:val="20"/>
                <w:szCs w:val="20"/>
                <w:color w:val="auto"/>
                <w:w w:val="98"/>
              </w:rPr>
              <w:t>currently evaluating</w:t>
            </w:r>
          </w:p>
        </w:tc>
      </w:tr>
      <w:tr>
        <w:trPr>
          <w:trHeight w:val="196"/>
        </w:trPr>
        <w:tc>
          <w:tcPr>
            <w:tcW w:w="2300" w:type="dxa"/>
            <w:vAlign w:val="bottom"/>
          </w:tcPr>
          <w:p>
            <w:pPr>
              <w:ind w:left="40"/>
              <w:spacing w:after="0" w:line="196" w:lineRule="exact"/>
              <w:rPr>
                <w:sz w:val="20"/>
                <w:szCs w:val="20"/>
                <w:color w:val="auto"/>
              </w:rPr>
            </w:pPr>
            <w:r>
              <w:rPr>
                <w:rFonts w:ascii="Arial" w:cs="Arial" w:eastAsia="Arial" w:hAnsi="Arial"/>
                <w:sz w:val="20"/>
                <w:szCs w:val="20"/>
                <w:color w:val="auto"/>
                <w:w w:val="97"/>
              </w:rPr>
              <w:t>beginning after December</w:t>
            </w:r>
          </w:p>
        </w:tc>
        <w:tc>
          <w:tcPr>
            <w:tcW w:w="100" w:type="dxa"/>
            <w:vAlign w:val="bottom"/>
          </w:tcPr>
          <w:p>
            <w:pPr>
              <w:spacing w:after="0"/>
              <w:rPr>
                <w:sz w:val="17"/>
                <w:szCs w:val="17"/>
                <w:color w:val="auto"/>
              </w:rPr>
            </w:pPr>
          </w:p>
        </w:tc>
        <w:tc>
          <w:tcPr>
            <w:tcW w:w="1800" w:type="dxa"/>
            <w:vAlign w:val="bottom"/>
          </w:tcPr>
          <w:p>
            <w:pPr>
              <w:ind w:left="60"/>
              <w:spacing w:after="0" w:line="196" w:lineRule="exact"/>
              <w:rPr>
                <w:sz w:val="20"/>
                <w:szCs w:val="20"/>
                <w:color w:val="auto"/>
              </w:rPr>
            </w:pPr>
            <w:r>
              <w:rPr>
                <w:rFonts w:ascii="Arial" w:cs="Arial" w:eastAsia="Arial" w:hAnsi="Arial"/>
                <w:sz w:val="20"/>
                <w:szCs w:val="20"/>
                <w:color w:val="auto"/>
              </w:rPr>
              <w:t>the effect this</w:t>
            </w:r>
          </w:p>
        </w:tc>
      </w:tr>
      <w:tr>
        <w:trPr>
          <w:trHeight w:val="196"/>
        </w:trPr>
        <w:tc>
          <w:tcPr>
            <w:tcW w:w="2300" w:type="dxa"/>
            <w:vAlign w:val="bottom"/>
          </w:tcPr>
          <w:p>
            <w:pPr>
              <w:ind w:left="40"/>
              <w:spacing w:after="0" w:line="196" w:lineRule="exact"/>
              <w:rPr>
                <w:sz w:val="20"/>
                <w:szCs w:val="20"/>
                <w:color w:val="auto"/>
              </w:rPr>
            </w:pPr>
            <w:r>
              <w:rPr>
                <w:rFonts w:ascii="Arial" w:cs="Arial" w:eastAsia="Arial" w:hAnsi="Arial"/>
                <w:sz w:val="20"/>
                <w:szCs w:val="20"/>
                <w:color w:val="auto"/>
              </w:rPr>
              <w:t>15, 2026, and interim</w:t>
            </w:r>
          </w:p>
        </w:tc>
        <w:tc>
          <w:tcPr>
            <w:tcW w:w="100" w:type="dxa"/>
            <w:vAlign w:val="bottom"/>
          </w:tcPr>
          <w:p>
            <w:pPr>
              <w:spacing w:after="0"/>
              <w:rPr>
                <w:sz w:val="17"/>
                <w:szCs w:val="17"/>
                <w:color w:val="auto"/>
              </w:rPr>
            </w:pPr>
          </w:p>
        </w:tc>
        <w:tc>
          <w:tcPr>
            <w:tcW w:w="1800" w:type="dxa"/>
            <w:vAlign w:val="bottom"/>
          </w:tcPr>
          <w:p>
            <w:pPr>
              <w:ind w:left="60"/>
              <w:spacing w:after="0" w:line="196" w:lineRule="exact"/>
              <w:rPr>
                <w:sz w:val="20"/>
                <w:szCs w:val="20"/>
                <w:color w:val="auto"/>
              </w:rPr>
            </w:pPr>
            <w:r>
              <w:rPr>
                <w:rFonts w:ascii="Arial" w:cs="Arial" w:eastAsia="Arial" w:hAnsi="Arial"/>
                <w:sz w:val="20"/>
                <w:szCs w:val="20"/>
                <w:color w:val="auto"/>
              </w:rPr>
              <w:t>standard will have</w:t>
            </w:r>
          </w:p>
        </w:tc>
      </w:tr>
      <w:tr>
        <w:trPr>
          <w:trHeight w:val="196"/>
        </w:trPr>
        <w:tc>
          <w:tcPr>
            <w:tcW w:w="2300" w:type="dxa"/>
            <w:vAlign w:val="bottom"/>
          </w:tcPr>
          <w:p>
            <w:pPr>
              <w:ind w:left="40"/>
              <w:spacing w:after="0" w:line="196" w:lineRule="exact"/>
              <w:rPr>
                <w:sz w:val="20"/>
                <w:szCs w:val="20"/>
                <w:color w:val="auto"/>
              </w:rPr>
            </w:pPr>
            <w:r>
              <w:rPr>
                <w:rFonts w:ascii="Arial" w:cs="Arial" w:eastAsia="Arial" w:hAnsi="Arial"/>
                <w:sz w:val="20"/>
                <w:szCs w:val="20"/>
                <w:color w:val="auto"/>
              </w:rPr>
              <w:t>periods beginning after</w:t>
            </w:r>
          </w:p>
        </w:tc>
        <w:tc>
          <w:tcPr>
            <w:tcW w:w="100" w:type="dxa"/>
            <w:vAlign w:val="bottom"/>
          </w:tcPr>
          <w:p>
            <w:pPr>
              <w:spacing w:after="0"/>
              <w:rPr>
                <w:sz w:val="17"/>
                <w:szCs w:val="17"/>
                <w:color w:val="auto"/>
              </w:rPr>
            </w:pPr>
          </w:p>
        </w:tc>
        <w:tc>
          <w:tcPr>
            <w:tcW w:w="1800" w:type="dxa"/>
            <w:vAlign w:val="bottom"/>
          </w:tcPr>
          <w:p>
            <w:pPr>
              <w:ind w:left="60"/>
              <w:spacing w:after="0" w:line="196" w:lineRule="exact"/>
              <w:rPr>
                <w:sz w:val="20"/>
                <w:szCs w:val="20"/>
                <w:color w:val="auto"/>
              </w:rPr>
            </w:pPr>
            <w:r>
              <w:rPr>
                <w:rFonts w:ascii="Arial" w:cs="Arial" w:eastAsia="Arial" w:hAnsi="Arial"/>
                <w:sz w:val="20"/>
                <w:szCs w:val="20"/>
                <w:color w:val="auto"/>
              </w:rPr>
              <w:t>on its consolidated</w:t>
            </w:r>
          </w:p>
        </w:tc>
      </w:tr>
      <w:tr>
        <w:trPr>
          <w:trHeight w:val="196"/>
        </w:trPr>
        <w:tc>
          <w:tcPr>
            <w:tcW w:w="2300" w:type="dxa"/>
            <w:vAlign w:val="bottom"/>
          </w:tcPr>
          <w:p>
            <w:pPr>
              <w:ind w:left="40"/>
              <w:spacing w:after="0" w:line="196" w:lineRule="exact"/>
              <w:rPr>
                <w:sz w:val="20"/>
                <w:szCs w:val="20"/>
                <w:color w:val="auto"/>
              </w:rPr>
            </w:pPr>
            <w:r>
              <w:rPr>
                <w:rFonts w:ascii="Arial" w:cs="Arial" w:eastAsia="Arial" w:hAnsi="Arial"/>
                <w:sz w:val="20"/>
                <w:szCs w:val="20"/>
                <w:color w:val="auto"/>
                <w:w w:val="99"/>
              </w:rPr>
              <w:t>December 15, 2027. This</w:t>
            </w:r>
          </w:p>
        </w:tc>
        <w:tc>
          <w:tcPr>
            <w:tcW w:w="100" w:type="dxa"/>
            <w:vAlign w:val="bottom"/>
          </w:tcPr>
          <w:p>
            <w:pPr>
              <w:spacing w:after="0"/>
              <w:rPr>
                <w:sz w:val="17"/>
                <w:szCs w:val="17"/>
                <w:color w:val="auto"/>
              </w:rPr>
            </w:pPr>
          </w:p>
        </w:tc>
        <w:tc>
          <w:tcPr>
            <w:tcW w:w="1800" w:type="dxa"/>
            <w:vAlign w:val="bottom"/>
          </w:tcPr>
          <w:p>
            <w:pPr>
              <w:ind w:left="60"/>
              <w:spacing w:after="0" w:line="196" w:lineRule="exact"/>
              <w:rPr>
                <w:sz w:val="20"/>
                <w:szCs w:val="20"/>
                <w:color w:val="auto"/>
              </w:rPr>
            </w:pPr>
            <w:r>
              <w:rPr>
                <w:rFonts w:ascii="Arial" w:cs="Arial" w:eastAsia="Arial" w:hAnsi="Arial"/>
                <w:sz w:val="20"/>
                <w:szCs w:val="20"/>
                <w:color w:val="auto"/>
                <w:w w:val="96"/>
              </w:rPr>
              <w:t>financial statements</w:t>
            </w:r>
          </w:p>
        </w:tc>
      </w:tr>
      <w:tr>
        <w:trPr>
          <w:trHeight w:val="196"/>
        </w:trPr>
        <w:tc>
          <w:tcPr>
            <w:tcW w:w="2300" w:type="dxa"/>
            <w:vAlign w:val="bottom"/>
          </w:tcPr>
          <w:p>
            <w:pPr>
              <w:ind w:left="40"/>
              <w:spacing w:after="0" w:line="196" w:lineRule="exact"/>
              <w:rPr>
                <w:sz w:val="20"/>
                <w:szCs w:val="20"/>
                <w:color w:val="auto"/>
              </w:rPr>
            </w:pPr>
            <w:r>
              <w:rPr>
                <w:rFonts w:ascii="Arial" w:cs="Arial" w:eastAsia="Arial" w:hAnsi="Arial"/>
                <w:sz w:val="20"/>
                <w:szCs w:val="20"/>
                <w:color w:val="auto"/>
              </w:rPr>
              <w:t>ASU may be applied on</w:t>
            </w:r>
          </w:p>
        </w:tc>
        <w:tc>
          <w:tcPr>
            <w:tcW w:w="100" w:type="dxa"/>
            <w:vAlign w:val="bottom"/>
          </w:tcPr>
          <w:p>
            <w:pPr>
              <w:spacing w:after="0"/>
              <w:rPr>
                <w:sz w:val="17"/>
                <w:szCs w:val="17"/>
                <w:color w:val="auto"/>
              </w:rPr>
            </w:pPr>
          </w:p>
        </w:tc>
        <w:tc>
          <w:tcPr>
            <w:tcW w:w="1800" w:type="dxa"/>
            <w:vAlign w:val="bottom"/>
          </w:tcPr>
          <w:p>
            <w:pPr>
              <w:ind w:left="60"/>
              <w:spacing w:after="0" w:line="196" w:lineRule="exact"/>
              <w:rPr>
                <w:sz w:val="20"/>
                <w:szCs w:val="20"/>
                <w:color w:val="auto"/>
              </w:rPr>
            </w:pPr>
            <w:r>
              <w:rPr>
                <w:rFonts w:ascii="Arial" w:cs="Arial" w:eastAsia="Arial" w:hAnsi="Arial"/>
                <w:sz w:val="20"/>
                <w:szCs w:val="20"/>
                <w:color w:val="auto"/>
              </w:rPr>
              <w:t>and related</w:t>
            </w:r>
          </w:p>
        </w:tc>
      </w:tr>
      <w:tr>
        <w:trPr>
          <w:trHeight w:val="196"/>
        </w:trPr>
        <w:tc>
          <w:tcPr>
            <w:tcW w:w="2300" w:type="dxa"/>
            <w:vAlign w:val="bottom"/>
          </w:tcPr>
          <w:p>
            <w:pPr>
              <w:ind w:left="40"/>
              <w:spacing w:after="0" w:line="196" w:lineRule="exact"/>
              <w:rPr>
                <w:sz w:val="20"/>
                <w:szCs w:val="20"/>
                <w:color w:val="auto"/>
              </w:rPr>
            </w:pPr>
            <w:r>
              <w:rPr>
                <w:rFonts w:ascii="Arial" w:cs="Arial" w:eastAsia="Arial" w:hAnsi="Arial"/>
                <w:sz w:val="20"/>
                <w:szCs w:val="20"/>
                <w:color w:val="auto"/>
              </w:rPr>
              <w:t>either a prospective or</w:t>
            </w:r>
          </w:p>
        </w:tc>
        <w:tc>
          <w:tcPr>
            <w:tcW w:w="100" w:type="dxa"/>
            <w:vAlign w:val="bottom"/>
          </w:tcPr>
          <w:p>
            <w:pPr>
              <w:spacing w:after="0"/>
              <w:rPr>
                <w:sz w:val="17"/>
                <w:szCs w:val="17"/>
                <w:color w:val="auto"/>
              </w:rPr>
            </w:pPr>
          </w:p>
        </w:tc>
        <w:tc>
          <w:tcPr>
            <w:tcW w:w="1800" w:type="dxa"/>
            <w:vAlign w:val="bottom"/>
          </w:tcPr>
          <w:p>
            <w:pPr>
              <w:ind w:left="60"/>
              <w:spacing w:after="0" w:line="196" w:lineRule="exact"/>
              <w:rPr>
                <w:sz w:val="20"/>
                <w:szCs w:val="20"/>
                <w:color w:val="auto"/>
              </w:rPr>
            </w:pPr>
            <w:r>
              <w:rPr>
                <w:rFonts w:ascii="Arial" w:cs="Arial" w:eastAsia="Arial" w:hAnsi="Arial"/>
                <w:sz w:val="20"/>
                <w:szCs w:val="20"/>
                <w:color w:val="auto"/>
              </w:rPr>
              <w:t>disclosures.</w:t>
            </w:r>
          </w:p>
        </w:tc>
      </w:tr>
      <w:tr>
        <w:trPr>
          <w:trHeight w:val="196"/>
        </w:trPr>
        <w:tc>
          <w:tcPr>
            <w:tcW w:w="2300" w:type="dxa"/>
            <w:vAlign w:val="bottom"/>
          </w:tcPr>
          <w:p>
            <w:pPr>
              <w:ind w:left="40"/>
              <w:spacing w:after="0" w:line="196" w:lineRule="exact"/>
              <w:rPr>
                <w:sz w:val="20"/>
                <w:szCs w:val="20"/>
                <w:color w:val="auto"/>
              </w:rPr>
            </w:pPr>
            <w:r>
              <w:rPr>
                <w:rFonts w:ascii="Arial" w:cs="Arial" w:eastAsia="Arial" w:hAnsi="Arial"/>
                <w:sz w:val="20"/>
                <w:szCs w:val="20"/>
                <w:color w:val="auto"/>
              </w:rPr>
              <w:t>retrospective basis, with</w:t>
            </w: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57"/>
        </w:trPr>
        <w:tc>
          <w:tcPr>
            <w:tcW w:w="2300" w:type="dxa"/>
            <w:vAlign w:val="bottom"/>
          </w:tcPr>
          <w:p>
            <w:pPr>
              <w:ind w:left="40"/>
              <w:spacing w:after="0"/>
              <w:rPr>
                <w:sz w:val="20"/>
                <w:szCs w:val="20"/>
                <w:color w:val="auto"/>
              </w:rPr>
            </w:pPr>
            <w:r>
              <w:rPr>
                <w:rFonts w:ascii="Arial" w:cs="Arial" w:eastAsia="Arial" w:hAnsi="Arial"/>
                <w:sz w:val="20"/>
                <w:szCs w:val="20"/>
                <w:color w:val="auto"/>
              </w:rPr>
              <w:t>early adoption permitted.</w:t>
            </w:r>
          </w:p>
        </w:tc>
        <w:tc>
          <w:tcPr>
            <w:tcW w:w="100" w:type="dxa"/>
            <w:vAlign w:val="bottom"/>
          </w:tcPr>
          <w:p>
            <w:pPr>
              <w:spacing w:after="0"/>
              <w:rPr>
                <w:sz w:val="22"/>
                <w:szCs w:val="22"/>
                <w:color w:val="auto"/>
              </w:rPr>
            </w:pPr>
          </w:p>
        </w:tc>
        <w:tc>
          <w:tcPr>
            <w:tcW w:w="1800" w:type="dxa"/>
            <w:vAlign w:val="bottom"/>
          </w:tcPr>
          <w:p>
            <w:pPr>
              <w:spacing w:after="0"/>
              <w:rPr>
                <w:sz w:val="22"/>
                <w:szCs w:val="22"/>
                <w:color w:val="auto"/>
              </w:rPr>
            </w:pPr>
          </w:p>
        </w:tc>
      </w:tr>
    </w:tbl>
    <w:p>
      <w:pPr>
        <w:spacing w:after="0" w:line="595" w:lineRule="exact"/>
        <w:rPr>
          <w:sz w:val="20"/>
          <w:szCs w:val="20"/>
          <w:color w:val="auto"/>
        </w:rPr>
      </w:pPr>
    </w:p>
    <w:p>
      <w:pPr>
        <w:sectPr>
          <w:pgSz w:w="11880" w:h="15480" w:orient="portrait"/>
          <w:cols w:equalWidth="0" w:num="2">
            <w:col w:w="5780" w:space="80"/>
            <w:col w:w="4180"/>
          </w:cols>
          <w:pgMar w:left="920" w:top="658"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F-50</w:t>
      </w:r>
    </w:p>
    <w:p>
      <w:pPr>
        <w:sectPr>
          <w:pgSz w:w="11880" w:h="15480" w:orient="portrait"/>
          <w:cols w:equalWidth="0" w:num="1">
            <w:col w:w="10040"/>
          </w:cols>
          <w:pgMar w:left="920" w:top="658" w:right="920" w:bottom="0" w:gutter="0" w:footer="0" w:header="0"/>
          <w:type w:val="continuous"/>
        </w:sectPr>
      </w:pPr>
    </w:p>
    <w:bookmarkStart w:id="108" w:name="page109"/>
    <w:bookmarkEnd w:id="108"/>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28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lvl w:ilvl="1">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1)"/>
      <w:numFmt w:val="decimal"/>
      <w:start w:val="2"/>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decimal"/>
      <w:start w:val="1"/>
    </w:lvl>
  </w:abstractNum>
  <w:abstractNum w:abstractNumId="27">
    <w:nsid w:val="2901D82"/>
    <w:multiLevelType w:val="hybridMultilevel"/>
    <w:lvl w:ilvl="0">
      <w:lvlJc w:val="left"/>
      <w:lvlText w:val="(%1)"/>
      <w:numFmt w:val="decimal"/>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2025-05-04T00:35:39Z</dcterms:created>
  <dcterms:modified xsi:type="dcterms:W3CDTF">2025-05-04T00:35:39Z</dcterms:modified>
</cp:coreProperties>
</file>