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Date of Report (Date of earliest event Reported): November 17, 2015</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LivaNova PLC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220" w:right="239" w:bottom="0" w:gutter="0" w:footer="0" w:header="0"/>
        </w:sectPr>
      </w:pPr>
    </w:p>
    <w:p>
      <w:pPr>
        <w:spacing w:after="0" w:line="206"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England and Wales</w:t>
      </w:r>
    </w:p>
    <w:p>
      <w:pPr>
        <w:spacing w:after="0" w:line="21"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001-375999</w:t>
      </w:r>
    </w:p>
    <w:p>
      <w:pPr>
        <w:spacing w:after="0" w:line="21"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98-1268150</w:t>
      </w:r>
    </w:p>
    <w:p>
      <w:pPr>
        <w:spacing w:after="0" w:line="21"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140" w:space="720"/>
            <w:col w:w="2700" w:space="720"/>
            <w:col w:w="3140"/>
          </w:cols>
          <w:pgMar w:left="240" w:top="220" w:right="239" w:bottom="0" w:gutter="0" w:footer="0" w:header="0"/>
          <w:type w:val="continuous"/>
        </w:sectPr>
      </w:pP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 Merchant Square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W2 1AY</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220" w:right="239" w:bottom="0" w:gutter="0" w:footer="0" w:header="0"/>
          <w:type w:val="continuous"/>
        </w:sect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+44 800 975 8080</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2"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14d-2(b) under the Exchange Act (17 CFR 240.14d-2(b))</w:t>
            </w:r>
          </w:p>
        </w:tc>
      </w:tr>
      <w:tr>
        <w:trPr>
          <w:trHeight w:val="22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13e-4(c) under the Exchange Act (17 CFR 240.13e-4(c))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right="128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82"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November 17, 2015, LivaNova PLC (the "</w:t>
      </w:r>
      <w:r>
        <w:rPr>
          <w:rFonts w:ascii="Arial" w:cs="Arial" w:eastAsia="Arial" w:hAnsi="Arial"/>
          <w:sz w:val="16"/>
          <w:szCs w:val="16"/>
          <w:i w:val="1"/>
          <w:iCs w:val="1"/>
          <w:color w:val="auto"/>
        </w:rPr>
        <w:t>Company</w:t>
      </w:r>
      <w:r>
        <w:rPr>
          <w:rFonts w:ascii="Arial" w:cs="Arial" w:eastAsia="Arial" w:hAnsi="Arial"/>
          <w:sz w:val="16"/>
          <w:szCs w:val="16"/>
          <w:color w:val="auto"/>
        </w:rPr>
        <w:t>") announced that Rosario Bifulco, a member of the Company's board of directors (the "</w:t>
      </w:r>
      <w:r>
        <w:rPr>
          <w:rFonts w:ascii="Arial" w:cs="Arial" w:eastAsia="Arial" w:hAnsi="Arial"/>
          <w:sz w:val="16"/>
          <w:szCs w:val="16"/>
          <w:i w:val="1"/>
          <w:iCs w:val="1"/>
          <w:color w:val="auto"/>
        </w:rPr>
        <w:t>Board</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informed the Company of his resignation from his position as a member of the Board, effective immediately. Mr. Bifulco's decision to resign was a result of his acceptance of a new position with Mittel S.p.A. and did not arise or result from any disagreement with the Company on any matters relating to the its operations, policies or practices.</w:t>
      </w:r>
    </w:p>
    <w:p>
      <w:pPr>
        <w:spacing w:after="0" w:line="198"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The complete text of the Company's press release announcing Mr. Bifulco's resignation is attached as Exhibit 99.1 to this Current Report on Form 8-K and is incorporated herein by reference.</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information set forth in the Exhibit Index following the signature page hereto is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4"/>
          <w:szCs w:val="24"/>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tabs>
          <w:tab w:leader="none" w:pos="5400" w:val="left"/>
        </w:tabs>
        <w:rPr>
          <w:sz w:val="20"/>
          <w:szCs w:val="20"/>
          <w:color w:val="auto"/>
        </w:rPr>
      </w:pPr>
      <w:r>
        <w:rPr>
          <w:rFonts w:ascii="Arial" w:cs="Arial" w:eastAsia="Arial" w:hAnsi="Arial"/>
          <w:sz w:val="18"/>
          <w:szCs w:val="18"/>
          <w:color w:val="auto"/>
        </w:rPr>
        <w:t>Date: November 17, 2015</w:t>
      </w:r>
      <w:r>
        <w:rPr>
          <w:sz w:val="20"/>
          <w:szCs w:val="20"/>
          <w:color w:val="auto"/>
        </w:rPr>
        <w:tab/>
      </w:r>
      <w:r>
        <w:rPr>
          <w:rFonts w:ascii="Arial" w:cs="Arial" w:eastAsia="Arial" w:hAnsi="Arial"/>
          <w:sz w:val="16"/>
          <w:szCs w:val="16"/>
          <w:color w:val="auto"/>
        </w:rPr>
        <w:t>LivaNova PLC</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0280" w:type="dxa"/>
            <w:vAlign w:val="bottom"/>
            <w:gridSpan w:val="3"/>
          </w:tcPr>
          <w:p>
            <w:pPr>
              <w:ind w:left="4320"/>
              <w:spacing w:after="0"/>
              <w:rPr>
                <w:sz w:val="20"/>
                <w:szCs w:val="20"/>
                <w:color w:val="auto"/>
              </w:rPr>
            </w:pPr>
            <w:r>
              <w:rPr>
                <w:rFonts w:ascii="Arial" w:cs="Arial" w:eastAsia="Arial" w:hAnsi="Arial"/>
                <w:sz w:val="18"/>
                <w:szCs w:val="18"/>
                <w:color w:val="auto"/>
              </w:rPr>
              <w:t>By:   /s/ BRIAN SHERIDAN</w:t>
            </w:r>
          </w:p>
        </w:tc>
      </w:tr>
      <w:tr>
        <w:trPr>
          <w:trHeight w:val="228"/>
        </w:trPr>
        <w:tc>
          <w:tcPr>
            <w:tcW w:w="11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Sheridan</w:t>
            </w:r>
          </w:p>
        </w:tc>
        <w:tc>
          <w:tcPr>
            <w:tcW w:w="374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Company Secretary</w:t>
            </w:r>
          </w:p>
        </w:tc>
      </w:tr>
      <w:tr>
        <w:trPr>
          <w:trHeight w:val="107"/>
        </w:trPr>
        <w:tc>
          <w:tcPr>
            <w:tcW w:w="1140" w:type="dxa"/>
            <w:vAlign w:val="bottom"/>
            <w:tcBorders>
              <w:bottom w:val="single" w:sz="8" w:color="808080"/>
            </w:tcBorders>
          </w:tcPr>
          <w:p>
            <w:pPr>
              <w:spacing w:after="0"/>
              <w:rPr>
                <w:sz w:val="9"/>
                <w:szCs w:val="9"/>
                <w:color w:val="auto"/>
              </w:rPr>
            </w:pPr>
          </w:p>
        </w:tc>
        <w:tc>
          <w:tcPr>
            <w:tcW w:w="48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r>
      <w:tr>
        <w:trPr>
          <w:trHeight w:val="386"/>
        </w:trPr>
        <w:tc>
          <w:tcPr>
            <w:tcW w:w="1140" w:type="dxa"/>
            <w:vAlign w:val="bottom"/>
          </w:tcPr>
          <w:p>
            <w:pPr>
              <w:spacing w:after="0"/>
              <w:rPr>
                <w:sz w:val="24"/>
                <w:szCs w:val="24"/>
                <w:color w:val="auto"/>
              </w:rPr>
            </w:pPr>
          </w:p>
        </w:tc>
        <w:tc>
          <w:tcPr>
            <w:tcW w:w="10280" w:type="dxa"/>
            <w:vAlign w:val="bottom"/>
            <w:gridSpan w:val="3"/>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84"/>
        </w:trPr>
        <w:tc>
          <w:tcPr>
            <w:tcW w:w="114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0280" w:type="dxa"/>
            <w:vAlign w:val="bottom"/>
            <w:gridSpan w:val="3"/>
          </w:tcPr>
          <w:p>
            <w:pPr>
              <w:ind w:left="360"/>
              <w:spacing w:after="0"/>
              <w:rPr>
                <w:sz w:val="20"/>
                <w:szCs w:val="20"/>
                <w:color w:val="auto"/>
              </w:rPr>
            </w:pPr>
            <w:r>
              <w:rPr>
                <w:rFonts w:ascii="Arial" w:cs="Arial" w:eastAsia="Arial" w:hAnsi="Arial"/>
                <w:sz w:val="16"/>
                <w:szCs w:val="16"/>
                <w:b w:val="1"/>
                <w:bCs w:val="1"/>
                <w:color w:val="auto"/>
              </w:rPr>
              <w:t>Description</w:t>
            </w:r>
          </w:p>
        </w:tc>
      </w:tr>
      <w:tr>
        <w:trPr>
          <w:trHeight w:val="206"/>
        </w:trPr>
        <w:tc>
          <w:tcPr>
            <w:tcW w:w="1140" w:type="dxa"/>
            <w:vAlign w:val="bottom"/>
          </w:tcPr>
          <w:p>
            <w:pPr>
              <w:spacing w:after="0"/>
              <w:rPr>
                <w:sz w:val="20"/>
                <w:szCs w:val="20"/>
                <w:color w:val="auto"/>
              </w:rPr>
            </w:pPr>
            <w:r>
              <w:rPr>
                <w:rFonts w:ascii="Arial" w:cs="Arial" w:eastAsia="Arial" w:hAnsi="Arial"/>
                <w:sz w:val="16"/>
                <w:szCs w:val="16"/>
                <w:color w:val="auto"/>
              </w:rPr>
              <w:t>99.1</w:t>
            </w:r>
          </w:p>
        </w:tc>
        <w:tc>
          <w:tcPr>
            <w:tcW w:w="10280" w:type="dxa"/>
            <w:vAlign w:val="bottom"/>
            <w:gridSpan w:val="3"/>
          </w:tcPr>
          <w:p>
            <w:pPr>
              <w:ind w:left="360"/>
              <w:spacing w:after="0"/>
              <w:rPr>
                <w:sz w:val="20"/>
                <w:szCs w:val="20"/>
                <w:color w:val="auto"/>
              </w:rPr>
            </w:pPr>
            <w:r>
              <w:rPr>
                <w:rFonts w:ascii="Arial" w:cs="Arial" w:eastAsia="Arial" w:hAnsi="Arial"/>
                <w:sz w:val="16"/>
                <w:szCs w:val="16"/>
                <w:color w:val="auto"/>
              </w:rPr>
              <w:t>Press release issued by LivaNova PLC on November 17, 2015*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-634365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-634365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0"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*Filed herewith</w:t>
      </w:r>
    </w:p>
    <w:p>
      <w:pPr>
        <w:sectPr>
          <w:pgSz w:w="11900" w:h="16838" w:orient="portrait"/>
          <w:cols w:equalWidth="0" w:num="1">
            <w:col w:w="10219"/>
          </w:cols>
          <w:pgMar w:left="240" w:top="130"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LivaNova Announces Resignation of Director</w:t>
      </w:r>
    </w:p>
    <w:p>
      <w:pPr>
        <w:spacing w:after="0" w:line="255"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LONDON, Nov. 17, 2015 (GLOBE NEWSWIRE) -- LivaNova PLC (NASDAQ:LIVN) (LSE:LIVN) ("LivaNova" or the "Company"), a leading global medical technology company, today announced that Rosario Bifulco, a member of the Company's board of directors, has resigned as a director effective immediately.</w:t>
      </w:r>
    </w:p>
    <w:p>
      <w:pPr>
        <w:spacing w:after="0" w:line="186"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Dan Moore, Chairman of LivaNova, remarked: "We would like to thank Rosario for his many contributions to LivaNova, and previously to Sorin. We wish him the very best in his new endeavors."</w:t>
      </w:r>
    </w:p>
    <w:p>
      <w:pPr>
        <w:spacing w:after="0" w:line="173"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Concurrently with his resignation from the Company's board of directors, Mr. Bifulco has assumed the role of Chief Executive Officer of Mittel S.p.A.</w:t>
      </w:r>
    </w:p>
    <w:p>
      <w:pPr>
        <w:spacing w:after="0" w:line="173"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The Company's Nominating &amp; Corporate Governance Committee will immediately initiate a process for the appointment of a successor.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About LivaNova</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LivaNova PLC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patients, healthcare professionals, and healthcare systems. The Company employs approximately 4,500 employees worldwide and is headquartered in London, U.K. With a presence in more than 100 countries, LivaNova operates as three business units: Cardiac Rhythm Management, Cardiac Surgery, and Neuromodulation, with operating headquarters in Clamart (France), Mirandola (Italy) and Houston (U.S.), respectively.</w:t>
      </w:r>
    </w:p>
    <w:p>
      <w:pPr>
        <w:spacing w:after="0" w:line="151" w:lineRule="exact"/>
        <w:rPr>
          <w:sz w:val="20"/>
          <w:szCs w:val="20"/>
          <w:color w:val="auto"/>
        </w:rPr>
      </w:pPr>
    </w:p>
    <w:p>
      <w:pPr>
        <w:ind w:right="360"/>
        <w:spacing w:after="0" w:line="274" w:lineRule="auto"/>
        <w:rPr>
          <w:sz w:val="20"/>
          <w:szCs w:val="20"/>
          <w:color w:val="auto"/>
        </w:rPr>
      </w:pPr>
      <w:r>
        <w:rPr>
          <w:rFonts w:ascii="Arial" w:cs="Arial" w:eastAsia="Arial" w:hAnsi="Arial"/>
          <w:sz w:val="21"/>
          <w:szCs w:val="21"/>
          <w:color w:val="auto"/>
        </w:rPr>
        <w:t>LivaNova is listed on NASDAQ and has been admitted to the standard listing segment of the Official List of the UK's Financial Conduct Authority and to trading on the London Stock Exchange (LSE) under the ticker symbol "LIVN".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Safe harbor statement</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the Company believes to be reasonable, but are inherently uncertain. As a result, our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 Investors are cautioned that all such statements involve risks and uncertainties, including without limitation, statements concerning developing novel opportunities in heart failure, sleep apnea and percutaneous mitral valve, creating new innovative solutions that benefit patients, healthcare professionals, and healthcare systems, and building significant shareholder value. Important factors that may cause actual results to differ include, but are not limited to: (i) risks that the businesses of Cyberonics and Sorin (together, the "combined companies") will not be integrated successfully or that the combined companies will not realize estimated cost savings, value of certain tax assets, synergies and growth, or that such benefits may take longer to realize than expected; (ii) the inability of LivaNova to meet expectations regarding the timing, completion and accounting of tax treatments; (iii) risks relating to unanticipated costs of integration, including operating costs, customer loss or business disruption being greater than expected; (iv) our organizational and governance structure; (v) reductions in customer spending, a slowdown in customer payments and changes in customer demand for products and services; (vi) unanticipated changes relating to competitive factors in the industries in which LivaNova operates; (vii) the ability to hire and retain key personnel; (viii) the ability to attract new customers and retain existing customers in the manner anticipated; (ix) the reliance on and integration of information technology systems; (x) changes in legislation or governmental regulations affecting LivaNova; (xi) international, national or local economic, social or political conditions that could adversely affect LivaNova, its partners or its customers; (xii) conditions in the credit markets; (xiii) business and other financial risks inherent to the industries in which LivaNova operates; (xiv) risks associated with assumptions made in connection with critical accounting estimates and legal proceedings; (xv) LivaNova's international operations, which are subject to the risks of currency fluctuations and foreign exchange controls; (xvi)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parties' businesses, including those described in the "Risk Factors" section of the Registration Statement on Form S-4, Annual Reports on Form 10-K, Quarterly Reports on Form 10-Q, Current Reports on Form 8-K and other documents filed from time to time with the United States Securities and Exchange Commission by LivaNova.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ectPr>
          <w:pgSz w:w="11900" w:h="16838" w:orient="portrait"/>
          <w:cols w:equalWidth="0" w:num="1">
            <w:col w:w="11420"/>
          </w:cols>
          <w:pgMar w:left="240" w:top="118" w:right="239" w:bottom="229" w:gutter="0" w:footer="0" w:header="0"/>
        </w:sectPr>
      </w:pPr>
    </w:p>
    <w:bookmarkStart w:id="3" w:name="page4"/>
    <w:bookmarkEnd w:id="3"/>
    <w:p>
      <w:pPr>
        <w:spacing w:after="0" w:line="279" w:lineRule="auto"/>
        <w:rPr>
          <w:sz w:val="20"/>
          <w:szCs w:val="20"/>
          <w:color w:val="auto"/>
        </w:rPr>
      </w:pPr>
      <w:r>
        <w:rPr>
          <w:rFonts w:ascii="Arial" w:cs="Arial" w:eastAsia="Arial" w:hAnsi="Arial"/>
          <w:sz w:val="19"/>
          <w:szCs w:val="19"/>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please visit www.livanova.com</w:t>
      </w:r>
      <w:r>
        <w:rPr>
          <w:rFonts w:ascii="Arial" w:cs="Arial" w:eastAsia="Arial" w:hAnsi="Arial"/>
          <w:sz w:val="22"/>
          <w:szCs w:val="22"/>
          <w:b w:val="1"/>
          <w:bCs w:val="1"/>
          <w:color w:val="auto"/>
        </w:rPr>
        <w:t>,</w:t>
      </w:r>
      <w:r>
        <w:rPr>
          <w:rFonts w:ascii="Arial" w:cs="Arial" w:eastAsia="Arial" w:hAnsi="Arial"/>
          <w:sz w:val="22"/>
          <w:szCs w:val="22"/>
          <w:color w:val="auto"/>
        </w:rPr>
        <w:t xml:space="preserve"> or contact:</w:t>
      </w:r>
    </w:p>
    <w:p>
      <w:pPr>
        <w:sectPr>
          <w:pgSz w:w="11900" w:h="16838" w:orient="portrait"/>
          <w:cols w:equalWidth="0" w:num="1">
            <w:col w:w="11140"/>
          </w:cols>
          <w:pgMar w:left="240" w:top="118" w:right="51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Investor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and Media:</w:t>
      </w:r>
    </w:p>
    <w:p>
      <w:pPr>
        <w:spacing w:after="0" w:line="194" w:lineRule="exact"/>
        <w:rPr>
          <w:sz w:val="20"/>
          <w:szCs w:val="20"/>
          <w:color w:val="auto"/>
        </w:rPr>
      </w:pPr>
    </w:p>
    <w:p>
      <w:pPr>
        <w:sectPr>
          <w:pgSz w:w="11900" w:h="16838" w:orient="portrait"/>
          <w:cols w:equalWidth="0" w:num="2">
            <w:col w:w="2360" w:space="720"/>
            <w:col w:w="8060"/>
          </w:cols>
          <w:pgMar w:left="240" w:top="118" w:right="519" w:bottom="1440" w:gutter="0" w:footer="0" w:header="0"/>
          <w:type w:val="continuous"/>
        </w:sectPr>
      </w:pPr>
    </w:p>
    <w:p>
      <w:pPr>
        <w:ind w:left="80"/>
        <w:spacing w:after="0"/>
        <w:rPr>
          <w:sz w:val="20"/>
          <w:szCs w:val="20"/>
          <w:color w:val="auto"/>
        </w:rPr>
      </w:pPr>
      <w:r>
        <w:rPr>
          <w:rFonts w:ascii="Arial" w:cs="Arial" w:eastAsia="Arial" w:hAnsi="Arial"/>
          <w:sz w:val="16"/>
          <w:szCs w:val="16"/>
          <w:b w:val="1"/>
          <w:bCs w:val="1"/>
          <w:color w:val="auto"/>
        </w:rPr>
        <w:t>Vivid Sehgal</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color w:val="auto"/>
        </w:rPr>
        <w:t>Phone: +44 (0)203 786 5281</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color w:val="auto"/>
        </w:rPr>
        <w:t>Fax: +44 (0)203 786 5291</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color w:val="auto"/>
        </w:rPr>
        <w:t>e-mail: investor.relations@livanova.com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Greg Browne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Finance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Phone: +1 (281) 228-7262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Fax: +1 (281) 218-9332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e-mail: corporate.communications@livanova.com</w:t>
      </w:r>
    </w:p>
    <w:sectPr>
      <w:pgSz w:w="11900" w:h="16838" w:orient="portrait"/>
      <w:cols w:equalWidth="0" w:num="2">
        <w:col w:w="2940" w:space="140"/>
        <w:col w:w="8060"/>
      </w:cols>
      <w:pgMar w:left="240" w:top="11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2019-12-09T05:15:06Z</dcterms:created>
  <dcterms:modified xsi:type="dcterms:W3CDTF">2019-12-09T05:15:06Z</dcterms:modified>
</cp:coreProperties>
</file>