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691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9151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Shvartsburg Alex</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03/30/2021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Interim CFO</w:t>
      </w:r>
    </w:p>
    <w:p>
      <w:pPr>
        <w:spacing w:after="0" w:line="308" w:lineRule="exact"/>
        <w:rPr>
          <w:sz w:val="24"/>
          <w:szCs w:val="24"/>
          <w:color w:val="auto"/>
        </w:rPr>
      </w:pPr>
    </w:p>
    <w:p>
      <w:pPr>
        <w:sectPr>
          <w:pgSz w:w="11900" w:h="16838" w:orient="portrait"/>
          <w:cols w:equalWidth="0" w:num="3">
            <w:col w:w="3200" w:space="720"/>
            <w:col w:w="3102" w:space="720"/>
            <w:col w:w="3338"/>
          </w:cols>
          <w:pgMar w:left="460" w:top="220" w:right="359" w:bottom="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0"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5"/>
          <w:szCs w:val="15"/>
          <w:color w:val="0000FF"/>
        </w:rPr>
        <w:t>LONDON</w:t>
      </w:r>
      <w:r>
        <w:rPr>
          <w:sz w:val="20"/>
          <w:szCs w:val="20"/>
          <w:color w:val="auto"/>
        </w:rPr>
        <w:tab/>
      </w:r>
      <w:r>
        <w:rPr>
          <w:rFonts w:ascii="Arial" w:cs="Arial" w:eastAsia="Arial" w:hAnsi="Arial"/>
          <w:sz w:val="15"/>
          <w:szCs w:val="15"/>
          <w:color w:val="0000FF"/>
        </w:rPr>
        <w:t>W26LG</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0" w:lineRule="exact"/>
        <w:rPr>
          <w:sz w:val="24"/>
          <w:szCs w:val="24"/>
          <w:color w:val="auto"/>
        </w:rPr>
      </w:pPr>
    </w:p>
    <w:p>
      <w:pPr>
        <w:sectPr>
          <w:pgSz w:w="11900" w:h="16838" w:orient="portrait"/>
          <w:cols w:equalWidth="0" w:num="2">
            <w:col w:w="3200" w:space="720"/>
            <w:col w:w="716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tcPr>
          <w:p>
            <w:pPr>
              <w:jc w:val="center"/>
              <w:ind w:left="217"/>
              <w:spacing w:after="0"/>
              <w:rPr>
                <w:sz w:val="20"/>
                <w:szCs w:val="20"/>
                <w:color w:val="auto"/>
              </w:rPr>
            </w:pPr>
            <w:r>
              <w:rPr>
                <w:rFonts w:ascii="Arial" w:cs="Arial" w:eastAsia="Arial" w:hAnsi="Arial"/>
                <w:sz w:val="16"/>
                <w:szCs w:val="16"/>
                <w:color w:val="0000FF"/>
                <w:w w:val="89"/>
              </w:rPr>
              <w:t>393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75"/>
                <w:vertAlign w:val="subscript"/>
              </w:rPr>
              <w:t>$</w:t>
            </w:r>
            <w:r>
              <w:rPr>
                <w:rFonts w:ascii="Arial" w:cs="Arial" w:eastAsia="Arial" w:hAnsi="Arial"/>
                <w:sz w:val="32"/>
                <w:szCs w:val="32"/>
                <w:color w:val="0000FF"/>
                <w:w w:val="75"/>
                <w:vertAlign w:val="subscript"/>
              </w:rPr>
              <w:t>0</w:t>
            </w:r>
            <w:r>
              <w:rPr>
                <w:rFonts w:ascii="Arial" w:cs="Arial" w:eastAsia="Arial" w:hAnsi="Arial"/>
                <w:sz w:val="11"/>
                <w:szCs w:val="11"/>
                <w:color w:val="008000"/>
                <w:w w:val="75"/>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6"/>
                <w:szCs w:val="16"/>
                <w:color w:val="0000FF"/>
              </w:rPr>
              <w:t>2,488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left="197"/>
              <w:spacing w:after="0"/>
              <w:rPr>
                <w:sz w:val="20"/>
                <w:szCs w:val="20"/>
                <w:color w:val="auto"/>
              </w:rPr>
            </w:pPr>
            <w:r>
              <w:rPr>
                <w:rFonts w:ascii="Arial" w:cs="Arial" w:eastAsia="Arial" w:hAnsi="Arial"/>
                <w:sz w:val="16"/>
                <w:szCs w:val="16"/>
                <w:color w:val="0000FF"/>
                <w:w w:val="86"/>
              </w:rPr>
              <w:t>185</w:t>
            </w:r>
            <w:r>
              <w:rPr>
                <w:rFonts w:ascii="Arial" w:cs="Arial" w:eastAsia="Arial" w:hAnsi="Arial"/>
                <w:sz w:val="21"/>
                <w:szCs w:val="21"/>
                <w:color w:val="008000"/>
                <w:w w:val="86"/>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6"/>
                <w:szCs w:val="16"/>
                <w:color w:val="0000FF"/>
              </w:rPr>
              <w:t>2,303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tcPr>
          <w:p>
            <w:pPr>
              <w:jc w:val="center"/>
              <w:ind w:left="217"/>
              <w:spacing w:after="0"/>
              <w:rPr>
                <w:sz w:val="20"/>
                <w:szCs w:val="20"/>
                <w:color w:val="auto"/>
              </w:rPr>
            </w:pPr>
            <w:r>
              <w:rPr>
                <w:rFonts w:ascii="Arial" w:cs="Arial" w:eastAsia="Arial" w:hAnsi="Arial"/>
                <w:sz w:val="16"/>
                <w:szCs w:val="16"/>
                <w:color w:val="0000FF"/>
                <w:w w:val="89"/>
              </w:rPr>
              <w:t>705</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75"/>
                <w:vertAlign w:val="subscript"/>
              </w:rPr>
              <w:t>$</w:t>
            </w:r>
            <w:r>
              <w:rPr>
                <w:rFonts w:ascii="Arial" w:cs="Arial" w:eastAsia="Arial" w:hAnsi="Arial"/>
                <w:sz w:val="32"/>
                <w:szCs w:val="32"/>
                <w:color w:val="0000FF"/>
                <w:w w:val="75"/>
                <w:vertAlign w:val="subscript"/>
              </w:rPr>
              <w:t>0</w:t>
            </w:r>
            <w:r>
              <w:rPr>
                <w:rFonts w:ascii="Arial" w:cs="Arial" w:eastAsia="Arial" w:hAnsi="Arial"/>
                <w:sz w:val="11"/>
                <w:szCs w:val="11"/>
                <w:color w:val="008000"/>
                <w:w w:val="75"/>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6"/>
                <w:szCs w:val="16"/>
                <w:color w:val="0000FF"/>
              </w:rPr>
              <w:t>3,008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left="197"/>
              <w:spacing w:after="0"/>
              <w:rPr>
                <w:sz w:val="20"/>
                <w:szCs w:val="20"/>
                <w:color w:val="auto"/>
              </w:rPr>
            </w:pPr>
            <w:r>
              <w:rPr>
                <w:rFonts w:ascii="Arial" w:cs="Arial" w:eastAsia="Arial" w:hAnsi="Arial"/>
                <w:sz w:val="16"/>
                <w:szCs w:val="16"/>
                <w:color w:val="0000FF"/>
                <w:w w:val="86"/>
              </w:rPr>
              <w:t>332</w:t>
            </w:r>
            <w:r>
              <w:rPr>
                <w:rFonts w:ascii="Arial" w:cs="Arial" w:eastAsia="Arial" w:hAnsi="Arial"/>
                <w:sz w:val="21"/>
                <w:szCs w:val="21"/>
                <w:color w:val="008000"/>
                <w:w w:val="86"/>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6"/>
                <w:szCs w:val="16"/>
                <w:color w:val="0000FF"/>
              </w:rPr>
              <w:t>2,676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8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399"/>
              <w:spacing w:after="0"/>
              <w:rPr>
                <w:sz w:val="20"/>
                <w:szCs w:val="20"/>
                <w:color w:val="auto"/>
              </w:rPr>
            </w:pPr>
            <w:r>
              <w:rPr>
                <w:rFonts w:ascii="Arial" w:cs="Arial" w:eastAsia="Arial" w:hAnsi="Arial"/>
                <w:sz w:val="11"/>
                <w:szCs w:val="11"/>
                <w:b w:val="1"/>
                <w:bCs w:val="1"/>
                <w:color w:val="auto"/>
                <w:w w:val="86"/>
              </w:rPr>
              <w:t>4.</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   of</w:t>
            </w:r>
          </w:p>
        </w:tc>
        <w:tc>
          <w:tcPr>
            <w:tcW w:w="340" w:type="dxa"/>
            <w:vAlign w:val="bottom"/>
          </w:tcPr>
          <w:p>
            <w:pPr>
              <w:spacing w:after="0"/>
              <w:rPr>
                <w:sz w:val="11"/>
                <w:szCs w:val="11"/>
                <w:color w:val="auto"/>
              </w:rPr>
            </w:pP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379"/>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5"/>
                <w:szCs w:val="15"/>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393</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393</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rPr>
                <w:sz w:val="20"/>
                <w:szCs w:val="20"/>
                <w:color w:val="auto"/>
              </w:rPr>
            </w:pPr>
            <w:r>
              <w:rPr>
                <w:rFonts w:ascii="Arial" w:cs="Arial" w:eastAsia="Arial" w:hAnsi="Arial"/>
                <w:sz w:val="13"/>
                <w:szCs w:val="13"/>
                <w:color w:val="0000FF"/>
                <w:w w:val="82"/>
              </w:rPr>
              <w:t>785</w:t>
            </w:r>
            <w:r>
              <w:rPr>
                <w:rFonts w:ascii="Arial" w:cs="Arial" w:eastAsia="Arial" w:hAnsi="Arial"/>
                <w:sz w:val="21"/>
                <w:szCs w:val="21"/>
                <w:color w:val="008000"/>
                <w:w w:val="82"/>
                <w:vertAlign w:val="superscript"/>
              </w:rPr>
              <w:t>(5)</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5"/>
                <w:szCs w:val="15"/>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705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0000FF"/>
                <w:w w:val="85"/>
              </w:rPr>
              <w:t>03/30/2021</w:t>
            </w:r>
            <w:r>
              <w:rPr>
                <w:rFonts w:ascii="Arial" w:cs="Arial" w:eastAsia="Arial" w:hAnsi="Arial"/>
                <w:sz w:val="21"/>
                <w:szCs w:val="21"/>
                <w:color w:val="008000"/>
                <w:w w:val="85"/>
                <w:vertAlign w:val="superscript"/>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705</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jc w:val="center"/>
              <w:ind w:right="3"/>
              <w:spacing w:after="0"/>
              <w:rPr>
                <w:sz w:val="20"/>
                <w:szCs w:val="20"/>
                <w:color w:val="auto"/>
              </w:rPr>
            </w:pPr>
            <w:r>
              <w:rPr>
                <w:rFonts w:ascii="Arial" w:cs="Arial" w:eastAsia="Arial" w:hAnsi="Arial"/>
                <w:sz w:val="13"/>
                <w:szCs w:val="13"/>
                <w:color w:val="0000FF"/>
                <w:w w:val="80"/>
              </w:rPr>
              <w:t>2,115</w:t>
            </w:r>
            <w:r>
              <w:rPr>
                <w:rFonts w:ascii="Arial" w:cs="Arial" w:eastAsia="Arial" w:hAnsi="Arial"/>
                <w:sz w:val="21"/>
                <w:szCs w:val="21"/>
                <w:color w:val="008000"/>
                <w:w w:val="80"/>
                <w:vertAlign w:val="superscript"/>
              </w:rPr>
              <w:t>(5)</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3,412</w:t>
            </w:r>
          </w:p>
        </w:tc>
        <w:tc>
          <w:tcPr>
            <w:tcW w:w="3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3,412</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1,706</w:t>
            </w:r>
          </w:p>
        </w:tc>
        <w:tc>
          <w:tcPr>
            <w:tcW w:w="3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1,706</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1,706</w:t>
            </w:r>
          </w:p>
        </w:tc>
        <w:tc>
          <w:tcPr>
            <w:tcW w:w="3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1,706</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3,412</w:t>
            </w:r>
          </w:p>
        </w:tc>
        <w:tc>
          <w:tcPr>
            <w:tcW w:w="3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1"/>
              </w:rPr>
              <w:t>(11)</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3,412</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1"/>
              </w:rPr>
              <w:t>(12)</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8,437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6"/>
              </w:rPr>
              <w:t>Appreciation</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73.25</w:t>
            </w:r>
          </w:p>
        </w:tc>
        <w:tc>
          <w:tcPr>
            <w:tcW w:w="10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03/30/2021</w:t>
            </w:r>
          </w:p>
        </w:tc>
        <w:tc>
          <w:tcPr>
            <w:tcW w:w="1120" w:type="dxa"/>
            <w:vAlign w:val="bottom"/>
          </w:tcPr>
          <w:p>
            <w:pPr>
              <w:spacing w:after="0"/>
              <w:rPr>
                <w:sz w:val="5"/>
                <w:szCs w:val="5"/>
                <w:color w:val="auto"/>
              </w:rPr>
            </w:pPr>
          </w:p>
        </w:tc>
        <w:tc>
          <w:tcPr>
            <w:tcW w:w="70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8,437</w:t>
            </w:r>
          </w:p>
        </w:tc>
        <w:tc>
          <w:tcPr>
            <w:tcW w:w="3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vMerge w:val="restart"/>
          </w:tcPr>
          <w:p>
            <w:pPr>
              <w:jc w:val="center"/>
              <w:ind w:left="180"/>
              <w:spacing w:after="0" w:line="140" w:lineRule="exact"/>
              <w:rPr>
                <w:sz w:val="20"/>
                <w:szCs w:val="20"/>
                <w:color w:val="auto"/>
              </w:rPr>
            </w:pPr>
            <w:r>
              <w:rPr>
                <w:rFonts w:ascii="Arial" w:cs="Arial" w:eastAsia="Arial" w:hAnsi="Arial"/>
                <w:sz w:val="13"/>
                <w:szCs w:val="13"/>
                <w:color w:val="0000FF"/>
                <w:w w:val="85"/>
              </w:rPr>
              <w:t>8,437</w:t>
            </w:r>
          </w:p>
        </w:tc>
        <w:tc>
          <w:tcPr>
            <w:tcW w:w="300" w:type="dxa"/>
            <w:vAlign w:val="bottom"/>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-3606165</wp:posOffset>
            </wp:positionV>
            <wp:extent cx="28575" cy="361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1124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40" w:right="1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8" w:lineRule="exact"/>
        <w:rPr>
          <w:rFonts w:ascii="Arial" w:cs="Arial" w:eastAsia="Arial" w:hAnsi="Arial"/>
          <w:sz w:val="13"/>
          <w:szCs w:val="13"/>
          <w:color w:val="008000"/>
        </w:rPr>
      </w:pPr>
    </w:p>
    <w:p>
      <w:pPr>
        <w:ind w:left="40" w:right="3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2019, reporting person was granted RSUs subject to a four-year vesting schedule, the first vesting occurring on March 30, 2020.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0" w:lineRule="exact"/>
        <w:rPr>
          <w:rFonts w:ascii="Arial" w:cs="Arial" w:eastAsia="Arial" w:hAnsi="Arial"/>
          <w:sz w:val="13"/>
          <w:szCs w:val="13"/>
          <w:color w:val="008000"/>
        </w:rPr>
      </w:pPr>
    </w:p>
    <w:p>
      <w:pPr>
        <w:ind w:left="40" w:right="3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RSUs subject to a four-year vesting schedule, the first vesting occurring on March 30, 2021.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40" w:right="1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RSUs subject to a four-year vesting schedule, the first vesting to occur on March 30, 2022.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520"/>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Return on Investment Capital (ROIC)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60"/>
        <w:spacing w:after="0" w:line="313" w:lineRule="auto"/>
        <w:tabs>
          <w:tab w:leader="none" w:pos="2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30, 2021, reporting person was granted PSUs to vest or lapse on March 30, 2024 based on how the Company's cumulative adjusted free cash flow for fiscal years 2021 compares to a target determined by the Plan Administrator. The number included in column 5 of Table II reflects the target number of PSUs eligible for vesting subject to continued service during the vesting period and the award agreement.</w:t>
      </w:r>
    </w:p>
    <w:p>
      <w:pPr>
        <w:ind w:left="40" w:right="180"/>
        <w:spacing w:after="0" w:line="235" w:lineRule="auto"/>
        <w:tabs>
          <w:tab w:leader="none" w:pos="22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40"/>
        <w:spacing w:after="0" w:line="242" w:lineRule="auto"/>
        <w:tabs>
          <w:tab w:leader="none" w:pos="2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stock appreciation rights (SARs) subject to a four-year vesting schedule, the first vesting to occur on March 30, 2022. The PSUs are subject to forfeiture prior to vesting in accordance with the terms of the Plan and the award agreement.</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6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Sarah K. Mohr, POA</w:t>
            </w:r>
          </w:p>
        </w:tc>
        <w:tc>
          <w:tcPr>
            <w:tcW w:w="740" w:type="dxa"/>
            <w:vAlign w:val="bottom"/>
          </w:tcPr>
          <w:p>
            <w:pPr>
              <w:spacing w:after="0"/>
              <w:rPr>
                <w:sz w:val="20"/>
                <w:szCs w:val="20"/>
                <w:color w:val="auto"/>
              </w:rPr>
            </w:pPr>
            <w:r>
              <w:rPr>
                <w:rFonts w:ascii="Arial" w:cs="Arial" w:eastAsia="Arial" w:hAnsi="Arial"/>
                <w:sz w:val="16"/>
                <w:szCs w:val="16"/>
                <w:color w:val="0000FF"/>
                <w:w w:val="89"/>
              </w:rPr>
              <w:t>04/01/2021</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500" w:top="12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4" w:lineRule="exact"/>
        <w:rPr>
          <w:sz w:val="20"/>
          <w:szCs w:val="20"/>
          <w:color w:val="auto"/>
        </w:rPr>
      </w:pPr>
    </w:p>
    <w:p>
      <w:pPr>
        <w:ind w:right="40" w:firstLine="609"/>
        <w:spacing w:after="0" w:line="28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20" w:right="80" w:hanging="609"/>
        <w:spacing w:after="0" w:line="312"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220" w:hanging="609"/>
        <w:spacing w:after="0" w:line="337"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2" w:lineRule="exact"/>
        <w:rPr>
          <w:rFonts w:ascii="Arial" w:cs="Arial" w:eastAsia="Arial" w:hAnsi="Arial"/>
          <w:sz w:val="17"/>
          <w:szCs w:val="17"/>
          <w:color w:val="auto"/>
        </w:rPr>
      </w:pPr>
    </w:p>
    <w:p>
      <w:pPr>
        <w:jc w:val="both"/>
        <w:ind w:left="1220" w:right="80" w:hanging="609"/>
        <w:spacing w:after="0" w:line="328"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2" w:lineRule="exact"/>
        <w:rPr>
          <w:sz w:val="20"/>
          <w:szCs w:val="20"/>
          <w:color w:val="auto"/>
        </w:rPr>
      </w:pPr>
    </w:p>
    <w:p>
      <w:pPr>
        <w:ind w:firstLine="609"/>
        <w:spacing w:after="0" w:line="30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40" w:firstLine="609"/>
        <w:spacing w:after="0" w:line="345"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1" w:lineRule="exact"/>
        <w:rPr>
          <w:sz w:val="20"/>
          <w:szCs w:val="20"/>
          <w:color w:val="auto"/>
        </w:rPr>
      </w:pPr>
    </w:p>
    <w:p>
      <w:pPr>
        <w:ind w:right="180" w:firstLine="609"/>
        <w:spacing w:after="0" w:line="329"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5" w:lineRule="exact"/>
        <w:rPr>
          <w:sz w:val="20"/>
          <w:szCs w:val="20"/>
          <w:color w:val="auto"/>
        </w:rPr>
      </w:pPr>
    </w:p>
    <w:p>
      <w:pPr>
        <w:ind w:right="80" w:firstLine="609"/>
        <w:spacing w:after="0" w:line="28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 xml:space="preserve">IN WITNESS WHEREOF, the undersigned has caused this Power of Attorney to be executed as of this </w:t>
      </w:r>
      <w:r>
        <w:rPr>
          <w:rFonts w:ascii="Arial" w:cs="Arial" w:eastAsia="Arial" w:hAnsi="Arial"/>
          <w:sz w:val="19"/>
          <w:szCs w:val="19"/>
          <w:u w:val="single" w:color="auto"/>
          <w:color w:val="auto"/>
        </w:rPr>
        <w:t>28th</w:t>
      </w:r>
      <w:r>
        <w:rPr>
          <w:rFonts w:ascii="Arial" w:cs="Arial" w:eastAsia="Arial" w:hAnsi="Arial"/>
          <w:sz w:val="19"/>
          <w:szCs w:val="19"/>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60"/>
      </w:cols>
      <w:pgMar w:left="460" w:top="34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2021-04-01T16:37:02Z</dcterms:created>
  <dcterms:modified xsi:type="dcterms:W3CDTF">2021-04-01T16:37:02Z</dcterms:modified>
</cp:coreProperties>
</file>