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18"/>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296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780"/>
        <w:spacing w:after="0" w:line="301" w:lineRule="exact"/>
        <w:tabs>
          <w:tab w:leader="none" w:pos="10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7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On April 29, 2020, LivaNova PLC (the “Company”) issued a press release announcing financial results for the first quarter 2020. The Company will host a business update conference call and webcast today, April 29, 2020, at 1 p.m. London time (8 a.m. Eastern Time), during which the Company will discuss the financial results. The conference call will be available to interested parties through a live audio webcast and accessible through the Investor Relations section of the LivaNova corporate website at </w:t>
      </w:r>
      <w:r>
        <w:rPr>
          <w:rFonts w:ascii="Arial" w:cs="Arial" w:eastAsia="Arial" w:hAnsi="Arial"/>
          <w:sz w:val="18"/>
          <w:szCs w:val="18"/>
          <w:u w:val="single" w:color="auto"/>
          <w:color w:val="auto"/>
        </w:rPr>
        <w:t>www.livanova.com</w:t>
      </w:r>
      <w:r>
        <w:rPr>
          <w:rFonts w:ascii="Arial" w:cs="Arial" w:eastAsia="Arial" w:hAnsi="Arial"/>
          <w:sz w:val="18"/>
          <w:szCs w:val="18"/>
          <w:color w:val="auto"/>
        </w:rPr>
        <w:t>. A copy of the Company’s press release is furnished as Exhibit 99.1 on this Current Report on Form 8-K.</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of LivaNova PLC dated April 29, 2020</w:t>
        </w:r>
      </w:hyperlink>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April 29,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337"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680210"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First Quarter 2020 Results</w:t>
      </w:r>
    </w:p>
    <w:p>
      <w:pPr>
        <w:spacing w:after="0" w:line="341"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April 29, 2020 – </w:t>
      </w:r>
      <w:r>
        <w:rPr>
          <w:rFonts w:ascii="Arial" w:cs="Arial" w:eastAsia="Arial" w:hAnsi="Arial"/>
          <w:sz w:val="20"/>
          <w:szCs w:val="20"/>
          <w:color w:val="auto"/>
        </w:rPr>
        <w:t>LivaNova PLC (NASDAQ:LIVN),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results for the quarter ended March 31, 2020.</w:t>
      </w:r>
    </w:p>
    <w:p>
      <w:pPr>
        <w:spacing w:after="0" w:line="314"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For the first quarter of 2020, worldwide sales from continuing operations were $242.4 million, a decrease of 3.4 percent on a reported basis and a decline of 1.8 percent on a constant-currency</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basis, as compared to the same quarter of the previous year. On the basis of U.S. Generally Accepted Accounting Principles (GAAP), first quarter 2020 diluted earnings per share from continuing operations were $0.79. First quarter 2020 adjusted diluted earnings per share from continuing operations were $0.33.</w:t>
      </w:r>
    </w:p>
    <w:p>
      <w:pPr>
        <w:spacing w:after="0" w:line="358"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"As a healthcare company committed to improving the lives of patients around the world, LivaNova is closely monitoring the COVID-19 situation. Being true to our values, we prioritize patients and their well-being, and we are working tirelessly to ensure they have access to the products and services they require. We commend and support our employees for their efforts and commitment to providing life-changing products and therapies during this difficult time," said Damien McDonald, Chief Executive Officer of LivaNova. "Our business was tracking at or above expectations until mid-March, when the global market started to experience a sharp decline in elective surgeries. Despite the near-term uncertainty created by COVID-19, we are resilient and will remain focused on thoughtful investments, maintaining a strong financial profile and strengthening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7"/>
          <w:szCs w:val="7"/>
          <w:color w:val="auto"/>
        </w:rPr>
        <w:t>1</w:t>
      </w:r>
      <w:r>
        <w:rPr>
          <w:rFonts w:ascii="Arial" w:cs="Arial" w:eastAsia="Arial" w:hAnsi="Arial"/>
          <w:sz w:val="10"/>
          <w:szCs w:val="10"/>
          <w:color w:val="auto"/>
        </w:rPr>
        <w:t>Constant-currency percent change is considered a non-GAAP metric.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58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First Quarter 2020 Results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highlights worldwide sales for the first quarter of 2020 by business:</w:t>
      </w: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in millions</w:t>
            </w:r>
          </w:p>
        </w:tc>
        <w:tc>
          <w:tcPr>
            <w:tcW w:w="2840" w:type="dxa"/>
            <w:vAlign w:val="bottom"/>
            <w:tcBorders>
              <w:top w:val="single" w:sz="8" w:color="auto"/>
            </w:tcBorders>
            <w:gridSpan w:val="3"/>
          </w:tcPr>
          <w:p>
            <w:pPr>
              <w:jc w:val="center"/>
              <w:ind w:left="526"/>
              <w:spacing w:after="0"/>
              <w:rPr>
                <w:sz w:val="20"/>
                <w:szCs w:val="20"/>
                <w:color w:val="auto"/>
              </w:rPr>
            </w:pPr>
            <w:r>
              <w:rPr>
                <w:rFonts w:ascii="Arial" w:cs="Arial" w:eastAsia="Arial" w:hAnsi="Arial"/>
                <w:sz w:val="20"/>
                <w:szCs w:val="20"/>
                <w:color w:val="auto"/>
                <w:w w:val="98"/>
              </w:rPr>
              <w:t>Three months ended</w:t>
            </w:r>
          </w:p>
        </w:tc>
        <w:tc>
          <w:tcPr>
            <w:tcW w:w="640" w:type="dxa"/>
            <w:vAlign w:val="bottom"/>
            <w:tcBorders>
              <w:top w:val="single" w:sz="8" w:color="auto"/>
              <w:right w:val="single" w:sz="8" w:color="auto"/>
            </w:tcBorders>
          </w:tcPr>
          <w:p>
            <w:pPr>
              <w:spacing w:after="0"/>
              <w:rPr>
                <w:sz w:val="23"/>
                <w:szCs w:val="23"/>
                <w:color w:val="auto"/>
              </w:rPr>
            </w:pPr>
          </w:p>
        </w:tc>
        <w:tc>
          <w:tcPr>
            <w:tcW w:w="1700" w:type="dxa"/>
            <w:vAlign w:val="bottom"/>
            <w:tcBorders>
              <w:top w:val="single" w:sz="8" w:color="auto"/>
              <w:right w:val="single" w:sz="8" w:color="auto"/>
            </w:tcBorders>
          </w:tcPr>
          <w:p>
            <w:pPr>
              <w:spacing w:after="0"/>
              <w:rPr>
                <w:sz w:val="23"/>
                <w:szCs w:val="23"/>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Constant-</w:t>
            </w:r>
          </w:p>
        </w:tc>
      </w:tr>
      <w:tr>
        <w:trPr>
          <w:trHeight w:val="243"/>
        </w:trPr>
        <w:tc>
          <w:tcPr>
            <w:tcW w:w="4360" w:type="dxa"/>
            <w:vAlign w:val="bottom"/>
            <w:tcBorders>
              <w:left w:val="single" w:sz="8" w:color="auto"/>
              <w:right w:val="single" w:sz="8" w:color="auto"/>
            </w:tcBorders>
          </w:tcPr>
          <w:p>
            <w:pPr>
              <w:spacing w:after="0"/>
              <w:rPr>
                <w:sz w:val="21"/>
                <w:szCs w:val="21"/>
                <w:color w:val="auto"/>
              </w:rPr>
            </w:pPr>
          </w:p>
        </w:tc>
        <w:tc>
          <w:tcPr>
            <w:tcW w:w="1100" w:type="dxa"/>
            <w:vAlign w:val="bottom"/>
            <w:tcBorders>
              <w:bottom w:val="single" w:sz="8" w:color="00000A"/>
            </w:tcBorders>
          </w:tcPr>
          <w:p>
            <w:pPr>
              <w:spacing w:after="0"/>
              <w:rPr>
                <w:sz w:val="21"/>
                <w:szCs w:val="21"/>
                <w:color w:val="auto"/>
              </w:rPr>
            </w:pPr>
          </w:p>
        </w:tc>
        <w:tc>
          <w:tcPr>
            <w:tcW w:w="1740" w:type="dxa"/>
            <w:vAlign w:val="bottom"/>
            <w:tcBorders>
              <w:bottom w:val="single" w:sz="8" w:color="00000A"/>
            </w:tcBorders>
            <w:gridSpan w:val="2"/>
          </w:tcPr>
          <w:p>
            <w:pPr>
              <w:jc w:val="center"/>
              <w:ind w:right="370"/>
              <w:spacing w:after="0"/>
              <w:rPr>
                <w:sz w:val="20"/>
                <w:szCs w:val="20"/>
                <w:color w:val="auto"/>
              </w:rPr>
            </w:pPr>
            <w:r>
              <w:rPr>
                <w:rFonts w:ascii="Arial" w:cs="Arial" w:eastAsia="Arial" w:hAnsi="Arial"/>
                <w:sz w:val="20"/>
                <w:szCs w:val="20"/>
                <w:color w:val="auto"/>
                <w:w w:val="98"/>
              </w:rPr>
              <w:t>March 31,</w:t>
            </w:r>
          </w:p>
        </w:tc>
        <w:tc>
          <w:tcPr>
            <w:tcW w:w="640" w:type="dxa"/>
            <w:vAlign w:val="bottom"/>
            <w:tcBorders>
              <w:bottom w:val="single" w:sz="8" w:color="00000A"/>
              <w:right w:val="single" w:sz="8" w:color="auto"/>
            </w:tcBorders>
          </w:tcPr>
          <w:p>
            <w:pPr>
              <w:spacing w:after="0"/>
              <w:rPr>
                <w:sz w:val="21"/>
                <w:szCs w:val="21"/>
                <w:color w:val="auto"/>
              </w:rPr>
            </w:pPr>
          </w:p>
        </w:tc>
        <w:tc>
          <w:tcPr>
            <w:tcW w:w="1700" w:type="dxa"/>
            <w:vAlign w:val="bottom"/>
            <w:tcBorders>
              <w:right w:val="single" w:sz="8" w:color="auto"/>
            </w:tcBorders>
          </w:tcPr>
          <w:p>
            <w:pPr>
              <w:jc w:val="right"/>
              <w:ind w:right="309"/>
              <w:spacing w:after="0"/>
              <w:rPr>
                <w:sz w:val="20"/>
                <w:szCs w:val="20"/>
                <w:color w:val="auto"/>
              </w:rPr>
            </w:pPr>
            <w:r>
              <w:rPr>
                <w:rFonts w:ascii="Arial" w:cs="Arial" w:eastAsia="Arial" w:hAnsi="Arial"/>
                <w:sz w:val="20"/>
                <w:szCs w:val="20"/>
                <w:color w:val="auto"/>
              </w:rPr>
              <w:t>% Change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Currency</w:t>
            </w:r>
          </w:p>
        </w:tc>
      </w:tr>
      <w:tr>
        <w:trPr>
          <w:trHeight w:val="261"/>
        </w:trPr>
        <w:tc>
          <w:tcPr>
            <w:tcW w:w="4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Business / Product Line: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jc w:val="center"/>
              <w:spacing w:after="0" w:line="217" w:lineRule="exact"/>
              <w:rPr>
                <w:sz w:val="20"/>
                <w:szCs w:val="20"/>
                <w:color w:val="auto"/>
              </w:rPr>
            </w:pPr>
            <w:r>
              <w:rPr>
                <w:rFonts w:ascii="Arial" w:cs="Arial" w:eastAsia="Arial" w:hAnsi="Arial"/>
                <w:sz w:val="20"/>
                <w:szCs w:val="20"/>
                <w:color w:val="auto"/>
                <w:w w:val="98"/>
              </w:rPr>
              <w:t>% Change</w:t>
            </w:r>
          </w:p>
        </w:tc>
      </w:tr>
      <w:tr>
        <w:trPr>
          <w:trHeight w:val="250"/>
        </w:trPr>
        <w:tc>
          <w:tcPr>
            <w:tcW w:w="43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$116.4</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$121.6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43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25.2</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25.7</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72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8"/>
                <w:szCs w:val="18"/>
                <w:color w:val="auto"/>
              </w:rPr>
              <w:t>0.6%</w:t>
            </w:r>
          </w:p>
        </w:tc>
      </w:tr>
      <w:tr>
        <w:trPr>
          <w:trHeight w:val="250"/>
        </w:trPr>
        <w:tc>
          <w:tcPr>
            <w:tcW w:w="43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Advanced Circulatory Support</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10.5</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8.2</w:t>
            </w:r>
          </w:p>
        </w:tc>
        <w:tc>
          <w:tcPr>
            <w:tcW w:w="170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27.2%</w:t>
            </w:r>
          </w:p>
        </w:tc>
        <w:tc>
          <w:tcPr>
            <w:tcW w:w="172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8"/>
                <w:szCs w:val="18"/>
                <w:color w:val="auto"/>
              </w:rPr>
              <w:t>27.3%</w:t>
            </w:r>
          </w:p>
        </w:tc>
      </w:tr>
      <w:tr>
        <w:trPr>
          <w:trHeight w:val="250"/>
        </w:trPr>
        <w:tc>
          <w:tcPr>
            <w:tcW w:w="4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152.1</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155.5</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4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89.7</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94.6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50"/>
        </w:trPr>
        <w:tc>
          <w:tcPr>
            <w:tcW w:w="4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0.7</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0.7</w:t>
            </w:r>
          </w:p>
        </w:tc>
        <w:tc>
          <w:tcPr>
            <w:tcW w:w="170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1.5%</w:t>
            </w:r>
          </w:p>
        </w:tc>
        <w:tc>
          <w:tcPr>
            <w:tcW w:w="172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8"/>
                <w:szCs w:val="18"/>
                <w:color w:val="auto"/>
              </w:rPr>
              <w:t>4.5%</w:t>
            </w:r>
          </w:p>
        </w:tc>
      </w:tr>
      <w:tr>
        <w:trPr>
          <w:trHeight w:val="250"/>
        </w:trPr>
        <w:tc>
          <w:tcPr>
            <w:tcW w:w="4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1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Constant-currency percent change is considered a non-GAAP metric.</w:t>
      </w:r>
    </w:p>
    <w:p>
      <w:pPr>
        <w:spacing w:after="0" w:line="256"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Cardiovascular</w:t>
      </w:r>
    </w:p>
    <w:p>
      <w:pPr>
        <w:spacing w:after="0" w:line="145" w:lineRule="exact"/>
        <w:rPr>
          <w:sz w:val="20"/>
          <w:szCs w:val="20"/>
          <w:color w:val="auto"/>
        </w:rPr>
      </w:pPr>
    </w:p>
    <w:p>
      <w:pPr>
        <w:jc w:val="both"/>
        <w:ind w:right="40"/>
        <w:spacing w:after="0" w:line="373" w:lineRule="auto"/>
        <w:rPr>
          <w:sz w:val="20"/>
          <w:szCs w:val="20"/>
          <w:color w:val="auto"/>
        </w:rPr>
      </w:pPr>
      <w:r>
        <w:rPr>
          <w:rFonts w:ascii="Arial" w:cs="Arial" w:eastAsia="Arial" w:hAnsi="Arial"/>
          <w:sz w:val="20"/>
          <w:szCs w:val="20"/>
          <w:color w:val="auto"/>
        </w:rPr>
        <w:t>Cardiovascular sales, which include Cardiopulmonary, Heart Valves and Advanced Circulatory Support (ACS) products, were $152.1 million, representing a 0.2 percent decrease versus the first quarter of 2019.</w:t>
      </w:r>
    </w:p>
    <w:p>
      <w:pPr>
        <w:spacing w:after="0" w:line="338"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Sales in Cardiopulmonary products were $116.4 million, representing a 2.2 percent decrease versus the first quarter of 2019. For the first quarter of 2020, Cardiopulmonary declined primarily due to an expected reduction in heart-lung machine sales that was partially offset by strong growth in oxygenators driven by Rest of World.</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Heart Valve sales were $25.2 million, an increase of 0.6 percent compared to the first quarter of 2019.</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ACS sales were $10.5 million in the quarter, an increase of 27.3 percent compared to the first quarter of 2019, primarily related to growth in ProtekDuo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kits.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60"/>
          </w:cols>
          <w:pgMar w:left="320" w:top="1003" w:right="3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Neuromodulation sales were $89.7 million in the first quarter, representing a 4.6 percent decrease versus the first quarter of 2019. This decline was primarily related to the impact of COVID-19 on new patient implants globally.</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a U.S. GAAP basis, first quarter 2020 operating income from continuing operations was $0.6 million. Adjusted operating income from continuing operations for the first quarter of 2020 was $21.0 million, a decrease of 35.4 percent as compared to the first quarter of 2019 related to the revenue impact from COVID-19 and continued investment in strategic portfolio initiatives.</w:t>
      </w:r>
    </w:p>
    <w:p>
      <w:pPr>
        <w:spacing w:after="0" w:line="340"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adjusted effective tax rate in the quarter was 8.2 percent, an improvement from 15.5 percent in the first quarter of 2019 related to changes in the geographic income mix and prior tax planning initiatives.</w:t>
      </w:r>
    </w:p>
    <w:p>
      <w:pPr>
        <w:spacing w:after="0" w:line="338"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a U.S. GAAP basis, first quarter 2020 diluted earnings per share from continuing operations were $0.79. First quarter 2020 adjusted diluted earnings per share from continuing operations were $0.33, a decrease of 38.9 percent compared to the first quarter of 2019.</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2020 Updated Guidance</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As a result of the impact of COVID-19, LivaNova worldwide net sales for full-year 2020 are now expected to decline between 7 and 17 percent on a constant-currency basis. Adjusted diluted earnings per share from continuing operations for 2020 are expected to be in the range of $1.40 to $1.70.</w:t>
      </w:r>
    </w:p>
    <w:p>
      <w:pPr>
        <w:spacing w:after="0" w:line="340"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Company now estimates that adjusted cash flow from operations, excluding integration, restructuring and litigation payments, will be in the range of $80-$100 million for 2020.</w:t>
      </w:r>
    </w:p>
    <w:p>
      <w:pPr>
        <w:spacing w:after="0" w:line="338"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"Looking ahead, we expect the pandemic to adversely impact full-year results," said McDonald. "We expect Q2 to experience the greatest impact and anticipate a steady improvement throughout the remainder of the year. We believe in our ability to execute on our strategy and our long-term fundamental outlook remains strong."</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Capital Alternatives</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In light of recent market developments, we have implemented actions designed to strengthen our liquidity position and promote financial resiliency. Among other things, we concluded execution of a series of amendments to our credit agreements that temporarily revise certain financial covenants and waive certain events of non-compliance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52" w:right="339" w:bottom="1440" w:gutter="0" w:footer="0" w:header="0"/>
        </w:sectPr>
      </w:pPr>
    </w:p>
    <w:bookmarkStart w:id="6" w:name="page7"/>
    <w:bookmarkEnd w:id="6"/>
    <w:p>
      <w:pPr>
        <w:jc w:val="both"/>
        <w:spacing w:after="0" w:line="348" w:lineRule="auto"/>
        <w:rPr>
          <w:sz w:val="20"/>
          <w:szCs w:val="20"/>
          <w:color w:val="auto"/>
        </w:rPr>
      </w:pPr>
      <w:r>
        <w:rPr>
          <w:rFonts w:ascii="Arial" w:cs="Arial" w:eastAsia="Arial" w:hAnsi="Arial"/>
          <w:sz w:val="20"/>
          <w:szCs w:val="20"/>
          <w:color w:val="auto"/>
        </w:rPr>
        <w:t>prior to December 31, 2020. We are also in the process of evaluating strategic capital raising options to fulfill our short-and medium-term capital needs. Among these alternatives, we have been analyzing potential offerings of equity/equity linked or debt securities</w:t>
      </w:r>
      <w:r>
        <w:rPr>
          <w:rFonts w:ascii="Arial" w:cs="Arial" w:eastAsia="Arial" w:hAnsi="Arial"/>
          <w:sz w:val="25"/>
          <w:szCs w:val="25"/>
          <w:color w:val="auto"/>
          <w:vertAlign w:val="superscript"/>
        </w:rPr>
        <w:t>1</w:t>
      </w:r>
      <w:r>
        <w:rPr>
          <w:rFonts w:ascii="Arial" w:cs="Arial" w:eastAsia="Arial" w:hAnsi="Arial"/>
          <w:sz w:val="20"/>
          <w:szCs w:val="20"/>
          <w:color w:val="auto"/>
        </w:rPr>
        <w:t>. Discussions concerning these potential transactions are ongoing, and no assurance can be given that a transaction will be consummated or as to the ultimate terms of any such transaction.</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 xml:space="preserve">The Company will host a live audio webcast for interested parties commencing at 1 p.m. London time (8 a.m. Eastern Time) on Wednesday, April 29 that will be accessible through the Investor Relations section of the LivaNova corporate website at </w:t>
      </w:r>
      <w:r>
        <w:rPr>
          <w:rFonts w:ascii="Arial" w:cs="Arial" w:eastAsia="Arial" w:hAnsi="Arial"/>
          <w:sz w:val="20"/>
          <w:szCs w:val="20"/>
          <w:u w:val="single" w:color="auto"/>
          <w:color w:val="auto"/>
        </w:rPr>
        <w:t>www.livanova.com</w:t>
      </w:r>
      <w:r>
        <w:rPr>
          <w:rFonts w:ascii="Arial" w:cs="Arial" w:eastAsia="Arial" w:hAnsi="Arial"/>
          <w:sz w:val="20"/>
          <w:szCs w:val="20"/>
          <w:color w:val="auto"/>
        </w:rPr>
        <w:t>. Listeners should log on approximately 10 minutes in advance to ensure proper setup to receive the webcast. To listen to the conference call by telephone, dial 844-239-5285</w:t>
      </w:r>
    </w:p>
    <w:p>
      <w:pPr>
        <w:spacing w:after="0" w:line="1"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(if dialing from within the U.S. or Canada) or 512-961-6524 (if dialing from outside the U.S. or Canada). The conference ID is 6455744. Within 24 hours of the webcast, a replay will be available under the "News &amp; Events / Presentations" section of the Investor Relations portion of the LivaNova website, where it will be archived and accessible for approximately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80"/>
        <w:spacing w:after="0" w:line="268" w:lineRule="auto"/>
        <w:rPr>
          <w:sz w:val="20"/>
          <w:szCs w:val="20"/>
          <w:color w:val="auto"/>
        </w:rPr>
      </w:pPr>
      <w:r>
        <w:rPr>
          <w:rFonts w:ascii="Arial" w:cs="Arial" w:eastAsia="Arial" w:hAnsi="Arial"/>
          <w:sz w:val="7"/>
          <w:szCs w:val="7"/>
          <w:color w:val="auto"/>
        </w:rPr>
        <w:t>1</w:t>
      </w:r>
      <w:r>
        <w:rPr>
          <w:rFonts w:ascii="Arial" w:cs="Arial" w:eastAsia="Arial" w:hAnsi="Arial"/>
          <w:sz w:val="10"/>
          <w:szCs w:val="10"/>
          <w:color w:val="auto"/>
        </w:rPr>
        <w:t>Any securities that may be issued by LivaNova have not been and will not be registered under the U.S. Securities Act of 1933, as amended (the “Securities Act”), and if offered, will only be offered to persons who are either (i) an</w:t>
      </w:r>
      <w:r>
        <w:rPr>
          <w:rFonts w:ascii="Arial" w:cs="Arial" w:eastAsia="Arial" w:hAnsi="Arial"/>
          <w:sz w:val="7"/>
          <w:szCs w:val="7"/>
          <w:color w:val="auto"/>
        </w:rPr>
        <w:t xml:space="preserve"> </w:t>
      </w:r>
      <w:r>
        <w:rPr>
          <w:rFonts w:ascii="Arial" w:cs="Arial" w:eastAsia="Arial" w:hAnsi="Arial"/>
          <w:sz w:val="10"/>
          <w:szCs w:val="10"/>
          <w:color w:val="auto"/>
        </w:rPr>
        <w:t>“accredited investor” within the meaning of Regulation D under the Securities Act or (ii) a “qualified institutional buyer” within the meaning of Rule 144A under the Securities Act, or to persons that are not U.S. persons pursuant to Regulation S under the Securities Act. This communication shall not constitute an offer to sell or the solicitation of an offer to buy any securities of LivaNova.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7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FF5C39"/>
        </w:rPr>
        <w:t>About LivaNova</w:t>
      </w:r>
    </w:p>
    <w:p>
      <w:pPr>
        <w:spacing w:after="0" w:line="21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LivaNova operates as two businesses: Cardiovascular and Neuromodulation, with operating headquarters in Mirandola (Italy) and Houston (U.S.),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1"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7"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62" w:right="339" w:bottom="1440" w:gutter="0" w:footer="0" w:header="0"/>
        </w:sectPr>
      </w:pPr>
    </w:p>
    <w:bookmarkStart w:id="8" w:name="page9"/>
    <w:bookmarkEnd w:id="8"/>
    <w:p>
      <w:pPr>
        <w:jc w:val="both"/>
        <w:spacing w:after="0" w:line="353" w:lineRule="auto"/>
        <w:rPr>
          <w:sz w:val="20"/>
          <w:szCs w:val="20"/>
          <w:color w:val="auto"/>
        </w:rPr>
      </w:pPr>
      <w:r>
        <w:rPr>
          <w:rFonts w:ascii="Arial" w:cs="Arial" w:eastAsia="Arial" w:hAnsi="Arial"/>
          <w:sz w:val="20"/>
          <w:szCs w:val="20"/>
          <w:color w:val="auto"/>
        </w:rPr>
        <w:t>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332"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continuing operations;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66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FF5C39"/>
        </w:rPr>
        <w:t>Safe Harbor Statement</w:t>
      </w:r>
    </w:p>
    <w:p>
      <w:pPr>
        <w:spacing w:after="0" w:line="121"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2020,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COVID-19; (ii) an assessment by LivaNova's management that current market conditions are not conducive for an equity or debt offering on terms that would be in the best interest of LivaNova's stakeholders;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assumptions made in connection with critical accounting estimates and legal proceedings; (xii) LivaNova’s international operations, which are subject to the risks of currency fluctuations and foreign exchange controls; (xiii) the potential for international unrest, economic downturn or effects of currencies, tax assessments, tax adjustments, anticipated tax rates, raw material costs or availability, benefit or retirement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76" w:right="339" w:bottom="1440" w:gutter="0" w:footer="0" w:header="0"/>
        </w:sectPr>
      </w:pPr>
    </w:p>
    <w:bookmarkStart w:id="10" w:name="page11"/>
    <w:bookmarkEnd w:id="10"/>
    <w:p>
      <w:pPr>
        <w:jc w:val="both"/>
        <w:spacing w:after="0" w:line="367" w:lineRule="auto"/>
        <w:rPr>
          <w:sz w:val="20"/>
          <w:szCs w:val="20"/>
          <w:color w:val="auto"/>
        </w:rPr>
      </w:pPr>
      <w:r>
        <w:rPr>
          <w:rFonts w:ascii="Arial" w:cs="Arial" w:eastAsia="Arial" w:hAnsi="Arial"/>
          <w:sz w:val="20"/>
          <w:szCs w:val="20"/>
          <w:color w:val="auto"/>
        </w:rPr>
        <w:t>costs, or other regulatory compliance costs; (xiv) the inability of LivaNova to meet expectations regarding the timing, completion and accounting of tax treatments; (xv) and organizational and governance structure.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1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Melissa Farina</w:t>
      </w:r>
    </w:p>
    <w:p>
      <w:pPr>
        <w:ind w:left="80"/>
        <w:spacing w:after="0" w:line="235" w:lineRule="auto"/>
        <w:rPr>
          <w:sz w:val="20"/>
          <w:szCs w:val="20"/>
          <w:color w:val="auto"/>
        </w:rPr>
      </w:pPr>
      <w:r>
        <w:rPr>
          <w:rFonts w:ascii="Arial" w:cs="Arial" w:eastAsia="Arial" w:hAnsi="Arial"/>
          <w:sz w:val="20"/>
          <w:szCs w:val="20"/>
          <w:color w:val="auto"/>
        </w:rPr>
        <w:t>Vice President, Investor Relations</w:t>
      </w:r>
    </w:p>
    <w:p>
      <w:pPr>
        <w:ind w:left="80"/>
        <w:spacing w:after="0" w:line="226" w:lineRule="auto"/>
        <w:rPr>
          <w:sz w:val="20"/>
          <w:szCs w:val="20"/>
          <w:color w:val="auto"/>
        </w:rPr>
      </w:pPr>
      <w:r>
        <w:rPr>
          <w:rFonts w:ascii="Arial" w:cs="Arial" w:eastAsia="Arial" w:hAnsi="Arial"/>
          <w:sz w:val="20"/>
          <w:szCs w:val="20"/>
          <w:color w:val="auto"/>
        </w:rPr>
        <w:t>Phone: +1 (281) 228 7262</w:t>
      </w: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76" w:right="339" w:bottom="1440" w:gutter="0" w:footer="0" w:header="0"/>
        </w:sectPr>
      </w:pPr>
    </w:p>
    <w:bookmarkStart w:id="11" w:name="page12"/>
    <w:bookmarkEnd w:id="11"/>
    <w:tbl>
      <w:tblPr>
        <w:tblLayout w:type="fixed"/>
        <w:tblInd w:w="5" w:type="dxa"/>
        <w:tblCellMar>
          <w:top w:w="0" w:type="dxa"/>
          <w:left w:w="0" w:type="dxa"/>
          <w:bottom w:w="0" w:type="dxa"/>
          <w:right w:w="0" w:type="dxa"/>
        </w:tblCellMar>
      </w:tblPr>
      <w:tr>
        <w:trPr>
          <w:trHeight w:val="215"/>
        </w:trPr>
        <w:tc>
          <w:tcPr>
            <w:tcW w:w="4560" w:type="dxa"/>
            <w:vAlign w:val="bottom"/>
          </w:tcPr>
          <w:p>
            <w:pPr>
              <w:spacing w:after="0"/>
              <w:rPr>
                <w:sz w:val="20"/>
                <w:szCs w:val="20"/>
                <w:color w:val="auto"/>
              </w:rPr>
            </w:pPr>
            <w:r>
              <w:rPr>
                <w:rFonts w:ascii="Arial" w:cs="Arial" w:eastAsia="Arial" w:hAnsi="Arial"/>
                <w:sz w:val="16"/>
                <w:szCs w:val="16"/>
                <w:b w:val="1"/>
                <w:bCs w:val="1"/>
                <w:color w:val="auto"/>
              </w:rPr>
              <w:t>LIVANOVA PLC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6"/>
                <w:szCs w:val="16"/>
                <w:b w:val="1"/>
                <w:bCs w:val="1"/>
                <w:color w:val="auto"/>
              </w:rPr>
              <w:t>(U.S. dollars in millions)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3"/>
        </w:trPr>
        <w:tc>
          <w:tcPr>
            <w:tcW w:w="45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Three Months Ended March 31,</w:t>
            </w:r>
          </w:p>
        </w:tc>
        <w:tc>
          <w:tcPr>
            <w:tcW w:w="1900" w:type="dxa"/>
            <w:vAlign w:val="bottom"/>
            <w:tcBorders>
              <w:bottom w:val="single" w:sz="8" w:color="auto"/>
            </w:tcBorders>
          </w:tcPr>
          <w:p>
            <w:pPr>
              <w:spacing w:after="0"/>
              <w:rPr>
                <w:sz w:val="24"/>
                <w:szCs w:val="24"/>
                <w:color w:val="auto"/>
              </w:rPr>
            </w:pPr>
          </w:p>
        </w:tc>
      </w:tr>
      <w:tr>
        <w:trPr>
          <w:trHeight w:val="198"/>
        </w:trPr>
        <w:tc>
          <w:tcPr>
            <w:tcW w:w="4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 at Actual</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Change at Constant-</w:t>
            </w:r>
          </w:p>
        </w:tc>
      </w:tr>
      <w:tr>
        <w:trPr>
          <w:trHeight w:val="234"/>
        </w:trPr>
        <w:tc>
          <w:tcPr>
            <w:tcW w:w="4560" w:type="dxa"/>
            <w:vAlign w:val="bottom"/>
          </w:tcPr>
          <w:p>
            <w:pPr>
              <w:spacing w:after="0"/>
              <w:rPr>
                <w:sz w:val="20"/>
                <w:szCs w:val="20"/>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880" w:type="dxa"/>
            <w:vAlign w:val="bottom"/>
            <w:gridSpan w:val="2"/>
          </w:tcPr>
          <w:p>
            <w:pPr>
              <w:ind w:left="300"/>
              <w:spacing w:after="0"/>
              <w:rPr>
                <w:sz w:val="20"/>
                <w:szCs w:val="20"/>
                <w:color w:val="auto"/>
              </w:rPr>
            </w:pPr>
            <w:r>
              <w:rPr>
                <w:rFonts w:ascii="Arial" w:cs="Arial" w:eastAsia="Arial" w:hAnsi="Arial"/>
                <w:sz w:val="16"/>
                <w:szCs w:val="16"/>
                <w:b w:val="1"/>
                <w:bCs w:val="1"/>
                <w:color w:val="auto"/>
              </w:rPr>
              <w:t>Currency Rates</w:t>
            </w:r>
          </w:p>
        </w:tc>
        <w:tc>
          <w:tcPr>
            <w:tcW w:w="1900" w:type="dxa"/>
            <w:vAlign w:val="bottom"/>
          </w:tcPr>
          <w:p>
            <w:pPr>
              <w:jc w:val="right"/>
              <w:ind w:right="199"/>
              <w:spacing w:after="0" w:line="234" w:lineRule="exact"/>
              <w:rPr>
                <w:sz w:val="20"/>
                <w:szCs w:val="20"/>
                <w:color w:val="auto"/>
              </w:rPr>
            </w:pPr>
            <w:r>
              <w:rPr>
                <w:rFonts w:ascii="Arial" w:cs="Arial" w:eastAsia="Arial" w:hAnsi="Arial"/>
                <w:sz w:val="16"/>
                <w:szCs w:val="16"/>
                <w:b w:val="1"/>
                <w:bCs w:val="1"/>
                <w:color w:val="auto"/>
              </w:rPr>
              <w:t>Currency Rates</w:t>
            </w:r>
            <w:r>
              <w:rPr>
                <w:rFonts w:ascii="Arial" w:cs="Arial" w:eastAsia="Arial" w:hAnsi="Arial"/>
                <w:sz w:val="21"/>
                <w:szCs w:val="21"/>
                <w:color w:val="auto"/>
                <w:vertAlign w:val="superscript"/>
              </w:rPr>
              <w:t>(1)</w:t>
            </w:r>
          </w:p>
        </w:tc>
      </w:tr>
      <w:tr>
        <w:trPr>
          <w:trHeight w:val="244"/>
        </w:trPr>
        <w:tc>
          <w:tcPr>
            <w:tcW w:w="456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83"/>
        </w:trPr>
        <w:tc>
          <w:tcPr>
            <w:tcW w:w="4560" w:type="dxa"/>
            <w:vAlign w:val="bottom"/>
          </w:tcPr>
          <w:p>
            <w:pPr>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0"/>
        </w:trPr>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121.6</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251"/>
        </w:trPr>
        <w:tc>
          <w:tcPr>
            <w:tcW w:w="456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83"/>
        </w:trPr>
        <w:tc>
          <w:tcPr>
            <w:tcW w:w="4560" w:type="dxa"/>
            <w:vAlign w:val="bottom"/>
          </w:tcPr>
          <w:p>
            <w:pPr>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50"/>
        </w:trPr>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0.6%</w:t>
            </w:r>
          </w:p>
        </w:tc>
      </w:tr>
      <w:tr>
        <w:trPr>
          <w:trHeight w:val="251"/>
        </w:trPr>
        <w:tc>
          <w:tcPr>
            <w:tcW w:w="456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880" w:type="dxa"/>
            <w:vAlign w:val="bottom"/>
            <w:gridSpan w:val="2"/>
          </w:tcPr>
          <w:p>
            <w:pPr>
              <w:ind w:left="12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560" w:type="dxa"/>
            <w:vAlign w:val="bottom"/>
          </w:tcPr>
          <w:p>
            <w:pPr>
              <w:spacing w:after="0"/>
              <w:rPr>
                <w:sz w:val="20"/>
                <w:szCs w:val="20"/>
                <w:color w:val="auto"/>
              </w:rPr>
            </w:pPr>
            <w:r>
              <w:rPr>
                <w:rFonts w:ascii="Arial" w:cs="Arial" w:eastAsia="Arial" w:hAnsi="Arial"/>
                <w:sz w:val="16"/>
                <w:szCs w:val="16"/>
                <w:color w:val="auto"/>
              </w:rPr>
              <w:t>Rest of world</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1880" w:type="dxa"/>
            <w:vAlign w:val="bottom"/>
            <w:gridSpan w:val="2"/>
          </w:tcPr>
          <w:p>
            <w:pPr>
              <w:ind w:left="12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50"/>
        </w:trPr>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27.3%</w:t>
            </w:r>
          </w:p>
        </w:tc>
      </w:tr>
      <w:tr>
        <w:trPr>
          <w:trHeight w:val="251"/>
        </w:trPr>
        <w:tc>
          <w:tcPr>
            <w:tcW w:w="456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46.2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3"/>
        </w:trPr>
        <w:tc>
          <w:tcPr>
            <w:tcW w:w="4560" w:type="dxa"/>
            <w:vAlign w:val="bottom"/>
          </w:tcPr>
          <w:p>
            <w:pPr>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50"/>
        </w:trPr>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155.5</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(0.2%)</w:t>
            </w:r>
          </w:p>
        </w:tc>
      </w:tr>
      <w:tr>
        <w:trPr>
          <w:trHeight w:val="250"/>
        </w:trPr>
        <w:tc>
          <w:tcPr>
            <w:tcW w:w="456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76.9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83"/>
        </w:trPr>
        <w:tc>
          <w:tcPr>
            <w:tcW w:w="4560" w:type="dxa"/>
            <w:vAlign w:val="bottom"/>
          </w:tcPr>
          <w:p>
            <w:pPr>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50"/>
        </w:trPr>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94.6</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(4.6%)</w:t>
            </w:r>
          </w:p>
        </w:tc>
      </w:tr>
      <w:tr>
        <w:trPr>
          <w:trHeight w:val="250"/>
        </w:trPr>
        <w:tc>
          <w:tcPr>
            <w:tcW w:w="456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US</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880" w:type="dxa"/>
            <w:vAlign w:val="bottom"/>
            <w:gridSpan w:val="2"/>
          </w:tcPr>
          <w:p>
            <w:pPr>
              <w:ind w:left="12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880" w:type="dxa"/>
            <w:vAlign w:val="bottom"/>
            <w:gridSpan w:val="2"/>
          </w:tcPr>
          <w:p>
            <w:pPr>
              <w:ind w:left="12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560" w:type="dxa"/>
            <w:vAlign w:val="bottom"/>
          </w:tcPr>
          <w:p>
            <w:pPr>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0"/>
        </w:trPr>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250"/>
        </w:trPr>
        <w:tc>
          <w:tcPr>
            <w:tcW w:w="456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128.4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83"/>
        </w:trPr>
        <w:tc>
          <w:tcPr>
            <w:tcW w:w="4560" w:type="dxa"/>
            <w:vAlign w:val="bottom"/>
          </w:tcPr>
          <w:p>
            <w:pPr>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67"/>
        </w:trPr>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$242.4</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$250.8</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r>
        <w:trPr>
          <w:trHeight w:val="20"/>
        </w:trPr>
        <w:tc>
          <w:tcPr>
            <w:tcW w:w="4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29" w:lineRule="exact"/>
        <w:rPr>
          <w:sz w:val="20"/>
          <w:szCs w:val="20"/>
          <w:color w:val="auto"/>
        </w:rPr>
      </w:pPr>
    </w:p>
    <w:p>
      <w:pPr>
        <w:ind w:left="305" w:right="40" w:hanging="305"/>
        <w:spacing w:after="0" w:line="258" w:lineRule="auto"/>
        <w:tabs>
          <w:tab w:leader="none" w:pos="305"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32" w:lineRule="exact"/>
        <w:rPr>
          <w:sz w:val="20"/>
          <w:szCs w:val="20"/>
          <w:color w:val="auto"/>
        </w:rPr>
      </w:pPr>
    </w:p>
    <w:p>
      <w:pPr>
        <w:ind w:left="305" w:hanging="305"/>
        <w:spacing w:after="0"/>
        <w:tabs>
          <w:tab w:leader="none" w:pos="30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246"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5"/>
          </w:cols>
          <w:pgMar w:left="355" w:top="756" w:right="339" w:bottom="1440" w:gutter="0" w:footer="0" w:header="0"/>
        </w:sectPr>
      </w:pPr>
    </w:p>
    <w:bookmarkStart w:id="12" w:name="page13"/>
    <w:bookmarkEnd w:id="12"/>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CONDENSED CONSOLIDATED STATEMENTS OF INCOME - UNAUDITED</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370"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63"/>
        </w:trPr>
        <w:tc>
          <w:tcPr>
            <w:tcW w:w="55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 Change</w:t>
            </w:r>
          </w:p>
        </w:tc>
      </w:tr>
      <w:tr>
        <w:trPr>
          <w:trHeight w:val="251"/>
        </w:trPr>
        <w:tc>
          <w:tcPr>
            <w:tcW w:w="664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$250.8</w:t>
            </w: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6640" w:type="dxa"/>
            <w:vAlign w:val="bottom"/>
            <w:gridSpan w:val="2"/>
          </w:tcPr>
          <w:p>
            <w:pPr>
              <w:spacing w:after="0"/>
              <w:rPr>
                <w:sz w:val="20"/>
                <w:szCs w:val="20"/>
                <w:color w:val="auto"/>
              </w:rPr>
            </w:pPr>
            <w:r>
              <w:rPr>
                <w:rFonts w:ascii="Arial" w:cs="Arial" w:eastAsia="Arial" w:hAnsi="Arial"/>
                <w:sz w:val="16"/>
                <w:szCs w:val="16"/>
                <w:color w:val="auto"/>
              </w:rPr>
              <w:t>Costs and expenses:</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Cost of sales - exclusive of amortization</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Product remediation</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Selling, general and administrative</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Research and development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Merger and integration expenses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Restructuring expenses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83"/>
        </w:trPr>
        <w:tc>
          <w:tcPr>
            <w:tcW w:w="5520" w:type="dxa"/>
            <w:vAlign w:val="bottom"/>
          </w:tcPr>
          <w:p>
            <w:pPr>
              <w:ind w:left="200"/>
              <w:spacing w:after="0"/>
              <w:rPr>
                <w:sz w:val="20"/>
                <w:szCs w:val="20"/>
                <w:color w:val="auto"/>
              </w:rPr>
            </w:pPr>
            <w:r>
              <w:rPr>
                <w:rFonts w:ascii="Arial" w:cs="Arial" w:eastAsia="Arial" w:hAnsi="Arial"/>
                <w:sz w:val="16"/>
                <w:szCs w:val="16"/>
                <w:color w:val="auto"/>
              </w:rPr>
              <w:t>Amortization of intangibles</w:t>
            </w: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50"/>
        </w:trPr>
        <w:tc>
          <w:tcPr>
            <w:tcW w:w="5520" w:type="dxa"/>
            <w:vAlign w:val="bottom"/>
          </w:tcPr>
          <w:p>
            <w:pPr>
              <w:spacing w:after="0"/>
              <w:rPr>
                <w:sz w:val="20"/>
                <w:szCs w:val="20"/>
                <w:color w:val="auto"/>
              </w:rPr>
            </w:pPr>
            <w:r>
              <w:rPr>
                <w:rFonts w:ascii="Arial" w:cs="Arial" w:eastAsia="Arial" w:hAnsi="Arial"/>
                <w:sz w:val="16"/>
                <w:szCs w:val="16"/>
                <w:color w:val="auto"/>
              </w:rPr>
              <w:t>Operating income (loss) from continuing operations</w:t>
            </w: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w:t>
            </w:r>
          </w:p>
        </w:tc>
      </w:tr>
      <w:tr>
        <w:trPr>
          <w:trHeight w:val="251"/>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3"/>
        </w:trPr>
        <w:tc>
          <w:tcPr>
            <w:tcW w:w="5520" w:type="dxa"/>
            <w:vAlign w:val="bottom"/>
          </w:tcPr>
          <w:p>
            <w:pPr>
              <w:ind w:left="200"/>
              <w:spacing w:after="0"/>
              <w:rPr>
                <w:sz w:val="20"/>
                <w:szCs w:val="20"/>
                <w:color w:val="auto"/>
              </w:rPr>
            </w:pPr>
            <w:r>
              <w:rPr>
                <w:rFonts w:ascii="Arial" w:cs="Arial" w:eastAsia="Arial" w:hAnsi="Arial"/>
                <w:sz w:val="16"/>
                <w:szCs w:val="16"/>
                <w:color w:val="auto"/>
              </w:rPr>
              <w:t>Foreign exchange and other (losses) gains</w:t>
            </w: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50"/>
        </w:trPr>
        <w:tc>
          <w:tcPr>
            <w:tcW w:w="5520" w:type="dxa"/>
            <w:vAlign w:val="bottom"/>
          </w:tcPr>
          <w:p>
            <w:pPr>
              <w:spacing w:after="0"/>
              <w:rPr>
                <w:sz w:val="20"/>
                <w:szCs w:val="20"/>
                <w:color w:val="auto"/>
              </w:rPr>
            </w:pPr>
            <w:r>
              <w:rPr>
                <w:rFonts w:ascii="Arial" w:cs="Arial" w:eastAsia="Arial" w:hAnsi="Arial"/>
                <w:sz w:val="16"/>
                <w:szCs w:val="16"/>
                <w:color w:val="auto"/>
              </w:rPr>
              <w:t>Loss from continuing operations before tax</w:t>
            </w: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r>
      <w:tr>
        <w:trPr>
          <w:trHeight w:val="251"/>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Income tax benefit</w:t>
            </w:r>
          </w:p>
        </w:tc>
        <w:tc>
          <w:tcPr>
            <w:tcW w:w="66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3"/>
        </w:trPr>
        <w:tc>
          <w:tcPr>
            <w:tcW w:w="5520" w:type="dxa"/>
            <w:vAlign w:val="bottom"/>
          </w:tcPr>
          <w:p>
            <w:pPr>
              <w:ind w:left="200"/>
              <w:spacing w:after="0"/>
              <w:rPr>
                <w:sz w:val="20"/>
                <w:szCs w:val="20"/>
                <w:color w:val="auto"/>
              </w:rPr>
            </w:pPr>
            <w:r>
              <w:rPr>
                <w:rFonts w:ascii="Arial" w:cs="Arial" w:eastAsia="Arial" w:hAnsi="Arial"/>
                <w:sz w:val="16"/>
                <w:szCs w:val="16"/>
                <w:color w:val="auto"/>
              </w:rPr>
              <w:t>Losses from equity method investments</w:t>
            </w: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50"/>
        </w:trPr>
        <w:tc>
          <w:tcPr>
            <w:tcW w:w="5520" w:type="dxa"/>
            <w:vAlign w:val="bottom"/>
          </w:tcPr>
          <w:p>
            <w:pPr>
              <w:spacing w:after="0"/>
              <w:rPr>
                <w:sz w:val="20"/>
                <w:szCs w:val="20"/>
                <w:color w:val="auto"/>
              </w:rPr>
            </w:pPr>
            <w:r>
              <w:rPr>
                <w:rFonts w:ascii="Arial" w:cs="Arial" w:eastAsia="Arial" w:hAnsi="Arial"/>
                <w:sz w:val="16"/>
                <w:szCs w:val="16"/>
                <w:color w:val="auto"/>
              </w:rPr>
              <w:t>Net income (loss) from continuing operations</w:t>
            </w: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w:t>
            </w:r>
          </w:p>
        </w:tc>
      </w:tr>
      <w:tr>
        <w:trPr>
          <w:trHeight w:val="263"/>
        </w:trPr>
        <w:tc>
          <w:tcPr>
            <w:tcW w:w="5520" w:type="dxa"/>
            <w:vAlign w:val="bottom"/>
          </w:tcPr>
          <w:p>
            <w:pPr>
              <w:spacing w:after="0"/>
              <w:rPr>
                <w:sz w:val="20"/>
                <w:szCs w:val="20"/>
                <w:color w:val="auto"/>
              </w:rPr>
            </w:pPr>
            <w:r>
              <w:rPr>
                <w:rFonts w:ascii="Arial" w:cs="Arial" w:eastAsia="Arial" w:hAnsi="Arial"/>
                <w:sz w:val="16"/>
                <w:szCs w:val="16"/>
                <w:color w:val="auto"/>
              </w:rPr>
              <w:t>Net loss from discontinued operations, net of tax</w:t>
            </w:r>
          </w:p>
        </w:tc>
        <w:tc>
          <w:tcPr>
            <w:tcW w:w="1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r>
      <w:tr>
        <w:trPr>
          <w:trHeight w:val="307"/>
        </w:trPr>
        <w:tc>
          <w:tcPr>
            <w:tcW w:w="5520" w:type="dxa"/>
            <w:vAlign w:val="bottom"/>
          </w:tcPr>
          <w:p>
            <w:pPr>
              <w:spacing w:after="0"/>
              <w:rPr>
                <w:sz w:val="20"/>
                <w:szCs w:val="20"/>
                <w:color w:val="auto"/>
              </w:rPr>
            </w:pPr>
            <w:r>
              <w:rPr>
                <w:rFonts w:ascii="Arial" w:cs="Arial" w:eastAsia="Arial" w:hAnsi="Arial"/>
                <w:sz w:val="16"/>
                <w:szCs w:val="16"/>
                <w:color w:val="auto"/>
              </w:rPr>
              <w:t>Net income (loss)</w:t>
            </w: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r>
      <w:tr>
        <w:trPr>
          <w:trHeight w:val="518"/>
        </w:trPr>
        <w:tc>
          <w:tcPr>
            <w:tcW w:w="6640" w:type="dxa"/>
            <w:vAlign w:val="bottom"/>
            <w:gridSpan w:val="2"/>
          </w:tcPr>
          <w:p>
            <w:pPr>
              <w:spacing w:after="0"/>
              <w:rPr>
                <w:sz w:val="20"/>
                <w:szCs w:val="20"/>
                <w:color w:val="auto"/>
              </w:rPr>
            </w:pPr>
            <w:r>
              <w:rPr>
                <w:rFonts w:ascii="Arial" w:cs="Arial" w:eastAsia="Arial" w:hAnsi="Arial"/>
                <w:sz w:val="16"/>
                <w:szCs w:val="16"/>
                <w:color w:val="auto"/>
              </w:rPr>
              <w:t>Basic income (loss) per share: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Continuing operations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83"/>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Discontinued operations</w:t>
            </w:r>
          </w:p>
        </w:tc>
        <w:tc>
          <w:tcPr>
            <w:tcW w:w="6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63"/>
        </w:trPr>
        <w:tc>
          <w:tcPr>
            <w:tcW w:w="5520" w:type="dxa"/>
            <w:vAlign w:val="bottom"/>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0"/>
        </w:trPr>
        <w:tc>
          <w:tcPr>
            <w:tcW w:w="5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521"/>
        </w:trPr>
        <w:tc>
          <w:tcPr>
            <w:tcW w:w="6640" w:type="dxa"/>
            <w:vAlign w:val="bottom"/>
            <w:gridSpan w:val="2"/>
          </w:tcPr>
          <w:p>
            <w:pPr>
              <w:spacing w:after="0"/>
              <w:rPr>
                <w:sz w:val="20"/>
                <w:szCs w:val="20"/>
                <w:color w:val="auto"/>
              </w:rPr>
            </w:pPr>
            <w:r>
              <w:rPr>
                <w:rFonts w:ascii="Arial" w:cs="Arial" w:eastAsia="Arial" w:hAnsi="Arial"/>
                <w:sz w:val="16"/>
                <w:szCs w:val="16"/>
                <w:color w:val="auto"/>
              </w:rPr>
              <w:t>Diluted income (loss) per share: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Continuing operations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83"/>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Discontinued operations</w:t>
            </w:r>
          </w:p>
        </w:tc>
        <w:tc>
          <w:tcPr>
            <w:tcW w:w="6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63"/>
        </w:trPr>
        <w:tc>
          <w:tcPr>
            <w:tcW w:w="5520" w:type="dxa"/>
            <w:vAlign w:val="bottom"/>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0"/>
        </w:trPr>
        <w:tc>
          <w:tcPr>
            <w:tcW w:w="5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521"/>
        </w:trPr>
        <w:tc>
          <w:tcPr>
            <w:tcW w:w="664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664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bl>
    <w:p>
      <w:pPr>
        <w:spacing w:after="0" w:line="348" w:lineRule="exact"/>
        <w:rPr>
          <w:sz w:val="20"/>
          <w:szCs w:val="20"/>
          <w:color w:val="auto"/>
        </w:rPr>
      </w:pPr>
    </w:p>
    <w:p>
      <w:pPr>
        <w:ind w:left="205" w:hanging="205"/>
        <w:spacing w:after="0"/>
        <w:tabs>
          <w:tab w:leader="none" w:pos="205" w:val="left"/>
        </w:tabs>
        <w:numPr>
          <w:ilvl w:val="0"/>
          <w:numId w:val="6"/>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5"/>
          </w:cols>
          <w:pgMar w:left="355" w:top="78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70"/>
        </w:trPr>
        <w:tc>
          <w:tcPr>
            <w:tcW w:w="552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1"/>
                <w:szCs w:val="21"/>
                <w:b w:val="1"/>
                <w:bCs w:val="1"/>
                <w:color w:val="auto"/>
                <w:vertAlign w:val="superscript"/>
              </w:rPr>
              <w:t>(1)</w:t>
            </w:r>
          </w:p>
        </w:tc>
      </w:tr>
      <w:tr>
        <w:trPr>
          <w:trHeight w:val="314"/>
        </w:trPr>
        <w:tc>
          <w:tcPr>
            <w:tcW w:w="664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$104.5</w:t>
            </w: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664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70"/>
        </w:trPr>
        <w:tc>
          <w:tcPr>
            <w:tcW w:w="664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70"/>
        </w:trPr>
        <w:tc>
          <w:tcPr>
            <w:tcW w:w="664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from continuing operations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76"/>
        </w:trPr>
        <w:tc>
          <w:tcPr>
            <w:tcW w:w="664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(38.9%)</w:t>
            </w:r>
          </w:p>
        </w:tc>
      </w:tr>
    </w:tbl>
    <w:p>
      <w:pPr>
        <w:spacing w:after="0" w:line="258" w:lineRule="exact"/>
        <w:rPr>
          <w:sz w:val="20"/>
          <w:szCs w:val="20"/>
          <w:color w:val="auto"/>
        </w:rPr>
      </w:pPr>
    </w:p>
    <w:p>
      <w:pPr>
        <w:ind w:left="240" w:right="40" w:hanging="238"/>
        <w:spacing w:after="0" w:line="258" w:lineRule="auto"/>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1"/>
                <w:szCs w:val="21"/>
                <w:color w:val="auto"/>
              </w:rPr>
            </w:pPr>
          </w:p>
        </w:tc>
        <w:tc>
          <w:tcPr>
            <w:tcW w:w="37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GAAP Three Months Ended March 31,</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Three Months Ended March 31,</w:t>
            </w:r>
          </w:p>
        </w:tc>
      </w:tr>
      <w:tr>
        <w:trPr>
          <w:trHeight w:val="257"/>
        </w:trPr>
        <w:tc>
          <w:tcPr>
            <w:tcW w:w="2260" w:type="dxa"/>
            <w:vAlign w:val="bottom"/>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237"/>
        </w:trPr>
        <w:tc>
          <w:tcPr>
            <w:tcW w:w="36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4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70"/>
        </w:trPr>
        <w:tc>
          <w:tcPr>
            <w:tcW w:w="366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4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70"/>
        </w:trPr>
        <w:tc>
          <w:tcPr>
            <w:tcW w:w="3660" w:type="dxa"/>
            <w:vAlign w:val="bottom"/>
            <w:gridSpan w:val="2"/>
          </w:tcPr>
          <w:p>
            <w:pPr>
              <w:spacing w:after="0"/>
              <w:rPr>
                <w:sz w:val="20"/>
                <w:szCs w:val="20"/>
                <w:color w:val="auto"/>
              </w:rPr>
            </w:pPr>
            <w:r>
              <w:rPr>
                <w:rFonts w:ascii="Arial" w:cs="Arial" w:eastAsia="Arial" w:hAnsi="Arial"/>
                <w:sz w:val="16"/>
                <w:szCs w:val="16"/>
                <w:color w:val="auto"/>
              </w:rPr>
              <w:t>R&amp;D</w:t>
            </w:r>
          </w:p>
        </w:tc>
        <w:tc>
          <w:tcPr>
            <w:tcW w:w="74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37"/>
        </w:trPr>
        <w:tc>
          <w:tcPr>
            <w:tcW w:w="3660" w:type="dxa"/>
            <w:vAlign w:val="bottom"/>
            <w:gridSpan w:val="2"/>
          </w:tcPr>
          <w:p>
            <w:pPr>
              <w:spacing w:after="0"/>
              <w:rPr>
                <w:sz w:val="20"/>
                <w:szCs w:val="20"/>
                <w:color w:val="auto"/>
              </w:rPr>
            </w:pPr>
            <w:r>
              <w:rPr>
                <w:rFonts w:ascii="Arial" w:cs="Arial" w:eastAsia="Arial" w:hAnsi="Arial"/>
                <w:sz w:val="16"/>
                <w:szCs w:val="16"/>
                <w:color w:val="auto"/>
              </w:rPr>
              <w:t>Operating income (loss)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5"/>
        </w:trPr>
        <w:tc>
          <w:tcPr>
            <w:tcW w:w="366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37"/>
        </w:trPr>
        <w:tc>
          <w:tcPr>
            <w:tcW w:w="3660" w:type="dxa"/>
            <w:vAlign w:val="bottom"/>
            <w:gridSpan w:val="2"/>
          </w:tcPr>
          <w:p>
            <w:pPr>
              <w:spacing w:after="0"/>
              <w:rPr>
                <w:sz w:val="20"/>
                <w:szCs w:val="20"/>
                <w:color w:val="auto"/>
              </w:rPr>
            </w:pPr>
            <w:r>
              <w:rPr>
                <w:rFonts w:ascii="Arial" w:cs="Arial" w:eastAsia="Arial" w:hAnsi="Arial"/>
                <w:sz w:val="16"/>
                <w:szCs w:val="16"/>
                <w:color w:val="auto"/>
              </w:rPr>
              <w:t>Net income (loss)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5"/>
        </w:trPr>
        <w:tc>
          <w:tcPr>
            <w:tcW w:w="366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70"/>
        </w:trPr>
        <w:tc>
          <w:tcPr>
            <w:tcW w:w="366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40" w:type="dxa"/>
            <w:vAlign w:val="bottom"/>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15.5%</w:t>
            </w:r>
          </w:p>
        </w:tc>
      </w:tr>
    </w:tbl>
    <w:p>
      <w:pPr>
        <w:spacing w:after="0" w:line="348" w:lineRule="exact"/>
        <w:rPr>
          <w:sz w:val="20"/>
          <w:szCs w:val="20"/>
          <w:color w:val="auto"/>
        </w:rPr>
      </w:pPr>
    </w:p>
    <w:p>
      <w:pPr>
        <w:ind w:left="420" w:right="40" w:hanging="324"/>
        <w:spacing w:after="0" w:line="258"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60" w:top="751" w:right="339" w:bottom="1440" w:gutter="0" w:footer="0" w:header="0"/>
        </w:sectPr>
      </w:pPr>
    </w:p>
    <w:bookmarkStart w:id="14" w:name="page15"/>
    <w:bookmarkEnd w:id="14"/>
    <w:p>
      <w:pPr>
        <w:ind w:left="40" w:right="486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731"/>
              <w:spacing w:after="0"/>
              <w:rPr>
                <w:sz w:val="20"/>
                <w:szCs w:val="20"/>
                <w:color w:val="auto"/>
              </w:rPr>
            </w:pPr>
            <w:r>
              <w:rPr>
                <w:rFonts w:ascii="Arial" w:cs="Arial" w:eastAsia="Arial" w:hAnsi="Arial"/>
                <w:sz w:val="13"/>
                <w:szCs w:val="13"/>
                <w:b w:val="1"/>
                <w:bCs w:val="1"/>
                <w:color w:val="auto"/>
              </w:rPr>
              <w:t>Specified Items</w:t>
            </w: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Depreciation</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9"/>
              </w:rPr>
              <w:t>Merger and</w:t>
            </w:r>
          </w:p>
        </w:tc>
        <w:tc>
          <w:tcPr>
            <w:tcW w:w="9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Product</w:t>
            </w:r>
          </w:p>
        </w:tc>
        <w:tc>
          <w:tcPr>
            <w:tcW w:w="8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Integration</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Restructuring</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Acquisition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Certain Tax</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0"/>
        </w:trPr>
        <w:tc>
          <w:tcPr>
            <w:tcW w:w="1840" w:type="dxa"/>
            <w:vAlign w:val="bottom"/>
            <w:gridSpan w:val="2"/>
            <w:vMerge w:val="continue"/>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740" w:type="dxa"/>
            <w:vAlign w:val="bottom"/>
          </w:tcPr>
          <w:p>
            <w:pPr>
              <w:jc w:val="right"/>
              <w:ind w:right="30"/>
              <w:spacing w:after="0" w:line="130" w:lineRule="exact"/>
              <w:rPr>
                <w:sz w:val="20"/>
                <w:szCs w:val="20"/>
                <w:color w:val="auto"/>
              </w:rPr>
            </w:pPr>
            <w:r>
              <w:rPr>
                <w:rFonts w:ascii="Arial" w:cs="Arial" w:eastAsia="Arial" w:hAnsi="Arial"/>
                <w:sz w:val="13"/>
                <w:szCs w:val="13"/>
                <w:b w:val="1"/>
                <w:bCs w:val="1"/>
                <w:color w:val="auto"/>
              </w:rPr>
              <w:t>Expenses</w:t>
            </w:r>
          </w:p>
        </w:tc>
        <w:tc>
          <w:tcPr>
            <w:tcW w:w="9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8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Costs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Consideration</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Cost of sales - exclusive</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of amortization</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$68.9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($0.4)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$8.8</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Product remediation</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1.5</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(1.5)</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Gross profit 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71.0%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0.2 %</w:t>
            </w: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1000" w:type="dxa"/>
            <w:vAlign w:val="bottom"/>
          </w:tcPr>
          <w:p>
            <w:pPr>
              <w:jc w:val="right"/>
              <w:spacing w:after="0"/>
              <w:rPr>
                <w:sz w:val="20"/>
                <w:szCs w:val="20"/>
                <w:color w:val="auto"/>
              </w:rPr>
            </w:pPr>
            <w:r>
              <w:rPr>
                <w:rFonts w:ascii="Arial" w:cs="Arial" w:eastAsia="Arial" w:hAnsi="Arial"/>
                <w:sz w:val="14"/>
                <w:szCs w:val="14"/>
                <w:color w:val="auto"/>
              </w:rPr>
              <w:t>0.2 %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administrative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$120.2</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($9.0)</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($7.3)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administrative as a</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percent of net sales</w:t>
            </w:r>
          </w:p>
        </w:tc>
        <w:tc>
          <w:tcPr>
            <w:tcW w:w="720" w:type="dxa"/>
            <w:vAlign w:val="bottom"/>
          </w:tcPr>
          <w:p>
            <w:pPr>
              <w:jc w:val="right"/>
              <w:spacing w:after="0"/>
              <w:rPr>
                <w:sz w:val="20"/>
                <w:szCs w:val="20"/>
                <w:color w:val="auto"/>
              </w:rPr>
            </w:pPr>
            <w:r>
              <w:rPr>
                <w:rFonts w:ascii="Arial" w:cs="Arial" w:eastAsia="Arial" w:hAnsi="Arial"/>
                <w:sz w:val="14"/>
                <w:szCs w:val="14"/>
                <w:color w:val="auto"/>
              </w:rPr>
              <w:t>49.6%</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(3.7)%</w:t>
            </w: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35.9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6.2</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(1.2)</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development as a percent</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of net sales</w:t>
            </w: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2.5 %</w:t>
            </w: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Other operating expenses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15.3</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(3.5)</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(1.6)</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(10.3)</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Operating income from</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3.5</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1.6</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10.7</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1.5</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0.1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(6.0)</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9.0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Operating margin 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940" w:type="dxa"/>
            <w:vAlign w:val="bottom"/>
          </w:tcPr>
          <w:p>
            <w:pPr>
              <w:jc w:val="right"/>
              <w:spacing w:after="0"/>
              <w:rPr>
                <w:sz w:val="20"/>
                <w:szCs w:val="20"/>
                <w:color w:val="auto"/>
              </w:rPr>
            </w:pPr>
            <w:r>
              <w:rPr>
                <w:rFonts w:ascii="Arial" w:cs="Arial" w:eastAsia="Arial" w:hAnsi="Arial"/>
                <w:sz w:val="14"/>
                <w:szCs w:val="14"/>
                <w:color w:val="auto"/>
              </w:rPr>
              <w:t>0.7%</w:t>
            </w:r>
          </w:p>
        </w:tc>
        <w:tc>
          <w:tcPr>
            <w:tcW w:w="880" w:type="dxa"/>
            <w:vAlign w:val="bottom"/>
          </w:tcPr>
          <w:p>
            <w:pPr>
              <w:jc w:val="right"/>
              <w:spacing w:after="0"/>
              <w:rPr>
                <w:sz w:val="20"/>
                <w:szCs w:val="20"/>
                <w:color w:val="auto"/>
              </w:rPr>
            </w:pPr>
            <w:r>
              <w:rPr>
                <w:rFonts w:ascii="Arial" w:cs="Arial" w:eastAsia="Arial" w:hAnsi="Arial"/>
                <w:sz w:val="14"/>
                <w:szCs w:val="14"/>
                <w:color w:val="auto"/>
              </w:rPr>
              <w:t>4.4 %</w:t>
            </w: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0" w:type="dxa"/>
            <w:vAlign w:val="bottom"/>
          </w:tcPr>
          <w:p>
            <w:pPr>
              <w:jc w:val="right"/>
              <w:spacing w:after="0"/>
              <w:rPr>
                <w:sz w:val="20"/>
                <w:szCs w:val="20"/>
                <w:color w:val="auto"/>
              </w:rPr>
            </w:pPr>
            <w:r>
              <w:rPr>
                <w:rFonts w:ascii="Arial" w:cs="Arial" w:eastAsia="Arial" w:hAnsi="Arial"/>
                <w:sz w:val="14"/>
                <w:szCs w:val="14"/>
                <w:color w:val="auto"/>
              </w:rPr>
              <w:t>3.7 %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(44.7)</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0.2</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0.3</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1.4</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1.0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40.9</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0.5</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Net income from</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38.6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3.2</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1.4</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9.2</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0.1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(7.4)</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8.0</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(40.9)</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2.6</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Diluted EPS - Continuing</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$0.79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$0.07</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$0.03</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$0.19</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$0.02</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($0.15)</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$0.16</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($0.84)</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$0.05</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three months ended March 31, 2020 include:</w:t>
      </w:r>
    </w:p>
    <w:p>
      <w:pPr>
        <w:spacing w:after="0" w:line="73" w:lineRule="exact"/>
        <w:rPr>
          <w:sz w:val="20"/>
          <w:szCs w:val="20"/>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Legal expenses primarily related to 3T Heater-Cooler defense, settlements and other matters and remeasurement of contingent consideration related to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interest related to 3T Heater-Cooler matter and other non-recurring impacts to interest expense</w:t>
      </w:r>
    </w:p>
    <w:p>
      <w:pPr>
        <w:spacing w:after="0" w:line="55" w:lineRule="exact"/>
        <w:rPr>
          <w:sz w:val="20"/>
          <w:szCs w:val="20"/>
          <w:color w:val="auto"/>
        </w:rPr>
      </w:pPr>
    </w:p>
    <w:p>
      <w:pPr>
        <w:ind w:left="300" w:hanging="265"/>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756" w:right="339" w:bottom="1440" w:gutter="0" w:footer="0" w:header="0"/>
        </w:sectPr>
      </w:pPr>
    </w:p>
    <w:bookmarkStart w:id="15" w:name="page16"/>
    <w:bookmarkEnd w:id="15"/>
    <w:p>
      <w:pPr>
        <w:ind w:left="40" w:right="486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731"/>
              <w:spacing w:after="0"/>
              <w:rPr>
                <w:sz w:val="20"/>
                <w:szCs w:val="20"/>
                <w:color w:val="auto"/>
              </w:rPr>
            </w:pPr>
            <w:r>
              <w:rPr>
                <w:rFonts w:ascii="Arial" w:cs="Arial" w:eastAsia="Arial" w:hAnsi="Arial"/>
                <w:sz w:val="13"/>
                <w:szCs w:val="13"/>
                <w:b w:val="1"/>
                <w:bCs w:val="1"/>
                <w:color w:val="auto"/>
              </w:rPr>
              <w:t>Specified Items</w:t>
            </w: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Depreciation</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6"/>
              </w:rPr>
              <w:t>Merger and</w:t>
            </w:r>
          </w:p>
        </w:tc>
        <w:tc>
          <w:tcPr>
            <w:tcW w:w="9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Product</w:t>
            </w:r>
          </w:p>
        </w:tc>
        <w:tc>
          <w:tcPr>
            <w:tcW w:w="8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Consideration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GAAP</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Integration</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Restructuring</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Remediation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Acquisition</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 Other</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Certain Tax</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0"/>
        </w:trPr>
        <w:tc>
          <w:tcPr>
            <w:tcW w:w="1840" w:type="dxa"/>
            <w:vAlign w:val="bottom"/>
            <w:gridSpan w:val="2"/>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740" w:type="dxa"/>
            <w:vAlign w:val="bottom"/>
          </w:tcPr>
          <w:p>
            <w:pPr>
              <w:jc w:val="right"/>
              <w:ind w:right="30"/>
              <w:spacing w:after="0" w:line="130" w:lineRule="exact"/>
              <w:rPr>
                <w:sz w:val="20"/>
                <w:szCs w:val="20"/>
                <w:color w:val="auto"/>
              </w:rPr>
            </w:pPr>
            <w:r>
              <w:rPr>
                <w:rFonts w:ascii="Arial" w:cs="Arial" w:eastAsia="Arial" w:hAnsi="Arial"/>
                <w:sz w:val="13"/>
                <w:szCs w:val="13"/>
                <w:b w:val="1"/>
                <w:bCs w:val="1"/>
                <w:color w:val="auto"/>
              </w:rPr>
              <w:t>Expenses</w:t>
            </w:r>
          </w:p>
        </w:tc>
        <w:tc>
          <w:tcPr>
            <w:tcW w:w="9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900" w:type="dxa"/>
            <w:vAlign w:val="bottom"/>
          </w:tcPr>
          <w:p>
            <w:pPr>
              <w:jc w:val="center"/>
              <w:ind w:right="11"/>
              <w:spacing w:after="0" w:line="130" w:lineRule="exact"/>
              <w:rPr>
                <w:sz w:val="20"/>
                <w:szCs w:val="20"/>
                <w:color w:val="auto"/>
              </w:rPr>
            </w:pPr>
            <w:r>
              <w:rPr>
                <w:rFonts w:ascii="Arial" w:cs="Arial" w:eastAsia="Arial" w:hAnsi="Arial"/>
                <w:sz w:val="13"/>
                <w:szCs w:val="13"/>
                <w:b w:val="1"/>
                <w:bCs w:val="1"/>
                <w:color w:val="auto"/>
                <w:w w:val="95"/>
              </w:rPr>
              <w:t>Expenses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4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9"/>
              </w:rPr>
              <w:t>Costs</w:t>
            </w:r>
          </w:p>
        </w:tc>
        <w:tc>
          <w:tcPr>
            <w:tcW w:w="9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Reserves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Cost of sales - exclusive</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of amortization</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$84.3</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($0.7)</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($6.2)</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Product remediation</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2.9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(2.9)</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Gross profit percent</w:t>
            </w:r>
          </w:p>
        </w:tc>
        <w:tc>
          <w:tcPr>
            <w:tcW w:w="740" w:type="dxa"/>
            <w:vAlign w:val="bottom"/>
          </w:tcPr>
          <w:p>
            <w:pPr>
              <w:jc w:val="right"/>
              <w:spacing w:after="0"/>
              <w:rPr>
                <w:sz w:val="20"/>
                <w:szCs w:val="20"/>
                <w:color w:val="auto"/>
              </w:rPr>
            </w:pPr>
            <w:r>
              <w:rPr>
                <w:rFonts w:ascii="Arial" w:cs="Arial" w:eastAsia="Arial" w:hAnsi="Arial"/>
                <w:sz w:val="14"/>
                <w:szCs w:val="14"/>
                <w:color w:val="auto"/>
              </w:rPr>
              <w:t>65.2 %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0.3 %</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2.5 %</w:t>
            </w: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$125.7</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($0.1)</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($0.4)</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($15.4)</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($5.3)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administrative as a</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percent of net sales</w:t>
            </w:r>
          </w:p>
        </w:tc>
        <w:tc>
          <w:tcPr>
            <w:tcW w:w="740" w:type="dxa"/>
            <w:vAlign w:val="bottom"/>
          </w:tcPr>
          <w:p>
            <w:pPr>
              <w:jc w:val="right"/>
              <w:spacing w:after="0"/>
              <w:rPr>
                <w:sz w:val="20"/>
                <w:szCs w:val="20"/>
                <w:color w:val="auto"/>
              </w:rPr>
            </w:pPr>
            <w:r>
              <w:rPr>
                <w:rFonts w:ascii="Arial" w:cs="Arial" w:eastAsia="Arial" w:hAnsi="Arial"/>
                <w:sz w:val="14"/>
                <w:szCs w:val="14"/>
                <w:color w:val="auto"/>
              </w:rPr>
              <w:t>50.1 %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980" w:type="dxa"/>
            <w:vAlign w:val="bottom"/>
          </w:tcPr>
          <w:p>
            <w:pPr>
              <w:jc w:val="right"/>
              <w:spacing w:after="0"/>
              <w:rPr>
                <w:sz w:val="20"/>
                <w:szCs w:val="20"/>
                <w:color w:val="auto"/>
              </w:rPr>
            </w:pPr>
            <w:r>
              <w:rPr>
                <w:rFonts w:ascii="Arial" w:cs="Arial" w:eastAsia="Arial" w:hAnsi="Arial"/>
                <w:sz w:val="14"/>
                <w:szCs w:val="14"/>
                <w:color w:val="auto"/>
              </w:rPr>
              <w:t>(6.1)%</w:t>
            </w: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43.6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(0.1)</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color w:val="auto"/>
              </w:rPr>
              <w:t>(1.7)</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(3.7)</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development as a percent</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of net sales</w:t>
            </w:r>
          </w:p>
        </w:tc>
        <w:tc>
          <w:tcPr>
            <w:tcW w:w="740" w:type="dxa"/>
            <w:vAlign w:val="bottom"/>
          </w:tcPr>
          <w:p>
            <w:pPr>
              <w:jc w:val="right"/>
              <w:spacing w:after="0"/>
              <w:rPr>
                <w:sz w:val="20"/>
                <w:szCs w:val="20"/>
                <w:color w:val="auto"/>
              </w:rPr>
            </w:pPr>
            <w:r>
              <w:rPr>
                <w:rFonts w:ascii="Arial" w:cs="Arial" w:eastAsia="Arial" w:hAnsi="Arial"/>
                <w:sz w:val="14"/>
                <w:szCs w:val="14"/>
                <w:color w:val="auto"/>
              </w:rPr>
              <w:t>17.4 %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Other operating expenses</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15.1</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(3.3)</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(2.5)</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(9.3)</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Operating (loss) income</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from continuing</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(20.8)</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3.3</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2.5</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10.2</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2.9</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2.1</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25.3</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6.9</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Operating margin percent</w:t>
            </w:r>
          </w:p>
        </w:tc>
        <w:tc>
          <w:tcPr>
            <w:tcW w:w="740" w:type="dxa"/>
            <w:vAlign w:val="bottom"/>
          </w:tcPr>
          <w:p>
            <w:pPr>
              <w:jc w:val="right"/>
              <w:spacing w:after="0"/>
              <w:rPr>
                <w:sz w:val="20"/>
                <w:szCs w:val="20"/>
                <w:color w:val="auto"/>
              </w:rPr>
            </w:pPr>
            <w:r>
              <w:rPr>
                <w:rFonts w:ascii="Arial" w:cs="Arial" w:eastAsia="Arial" w:hAnsi="Arial"/>
                <w:sz w:val="14"/>
                <w:szCs w:val="14"/>
                <w:color w:val="auto"/>
              </w:rPr>
              <w:t>(8.3)%</w:t>
            </w: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900" w:type="dxa"/>
            <w:vAlign w:val="bottom"/>
          </w:tcPr>
          <w:p>
            <w:pPr>
              <w:jc w:val="right"/>
              <w:spacing w:after="0"/>
              <w:rPr>
                <w:sz w:val="20"/>
                <w:szCs w:val="20"/>
                <w:color w:val="auto"/>
              </w:rPr>
            </w:pPr>
            <w:r>
              <w:rPr>
                <w:rFonts w:ascii="Arial" w:cs="Arial" w:eastAsia="Arial" w:hAnsi="Arial"/>
                <w:sz w:val="14"/>
                <w:szCs w:val="14"/>
                <w:color w:val="auto"/>
              </w:rPr>
              <w:t>4.1 %</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0.8 %</w:t>
            </w:r>
          </w:p>
        </w:tc>
        <w:tc>
          <w:tcPr>
            <w:tcW w:w="980" w:type="dxa"/>
            <w:vAlign w:val="bottom"/>
          </w:tcPr>
          <w:p>
            <w:pPr>
              <w:jc w:val="right"/>
              <w:spacing w:after="0"/>
              <w:rPr>
                <w:sz w:val="20"/>
                <w:szCs w:val="20"/>
                <w:color w:val="auto"/>
              </w:rPr>
            </w:pPr>
            <w:r>
              <w:rPr>
                <w:rFonts w:ascii="Arial" w:cs="Arial" w:eastAsia="Arial" w:hAnsi="Arial"/>
                <w:sz w:val="14"/>
                <w:szCs w:val="14"/>
                <w:color w:val="auto"/>
              </w:rPr>
              <w:t>10.1 %</w:t>
            </w:r>
          </w:p>
        </w:tc>
        <w:tc>
          <w:tcPr>
            <w:tcW w:w="1000" w:type="dxa"/>
            <w:vAlign w:val="bottom"/>
          </w:tcPr>
          <w:p>
            <w:pPr>
              <w:jc w:val="right"/>
              <w:spacing w:after="0"/>
              <w:rPr>
                <w:sz w:val="20"/>
                <w:szCs w:val="20"/>
                <w:color w:val="auto"/>
              </w:rPr>
            </w:pPr>
            <w:r>
              <w:rPr>
                <w:rFonts w:ascii="Arial" w:cs="Arial" w:eastAsia="Arial" w:hAnsi="Arial"/>
                <w:sz w:val="14"/>
                <w:szCs w:val="14"/>
                <w:color w:val="auto"/>
              </w:rPr>
              <w:t>2.7 %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expense</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(6.6)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0.6</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2.6</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0.9</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0.5</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7.2</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(2.4)</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Net (loss) income from</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(14.8)</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2.6</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2.0</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7.6</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2.0</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1.6</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18.1</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5.3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2.4</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(0.2)</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6"/>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Diluted EPS - Continuing</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($0.31)</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$0.05</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$0.04</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$0.16</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$0.04</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$0.03</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$0.37</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$0.11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$0.05</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three months ended March 31, 2019 include:</w:t>
      </w:r>
    </w:p>
    <w:p>
      <w:pPr>
        <w:spacing w:after="0" w:line="73" w:lineRule="exact"/>
        <w:rPr>
          <w:sz w:val="20"/>
          <w:szCs w:val="20"/>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w:t>
      </w:r>
    </w:p>
    <w:p>
      <w:pPr>
        <w:spacing w:after="0" w:line="55" w:lineRule="exact"/>
        <w:rPr>
          <w:sz w:val="20"/>
          <w:szCs w:val="20"/>
          <w:color w:val="auto"/>
        </w:rPr>
      </w:pPr>
    </w:p>
    <w:p>
      <w:pPr>
        <w:ind w:left="300" w:hanging="265"/>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756" w:right="339" w:bottom="1440" w:gutter="0" w:footer="0" w:header="0"/>
        </w:sectPr>
      </w:pPr>
    </w:p>
    <w:bookmarkStart w:id="16" w:name="page17"/>
    <w:bookmarkEnd w:id="16"/>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CONDENSED CONSOLIDATED BALANCE SHEETS - UNAUDITED</w:t>
      </w:r>
    </w:p>
    <w:p>
      <w:pPr>
        <w:spacing w:after="0" w:line="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(U.S. dollars in millions)</w:t>
      </w:r>
    </w:p>
    <w:p>
      <w:pPr>
        <w:spacing w:after="0" w:line="383"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7280" w:type="dxa"/>
            <w:vAlign w:val="bottom"/>
          </w:tcPr>
          <w:p>
            <w:pPr>
              <w:spacing w:after="0"/>
              <w:rPr>
                <w:sz w:val="19"/>
                <w:szCs w:val="19"/>
                <w:color w:val="auto"/>
              </w:rPr>
            </w:pPr>
          </w:p>
        </w:tc>
        <w:tc>
          <w:tcPr>
            <w:tcW w:w="20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 2020</w:t>
            </w:r>
          </w:p>
        </w:tc>
        <w:tc>
          <w:tcPr>
            <w:tcW w:w="190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51"/>
        </w:trPr>
        <w:tc>
          <w:tcPr>
            <w:tcW w:w="7280" w:type="dxa"/>
            <w:vAlign w:val="bottom"/>
          </w:tcPr>
          <w:p>
            <w:pPr>
              <w:ind w:left="460"/>
              <w:spacing w:after="0"/>
              <w:rPr>
                <w:sz w:val="20"/>
                <w:szCs w:val="20"/>
                <w:color w:val="auto"/>
              </w:rPr>
            </w:pPr>
            <w:r>
              <w:rPr>
                <w:rFonts w:ascii="Arial" w:cs="Arial" w:eastAsia="Arial" w:hAnsi="Arial"/>
                <w:sz w:val="16"/>
                <w:szCs w:val="16"/>
                <w:b w:val="1"/>
                <w:bCs w:val="1"/>
                <w:color w:val="auto"/>
              </w:rPr>
              <w:t>ASSETS</w:t>
            </w:r>
          </w:p>
        </w:tc>
        <w:tc>
          <w:tcPr>
            <w:tcW w:w="1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Inventories, net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Prepaid and refundable taxes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83"/>
        </w:trPr>
        <w:tc>
          <w:tcPr>
            <w:tcW w:w="728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4"/>
                <w:szCs w:val="24"/>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6"/>
                <w:szCs w:val="16"/>
                <w:color w:val="auto"/>
              </w:rPr>
              <w:t>Total Current Assets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616.9</w:t>
            </w: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549.4</w:t>
            </w:r>
          </w:p>
        </w:tc>
        <w:tc>
          <w:tcPr>
            <w:tcW w:w="0" w:type="dxa"/>
            <w:vAlign w:val="bottom"/>
          </w:tcPr>
          <w:p>
            <w:pPr>
              <w:spacing w:after="0"/>
              <w:rPr>
                <w:sz w:val="1"/>
                <w:szCs w:val="1"/>
                <w:color w:val="auto"/>
              </w:rPr>
            </w:pPr>
          </w:p>
        </w:tc>
      </w:tr>
      <w:tr>
        <w:trPr>
          <w:trHeight w:val="237"/>
        </w:trPr>
        <w:tc>
          <w:tcPr>
            <w:tcW w:w="7280" w:type="dxa"/>
            <w:vAlign w:val="bottom"/>
          </w:tcPr>
          <w:p>
            <w:pPr>
              <w:ind w:left="460"/>
              <w:spacing w:after="0"/>
              <w:rPr>
                <w:sz w:val="20"/>
                <w:szCs w:val="20"/>
                <w:color w:val="auto"/>
              </w:rPr>
            </w:pPr>
            <w:r>
              <w:rPr>
                <w:rFonts w:ascii="Arial" w:cs="Arial" w:eastAsia="Arial" w:hAnsi="Arial"/>
                <w:sz w:val="16"/>
                <w:szCs w:val="16"/>
                <w:color w:val="auto"/>
              </w:rPr>
              <w:t>Property, plant and equipment, net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Goodwill</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888.6</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915.8</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Intangible assets, net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587.0</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Operating lease assets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Investments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Deferred tax assets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83"/>
        </w:trPr>
        <w:tc>
          <w:tcPr>
            <w:tcW w:w="728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4"/>
                <w:szCs w:val="24"/>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64"/>
        </w:trPr>
        <w:tc>
          <w:tcPr>
            <w:tcW w:w="7280" w:type="dxa"/>
            <w:vAlign w:val="bottom"/>
          </w:tcPr>
          <w:p>
            <w:pPr>
              <w:spacing w:after="0"/>
              <w:rPr>
                <w:sz w:val="20"/>
                <w:szCs w:val="20"/>
                <w:color w:val="auto"/>
              </w:rPr>
            </w:pPr>
            <w:r>
              <w:rPr>
                <w:rFonts w:ascii="Arial" w:cs="Arial" w:eastAsia="Arial" w:hAnsi="Arial"/>
                <w:sz w:val="16"/>
                <w:szCs w:val="16"/>
                <w:color w:val="auto"/>
              </w:rPr>
              <w:t>Total Assets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$2,454.4</w:t>
            </w:r>
          </w:p>
        </w:tc>
        <w:tc>
          <w:tcPr>
            <w:tcW w:w="100" w:type="dxa"/>
            <w:vAlign w:val="bottom"/>
          </w:tcPr>
          <w:p>
            <w:pPr>
              <w:spacing w:after="0"/>
              <w:rPr>
                <w:sz w:val="22"/>
                <w:szCs w:val="22"/>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$2,411.8</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LIABILITIES AND STOCKHOLDERS' EQUITY</w:t>
            </w: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Current debt obligations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Accrued liabilities and other</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Current litigation provision liability</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Taxes payable</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83"/>
        </w:trPr>
        <w:tc>
          <w:tcPr>
            <w:tcW w:w="7280" w:type="dxa"/>
            <w:vAlign w:val="bottom"/>
          </w:tcPr>
          <w:p>
            <w:pPr>
              <w:ind w:left="460"/>
              <w:spacing w:after="0"/>
              <w:rPr>
                <w:sz w:val="20"/>
                <w:szCs w:val="20"/>
                <w:color w:val="auto"/>
              </w:rPr>
            </w:pPr>
            <w:r>
              <w:rPr>
                <w:rFonts w:ascii="Arial" w:cs="Arial" w:eastAsia="Arial" w:hAnsi="Arial"/>
                <w:sz w:val="16"/>
                <w:szCs w:val="16"/>
                <w:color w:val="auto"/>
              </w:rPr>
              <w:t>Accrued employee compensation and related benefits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4"/>
                <w:szCs w:val="24"/>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529.7</w:t>
            </w: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512.6</w:t>
            </w:r>
          </w:p>
        </w:tc>
        <w:tc>
          <w:tcPr>
            <w:tcW w:w="0" w:type="dxa"/>
            <w:vAlign w:val="bottom"/>
          </w:tcPr>
          <w:p>
            <w:pPr>
              <w:spacing w:after="0"/>
              <w:rPr>
                <w:sz w:val="1"/>
                <w:szCs w:val="1"/>
                <w:color w:val="auto"/>
              </w:rPr>
            </w:pPr>
          </w:p>
        </w:tc>
      </w:tr>
      <w:tr>
        <w:trPr>
          <w:trHeight w:val="237"/>
        </w:trPr>
        <w:tc>
          <w:tcPr>
            <w:tcW w:w="7280" w:type="dxa"/>
            <w:vAlign w:val="bottom"/>
          </w:tcPr>
          <w:p>
            <w:pPr>
              <w:ind w:left="460"/>
              <w:spacing w:after="0"/>
              <w:rPr>
                <w:sz w:val="20"/>
                <w:szCs w:val="20"/>
                <w:color w:val="auto"/>
              </w:rPr>
            </w:pPr>
            <w:r>
              <w:rPr>
                <w:rFonts w:ascii="Arial" w:cs="Arial" w:eastAsia="Arial" w:hAnsi="Arial"/>
                <w:sz w:val="16"/>
                <w:szCs w:val="16"/>
                <w:color w:val="auto"/>
              </w:rPr>
              <w:t>Long-term debt obligations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315.6</w:t>
            </w:r>
          </w:p>
        </w:tc>
        <w:tc>
          <w:tcPr>
            <w:tcW w:w="10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Contingent consideration</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Litigation provision liability</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Deferred tax liabilities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Long-term operating lease liabilities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70"/>
        </w:trPr>
        <w:tc>
          <w:tcPr>
            <w:tcW w:w="7280" w:type="dxa"/>
            <w:vAlign w:val="bottom"/>
          </w:tcPr>
          <w:p>
            <w:pPr>
              <w:ind w:left="460"/>
              <w:spacing w:after="0"/>
              <w:rPr>
                <w:sz w:val="20"/>
                <w:szCs w:val="20"/>
                <w:color w:val="auto"/>
              </w:rPr>
            </w:pPr>
            <w:r>
              <w:rPr>
                <w:rFonts w:ascii="Arial" w:cs="Arial" w:eastAsia="Arial" w:hAnsi="Arial"/>
                <w:sz w:val="16"/>
                <w:szCs w:val="16"/>
                <w:color w:val="auto"/>
              </w:rPr>
              <w:t>Long-term employee compensation and related benefits</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83"/>
        </w:trPr>
        <w:tc>
          <w:tcPr>
            <w:tcW w:w="7280" w:type="dxa"/>
            <w:vAlign w:val="bottom"/>
          </w:tcPr>
          <w:p>
            <w:pPr>
              <w:ind w:left="460"/>
              <w:spacing w:after="0"/>
              <w:rPr>
                <w:sz w:val="20"/>
                <w:szCs w:val="20"/>
                <w:color w:val="auto"/>
              </w:rPr>
            </w:pPr>
            <w:r>
              <w:rPr>
                <w:rFonts w:ascii="Arial" w:cs="Arial" w:eastAsia="Arial" w:hAnsi="Arial"/>
                <w:sz w:val="16"/>
                <w:szCs w:val="16"/>
                <w:color w:val="auto"/>
              </w:rPr>
              <w:t>Other long-term liabilities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4"/>
                <w:szCs w:val="24"/>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6"/>
                <w:szCs w:val="16"/>
                <w:color w:val="auto"/>
              </w:rPr>
              <w:t>Total Liabilities</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1,061.7</w:t>
            </w: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1,028.1</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1,392.7</w:t>
            </w: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67"/>
        </w:trPr>
        <w:tc>
          <w:tcPr>
            <w:tcW w:w="72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$2,454.4</w:t>
            </w:r>
          </w:p>
        </w:tc>
        <w:tc>
          <w:tcPr>
            <w:tcW w:w="100" w:type="dxa"/>
            <w:vAlign w:val="bottom"/>
          </w:tcPr>
          <w:p>
            <w:pPr>
              <w:spacing w:after="0"/>
              <w:rPr>
                <w:sz w:val="23"/>
                <w:szCs w:val="23"/>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$2,411.8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465" w:hanging="465"/>
        <w:spacing w:after="0"/>
        <w:tabs>
          <w:tab w:leader="none" w:pos="465" w:val="left"/>
        </w:tabs>
        <w:numPr>
          <w:ilvl w:val="0"/>
          <w:numId w:val="13"/>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5"/>
          </w:cols>
          <w:pgMar w:left="355" w:top="75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right="5220"/>
        <w:spacing w:after="0" w:line="352" w:lineRule="auto"/>
        <w:rPr>
          <w:sz w:val="20"/>
          <w:szCs w:val="20"/>
          <w:color w:val="auto"/>
        </w:rPr>
      </w:pPr>
      <w:r>
        <w:rPr>
          <w:rFonts w:ascii="Arial" w:cs="Arial" w:eastAsia="Arial" w:hAnsi="Arial"/>
          <w:sz w:val="16"/>
          <w:szCs w:val="16"/>
          <w:b w:val="1"/>
          <w:bCs w:val="1"/>
          <w:color w:val="auto"/>
        </w:rPr>
        <w:t>CONDENSED CONSOLIDATED STATEMENTS OF CASH FLOWS - UNAUDITED (U.S. dollars in millions)</w:t>
      </w:r>
    </w:p>
    <w:p>
      <w:pPr>
        <w:ind w:left="81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31750</wp:posOffset>
            </wp:positionV>
            <wp:extent cx="2339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51"/>
        </w:trPr>
        <w:tc>
          <w:tcPr>
            <w:tcW w:w="8640" w:type="dxa"/>
            <w:vAlign w:val="bottom"/>
            <w:gridSpan w:val="2"/>
          </w:tcPr>
          <w:p>
            <w:pPr>
              <w:spacing w:after="0"/>
              <w:rPr>
                <w:sz w:val="20"/>
                <w:szCs w:val="20"/>
                <w:color w:val="auto"/>
              </w:rPr>
            </w:pPr>
            <w:r>
              <w:rPr>
                <w:rFonts w:ascii="Arial" w:cs="Arial" w:eastAsia="Arial" w:hAnsi="Arial"/>
                <w:sz w:val="16"/>
                <w:szCs w:val="16"/>
                <w:b w:val="1"/>
                <w:bCs w:val="1"/>
                <w:color w:val="auto"/>
              </w:rPr>
              <w:t>Operating Activities: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Net income (loss)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57"/>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Non-cash items included in net income (loss):</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Amortization</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Deferred tax benefit</w:t>
            </w:r>
          </w:p>
        </w:tc>
        <w:tc>
          <w:tcPr>
            <w:tcW w:w="66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Remeasurement of contingent consideration to fair value</w:t>
            </w:r>
          </w:p>
        </w:tc>
        <w:tc>
          <w:tcPr>
            <w:tcW w:w="6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Other</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Changes in operating assets and liabilities:</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Inventories, net</w:t>
            </w:r>
          </w:p>
        </w:tc>
        <w:tc>
          <w:tcPr>
            <w:tcW w:w="6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Other current and non-current assets</w:t>
            </w:r>
          </w:p>
        </w:tc>
        <w:tc>
          <w:tcPr>
            <w:tcW w:w="66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current and non-current liabilities</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Litigation provision liability, net</w:t>
            </w:r>
          </w:p>
        </w:tc>
        <w:tc>
          <w:tcPr>
            <w:tcW w:w="660" w:type="dxa"/>
            <w:vAlign w:val="bottom"/>
          </w:tcPr>
          <w:p>
            <w:pPr>
              <w:jc w:val="right"/>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640" w:type="dxa"/>
            <w:vAlign w:val="bottom"/>
            <w:gridSpan w:val="2"/>
          </w:tcPr>
          <w:p>
            <w:pPr>
              <w:ind w:left="240"/>
              <w:spacing w:after="0"/>
              <w:rPr>
                <w:sz w:val="20"/>
                <w:szCs w:val="20"/>
                <w:color w:val="auto"/>
              </w:rPr>
            </w:pPr>
            <w:r>
              <w:rPr>
                <w:rFonts w:ascii="Arial" w:cs="Arial" w:eastAsia="Arial" w:hAnsi="Arial"/>
                <w:sz w:val="16"/>
                <w:szCs w:val="16"/>
                <w:color w:val="auto"/>
              </w:rPr>
              <w:t>Restructuring reserve</w:t>
            </w: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8640" w:type="dxa"/>
            <w:vAlign w:val="bottom"/>
            <w:gridSpan w:val="2"/>
          </w:tcPr>
          <w:p>
            <w:pPr>
              <w:ind w:left="3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(106.0)</w:t>
            </w:r>
          </w:p>
        </w:tc>
        <w:tc>
          <w:tcPr>
            <w:tcW w:w="12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8640" w:type="dxa"/>
            <w:vAlign w:val="bottom"/>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4"/>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Purchase of investment</w:t>
            </w: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Proceeds from asset sales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8640" w:type="dxa"/>
            <w:vAlign w:val="bottom"/>
            <w:gridSpan w:val="2"/>
          </w:tcPr>
          <w:p>
            <w:pPr>
              <w:ind w:left="340"/>
              <w:spacing w:after="0"/>
              <w:rPr>
                <w:sz w:val="20"/>
                <w:szCs w:val="20"/>
                <w:color w:val="auto"/>
              </w:rPr>
            </w:pPr>
            <w:r>
              <w:rPr>
                <w:rFonts w:ascii="Arial" w:cs="Arial" w:eastAsia="Arial" w:hAnsi="Arial"/>
                <w:sz w:val="16"/>
                <w:szCs w:val="16"/>
                <w:b w:val="1"/>
                <w:bCs w:val="1"/>
                <w:color w:val="auto"/>
              </w:rPr>
              <w:t>Net cash used in investing activities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864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4"/>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Proceeds from long-term debt obligations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24"/>
                <w:szCs w:val="24"/>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Proceeds from short term borrowings (maturities greater than 90 days)</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Closing adjustment payment for sale of CRM business</w:t>
            </w:r>
          </w:p>
        </w:tc>
        <w:tc>
          <w:tcPr>
            <w:tcW w:w="66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Payment of contingent consideration</w:t>
            </w: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Shares repurchased from employees for minimum tax withholding</w:t>
            </w: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Change in short-term borrowing, net</w:t>
            </w: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Debt issuance costs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8640" w:type="dxa"/>
            <w:vAlign w:val="bottom"/>
            <w:gridSpan w:val="2"/>
          </w:tcPr>
          <w:p>
            <w:pPr>
              <w:ind w:left="340"/>
              <w:spacing w:after="0"/>
              <w:rPr>
                <w:sz w:val="20"/>
                <w:szCs w:val="20"/>
                <w:color w:val="auto"/>
              </w:rPr>
            </w:pPr>
            <w:r>
              <w:rPr>
                <w:rFonts w:ascii="Arial" w:cs="Arial" w:eastAsia="Arial" w:hAnsi="Arial"/>
                <w:sz w:val="16"/>
                <w:szCs w:val="16"/>
                <w:b w:val="1"/>
                <w:bCs w:val="1"/>
                <w:color w:val="auto"/>
              </w:rPr>
              <w:t>Net cash provided by financing activities</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183.1</w:t>
            </w:r>
          </w:p>
        </w:tc>
        <w:tc>
          <w:tcPr>
            <w:tcW w:w="12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7.6</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864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8640" w:type="dxa"/>
            <w:vAlign w:val="bottom"/>
            <w:gridSpan w:val="2"/>
          </w:tcPr>
          <w:p>
            <w:pPr>
              <w:ind w:left="340"/>
              <w:spacing w:after="0"/>
              <w:rPr>
                <w:sz w:val="20"/>
                <w:szCs w:val="20"/>
                <w:color w:val="auto"/>
              </w:rPr>
            </w:pPr>
            <w:r>
              <w:rPr>
                <w:rFonts w:ascii="Arial" w:cs="Arial" w:eastAsia="Arial" w:hAnsi="Arial"/>
                <w:sz w:val="16"/>
                <w:szCs w:val="16"/>
                <w:b w:val="1"/>
                <w:bCs w:val="1"/>
                <w:color w:val="auto"/>
              </w:rPr>
              <w:t>Net increase in cash and cash equivalents</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64.7</w:t>
            </w:r>
          </w:p>
        </w:tc>
        <w:tc>
          <w:tcPr>
            <w:tcW w:w="12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3.6</w:t>
            </w:r>
          </w:p>
        </w:tc>
      </w:tr>
      <w:tr>
        <w:trPr>
          <w:trHeight w:val="270"/>
        </w:trPr>
        <w:tc>
          <w:tcPr>
            <w:tcW w:w="864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7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864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2"/>
                <w:szCs w:val="22"/>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20"/>
        </w:trPr>
        <w:tc>
          <w:tcPr>
            <w:tcW w:w="7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up precisely due to rounding.</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60" w:top="783" w:right="339" w:bottom="1440" w:gutter="0" w:footer="0" w:header="0"/>
        </w:sectPr>
      </w:pPr>
    </w:p>
    <w:bookmarkStart w:id="18" w:name="page19"/>
    <w:bookmarkEnd w:id="18"/>
    <w:p>
      <w:pPr>
        <w:ind w:right="120"/>
        <w:spacing w:after="0" w:line="271" w:lineRule="auto"/>
        <w:rPr>
          <w:sz w:val="20"/>
          <w:szCs w:val="20"/>
          <w:color w:val="auto"/>
        </w:rPr>
      </w:pPr>
      <w:r>
        <w:rPr>
          <w:rFonts w:ascii="Arial" w:cs="Arial" w:eastAsia="Arial" w:hAnsi="Arial"/>
          <w:sz w:val="16"/>
          <w:szCs w:val="16"/>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18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r>
      <w:tr>
        <w:trPr>
          <w:trHeight w:val="228"/>
        </w:trPr>
        <w:tc>
          <w:tcPr>
            <w:tcW w:w="9180" w:type="dxa"/>
            <w:vAlign w:val="bottom"/>
          </w:tcPr>
          <w:p>
            <w:pPr>
              <w:spacing w:after="0"/>
              <w:rPr>
                <w:sz w:val="19"/>
                <w:szCs w:val="19"/>
                <w:color w:val="auto"/>
              </w:rPr>
            </w:pPr>
          </w:p>
        </w:tc>
        <w:tc>
          <w:tcPr>
            <w:tcW w:w="2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2019</w:t>
            </w:r>
          </w:p>
        </w:tc>
      </w:tr>
      <w:tr>
        <w:trPr>
          <w:trHeight w:val="237"/>
        </w:trPr>
        <w:tc>
          <w:tcPr>
            <w:tcW w:w="9180" w:type="dxa"/>
            <w:vAlign w:val="bottom"/>
          </w:tcPr>
          <w:p>
            <w:pPr>
              <w:spacing w:after="0"/>
              <w:rPr>
                <w:sz w:val="20"/>
                <w:szCs w:val="20"/>
                <w:color w:val="auto"/>
              </w:rPr>
            </w:pPr>
            <w:r>
              <w:rPr>
                <w:rFonts w:ascii="Arial" w:cs="Arial" w:eastAsia="Arial" w:hAnsi="Arial"/>
                <w:sz w:val="16"/>
                <w:szCs w:val="16"/>
                <w:color w:val="auto"/>
              </w:rPr>
              <w:t>GAAP diluted weighted average common shares outstanding</w:t>
            </w: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48.2</w:t>
            </w:r>
          </w:p>
        </w:tc>
      </w:tr>
      <w:tr>
        <w:trPr>
          <w:trHeight w:val="283"/>
        </w:trPr>
        <w:tc>
          <w:tcPr>
            <w:tcW w:w="9180" w:type="dxa"/>
            <w:vAlign w:val="bottom"/>
          </w:tcPr>
          <w:p>
            <w:pPr>
              <w:spacing w:after="0"/>
              <w:rPr>
                <w:sz w:val="20"/>
                <w:szCs w:val="20"/>
                <w:color w:val="auto"/>
              </w:rPr>
            </w:pPr>
            <w:r>
              <w:rPr>
                <w:rFonts w:ascii="Arial" w:cs="Arial" w:eastAsia="Arial" w:hAnsi="Arial"/>
                <w:sz w:val="16"/>
                <w:szCs w:val="16"/>
                <w:color w:val="auto"/>
              </w:rPr>
              <w:t>Add effects of stock-based compensation instruments</w:t>
            </w: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r>
      <w:tr>
        <w:trPr>
          <w:trHeight w:val="243"/>
        </w:trPr>
        <w:tc>
          <w:tcPr>
            <w:tcW w:w="9180" w:type="dxa"/>
            <w:vAlign w:val="bottom"/>
          </w:tcPr>
          <w:p>
            <w:pPr>
              <w:spacing w:after="0"/>
              <w:rPr>
                <w:sz w:val="20"/>
                <w:szCs w:val="20"/>
                <w:color w:val="auto"/>
              </w:rPr>
            </w:pPr>
            <w:r>
              <w:rPr>
                <w:rFonts w:ascii="Arial" w:cs="Arial" w:eastAsia="Arial" w:hAnsi="Arial"/>
                <w:sz w:val="16"/>
                <w:szCs w:val="16"/>
                <w:color w:val="auto"/>
              </w:rPr>
              <w:t xml:space="preserve">Adjusted diluted weighted average common shares outstanding </w:t>
            </w:r>
            <w:r>
              <w:rPr>
                <w:rFonts w:ascii="Arial" w:cs="Arial" w:eastAsia="Arial" w:hAnsi="Arial"/>
                <w:sz w:val="21"/>
                <w:szCs w:val="21"/>
                <w:color w:val="auto"/>
                <w:vertAlign w:val="superscript"/>
              </w:rPr>
              <w:t>(1)</w:t>
            </w: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w:t>
            </w:r>
          </w:p>
        </w:tc>
      </w:tr>
      <w:tr>
        <w:trPr>
          <w:trHeight w:val="20"/>
        </w:trPr>
        <w:tc>
          <w:tcPr>
            <w:tcW w:w="91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80" w:right="20" w:hanging="345"/>
        <w:spacing w:after="0" w:line="258"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diluted weighted average shares outstanding is a non-GAAP measure and includes the effects of stock-based compensation instruments, as reconciled in the above table.</w:t>
      </w:r>
    </w:p>
    <w:p>
      <w:pPr>
        <w:spacing w:after="0" w:line="32" w:lineRule="exact"/>
        <w:rPr>
          <w:sz w:val="20"/>
          <w:szCs w:val="20"/>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sectPr>
      <w:pgSz w:w="11900" w:h="16838" w:orient="portrait"/>
      <w:cols w:equalWidth="0" w:num="1">
        <w:col w:w="11240"/>
      </w:cols>
      <w:pgMar w:left="320" w:top="6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upperLetter"/>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2020-04-30T18:13:57Z</dcterms:created>
  <dcterms:modified xsi:type="dcterms:W3CDTF">2020-04-30T18:13:57Z</dcterms:modified>
</cp:coreProperties>
</file>