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Moore Daniel Jeffrey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04/17/2017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0" w:type="dxa"/>
            <w:vAlign w:val="bottom"/>
            <w:gridSpan w:val="2"/>
          </w:tcPr>
          <w:p>
            <w:pPr>
              <w:ind w:left="380"/>
              <w:spacing w:after="0"/>
              <w:rPr>
                <w:sz w:val="20"/>
                <w:szCs w:val="20"/>
                <w:color w:val="auto"/>
              </w:rPr>
            </w:pPr>
            <w:r>
              <w:rPr>
                <w:rFonts w:ascii="Arial" w:cs="Arial" w:eastAsia="Arial" w:hAnsi="Arial"/>
                <w:sz w:val="12"/>
                <w:szCs w:val="12"/>
                <w:b w:val="1"/>
                <w:bCs w:val="1"/>
                <w:color w:val="auto"/>
                <w:w w:val="98"/>
              </w:rPr>
              <w:t>2. Transaction</w:t>
            </w:r>
          </w:p>
        </w:tc>
        <w:tc>
          <w:tcPr>
            <w:tcW w:w="3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3"/>
          </w:tcPr>
          <w:p>
            <w:pPr>
              <w:ind w:left="3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480"/>
              <w:spacing w:after="0"/>
              <w:rPr>
                <w:sz w:val="20"/>
                <w:szCs w:val="20"/>
                <w:color w:val="auto"/>
              </w:rPr>
            </w:pPr>
            <w:r>
              <w:rPr>
                <w:rFonts w:ascii="Arial" w:cs="Arial" w:eastAsia="Arial" w:hAnsi="Arial"/>
                <w:sz w:val="18"/>
                <w:szCs w:val="18"/>
                <w:color w:val="0000FF"/>
              </w:rPr>
              <w:t>04/17/2017</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1,000</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51.3159</w:t>
            </w:r>
            <w:r>
              <w:rPr>
                <w:rFonts w:ascii="Arial" w:cs="Arial" w:eastAsia="Arial" w:hAnsi="Arial"/>
                <w:sz w:val="22"/>
                <w:szCs w:val="22"/>
                <w:color w:val="008000"/>
                <w:w w:val="92"/>
                <w:vertAlign w:val="superscript"/>
              </w:rPr>
              <w:t>(2)</w:t>
            </w:r>
          </w:p>
        </w:tc>
        <w:tc>
          <w:tcPr>
            <w:tcW w:w="1200" w:type="dxa"/>
            <w:vAlign w:val="bottom"/>
            <w:tcBorders>
              <w:bottom w:val="single" w:sz="8" w:color="2C2C2C"/>
            </w:tcBorders>
            <w:gridSpan w:val="2"/>
          </w:tcPr>
          <w:p>
            <w:pPr>
              <w:jc w:val="right"/>
              <w:ind w:right="319"/>
              <w:spacing w:after="0"/>
              <w:rPr>
                <w:sz w:val="20"/>
                <w:szCs w:val="20"/>
                <w:color w:val="auto"/>
              </w:rPr>
            </w:pPr>
            <w:r>
              <w:rPr>
                <w:rFonts w:ascii="Arial" w:cs="Arial" w:eastAsia="Arial" w:hAnsi="Arial"/>
                <w:sz w:val="18"/>
                <w:szCs w:val="18"/>
                <w:color w:val="0000FF"/>
              </w:rPr>
              <w:t>59,437</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DJM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right"/>
              <w:ind w:right="359"/>
              <w:spacing w:after="0"/>
              <w:rPr>
                <w:sz w:val="20"/>
                <w:szCs w:val="20"/>
                <w:color w:val="auto"/>
              </w:rPr>
            </w:pPr>
            <w:r>
              <w:rPr>
                <w:rFonts w:ascii="Arial" w:cs="Arial" w:eastAsia="Arial" w:hAnsi="Arial"/>
                <w:sz w:val="18"/>
                <w:szCs w:val="18"/>
                <w:color w:val="0000FF"/>
              </w:rPr>
              <w:t>2,586</w:t>
            </w:r>
          </w:p>
        </w:tc>
        <w:tc>
          <w:tcPr>
            <w:tcW w:w="300" w:type="dxa"/>
            <w:vAlign w:val="bottom"/>
          </w:tcPr>
          <w:p>
            <w:pPr>
              <w:spacing w:after="0"/>
              <w:rPr>
                <w:sz w:val="18"/>
                <w:szCs w:val="18"/>
                <w:color w:val="auto"/>
              </w:rPr>
            </w:pPr>
          </w:p>
        </w:tc>
        <w:tc>
          <w:tcPr>
            <w:tcW w:w="66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900" w:type="dxa"/>
            <w:vAlign w:val="bottom"/>
            <w:gridSpan w:val="2"/>
            <w:vMerge w:val="restart"/>
          </w:tcPr>
          <w:p>
            <w:pPr>
              <w:spacing w:after="0"/>
              <w:rPr>
                <w:sz w:val="20"/>
                <w:szCs w:val="20"/>
                <w:color w:val="auto"/>
              </w:rPr>
            </w:pPr>
            <w:r>
              <w:rPr>
                <w:rFonts w:ascii="Arial" w:cs="Arial" w:eastAsia="Arial" w:hAnsi="Arial"/>
                <w:sz w:val="18"/>
                <w:szCs w:val="18"/>
                <w:color w:val="0000FF"/>
                <w:w w:val="95"/>
              </w:rPr>
              <w:t>Partnership</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Ltd.</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1440" w:type="dxa"/>
            <w:vAlign w:val="bottom"/>
            <w:tcBorders>
              <w:bottom w:val="single" w:sz="8" w:color="2C2C2C"/>
            </w:tcBorders>
            <w:gridSpan w:val="4"/>
          </w:tcPr>
          <w:p>
            <w:pPr>
              <w:spacing w:after="0"/>
              <w:rPr>
                <w:sz w:val="8"/>
                <w:szCs w:val="8"/>
                <w:color w:val="auto"/>
              </w:rPr>
            </w:pPr>
          </w:p>
        </w:tc>
        <w:tc>
          <w:tcPr>
            <w:tcW w:w="3620" w:type="dxa"/>
            <w:vAlign w:val="bottom"/>
            <w:tcBorders>
              <w:bottom w:val="single" w:sz="8" w:color="2C2C2C"/>
            </w:tcBorders>
            <w:gridSpan w:val="7"/>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gridSpan w:val="4"/>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228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80" w:type="dxa"/>
            <w:vAlign w:val="bottom"/>
            <w:gridSpan w:val="2"/>
          </w:tcPr>
          <w:p>
            <w:pPr>
              <w:ind w:left="14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2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7"/>
              </w:rPr>
              <w:t>Securities</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or Indirect</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and 4)</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(Instr. 3, 4</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ind w:left="1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7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20" w:type="dxa"/>
            <w:vAlign w:val="bottom"/>
            <w:gridSpan w:val="2"/>
          </w:tcPr>
          <w:p>
            <w:pPr>
              <w:ind w:left="20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40" w:type="dxa"/>
            <w:vAlign w:val="bottom"/>
          </w:tcPr>
          <w:p>
            <w:pPr>
              <w:ind w:left="1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sold pursuant to a Rule 10b5-1 Plan adopted by reporting person on August 16, 2016.</w:t>
      </w:r>
    </w:p>
    <w:p>
      <w:pPr>
        <w:spacing w:after="0" w:line="41" w:lineRule="exact"/>
        <w:rPr>
          <w:rFonts w:ascii="Arial" w:cs="Arial" w:eastAsia="Arial" w:hAnsi="Arial"/>
          <w:sz w:val="14"/>
          <w:szCs w:val="14"/>
          <w:color w:val="008000"/>
        </w:rPr>
      </w:pPr>
    </w:p>
    <w:p>
      <w:pPr>
        <w:ind w:left="40" w:right="56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weighted average selling price. Securities were sold through approximately 17 separate sales on the transaction date at prices ranging from $50.68 to $51.53. The reporting person hereby undertakes to provide upon request to the SEC, the issuer or any stockholder of the issuer, the full information regarding the number of shares and prices at which the transaction was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0000FF"/>
                <w:w w:val="89"/>
              </w:rPr>
              <w:t>/s/ Daniel J. Moore</w:t>
            </w:r>
          </w:p>
        </w:tc>
        <w:tc>
          <w:tcPr>
            <w:tcW w:w="7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04/19/2017</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085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2019-12-24T09:13:07Z</dcterms:created>
  <dcterms:modified xsi:type="dcterms:W3CDTF">2019-12-24T09:13:07Z</dcterms:modified>
</cp:coreProperties>
</file>