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7" w:lineRule="exact"/>
        <w:rPr>
          <w:sz w:val="24"/>
          <w:szCs w:val="24"/>
          <w:color w:val="auto"/>
        </w:rPr>
      </w:pPr>
    </w:p>
    <w:p>
      <w:pPr>
        <w:ind w:left="6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7" w:lineRule="exact"/>
        <w:rPr>
          <w:sz w:val="24"/>
          <w:szCs w:val="24"/>
          <w:color w:val="auto"/>
        </w:rPr>
      </w:pPr>
    </w:p>
    <w:p>
      <w:pPr>
        <w:ind w:left="16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17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80" w:type="dxa"/>
            <w:vAlign w:val="bottom"/>
            <w:vMerge w:val="restart"/>
          </w:tcPr>
          <w:p>
            <w:pPr>
              <w:jc w:val="center"/>
              <w:ind w:right="19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19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6380" w:type="dxa"/>
            <w:vAlign w:val="bottom"/>
            <w:vMerge w:val="restart"/>
          </w:tcPr>
          <w:p>
            <w:pPr>
              <w:jc w:val="center"/>
              <w:ind w:right="17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5365750</wp:posOffset>
            </wp:positionH>
            <wp:positionV relativeFrom="paragraph">
              <wp:posOffset>-612140</wp:posOffset>
            </wp:positionV>
            <wp:extent cx="8255" cy="6127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255" cy="612775"/>
                    </a:xfrm>
                    <a:prstGeom prst="rect">
                      <a:avLst/>
                    </a:prstGeom>
                    <a:noFill/>
                  </pic:spPr>
                </pic:pic>
              </a:graphicData>
            </a:graphic>
          </wp:anchor>
        </w:drawing>
        <w:drawing>
          <wp:anchor simplePos="0" relativeHeight="251657728" behindDoc="1" locked="0" layoutInCell="0" allowOverlap="1">
            <wp:simplePos x="0" y="0"/>
            <wp:positionH relativeFrom="column">
              <wp:posOffset>4048760</wp:posOffset>
            </wp:positionH>
            <wp:positionV relativeFrom="paragraph">
              <wp:posOffset>-620395</wp:posOffset>
            </wp:positionV>
            <wp:extent cx="8255" cy="621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1030"/>
                    </a:xfrm>
                    <a:prstGeom prst="rect">
                      <a:avLst/>
                    </a:prstGeom>
                    <a:noFill/>
                  </pic:spPr>
                </pic:pic>
              </a:graphicData>
            </a:graphic>
          </wp:anchor>
        </w:drawing>
        <w:drawing>
          <wp:anchor simplePos="0" relativeHeight="251657728" behindDoc="1" locked="0" layoutInCell="0" allowOverlap="1">
            <wp:simplePos x="0" y="0"/>
            <wp:positionH relativeFrom="column">
              <wp:posOffset>4073525</wp:posOffset>
            </wp:positionH>
            <wp:positionV relativeFrom="paragraph">
              <wp:posOffset>-595630</wp:posOffset>
            </wp:positionV>
            <wp:extent cx="1275715" cy="5715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5715" cy="57150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-1558925</wp:posOffset>
            </wp:positionH>
            <wp:positionV relativeFrom="paragraph">
              <wp:posOffset>37465</wp:posOffset>
            </wp:positionV>
            <wp:extent cx="6966585" cy="1631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66585" cy="163195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080" w:space="380"/>
            <w:col w:w="86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Hebbelinck Trui</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 EASTBOURNE TERRANCE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LivaNova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LIVN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09/15/2020</w:t>
      </w:r>
    </w:p>
    <w:p>
      <w:pPr>
        <w:spacing w:after="0" w:line="20" w:lineRule="exact"/>
        <w:rPr>
          <w:sz w:val="24"/>
          <w:szCs w:val="24"/>
          <w:color w:val="auto"/>
        </w:rPr>
      </w:pPr>
      <w:r>
        <w:rPr>
          <w:sz w:val="24"/>
          <w:szCs w:val="24"/>
          <w:color w:val="auto"/>
        </w:rPr>
        <w:br w:type="column"/>
      </w:r>
    </w:p>
    <w:p>
      <w:pPr>
        <w:ind w:left="-7" w:right="600" w:firstLine="7"/>
        <w:spacing w:after="0" w:line="261"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3"/>
        <w:spacing w:after="0"/>
        <w:tabs>
          <w:tab w:leader="none" w:pos="207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ind w:left="193"/>
        <w:spacing w:after="0"/>
        <w:tabs>
          <w:tab w:leader="none" w:pos="492" w:val="left"/>
          <w:tab w:leader="none" w:pos="2072" w:val="left"/>
        </w:tabs>
        <w:rPr>
          <w:sz w:val="20"/>
          <w:szCs w:val="20"/>
          <w:color w:val="auto"/>
        </w:rPr>
      </w:pPr>
      <w:r>
        <w:rPr>
          <w:rFonts w:ascii="Times New Roman" w:cs="Times New Roman" w:eastAsia="Times New Roman" w:hAnsi="Times New Roman"/>
          <w:sz w:val="21"/>
          <w:szCs w:val="21"/>
          <w:color w:val="0000FF"/>
          <w:vertAlign w:val="subscript"/>
        </w:rPr>
        <w:t>X</w:t>
      </w:r>
      <w:r>
        <w:rPr>
          <w:sz w:val="20"/>
          <w:szCs w:val="20"/>
          <w:color w:val="auto"/>
        </w:rPr>
        <w:tab/>
      </w:r>
      <w:r>
        <w:rPr>
          <w:rFonts w:ascii="Arial" w:cs="Arial" w:eastAsia="Arial" w:hAnsi="Arial"/>
          <w:sz w:val="10"/>
          <w:szCs w:val="10"/>
          <w:color w:val="auto"/>
        </w:rPr>
        <w:t>Officer (give title</w:t>
      </w:r>
      <w:r>
        <w:rPr>
          <w:sz w:val="20"/>
          <w:szCs w:val="20"/>
          <w:color w:val="auto"/>
        </w:rPr>
        <w:tab/>
      </w:r>
      <w:r>
        <w:rPr>
          <w:rFonts w:ascii="Arial" w:cs="Arial" w:eastAsia="Arial" w:hAnsi="Arial"/>
          <w:sz w:val="13"/>
          <w:szCs w:val="13"/>
          <w:color w:val="auto"/>
        </w:rPr>
        <w:t>Other (specify</w:t>
      </w:r>
    </w:p>
    <w:p>
      <w:pPr>
        <w:spacing w:after="0" w:line="21" w:lineRule="exact"/>
        <w:rPr>
          <w:sz w:val="24"/>
          <w:szCs w:val="24"/>
          <w:color w:val="auto"/>
        </w:rPr>
      </w:pPr>
    </w:p>
    <w:p>
      <w:pPr>
        <w:ind w:left="513"/>
        <w:spacing w:after="0"/>
        <w:tabs>
          <w:tab w:leader="none" w:pos="207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493"/>
        <w:spacing w:after="0"/>
        <w:rPr>
          <w:sz w:val="20"/>
          <w:szCs w:val="20"/>
          <w:color w:val="auto"/>
        </w:rPr>
      </w:pPr>
      <w:r>
        <w:rPr>
          <w:rFonts w:ascii="Times New Roman" w:cs="Times New Roman" w:eastAsia="Times New Roman" w:hAnsi="Times New Roman"/>
          <w:sz w:val="17"/>
          <w:szCs w:val="17"/>
          <w:color w:val="0000FF"/>
        </w:rPr>
        <w:t>Chief Human Resources Officer</w:t>
      </w:r>
    </w:p>
    <w:p>
      <w:pPr>
        <w:spacing w:after="0" w:line="309" w:lineRule="exact"/>
        <w:rPr>
          <w:sz w:val="24"/>
          <w:szCs w:val="24"/>
          <w:color w:val="auto"/>
        </w:rPr>
      </w:pPr>
    </w:p>
    <w:p>
      <w:pPr>
        <w:sectPr>
          <w:pgSz w:w="11900" w:h="16838" w:orient="portrait"/>
          <w:cols w:equalWidth="0" w:num="3">
            <w:col w:w="3180" w:space="720"/>
            <w:col w:w="3107" w:space="720"/>
            <w:col w:w="3353"/>
          </w:cols>
          <w:pgMar w:left="460" w:top="217" w:right="359" w:bottom="1440" w:gutter="0" w:footer="0" w:header="0"/>
          <w:type w:val="continuous"/>
        </w:sectPr>
      </w:pPr>
    </w:p>
    <w:p>
      <w:pPr>
        <w:spacing w:after="0" w:line="156" w:lineRule="exact"/>
        <w:rPr>
          <w:sz w:val="24"/>
          <w:szCs w:val="24"/>
          <w:color w:val="auto"/>
        </w:rPr>
      </w:pPr>
    </w:p>
    <w:tbl>
      <w:tblPr>
        <w:tblLayout w:type="fixed"/>
        <w:tblInd w:w="80" w:type="dxa"/>
        <w:tblCellMar>
          <w:top w:w="0" w:type="dxa"/>
          <w:left w:w="0" w:type="dxa"/>
          <w:bottom w:w="0" w:type="dxa"/>
          <w:right w:w="0" w:type="dxa"/>
        </w:tblCellMar>
      </w:tblPr>
      <w:tr>
        <w:trPr>
          <w:trHeight w:val="176"/>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0"/>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X0</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W2 6LG</w:t>
            </w:r>
          </w:p>
        </w:tc>
      </w:tr>
      <w:tr>
        <w:trPr>
          <w:trHeight w:val="152"/>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0"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-2473325</wp:posOffset>
            </wp:positionH>
            <wp:positionV relativeFrom="paragraph">
              <wp:posOffset>154305</wp:posOffset>
            </wp:positionV>
            <wp:extent cx="6966585" cy="131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66585" cy="1316990"/>
                    </a:xfrm>
                    <a:prstGeom prst="rect">
                      <a:avLst/>
                    </a:prstGeom>
                    <a:noFill/>
                  </pic:spPr>
                </pic:pic>
              </a:graphicData>
            </a:graphic>
          </wp:anchor>
        </w:drawing>
      </w:r>
    </w:p>
    <w:p>
      <w:pPr>
        <w:spacing w:after="0" w:line="300"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00" w:type="dxa"/>
            <w:vAlign w:val="bottom"/>
          </w:tcPr>
          <w:p>
            <w:pPr>
              <w:ind w:left="660"/>
              <w:spacing w:after="0" w:line="126"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0"/>
                <w:szCs w:val="10"/>
                <w:color w:val="auto"/>
              </w:rPr>
            </w:pPr>
          </w:p>
        </w:tc>
        <w:tc>
          <w:tcPr>
            <w:tcW w:w="94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0"/>
                <w:szCs w:val="10"/>
                <w:color w:val="auto"/>
              </w:rPr>
            </w:pPr>
          </w:p>
        </w:tc>
        <w:tc>
          <w:tcPr>
            <w:tcW w:w="12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6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(A) or</w:t>
            </w: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1"/>
                <w:szCs w:val="11"/>
                <w:color w:val="auto"/>
              </w:rPr>
            </w:pP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jc w:val="right"/>
              <w:ind w:right="136"/>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09/15/2020</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ind w:right="19"/>
              <w:spacing w:after="0"/>
              <w:rPr>
                <w:sz w:val="20"/>
                <w:szCs w:val="20"/>
                <w:color w:val="auto"/>
              </w:rPr>
            </w:pPr>
            <w:r>
              <w:rPr>
                <w:rFonts w:ascii="Times New Roman" w:cs="Times New Roman" w:eastAsia="Times New Roman" w:hAnsi="Times New Roman"/>
                <w:sz w:val="17"/>
                <w:szCs w:val="17"/>
                <w:color w:val="0000FF"/>
              </w:rPr>
              <w:t>440</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ind w:right="20"/>
              <w:spacing w:after="0" w:line="313"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661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09/15/2020</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spacing w:after="0" w:line="314" w:lineRule="exact"/>
              <w:rPr>
                <w:sz w:val="20"/>
                <w:szCs w:val="20"/>
                <w:color w:val="auto"/>
              </w:rPr>
            </w:pPr>
            <w:r>
              <w:rPr>
                <w:rFonts w:ascii="Times New Roman" w:cs="Times New Roman" w:eastAsia="Times New Roman" w:hAnsi="Times New Roman"/>
                <w:sz w:val="33"/>
                <w:szCs w:val="33"/>
                <w:color w:val="0000FF"/>
                <w:vertAlign w:val="subscript"/>
              </w:rPr>
              <w:t>207</w:t>
            </w:r>
            <w:r>
              <w:rPr>
                <w:rFonts w:ascii="Times New Roman" w:cs="Times New Roman" w:eastAsia="Times New Roman" w:hAnsi="Times New Roman"/>
                <w:sz w:val="11"/>
                <w:szCs w:val="11"/>
                <w:color w:val="008000"/>
              </w:rPr>
              <w:t>(2)</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ind w:right="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45.02</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454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82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1"/>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8. Price of</w:t>
            </w:r>
          </w:p>
        </w:tc>
        <w:tc>
          <w:tcPr>
            <w:tcW w:w="102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4"/>
              </w:rPr>
              <w:t>Derivative</w:t>
            </w:r>
          </w:p>
        </w:tc>
        <w:tc>
          <w:tcPr>
            <w:tcW w:w="7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102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vMerge w:val="continue"/>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440</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4" w:lineRule="exact"/>
              <w:rPr>
                <w:sz w:val="20"/>
                <w:szCs w:val="20"/>
                <w:color w:val="auto"/>
              </w:rPr>
            </w:pPr>
            <w:r>
              <w:rPr>
                <w:rFonts w:ascii="Times New Roman" w:cs="Times New Roman" w:eastAsia="Times New Roman" w:hAnsi="Times New Roman"/>
                <w:sz w:val="13"/>
                <w:szCs w:val="13"/>
                <w:color w:val="0000FF"/>
              </w:rPr>
              <w:t>09/15/2020</w:t>
            </w:r>
          </w:p>
        </w:tc>
        <w:tc>
          <w:tcPr>
            <w:tcW w:w="1100" w:type="dxa"/>
            <w:vAlign w:val="bottom"/>
          </w:tcPr>
          <w:p>
            <w:pPr>
              <w:spacing w:after="0"/>
              <w:rPr>
                <w:sz w:val="5"/>
                <w:szCs w:val="5"/>
                <w:color w:val="auto"/>
              </w:rPr>
            </w:pPr>
          </w:p>
        </w:tc>
        <w:tc>
          <w:tcPr>
            <w:tcW w:w="620" w:type="dxa"/>
            <w:vAlign w:val="bottom"/>
            <w:vMerge w:val="restart"/>
          </w:tcPr>
          <w:p>
            <w:pPr>
              <w:ind w:left="16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60" w:type="dxa"/>
            <w:vAlign w:val="bottom"/>
            <w:vMerge w:val="restart"/>
          </w:tcPr>
          <w:p>
            <w:pPr>
              <w:ind w:left="440"/>
              <w:spacing w:after="0" w:line="144" w:lineRule="exact"/>
              <w:rPr>
                <w:sz w:val="20"/>
                <w:szCs w:val="20"/>
                <w:color w:val="auto"/>
              </w:rPr>
            </w:pPr>
            <w:r>
              <w:rPr>
                <w:rFonts w:ascii="Times New Roman" w:cs="Times New Roman" w:eastAsia="Times New Roman" w:hAnsi="Times New Roman"/>
                <w:sz w:val="13"/>
                <w:szCs w:val="13"/>
                <w:color w:val="0000FF"/>
              </w:rPr>
              <w:t>440</w:t>
            </w:r>
          </w:p>
        </w:tc>
        <w:tc>
          <w:tcPr>
            <w:tcW w:w="7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gridSpan w:val="2"/>
            <w:vMerge w:val="restart"/>
          </w:tcPr>
          <w:p>
            <w:pPr>
              <w:ind w:left="24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760" w:type="dxa"/>
            <w:vAlign w:val="bottom"/>
            <w:vMerge w:val="restart"/>
          </w:tcPr>
          <w:p>
            <w:pPr>
              <w:ind w:left="380"/>
              <w:spacing w:after="0" w:line="144" w:lineRule="exact"/>
              <w:rPr>
                <w:sz w:val="20"/>
                <w:szCs w:val="20"/>
                <w:color w:val="auto"/>
              </w:rPr>
            </w:pPr>
            <w:r>
              <w:rPr>
                <w:rFonts w:ascii="Times New Roman" w:cs="Times New Roman" w:eastAsia="Times New Roman" w:hAnsi="Times New Roman"/>
                <w:sz w:val="13"/>
                <w:szCs w:val="13"/>
                <w:color w:val="0000FF"/>
              </w:rPr>
              <w:t>19,682</w:t>
            </w:r>
          </w:p>
        </w:tc>
        <w:tc>
          <w:tcPr>
            <w:tcW w:w="26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restart"/>
          </w:tcPr>
          <w:p>
            <w:pPr>
              <w:jc w:val="right"/>
              <w:ind w:right="136"/>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-2069465</wp:posOffset>
            </wp:positionV>
            <wp:extent cx="7033260" cy="21126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2112645"/>
                    </a:xfrm>
                    <a:prstGeom prst="rect">
                      <a:avLst/>
                    </a:prstGeom>
                    <a:noFill/>
                  </pic:spPr>
                </pic:pic>
              </a:graphicData>
            </a:graphic>
          </wp:anchor>
        </w:drawing>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6"/>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had vested restricted stock units (RSUs) settled in ordinary shares of LivaNova PLC (the Company), GBP 1.00 par value.</w:t>
      </w:r>
    </w:p>
    <w:p>
      <w:pPr>
        <w:spacing w:after="0" w:line="46" w:lineRule="exact"/>
        <w:rPr>
          <w:rFonts w:ascii="Times New Roman" w:cs="Times New Roman" w:eastAsia="Times New Roman" w:hAnsi="Times New Roman"/>
          <w:sz w:val="13"/>
          <w:szCs w:val="13"/>
          <w:color w:val="008000"/>
        </w:rPr>
      </w:pPr>
    </w:p>
    <w:p>
      <w:pPr>
        <w:ind w:left="180" w:hanging="136"/>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referenced shares were withheld from distribution at the request of reporting person to satisfy tax liability.</w:t>
      </w:r>
    </w:p>
    <w:p>
      <w:pPr>
        <w:spacing w:after="0" w:line="46" w:lineRule="exact"/>
        <w:rPr>
          <w:rFonts w:ascii="Times New Roman" w:cs="Times New Roman" w:eastAsia="Times New Roman" w:hAnsi="Times New Roman"/>
          <w:sz w:val="13"/>
          <w:szCs w:val="13"/>
          <w:color w:val="008000"/>
        </w:rPr>
      </w:pPr>
    </w:p>
    <w:p>
      <w:pPr>
        <w:ind w:left="40" w:right="160" w:firstLine="4"/>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15" w:lineRule="exact"/>
        <w:rPr>
          <w:rFonts w:ascii="Times New Roman" w:cs="Times New Roman" w:eastAsia="Times New Roman" w:hAnsi="Times New Roman"/>
          <w:sz w:val="13"/>
          <w:szCs w:val="13"/>
          <w:color w:val="008000"/>
        </w:rPr>
      </w:pPr>
    </w:p>
    <w:p>
      <w:pPr>
        <w:ind w:left="40" w:right="200" w:firstLine="4"/>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was granted RSUs subject to a four-year vesting schedule, vesting 25% on each of the first four anniversaries of September 15, 2019, subject to continued service during the vesting period and the award agreement.</w:t>
      </w:r>
    </w:p>
    <w:p>
      <w:pPr>
        <w:spacing w:after="0" w:line="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Sarah K. Mohr, POA</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09/17/2020</w:t>
            </w:r>
          </w:p>
        </w:tc>
      </w:tr>
      <w:tr>
        <w:trPr>
          <w:trHeight w:val="20"/>
        </w:trPr>
        <w:tc>
          <w:tcPr>
            <w:tcW w:w="1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1"/>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00" w:firstLine="4"/>
        <w:spacing w:after="0" w:line="312"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9"/>
          <w:szCs w:val="19"/>
          <w:b w:val="1"/>
          <w:bCs w:val="1"/>
          <w:u w:val="single" w:color="auto"/>
          <w:color w:val="auto"/>
        </w:rPr>
        <w:t>POWER OF ATTORNEY</w:t>
      </w:r>
    </w:p>
    <w:p>
      <w:pPr>
        <w:spacing w:after="0" w:line="214" w:lineRule="exact"/>
        <w:rPr>
          <w:sz w:val="20"/>
          <w:szCs w:val="20"/>
          <w:color w:val="auto"/>
        </w:rPr>
      </w:pPr>
    </w:p>
    <w:p>
      <w:pPr>
        <w:ind w:right="100" w:firstLine="626"/>
        <w:spacing w:after="0" w:line="298" w:lineRule="auto"/>
        <w:rPr>
          <w:sz w:val="20"/>
          <w:szCs w:val="20"/>
          <w:color w:val="auto"/>
        </w:rPr>
      </w:pPr>
      <w:r>
        <w:rPr>
          <w:rFonts w:ascii="Times New Roman" w:cs="Times New Roman" w:eastAsia="Times New Roman" w:hAnsi="Times New Roman"/>
          <w:sz w:val="19"/>
          <w:szCs w:val="19"/>
          <w:color w:val="auto"/>
        </w:rPr>
        <w:t>Know all by these presents, that the undersigned hereby constitutes and appoints each of (i) the General Counsel of LivaNova PLC, a public limited company organized under the laws of England and Wales (the “Company”), who is currently Keyna Skeffington, (ii) the Company’s Company Secretary who is currently Catherine Moroz, and (iii) the Company’s internal counsel who is currently Sarah K. Mohr, and their respective successors, signing singly, the undersigned’s true and lawful attorney-in-fact to:</w:t>
      </w:r>
    </w:p>
    <w:p>
      <w:pPr>
        <w:spacing w:after="0" w:line="128" w:lineRule="exact"/>
        <w:rPr>
          <w:sz w:val="20"/>
          <w:szCs w:val="20"/>
          <w:color w:val="auto"/>
        </w:rPr>
      </w:pPr>
    </w:p>
    <w:p>
      <w:pPr>
        <w:ind w:left="1260" w:right="140" w:hanging="629"/>
        <w:spacing w:after="0" w:line="304" w:lineRule="auto"/>
        <w:tabs>
          <w:tab w:leader="none" w:pos="126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in the undersigned’s capacity as a director or officer of the Company, Forms 3 and 4 (including amendments thereto) in accordance with Section 16(a) of the Securities Exchange Act of 1934 and the rules and regulations thereunder and a Form ID, Uniform Application for Access Codes to File on EDGAR;</w:t>
      </w:r>
    </w:p>
    <w:p>
      <w:pPr>
        <w:spacing w:after="0" w:line="122" w:lineRule="exact"/>
        <w:rPr>
          <w:rFonts w:ascii="Times New Roman" w:cs="Times New Roman" w:eastAsia="Times New Roman" w:hAnsi="Times New Roman"/>
          <w:sz w:val="19"/>
          <w:szCs w:val="19"/>
          <w:color w:val="auto"/>
        </w:rPr>
      </w:pPr>
    </w:p>
    <w:p>
      <w:pPr>
        <w:ind w:left="1260" w:right="180" w:hanging="629"/>
        <w:spacing w:after="0" w:line="304" w:lineRule="auto"/>
        <w:tabs>
          <w:tab w:leader="none" w:pos="126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and perform any and all acts for and on behalf of the undersigned which may be necessary or desirable to complete and executed any such Forms 3 or 4 or Form ID and timely file such forms (including amendments thereto) and application with the United States Securities and Exchange Commission and any stock exchange or similar authority; and</w:t>
      </w:r>
    </w:p>
    <w:p>
      <w:pPr>
        <w:spacing w:after="0" w:line="122" w:lineRule="exact"/>
        <w:rPr>
          <w:rFonts w:ascii="Times New Roman" w:cs="Times New Roman" w:eastAsia="Times New Roman" w:hAnsi="Times New Roman"/>
          <w:sz w:val="19"/>
          <w:szCs w:val="19"/>
          <w:color w:val="auto"/>
        </w:rPr>
      </w:pPr>
    </w:p>
    <w:p>
      <w:pPr>
        <w:ind w:left="1260" w:right="160" w:hanging="629"/>
        <w:spacing w:after="0" w:line="298" w:lineRule="auto"/>
        <w:tabs>
          <w:tab w:leader="none" w:pos="126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28" w:lineRule="exact"/>
        <w:rPr>
          <w:sz w:val="20"/>
          <w:szCs w:val="20"/>
          <w:color w:val="auto"/>
        </w:rPr>
      </w:pPr>
    </w:p>
    <w:p>
      <w:pPr>
        <w:ind w:right="140" w:firstLine="626"/>
        <w:spacing w:after="0" w:line="292" w:lineRule="auto"/>
        <w:rPr>
          <w:sz w:val="20"/>
          <w:szCs w:val="20"/>
          <w:color w:val="auto"/>
        </w:rPr>
      </w:pPr>
      <w:r>
        <w:rPr>
          <w:rFonts w:ascii="Times New Roman" w:cs="Times New Roman" w:eastAsia="Times New Roman" w:hAnsi="Times New Roman"/>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35" w:lineRule="exact"/>
        <w:rPr>
          <w:sz w:val="20"/>
          <w:szCs w:val="20"/>
          <w:color w:val="auto"/>
        </w:rPr>
      </w:pPr>
    </w:p>
    <w:p>
      <w:pPr>
        <w:ind w:firstLine="626"/>
        <w:spacing w:after="0" w:line="292" w:lineRule="auto"/>
        <w:rPr>
          <w:sz w:val="20"/>
          <w:szCs w:val="20"/>
          <w:color w:val="auto"/>
        </w:rPr>
      </w:pPr>
      <w:r>
        <w:rPr>
          <w:rFonts w:ascii="Times New Roman" w:cs="Times New Roman" w:eastAsia="Times New Roman" w:hAnsi="Times New Roman"/>
          <w:sz w:val="19"/>
          <w:szCs w:val="19"/>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or 4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135" w:lineRule="exact"/>
        <w:rPr>
          <w:sz w:val="20"/>
          <w:szCs w:val="20"/>
          <w:color w:val="auto"/>
        </w:rPr>
      </w:pPr>
    </w:p>
    <w:p>
      <w:pPr>
        <w:ind w:right="140" w:firstLine="626"/>
        <w:spacing w:after="0" w:line="321" w:lineRule="auto"/>
        <w:rPr>
          <w:sz w:val="20"/>
          <w:szCs w:val="20"/>
          <w:color w:val="auto"/>
        </w:rPr>
      </w:pPr>
      <w:r>
        <w:rPr>
          <w:rFonts w:ascii="Times New Roman" w:cs="Times New Roman" w:eastAsia="Times New Roman" w:hAnsi="Times New Roman"/>
          <w:sz w:val="19"/>
          <w:szCs w:val="19"/>
          <w:color w:val="auto"/>
        </w:rPr>
        <w:t>This Power of Attorney supersedes any power of attorney previously executed by the undersigned regarding the purposes outlined in the first paragraph hereof, and the authority of the attorneys-in-fact named in any such power of attorney is hereby revoked.</w:t>
      </w:r>
    </w:p>
    <w:p>
      <w:pPr>
        <w:spacing w:after="0" w:line="107" w:lineRule="exact"/>
        <w:rPr>
          <w:sz w:val="20"/>
          <w:szCs w:val="20"/>
          <w:color w:val="auto"/>
        </w:rPr>
      </w:pPr>
    </w:p>
    <w:p>
      <w:pPr>
        <w:ind w:right="80" w:firstLine="626"/>
        <w:spacing w:after="0" w:line="298"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Forms 3 or 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the first paragraph hereof dated as of a later date.</w:t>
      </w:r>
    </w:p>
    <w:p>
      <w:pPr>
        <w:spacing w:after="0" w:line="1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this 27</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day of March, 2019.</w:t>
      </w:r>
    </w:p>
    <w:p>
      <w:pPr>
        <w:spacing w:after="0" w:line="200" w:lineRule="exact"/>
        <w:rPr>
          <w:sz w:val="20"/>
          <w:szCs w:val="20"/>
          <w:color w:val="auto"/>
        </w:rPr>
      </w:pPr>
    </w:p>
    <w:p>
      <w:pPr>
        <w:spacing w:after="0" w:line="39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9"/>
          <w:szCs w:val="19"/>
          <w:color w:val="auto"/>
        </w:rPr>
        <w:t>/s/ Trui Hebbelinck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3183890</wp:posOffset>
            </wp:positionH>
            <wp:positionV relativeFrom="paragraph">
              <wp:posOffset>-7620</wp:posOffset>
            </wp:positionV>
            <wp:extent cx="13036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3655" cy="8255"/>
                    </a:xfrm>
                    <a:prstGeom prst="rect">
                      <a:avLst/>
                    </a:prstGeom>
                    <a:noFill/>
                  </pic:spPr>
                </pic:pic>
              </a:graphicData>
            </a:graphic>
          </wp:anchor>
        </w:drawing>
      </w:r>
    </w:p>
    <w:p>
      <w:pPr>
        <w:spacing w:after="0" w:line="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9"/>
          <w:szCs w:val="19"/>
          <w:color w:val="auto"/>
        </w:rPr>
        <w:t>Trui Hebbelinck</w:t>
      </w:r>
    </w:p>
    <w:sectPr>
      <w:pgSz w:w="11900" w:h="16838" w:orient="portrait"/>
      <w:cols w:equalWidth="0" w:num="1">
        <w:col w:w="10940"/>
      </w:cols>
      <w:pgMar w:left="460" w:top="376"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73051"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2020-09-17T10:08:43Z</dcterms:created>
  <dcterms:modified xsi:type="dcterms:W3CDTF">2020-09-17T10:08:43Z</dcterms:modified>
</cp:coreProperties>
</file>