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204470</wp:posOffset>
            </wp:positionH>
            <wp:positionV relativeFrom="page">
              <wp:posOffset>469265</wp:posOffset>
            </wp:positionV>
            <wp:extent cx="713994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1587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Date of Report (Date of earliest event reported): February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2879725</wp:posOffset>
            </wp:positionH>
            <wp:positionV relativeFrom="paragraph">
              <wp:posOffset>161290</wp:posOffset>
            </wp:positionV>
            <wp:extent cx="1390650" cy="4368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0650" cy="436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LivaNova PLC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29" w:lineRule="exact"/>
        <w:rPr>
          <w:sz w:val="24"/>
          <w:szCs w:val="24"/>
          <w:color w:val="auto"/>
        </w:rPr>
      </w:pPr>
    </w:p>
    <w:tbl>
      <w:tblPr>
        <w:tblLayout w:type="fixed"/>
        <w:tblInd w:w="1380" w:type="dxa"/>
        <w:tblCellMar>
          <w:top w:w="0" w:type="dxa"/>
          <w:left w:w="0" w:type="dxa"/>
          <w:bottom w:w="0" w:type="dxa"/>
          <w:right w:w="0" w:type="dxa"/>
        </w:tblCellMar>
      </w:tblPr>
      <w:tr>
        <w:trPr>
          <w:trHeight w:val="223"/>
        </w:trPr>
        <w:tc>
          <w:tcPr>
            <w:tcW w:w="2100" w:type="dxa"/>
            <w:vAlign w:val="bottom"/>
          </w:tcPr>
          <w:p>
            <w:pPr>
              <w:jc w:val="center"/>
              <w:ind w:right="175"/>
              <w:spacing w:after="0"/>
              <w:rPr>
                <w:sz w:val="20"/>
                <w:szCs w:val="20"/>
                <w:color w:val="auto"/>
              </w:rPr>
            </w:pPr>
            <w:r>
              <w:rPr>
                <w:rFonts w:ascii="Times New Roman" w:cs="Times New Roman" w:eastAsia="Times New Roman" w:hAnsi="Times New Roman"/>
                <w:sz w:val="17"/>
                <w:szCs w:val="17"/>
                <w:b w:val="1"/>
                <w:bCs w:val="1"/>
                <w:color w:val="auto"/>
                <w:w w:val="98"/>
              </w:rPr>
              <w:t>England and Wales</w:t>
            </w:r>
          </w:p>
        </w:tc>
        <w:tc>
          <w:tcPr>
            <w:tcW w:w="442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001-37599</w:t>
            </w:r>
          </w:p>
        </w:tc>
        <w:tc>
          <w:tcPr>
            <w:tcW w:w="1680" w:type="dxa"/>
            <w:vAlign w:val="bottom"/>
          </w:tcPr>
          <w:p>
            <w:pPr>
              <w:jc w:val="center"/>
              <w:ind w:left="335"/>
              <w:spacing w:after="0"/>
              <w:rPr>
                <w:sz w:val="20"/>
                <w:szCs w:val="20"/>
                <w:color w:val="auto"/>
              </w:rPr>
            </w:pPr>
            <w:r>
              <w:rPr>
                <w:rFonts w:ascii="Times New Roman" w:cs="Times New Roman" w:eastAsia="Times New Roman" w:hAnsi="Times New Roman"/>
                <w:sz w:val="17"/>
                <w:szCs w:val="17"/>
                <w:b w:val="1"/>
                <w:bCs w:val="1"/>
                <w:color w:val="auto"/>
                <w:w w:val="99"/>
              </w:rPr>
              <w:t>98-1268150</w:t>
            </w:r>
          </w:p>
        </w:tc>
      </w:tr>
      <w:tr>
        <w:trPr>
          <w:trHeight w:val="239"/>
        </w:trPr>
        <w:tc>
          <w:tcPr>
            <w:tcW w:w="2100" w:type="dxa"/>
            <w:vAlign w:val="bottom"/>
          </w:tcPr>
          <w:p>
            <w:pPr>
              <w:jc w:val="center"/>
              <w:ind w:right="175"/>
              <w:spacing w:after="0"/>
              <w:rPr>
                <w:sz w:val="20"/>
                <w:szCs w:val="20"/>
                <w:color w:val="auto"/>
              </w:rPr>
            </w:pPr>
            <w:r>
              <w:rPr>
                <w:rFonts w:ascii="Times New Roman" w:cs="Times New Roman" w:eastAsia="Times New Roman" w:hAnsi="Times New Roman"/>
                <w:sz w:val="17"/>
                <w:szCs w:val="17"/>
                <w:color w:val="auto"/>
                <w:w w:val="99"/>
              </w:rPr>
              <w:t>(State or Other Jurisdiction</w:t>
            </w:r>
          </w:p>
        </w:tc>
        <w:tc>
          <w:tcPr>
            <w:tcW w:w="4420" w:type="dxa"/>
            <w:vAlign w:val="bottom"/>
          </w:tcPr>
          <w:p>
            <w:pPr>
              <w:ind w:left="1660"/>
              <w:spacing w:after="0"/>
              <w:rPr>
                <w:sz w:val="20"/>
                <w:szCs w:val="20"/>
                <w:color w:val="auto"/>
              </w:rPr>
            </w:pPr>
            <w:r>
              <w:rPr>
                <w:rFonts w:ascii="Times New Roman" w:cs="Times New Roman" w:eastAsia="Times New Roman" w:hAnsi="Times New Roman"/>
                <w:sz w:val="17"/>
                <w:szCs w:val="17"/>
                <w:color w:val="auto"/>
              </w:rPr>
              <w:t>(Commission</w:t>
            </w:r>
          </w:p>
        </w:tc>
        <w:tc>
          <w:tcPr>
            <w:tcW w:w="1680" w:type="dxa"/>
            <w:vAlign w:val="bottom"/>
          </w:tcPr>
          <w:p>
            <w:pPr>
              <w:jc w:val="center"/>
              <w:ind w:left="275"/>
              <w:spacing w:after="0"/>
              <w:rPr>
                <w:sz w:val="20"/>
                <w:szCs w:val="20"/>
                <w:color w:val="auto"/>
              </w:rPr>
            </w:pPr>
            <w:r>
              <w:rPr>
                <w:rFonts w:ascii="Times New Roman" w:cs="Times New Roman" w:eastAsia="Times New Roman" w:hAnsi="Times New Roman"/>
                <w:sz w:val="17"/>
                <w:szCs w:val="17"/>
                <w:color w:val="auto"/>
              </w:rPr>
              <w:t>(IRS Employer</w:t>
            </w:r>
          </w:p>
        </w:tc>
      </w:tr>
      <w:tr>
        <w:trPr>
          <w:trHeight w:val="219"/>
        </w:trPr>
        <w:tc>
          <w:tcPr>
            <w:tcW w:w="2100" w:type="dxa"/>
            <w:vAlign w:val="bottom"/>
          </w:tcPr>
          <w:p>
            <w:pPr>
              <w:jc w:val="center"/>
              <w:ind w:right="175"/>
              <w:spacing w:after="0"/>
              <w:rPr>
                <w:sz w:val="20"/>
                <w:szCs w:val="20"/>
                <w:color w:val="auto"/>
              </w:rPr>
            </w:pPr>
            <w:r>
              <w:rPr>
                <w:rFonts w:ascii="Times New Roman" w:cs="Times New Roman" w:eastAsia="Times New Roman" w:hAnsi="Times New Roman"/>
                <w:sz w:val="17"/>
                <w:szCs w:val="17"/>
                <w:color w:val="auto"/>
                <w:w w:val="99"/>
              </w:rPr>
              <w:t>of Incorporation)</w:t>
            </w:r>
          </w:p>
        </w:tc>
        <w:tc>
          <w:tcPr>
            <w:tcW w:w="44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9"/>
              </w:rPr>
              <w:t>File Number)</w:t>
            </w:r>
          </w:p>
        </w:tc>
        <w:tc>
          <w:tcPr>
            <w:tcW w:w="1680" w:type="dxa"/>
            <w:vAlign w:val="bottom"/>
          </w:tcPr>
          <w:p>
            <w:pPr>
              <w:jc w:val="center"/>
              <w:ind w:left="315"/>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515"/>
        </w:trPr>
        <w:tc>
          <w:tcPr>
            <w:tcW w:w="2100" w:type="dxa"/>
            <w:vAlign w:val="bottom"/>
          </w:tcPr>
          <w:p>
            <w:pPr>
              <w:spacing w:after="0"/>
              <w:rPr>
                <w:sz w:val="24"/>
                <w:szCs w:val="24"/>
                <w:color w:val="auto"/>
              </w:rPr>
            </w:pPr>
          </w:p>
        </w:tc>
        <w:tc>
          <w:tcPr>
            <w:tcW w:w="442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w w:val="99"/>
              </w:rPr>
              <w:t>20 Eastbourne Terrace</w:t>
            </w:r>
          </w:p>
        </w:tc>
        <w:tc>
          <w:tcPr>
            <w:tcW w:w="1680" w:type="dxa"/>
            <w:vAlign w:val="bottom"/>
          </w:tcPr>
          <w:p>
            <w:pPr>
              <w:spacing w:after="0"/>
              <w:rPr>
                <w:sz w:val="24"/>
                <w:szCs w:val="24"/>
                <w:color w:val="auto"/>
              </w:rPr>
            </w:pPr>
          </w:p>
        </w:tc>
      </w:tr>
      <w:tr>
        <w:trPr>
          <w:trHeight w:val="204"/>
        </w:trPr>
        <w:tc>
          <w:tcPr>
            <w:tcW w:w="2100" w:type="dxa"/>
            <w:vAlign w:val="bottom"/>
          </w:tcPr>
          <w:p>
            <w:pPr>
              <w:spacing w:after="0"/>
              <w:rPr>
                <w:sz w:val="17"/>
                <w:szCs w:val="17"/>
                <w:color w:val="auto"/>
              </w:rPr>
            </w:pPr>
          </w:p>
        </w:tc>
        <w:tc>
          <w:tcPr>
            <w:tcW w:w="442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London, W2 6LG</w:t>
            </w:r>
          </w:p>
        </w:tc>
        <w:tc>
          <w:tcPr>
            <w:tcW w:w="1680" w:type="dxa"/>
            <w:vAlign w:val="bottom"/>
          </w:tcPr>
          <w:p>
            <w:pPr>
              <w:spacing w:after="0"/>
              <w:rPr>
                <w:sz w:val="17"/>
                <w:szCs w:val="17"/>
                <w:color w:val="auto"/>
              </w:rPr>
            </w:pPr>
          </w:p>
        </w:tc>
      </w:tr>
      <w:tr>
        <w:trPr>
          <w:trHeight w:val="208"/>
        </w:trPr>
        <w:tc>
          <w:tcPr>
            <w:tcW w:w="2100" w:type="dxa"/>
            <w:vAlign w:val="bottom"/>
          </w:tcPr>
          <w:p>
            <w:pPr>
              <w:spacing w:after="0"/>
              <w:rPr>
                <w:sz w:val="18"/>
                <w:szCs w:val="18"/>
                <w:color w:val="auto"/>
              </w:rPr>
            </w:pPr>
          </w:p>
        </w:tc>
        <w:tc>
          <w:tcPr>
            <w:tcW w:w="442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United Kingdom</w:t>
            </w:r>
          </w:p>
        </w:tc>
        <w:tc>
          <w:tcPr>
            <w:tcW w:w="1680" w:type="dxa"/>
            <w:vAlign w:val="bottom"/>
          </w:tcPr>
          <w:p>
            <w:pPr>
              <w:spacing w:after="0"/>
              <w:rPr>
                <w:sz w:val="18"/>
                <w:szCs w:val="18"/>
                <w:color w:val="auto"/>
              </w:rPr>
            </w:pPr>
          </w:p>
        </w:tc>
      </w:tr>
      <w:tr>
        <w:trPr>
          <w:trHeight w:val="219"/>
        </w:trPr>
        <w:tc>
          <w:tcPr>
            <w:tcW w:w="2100" w:type="dxa"/>
            <w:vAlign w:val="bottom"/>
          </w:tcPr>
          <w:p>
            <w:pPr>
              <w:spacing w:after="0"/>
              <w:rPr>
                <w:sz w:val="19"/>
                <w:szCs w:val="19"/>
                <w:color w:val="auto"/>
              </w:rPr>
            </w:pPr>
          </w:p>
        </w:tc>
        <w:tc>
          <w:tcPr>
            <w:tcW w:w="44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1680" w:type="dxa"/>
            <w:vAlign w:val="bottom"/>
          </w:tcPr>
          <w:p>
            <w:pPr>
              <w:spacing w:after="0"/>
              <w:rPr>
                <w:sz w:val="19"/>
                <w:szCs w:val="19"/>
                <w:color w:val="auto"/>
              </w:rPr>
            </w:pPr>
          </w:p>
        </w:tc>
      </w:tr>
      <w:tr>
        <w:trPr>
          <w:trHeight w:val="417"/>
        </w:trPr>
        <w:tc>
          <w:tcPr>
            <w:tcW w:w="2100" w:type="dxa"/>
            <w:vAlign w:val="bottom"/>
          </w:tcPr>
          <w:p>
            <w:pPr>
              <w:spacing w:after="0"/>
              <w:rPr>
                <w:sz w:val="24"/>
                <w:szCs w:val="24"/>
                <w:color w:val="auto"/>
              </w:rPr>
            </w:pPr>
          </w:p>
        </w:tc>
        <w:tc>
          <w:tcPr>
            <w:tcW w:w="442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9"/>
              </w:rPr>
              <w:t>+44 20 33250660</w:t>
            </w:r>
          </w:p>
        </w:tc>
        <w:tc>
          <w:tcPr>
            <w:tcW w:w="1680" w:type="dxa"/>
            <w:vAlign w:val="bottom"/>
          </w:tcPr>
          <w:p>
            <w:pPr>
              <w:spacing w:after="0"/>
              <w:rPr>
                <w:sz w:val="24"/>
                <w:szCs w:val="24"/>
                <w:color w:val="auto"/>
              </w:rPr>
            </w:pPr>
          </w:p>
        </w:tc>
      </w:tr>
      <w:tr>
        <w:trPr>
          <w:trHeight w:val="219"/>
        </w:trPr>
        <w:tc>
          <w:tcPr>
            <w:tcW w:w="2100" w:type="dxa"/>
            <w:vAlign w:val="bottom"/>
          </w:tcPr>
          <w:p>
            <w:pPr>
              <w:spacing w:after="0"/>
              <w:rPr>
                <w:sz w:val="19"/>
                <w:szCs w:val="19"/>
                <w:color w:val="auto"/>
              </w:rPr>
            </w:pPr>
          </w:p>
        </w:tc>
        <w:tc>
          <w:tcPr>
            <w:tcW w:w="4420" w:type="dxa"/>
            <w:vAlign w:val="bottom"/>
          </w:tcPr>
          <w:p>
            <w:pPr>
              <w:jc w:val="center"/>
              <w:ind w:right="55"/>
              <w:spacing w:after="0"/>
              <w:rPr>
                <w:sz w:val="20"/>
                <w:szCs w:val="20"/>
                <w:color w:val="auto"/>
              </w:rPr>
            </w:pPr>
            <w:r>
              <w:rPr>
                <w:rFonts w:ascii="Times New Roman" w:cs="Times New Roman" w:eastAsia="Times New Roman" w:hAnsi="Times New Roman"/>
                <w:sz w:val="17"/>
                <w:szCs w:val="17"/>
                <w:color w:val="auto"/>
                <w:w w:val="98"/>
              </w:rPr>
              <w:t>(Registrant’s Telephone Number, Including Area Code)</w:t>
            </w:r>
          </w:p>
        </w:tc>
        <w:tc>
          <w:tcPr>
            <w:tcW w:w="1680" w:type="dxa"/>
            <w:vAlign w:val="bottom"/>
          </w:tcPr>
          <w:p>
            <w:pPr>
              <w:spacing w:after="0"/>
              <w:rPr>
                <w:sz w:val="19"/>
                <w:szCs w:val="19"/>
                <w:color w:val="auto"/>
              </w:rPr>
            </w:pPr>
          </w:p>
        </w:tc>
      </w:tr>
    </w:tbl>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22" w:lineRule="exact"/>
        <w:rPr>
          <w:sz w:val="24"/>
          <w:szCs w:val="24"/>
          <w:color w:val="auto"/>
        </w:rPr>
      </w:pPr>
    </w:p>
    <w:p>
      <w:pPr>
        <w:ind w:right="260"/>
        <w:spacing w:after="0" w:line="279" w:lineRule="auto"/>
        <w:rPr>
          <w:sz w:val="20"/>
          <w:szCs w:val="20"/>
          <w:color w:val="auto"/>
        </w:rPr>
      </w:pPr>
      <w:r>
        <w:rPr>
          <w:rFonts w:ascii="Times New Roman" w:cs="Times New Roman" w:eastAsia="Times New Roman" w:hAnsi="Times New Roman"/>
          <w:sz w:val="17"/>
          <w:szCs w:val="17"/>
          <w:color w:val="auto"/>
        </w:rPr>
        <w:t>Check the appropriate box below if the Form 8-K is intended to simultaneously satisfy the filing obligation of the registrant under any of the following provisions (see General Instructions A.2. below):</w:t>
      </w:r>
    </w:p>
    <w:p>
      <w:pPr>
        <w:spacing w:after="0" w:line="220" w:lineRule="exact"/>
        <w:rPr>
          <w:sz w:val="24"/>
          <w:szCs w:val="24"/>
          <w:color w:val="auto"/>
        </w:rPr>
      </w:pPr>
    </w:p>
    <w:p>
      <w:pPr>
        <w:ind w:left="220" w:hanging="218"/>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62" w:lineRule="exact"/>
        <w:rPr>
          <w:rFonts w:ascii="MS PGothic" w:cs="MS PGothic" w:eastAsia="MS PGothic" w:hAnsi="MS PGothic"/>
          <w:sz w:val="20"/>
          <w:szCs w:val="20"/>
          <w:color w:val="auto"/>
        </w:rPr>
      </w:pPr>
    </w:p>
    <w:p>
      <w:pPr>
        <w:ind w:left="220" w:hanging="218"/>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262" w:lineRule="exact"/>
        <w:rPr>
          <w:rFonts w:ascii="MS PGothic" w:cs="MS PGothic" w:eastAsia="MS PGothic" w:hAnsi="MS PGothic"/>
          <w:sz w:val="20"/>
          <w:szCs w:val="20"/>
          <w:color w:val="auto"/>
        </w:rPr>
      </w:pPr>
    </w:p>
    <w:p>
      <w:pPr>
        <w:ind w:left="220" w:hanging="218"/>
        <w:spacing w:after="0"/>
        <w:tabs>
          <w:tab w:leader="none" w:pos="2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62" w:lineRule="exact"/>
        <w:rPr>
          <w:rFonts w:ascii="MS PGothic" w:cs="MS PGothic" w:eastAsia="MS PGothic" w:hAnsi="MS PGothic"/>
          <w:sz w:val="20"/>
          <w:szCs w:val="20"/>
          <w:color w:val="auto"/>
        </w:rPr>
      </w:pPr>
    </w:p>
    <w:p>
      <w:pPr>
        <w:ind w:right="3440" w:firstLine="2"/>
        <w:spacing w:after="0" w:line="455" w:lineRule="auto"/>
        <w:tabs>
          <w:tab w:leader="none" w:pos="221"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7"/>
          <w:szCs w:val="17"/>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1"/>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Name on each exchange on which registered</w:t>
            </w:r>
          </w:p>
        </w:tc>
      </w:tr>
      <w:tr>
        <w:trPr>
          <w:trHeight w:val="209"/>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Ordinary Shares - £1.00 par value per share</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NASDAQ Global Market</w:t>
            </w:r>
          </w:p>
        </w:tc>
      </w:tr>
    </w:tbl>
    <w:p>
      <w:pPr>
        <w:spacing w:after="0" w:line="302"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7800"/>
        <w:spacing w:after="0" w:line="201" w:lineRule="exact"/>
        <w:tabs>
          <w:tab w:leader="none" w:pos="10700" w:val="left"/>
        </w:tabs>
        <w:rPr>
          <w:sz w:val="20"/>
          <w:szCs w:val="20"/>
          <w:color w:val="auto"/>
        </w:rPr>
      </w:pP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20"/>
          <w:szCs w:val="20"/>
          <w:color w:val="auto"/>
        </w:rPr>
        <w:t>☐</w:t>
      </w:r>
    </w:p>
    <w:p>
      <w:pPr>
        <w:spacing w:after="0" w:line="200" w:lineRule="exact"/>
        <w:rPr>
          <w:sz w:val="24"/>
          <w:szCs w:val="24"/>
          <w:color w:val="auto"/>
        </w:rPr>
      </w:pPr>
    </w:p>
    <w:p>
      <w:pPr>
        <w:spacing w:after="0" w:line="203"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819" w:right="339" w:bottom="1440" w:gutter="0" w:footer="0" w:header="0"/>
        </w:sectPr>
      </w:pPr>
    </w:p>
    <w:p>
      <w:pPr>
        <w:spacing w:after="0" w:line="38" w:lineRule="exact"/>
        <w:rPr>
          <w:sz w:val="24"/>
          <w:szCs w:val="24"/>
          <w:color w:val="auto"/>
        </w:rPr>
      </w:pPr>
    </w:p>
    <w:p>
      <w:pPr>
        <w:ind w:left="10720"/>
        <w:spacing w:after="0" w:line="201" w:lineRule="exact"/>
        <w:rPr>
          <w:sz w:val="20"/>
          <w:szCs w:val="20"/>
          <w:color w:val="auto"/>
        </w:rPr>
      </w:pP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460375</wp:posOffset>
            </wp:positionV>
            <wp:extent cx="713994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177165</wp:posOffset>
            </wp:positionV>
            <wp:extent cx="713994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w:t>
      </w:r>
    </w:p>
    <w:p>
      <w:pPr>
        <w:spacing w:after="0" w:line="241"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17"/>
          <w:szCs w:val="17"/>
          <w:color w:val="auto"/>
        </w:rPr>
        <w:t xml:space="preserve">On February 24, 2021, LivaNova PLC (the "Company") issued a press release announcing financial results for the quarter and full-year ended December 31, 2020. The Company will host a business update conference call and webcast today, February 24, 2021, at 1 p.m. London time (8 a.m. Eastern Time), during which the Company will discuss the financial results. The conference call will be available to interested parties through a live audio webcast and accessible through the Investors section of the LivaNova website at </w:t>
      </w:r>
      <w:r>
        <w:rPr>
          <w:rFonts w:ascii="Times New Roman" w:cs="Times New Roman" w:eastAsia="Times New Roman" w:hAnsi="Times New Roman"/>
          <w:sz w:val="17"/>
          <w:szCs w:val="17"/>
          <w:color w:val="0563C1"/>
        </w:rPr>
        <w:t>www.livanova.com</w:t>
      </w:r>
      <w:r>
        <w:rPr>
          <w:rFonts w:ascii="Times New Roman" w:cs="Times New Roman" w:eastAsia="Times New Roman" w:hAnsi="Times New Roman"/>
          <w:sz w:val="17"/>
          <w:szCs w:val="17"/>
          <w:color w:val="auto"/>
        </w:rPr>
        <w:t>.</w:t>
      </w:r>
    </w:p>
    <w:p>
      <w:pPr>
        <w:spacing w:after="0" w:line="19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7"/>
          <w:szCs w:val="17"/>
          <w:color w:val="auto"/>
        </w:rPr>
        <w:t>A copy of the Company’s press release related to the foregoing matters is attached hereto as Exhibit 99.1 The information in Exhibit 99.1 is being furnished and shall not be deemed “filed” for the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4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color w:val="auto"/>
        </w:rPr>
        <w:t>(d)</w:t>
        <w:tab/>
        <w:t>Exhibits.</w:t>
      </w:r>
    </w:p>
    <w:p>
      <w:pPr>
        <w:spacing w:after="0" w:line="132"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17"/>
          <w:szCs w:val="17"/>
          <w:b w:val="1"/>
          <w:bCs w:val="1"/>
          <w:u w:val="single" w:color="auto"/>
          <w:color w:val="auto"/>
        </w:rPr>
        <w:t>Exhibit</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67" w:lineRule="exact"/>
        <w:rPr>
          <w:sz w:val="20"/>
          <w:szCs w:val="20"/>
          <w:color w:val="auto"/>
        </w:rPr>
      </w:pPr>
    </w:p>
    <w:p>
      <w:pPr>
        <w:ind w:left="20"/>
        <w:spacing w:after="0"/>
        <w:tabs>
          <w:tab w:leader="none" w:pos="1520" w:val="left"/>
        </w:tabs>
        <w:rPr>
          <w:rFonts w:ascii="Times New Roman" w:cs="Times New Roman" w:eastAsia="Times New Roman" w:hAnsi="Times New Roman"/>
          <w:sz w:val="16"/>
          <w:szCs w:val="16"/>
          <w:u w:val="single" w:color="auto"/>
          <w:color w:val="0000FF"/>
        </w:rPr>
      </w:pPr>
      <w:r>
        <w:rPr>
          <w:rFonts w:ascii="Times New Roman" w:cs="Times New Roman" w:eastAsia="Times New Roman" w:hAnsi="Times New Roman"/>
          <w:sz w:val="17"/>
          <w:szCs w:val="17"/>
          <w:color w:val="auto"/>
        </w:rPr>
        <w:t>99.1</w:t>
      </w:r>
      <w:r>
        <w:rPr>
          <w:sz w:val="20"/>
          <w:szCs w:val="20"/>
          <w:color w:val="auto"/>
        </w:rPr>
        <w:tab/>
      </w:r>
      <w:hyperlink w:anchor="page4">
        <w:r>
          <w:rPr>
            <w:rFonts w:ascii="Times New Roman" w:cs="Times New Roman" w:eastAsia="Times New Roman" w:hAnsi="Times New Roman"/>
            <w:sz w:val="16"/>
            <w:szCs w:val="16"/>
            <w:u w:val="single" w:color="auto"/>
            <w:color w:val="0000FF"/>
          </w:rPr>
          <w:t>LivaNova Press Release dated February 24, 2021</w:t>
        </w:r>
      </w:hyperlink>
    </w:p>
    <w:p>
      <w:pPr>
        <w:spacing w:after="0" w:line="24" w:lineRule="exact"/>
        <w:rPr>
          <w:sz w:val="20"/>
          <w:szCs w:val="20"/>
          <w:color w:val="auto"/>
        </w:rPr>
      </w:pPr>
    </w:p>
    <w:p>
      <w:pPr>
        <w:ind w:left="1540" w:hanging="1521"/>
        <w:spacing w:after="0"/>
        <w:tabs>
          <w:tab w:leader="none" w:pos="15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22"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193675</wp:posOffset>
            </wp:positionV>
            <wp:extent cx="713994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41" w:lineRule="exact"/>
        <w:rPr>
          <w:sz w:val="20"/>
          <w:szCs w:val="20"/>
          <w:color w:val="auto"/>
        </w:rPr>
      </w:pPr>
    </w:p>
    <w:p>
      <w:pPr>
        <w:ind w:firstLine="611"/>
        <w:spacing w:after="0" w:line="279"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LivaNova PLC</w:t>
      </w:r>
    </w:p>
    <w:p>
      <w:pPr>
        <w:spacing w:after="0" w:line="200" w:lineRule="exact"/>
        <w:rPr>
          <w:sz w:val="20"/>
          <w:szCs w:val="20"/>
          <w:color w:val="auto"/>
        </w:rPr>
      </w:pPr>
    </w:p>
    <w:p>
      <w:pPr>
        <w:spacing w:after="0" w:line="305" w:lineRule="exact"/>
        <w:rPr>
          <w:sz w:val="20"/>
          <w:szCs w:val="20"/>
          <w:color w:val="auto"/>
        </w:rPr>
      </w:pPr>
    </w:p>
    <w:p>
      <w:pPr>
        <w:jc w:val="right"/>
        <w:ind w:right="3840"/>
        <w:spacing w:after="0"/>
        <w:tabs>
          <w:tab w:leader="none" w:pos="5540" w:val="left"/>
        </w:tabs>
        <w:rPr>
          <w:sz w:val="20"/>
          <w:szCs w:val="20"/>
          <w:color w:val="auto"/>
        </w:rPr>
      </w:pPr>
      <w:r>
        <w:rPr>
          <w:rFonts w:ascii="Times New Roman" w:cs="Times New Roman" w:eastAsia="Times New Roman" w:hAnsi="Times New Roman"/>
          <w:sz w:val="17"/>
          <w:szCs w:val="17"/>
          <w:color w:val="auto"/>
        </w:rPr>
        <w:t>Date: February 24, 2021</w:t>
      </w:r>
      <w:r>
        <w:rPr>
          <w:sz w:val="20"/>
          <w:szCs w:val="20"/>
          <w:color w:val="auto"/>
        </w:rPr>
        <w:tab/>
      </w:r>
      <w:r>
        <w:rPr>
          <w:rFonts w:ascii="Times New Roman" w:cs="Times New Roman" w:eastAsia="Times New Roman" w:hAnsi="Times New Roman"/>
          <w:sz w:val="16"/>
          <w:szCs w:val="16"/>
          <w:color w:val="auto"/>
        </w:rPr>
        <w:t>By:</w:t>
      </w:r>
      <w:r>
        <w:rPr>
          <w:rFonts w:ascii="Times New Roman" w:cs="Times New Roman" w:eastAsia="Times New Roman" w:hAnsi="Times New Roman"/>
          <w:sz w:val="16"/>
          <w:szCs w:val="16"/>
          <w:u w:val="single" w:color="auto"/>
          <w:color w:val="auto"/>
        </w:rPr>
        <w:t>/s/ Keyna Skeffington</w:t>
      </w:r>
    </w:p>
    <w:p>
      <w:pPr>
        <w:spacing w:after="0" w:line="59" w:lineRule="exact"/>
        <w:rPr>
          <w:sz w:val="20"/>
          <w:szCs w:val="20"/>
          <w:color w:val="auto"/>
        </w:rPr>
      </w:pPr>
    </w:p>
    <w:p>
      <w:pPr>
        <w:jc w:val="right"/>
        <w:ind w:right="3780"/>
        <w:spacing w:after="0"/>
        <w:rPr>
          <w:sz w:val="20"/>
          <w:szCs w:val="20"/>
          <w:color w:val="auto"/>
        </w:rPr>
      </w:pPr>
      <w:r>
        <w:rPr>
          <w:rFonts w:ascii="Times New Roman" w:cs="Times New Roman" w:eastAsia="Times New Roman" w:hAnsi="Times New Roman"/>
          <w:sz w:val="17"/>
          <w:szCs w:val="17"/>
          <w:color w:val="auto"/>
        </w:rPr>
        <w:t>Name: Keyna Skeffington</w:t>
      </w:r>
    </w:p>
    <w:p>
      <w:pPr>
        <w:spacing w:after="0" w:line="2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96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163195</wp:posOffset>
            </wp:positionV>
            <wp:extent cx="1584960" cy="452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4960" cy="45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9"/>
          <w:szCs w:val="19"/>
          <w:color w:val="6D2077"/>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713994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1587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6D2077"/>
        </w:rPr>
        <w:t>LivaNova Reports Fourth Quarter and Full-Year 2020 Results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389" w:lineRule="auto"/>
        <w:rPr>
          <w:sz w:val="20"/>
          <w:szCs w:val="20"/>
          <w:color w:val="auto"/>
        </w:rPr>
      </w:pPr>
      <w:r>
        <w:rPr>
          <w:rFonts w:ascii="Arial" w:cs="Arial" w:eastAsia="Arial" w:hAnsi="Arial"/>
          <w:sz w:val="19"/>
          <w:szCs w:val="19"/>
          <w:b w:val="1"/>
          <w:bCs w:val="1"/>
          <w:color w:val="auto"/>
        </w:rPr>
        <w:t xml:space="preserve">London, February 24, 2021 – </w:t>
      </w:r>
      <w:r>
        <w:rPr>
          <w:rFonts w:ascii="Arial" w:cs="Arial" w:eastAsia="Arial" w:hAnsi="Arial"/>
          <w:sz w:val="19"/>
          <w:szCs w:val="19"/>
          <w:color w:val="auto"/>
        </w:rPr>
        <w:t>LivaNova PLC (NASDAQ: LIVN), a market-leading medical technology and innovation company, today</w:t>
      </w:r>
      <w:r>
        <w:rPr>
          <w:rFonts w:ascii="Arial" w:cs="Arial" w:eastAsia="Arial" w:hAnsi="Arial"/>
          <w:sz w:val="19"/>
          <w:szCs w:val="19"/>
          <w:b w:val="1"/>
          <w:bCs w:val="1"/>
          <w:color w:val="auto"/>
        </w:rPr>
        <w:t xml:space="preserve"> </w:t>
      </w:r>
      <w:r>
        <w:rPr>
          <w:rFonts w:ascii="Arial" w:cs="Arial" w:eastAsia="Arial" w:hAnsi="Arial"/>
          <w:sz w:val="19"/>
          <w:szCs w:val="19"/>
          <w:color w:val="auto"/>
        </w:rPr>
        <w:t>reported results for the quarter and full-year ended December 31, 2020.</w:t>
      </w:r>
    </w:p>
    <w:p>
      <w:pPr>
        <w:spacing w:after="0" w:line="134" w:lineRule="exact"/>
        <w:rPr>
          <w:sz w:val="20"/>
          <w:szCs w:val="20"/>
          <w:color w:val="auto"/>
        </w:rPr>
      </w:pPr>
    </w:p>
    <w:p>
      <w:pPr>
        <w:jc w:val="both"/>
        <w:spacing w:after="0" w:line="333" w:lineRule="auto"/>
        <w:rPr>
          <w:sz w:val="20"/>
          <w:szCs w:val="20"/>
          <w:color w:val="auto"/>
        </w:rPr>
      </w:pPr>
      <w:r>
        <w:rPr>
          <w:rFonts w:ascii="Arial" w:cs="Arial" w:eastAsia="Arial" w:hAnsi="Arial"/>
          <w:sz w:val="19"/>
          <w:szCs w:val="19"/>
          <w:color w:val="auto"/>
        </w:rPr>
        <w:t>For the fourth quarter of 2020, worldwide sales from continuing operations were $269.6 million, a decrease of 6.3 percent on a reported basis and a decline of 7.7 percent on a constant-currency</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basis, as compared to the same quarter of the previous year. On the basis of U.S. Generally Accepted Accounting Principles (GAAP), fourth quarter 2020 diluted loss per share from continuing operations was $5.74. Fourth quarter 2020 adjusted diluted earnings per share from continuing operations was $0.71.</w:t>
      </w:r>
    </w:p>
    <w:p>
      <w:pPr>
        <w:spacing w:after="0" w:line="185" w:lineRule="exact"/>
        <w:rPr>
          <w:sz w:val="20"/>
          <w:szCs w:val="20"/>
          <w:color w:val="auto"/>
        </w:rPr>
      </w:pPr>
    </w:p>
    <w:p>
      <w:pPr>
        <w:jc w:val="both"/>
        <w:spacing w:after="0" w:line="357" w:lineRule="auto"/>
        <w:rPr>
          <w:sz w:val="20"/>
          <w:szCs w:val="20"/>
          <w:color w:val="auto"/>
        </w:rPr>
      </w:pPr>
      <w:r>
        <w:rPr>
          <w:rFonts w:ascii="Arial" w:cs="Arial" w:eastAsia="Arial" w:hAnsi="Arial"/>
          <w:sz w:val="19"/>
          <w:szCs w:val="19"/>
          <w:color w:val="auto"/>
        </w:rPr>
        <w:t>"Sales in all product categories and regions improved sequentially over the third quarter of 2020," said Damien McDonald, Chief Executive Officer of LivaNova. "We start 2021 with three clear objectives: execute on our core growth drivers, achieve the milestones for our pipeline priorities, and continue to execute on initiatives to improve profitability and cash generation. These fundamental objectives, combined with our expectation for declining COVID-19 infection rates, make us optimistic that our 2021 results will improve over the course of the year. We believe our efforts will enable us to most effectively serve our patients and position the company to achieve long-term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348" w:lineRule="auto"/>
        <w:rPr>
          <w:sz w:val="20"/>
          <w:szCs w:val="20"/>
          <w:color w:val="auto"/>
        </w:rPr>
      </w:pPr>
      <w:r>
        <w:rPr>
          <w:rFonts w:ascii="Arial" w:cs="Arial" w:eastAsia="Arial" w:hAnsi="Arial"/>
          <w:sz w:val="13"/>
          <w:szCs w:val="13"/>
          <w:color w:val="auto"/>
          <w:vertAlign w:val="superscript"/>
        </w:rPr>
        <w:t>1</w:t>
      </w:r>
      <w:r>
        <w:rPr>
          <w:rFonts w:ascii="Arial" w:cs="Arial" w:eastAsia="Arial" w:hAnsi="Arial"/>
          <w:sz w:val="10"/>
          <w:szCs w:val="10"/>
          <w:color w:val="auto"/>
        </w:rPr>
        <w:t>Constant-currency percent change is a non-GAAP metric. For an explanation of this and other non-GAAP metrics used in this release, please see the section entitled "Use of Non-GAAP Financial Measures." For reconciliations of certain non-GAAP metrics, please see the tables that accompany the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333"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19"/>
          <w:szCs w:val="19"/>
          <w:b w:val="1"/>
          <w:bCs w:val="1"/>
          <w:u w:val="single" w:color="auto"/>
          <w:color w:val="auto"/>
        </w:rPr>
        <w:t>Fourth Quarter 2020 Results</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The following table summarizes worldwide sales for the fourth quarter of 2020 by business:</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5"/>
                <w:szCs w:val="15"/>
                <w:i w:val="1"/>
                <w:iCs w:val="1"/>
                <w:color w:val="auto"/>
              </w:rPr>
              <w:t>$ in millions</w:t>
            </w:r>
          </w:p>
        </w:tc>
        <w:tc>
          <w:tcPr>
            <w:tcW w:w="3820" w:type="dxa"/>
            <w:vAlign w:val="bottom"/>
            <w:tcBorders>
              <w:top w:val="single" w:sz="8" w:color="auto"/>
              <w:right w:val="single" w:sz="8" w:color="auto"/>
            </w:tcBorders>
            <w:gridSpan w:val="2"/>
            <w:vMerge w:val="restart"/>
          </w:tcPr>
          <w:p>
            <w:pPr>
              <w:jc w:val="right"/>
              <w:ind w:right="435"/>
              <w:spacing w:after="0"/>
              <w:rPr>
                <w:sz w:val="20"/>
                <w:szCs w:val="20"/>
                <w:color w:val="auto"/>
              </w:rPr>
            </w:pPr>
            <w:r>
              <w:rPr>
                <w:rFonts w:ascii="Arial" w:cs="Arial" w:eastAsia="Arial" w:hAnsi="Arial"/>
                <w:sz w:val="17"/>
                <w:szCs w:val="17"/>
                <w:b w:val="1"/>
                <w:bCs w:val="1"/>
                <w:color w:val="auto"/>
              </w:rPr>
              <w:t>Three Months Ended December 31,</w:t>
            </w:r>
          </w:p>
        </w:tc>
        <w:tc>
          <w:tcPr>
            <w:tcW w:w="1740" w:type="dxa"/>
            <w:vAlign w:val="bottom"/>
            <w:tcBorders>
              <w:top w:val="single" w:sz="8" w:color="auto"/>
              <w:right w:val="single" w:sz="8" w:color="auto"/>
            </w:tcBorders>
          </w:tcPr>
          <w:p>
            <w:pPr>
              <w:spacing w:after="0"/>
              <w:rPr>
                <w:sz w:val="19"/>
                <w:szCs w:val="19"/>
                <w:color w:val="auto"/>
              </w:rPr>
            </w:pPr>
          </w:p>
        </w:tc>
        <w:tc>
          <w:tcPr>
            <w:tcW w:w="176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w w:val="98"/>
              </w:rPr>
              <w:t>Constant-Currency</w:t>
            </w:r>
          </w:p>
        </w:tc>
        <w:tc>
          <w:tcPr>
            <w:tcW w:w="0" w:type="dxa"/>
            <w:vAlign w:val="bottom"/>
          </w:tcPr>
          <w:p>
            <w:pPr>
              <w:spacing w:after="0"/>
              <w:rPr>
                <w:sz w:val="1"/>
                <w:szCs w:val="1"/>
                <w:color w:val="auto"/>
              </w:rPr>
            </w:pPr>
          </w:p>
        </w:tc>
      </w:tr>
      <w:tr>
        <w:trPr>
          <w:trHeight w:val="175"/>
        </w:trPr>
        <w:tc>
          <w:tcPr>
            <w:tcW w:w="39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9"/>
                <w:szCs w:val="19"/>
                <w:b w:val="1"/>
                <w:bCs w:val="1"/>
                <w:color w:val="auto"/>
              </w:rPr>
              <w:t>Business / Product Line:</w:t>
            </w:r>
          </w:p>
        </w:tc>
        <w:tc>
          <w:tcPr>
            <w:tcW w:w="3820" w:type="dxa"/>
            <w:vAlign w:val="bottom"/>
            <w:tcBorders>
              <w:bottom w:val="single" w:sz="8" w:color="auto"/>
              <w:right w:val="single" w:sz="8" w:color="auto"/>
            </w:tcBorders>
            <w:gridSpan w:val="2"/>
            <w:vMerge w:val="continue"/>
          </w:tcPr>
          <w:p>
            <w:pPr>
              <w:spacing w:after="0"/>
              <w:rPr>
                <w:sz w:val="14"/>
                <w:szCs w:val="14"/>
                <w:color w:val="auto"/>
              </w:rPr>
            </w:pPr>
          </w:p>
        </w:tc>
        <w:tc>
          <w:tcPr>
            <w:tcW w:w="1740" w:type="dxa"/>
            <w:vAlign w:val="bottom"/>
            <w:tcBorders>
              <w:right w:val="single" w:sz="8" w:color="auto"/>
            </w:tcBorders>
            <w:vMerge w:val="restart"/>
          </w:tcPr>
          <w:p>
            <w:pPr>
              <w:jc w:val="right"/>
              <w:ind w:right="354"/>
              <w:spacing w:after="0"/>
              <w:rPr>
                <w:sz w:val="20"/>
                <w:szCs w:val="20"/>
                <w:color w:val="auto"/>
              </w:rPr>
            </w:pPr>
            <w:r>
              <w:rPr>
                <w:rFonts w:ascii="Arial" w:cs="Arial" w:eastAsia="Arial" w:hAnsi="Arial"/>
                <w:sz w:val="19"/>
                <w:szCs w:val="19"/>
                <w:b w:val="1"/>
                <w:bCs w:val="1"/>
                <w:color w:val="auto"/>
              </w:rPr>
              <w:t>% Change</w:t>
            </w:r>
          </w:p>
        </w:tc>
        <w:tc>
          <w:tcPr>
            <w:tcW w:w="17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96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900" w:type="dxa"/>
            <w:vAlign w:val="bottom"/>
            <w:tcBorders>
              <w:bottom w:val="single" w:sz="8" w:color="auto"/>
              <w:right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2020</w:t>
            </w:r>
          </w:p>
        </w:tc>
        <w:tc>
          <w:tcPr>
            <w:tcW w:w="1920" w:type="dxa"/>
            <w:vAlign w:val="bottom"/>
            <w:tcBorders>
              <w:bottom w:val="single" w:sz="8" w:color="auto"/>
              <w:right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2019</w:t>
            </w:r>
          </w:p>
        </w:tc>
        <w:tc>
          <w:tcPr>
            <w:tcW w:w="1740" w:type="dxa"/>
            <w:vAlign w:val="bottom"/>
            <w:tcBorders>
              <w:bottom w:val="single" w:sz="8" w:color="auto"/>
              <w:right w:val="single" w:sz="8" w:color="auto"/>
            </w:tcBorders>
            <w:vMerge w:val="continue"/>
          </w:tcPr>
          <w:p>
            <w:pPr>
              <w:spacing w:after="0"/>
              <w:rPr>
                <w:sz w:val="20"/>
                <w:szCs w:val="20"/>
                <w:color w:val="auto"/>
              </w:rPr>
            </w:pPr>
          </w:p>
        </w:tc>
        <w:tc>
          <w:tcPr>
            <w:tcW w:w="1760" w:type="dxa"/>
            <w:vAlign w:val="bottom"/>
            <w:tcBorders>
              <w:bottom w:val="single" w:sz="8" w:color="auto"/>
              <w:right w:val="single" w:sz="8" w:color="auto"/>
            </w:tcBorders>
          </w:tcPr>
          <w:p>
            <w:pPr>
              <w:jc w:val="right"/>
              <w:ind w:right="353"/>
              <w:spacing w:after="0"/>
              <w:rPr>
                <w:sz w:val="20"/>
                <w:szCs w:val="20"/>
                <w:color w:val="auto"/>
              </w:rPr>
            </w:pPr>
            <w:r>
              <w:rPr>
                <w:rFonts w:ascii="Arial" w:cs="Arial" w:eastAsia="Arial" w:hAnsi="Arial"/>
                <w:sz w:val="19"/>
                <w:szCs w:val="19"/>
                <w:b w:val="1"/>
                <w:bCs w:val="1"/>
                <w:color w:val="auto"/>
              </w:rPr>
              <w:t>% Change</w:t>
            </w:r>
          </w:p>
        </w:tc>
        <w:tc>
          <w:tcPr>
            <w:tcW w:w="0" w:type="dxa"/>
            <w:vAlign w:val="bottom"/>
          </w:tcPr>
          <w:p>
            <w:pPr>
              <w:spacing w:after="0"/>
              <w:rPr>
                <w:sz w:val="1"/>
                <w:szCs w:val="1"/>
                <w:color w:val="auto"/>
              </w:rPr>
            </w:pPr>
          </w:p>
        </w:tc>
      </w:tr>
      <w:tr>
        <w:trPr>
          <w:trHeight w:val="216"/>
        </w:trPr>
        <w:tc>
          <w:tcPr>
            <w:tcW w:w="39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Cardiopulmonary</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$122.1</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$132.6</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39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Heart Valves</w:t>
            </w:r>
          </w:p>
        </w:tc>
        <w:tc>
          <w:tcPr>
            <w:tcW w:w="19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i w:val="1"/>
                <w:iCs w:val="1"/>
                <w:color w:val="auto"/>
              </w:rPr>
              <w:t>24.2</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i w:val="1"/>
                <w:iCs w:val="1"/>
                <w:color w:val="auto"/>
              </w:rPr>
              <w:t>32.1</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(24.6)%</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09"/>
        </w:trPr>
        <w:tc>
          <w:tcPr>
            <w:tcW w:w="39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Advanced Circulatory Support</w:t>
            </w:r>
          </w:p>
        </w:tc>
        <w:tc>
          <w:tcPr>
            <w:tcW w:w="19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i w:val="1"/>
                <w:iCs w:val="1"/>
                <w:color w:val="auto"/>
              </w:rPr>
              <w:t>13.3</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i w:val="1"/>
                <w:iCs w:val="1"/>
                <w:color w:val="auto"/>
              </w:rPr>
              <w:t>8.8</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50.4 %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50.3 %</w:t>
            </w:r>
          </w:p>
        </w:tc>
        <w:tc>
          <w:tcPr>
            <w:tcW w:w="0" w:type="dxa"/>
            <w:vAlign w:val="bottom"/>
          </w:tcPr>
          <w:p>
            <w:pPr>
              <w:spacing w:after="0"/>
              <w:rPr>
                <w:sz w:val="1"/>
                <w:szCs w:val="1"/>
                <w:color w:val="auto"/>
              </w:rPr>
            </w:pPr>
          </w:p>
        </w:tc>
      </w:tr>
      <w:tr>
        <w:trPr>
          <w:trHeight w:val="209"/>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Cardiovascular</w:t>
            </w:r>
          </w:p>
        </w:tc>
        <w:tc>
          <w:tcPr>
            <w:tcW w:w="19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color w:val="auto"/>
              </w:rPr>
              <w:t>159.6</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color w:val="auto"/>
              </w:rPr>
              <w:t>173.5</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9"/>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Neuromodulation</w:t>
            </w:r>
          </w:p>
        </w:tc>
        <w:tc>
          <w:tcPr>
            <w:tcW w:w="19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color w:val="auto"/>
              </w:rPr>
              <w:t>109.2</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color w:val="auto"/>
              </w:rPr>
              <w:t>113.1</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09"/>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Other</w:t>
            </w:r>
          </w:p>
        </w:tc>
        <w:tc>
          <w:tcPr>
            <w:tcW w:w="190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color w:val="auto"/>
              </w:rPr>
              <w:t>0.8</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color w:val="auto"/>
              </w:rPr>
              <w:t>1.0</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(22.8)%</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09"/>
        </w:trPr>
        <w:tc>
          <w:tcPr>
            <w:tcW w:w="39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Total Net Sales</w:t>
            </w:r>
          </w:p>
        </w:tc>
        <w:tc>
          <w:tcPr>
            <w:tcW w:w="1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$269.6</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$287.6</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39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both"/>
        <w:ind w:left="260" w:right="20" w:hanging="238"/>
        <w:spacing w:after="0" w:line="271" w:lineRule="auto"/>
        <w:tabs>
          <w:tab w:leader="none" w:pos="212" w:val="left"/>
        </w:tabs>
        <w:numPr>
          <w:ilvl w:val="0"/>
          <w:numId w:val="3"/>
        </w:numPr>
        <w:rPr>
          <w:rFonts w:ascii="Arial" w:cs="Arial" w:eastAsia="Arial" w:hAnsi="Arial"/>
          <w:sz w:val="15"/>
          <w:szCs w:val="15"/>
          <w:color w:val="auto"/>
        </w:rPr>
      </w:pPr>
      <w:r>
        <w:rPr>
          <w:rFonts w:ascii="Arial" w:cs="Arial" w:eastAsia="Arial" w:hAnsi="Arial"/>
          <w:sz w:val="15"/>
          <w:szCs w:val="15"/>
          <w:color w:val="auto"/>
        </w:rPr>
        <w:t>Note: Numbers may not add precisely due to rounding. Constant-currency percent change is a non-GAAP metric. For an explanation of this and other non-GAAP metrics used in this release, please see the section entitled "Use of Non-GAAP Financial Measures." For reconciliations of certain non-GAAP metrics, please see the tables that accompany the press release.</w:t>
      </w:r>
    </w:p>
    <w:p>
      <w:pPr>
        <w:spacing w:after="0" w:line="323" w:lineRule="exact"/>
        <w:rPr>
          <w:sz w:val="20"/>
          <w:szCs w:val="20"/>
          <w:color w:val="auto"/>
        </w:rPr>
      </w:pPr>
    </w:p>
    <w:p>
      <w:pPr>
        <w:jc w:val="both"/>
        <w:ind w:left="20" w:right="20"/>
        <w:spacing w:after="0" w:line="387" w:lineRule="auto"/>
        <w:rPr>
          <w:sz w:val="20"/>
          <w:szCs w:val="20"/>
          <w:color w:val="auto"/>
        </w:rPr>
      </w:pPr>
      <w:r>
        <w:rPr>
          <w:rFonts w:ascii="Arial" w:cs="Arial" w:eastAsia="Arial" w:hAnsi="Arial"/>
          <w:sz w:val="19"/>
          <w:szCs w:val="19"/>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9"/>
          <w:szCs w:val="19"/>
          <w:b w:val="1"/>
          <w:bCs w:val="1"/>
          <w:u w:val="single" w:color="auto"/>
          <w:color w:val="auto"/>
        </w:rPr>
        <w:t>Cardiovascular</w:t>
      </w:r>
    </w:p>
    <w:p>
      <w:pPr>
        <w:spacing w:after="0" w:line="306" w:lineRule="exact"/>
        <w:rPr>
          <w:sz w:val="20"/>
          <w:szCs w:val="20"/>
          <w:color w:val="auto"/>
        </w:rPr>
      </w:pPr>
    </w:p>
    <w:p>
      <w:pPr>
        <w:jc w:val="both"/>
        <w:ind w:left="20" w:right="20"/>
        <w:spacing w:after="0" w:line="387" w:lineRule="auto"/>
        <w:rPr>
          <w:sz w:val="20"/>
          <w:szCs w:val="20"/>
          <w:color w:val="auto"/>
        </w:rPr>
      </w:pPr>
      <w:r>
        <w:rPr>
          <w:rFonts w:ascii="Arial" w:cs="Arial" w:eastAsia="Arial" w:hAnsi="Arial"/>
          <w:sz w:val="19"/>
          <w:szCs w:val="19"/>
          <w:color w:val="auto"/>
        </w:rPr>
        <w:t>Cardiovascular sales, which include Cardiopulmonary, Heart Valves and Advanced Circulatory Support (ACS) products, were $159.6 million, representing a 10.1 percent decrease versus the fourth quarter of 2019.</w:t>
      </w:r>
    </w:p>
    <w:p>
      <w:pPr>
        <w:spacing w:after="0" w:line="136" w:lineRule="exact"/>
        <w:rPr>
          <w:sz w:val="20"/>
          <w:szCs w:val="20"/>
          <w:color w:val="auto"/>
        </w:rPr>
      </w:pPr>
    </w:p>
    <w:p>
      <w:pPr>
        <w:jc w:val="both"/>
        <w:ind w:left="20" w:right="20"/>
        <w:spacing w:after="0" w:line="368" w:lineRule="auto"/>
        <w:rPr>
          <w:sz w:val="20"/>
          <w:szCs w:val="20"/>
          <w:color w:val="auto"/>
        </w:rPr>
      </w:pPr>
      <w:r>
        <w:rPr>
          <w:rFonts w:ascii="Arial" w:cs="Arial" w:eastAsia="Arial" w:hAnsi="Arial"/>
          <w:sz w:val="19"/>
          <w:szCs w:val="19"/>
          <w:color w:val="auto"/>
        </w:rPr>
        <w:t>Sales in Cardiopulmonary products were $122.1 million, representing a 10.0 percent decline versus the fourth quarter of 2019. The sales decline was related to the impact of COVID-19 on cardiac surgery procedure volumes and a slowdown in capital equipment purchases.</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9"/>
          <w:szCs w:val="19"/>
          <w:color w:val="auto"/>
        </w:rPr>
        <w:t>Heart Valve sales were $24.2 million, a decrease of 27.2 percent compared to the fourth quarter of 2019.</w:t>
      </w:r>
    </w:p>
    <w:p>
      <w:pPr>
        <w:spacing w:after="0" w:line="304" w:lineRule="exact"/>
        <w:rPr>
          <w:sz w:val="20"/>
          <w:szCs w:val="20"/>
          <w:color w:val="auto"/>
        </w:rPr>
      </w:pPr>
    </w:p>
    <w:p>
      <w:pPr>
        <w:jc w:val="both"/>
        <w:ind w:left="20" w:right="20"/>
        <w:spacing w:after="0" w:line="387" w:lineRule="auto"/>
        <w:rPr>
          <w:sz w:val="20"/>
          <w:szCs w:val="20"/>
          <w:color w:val="auto"/>
        </w:rPr>
      </w:pPr>
      <w:r>
        <w:rPr>
          <w:rFonts w:ascii="Arial" w:cs="Arial" w:eastAsia="Arial" w:hAnsi="Arial"/>
          <w:sz w:val="19"/>
          <w:szCs w:val="19"/>
          <w:color w:val="auto"/>
        </w:rPr>
        <w:t>ACS sales were $13.3 million in the quarter, an increase of 50.3 percent compared to the fourth quarter of 2019, due to the continued U.S. rollout of LifeSPARC™ and an increase in acute respiratory distress procedure volumes.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80"/>
          </w:cols>
          <w:pgMar w:left="300" w:top="1434" w:right="319" w:bottom="1440" w:gutter="0" w:footer="0" w:header="0"/>
        </w:sectPr>
      </w:pPr>
    </w:p>
    <w:bookmarkStart w:id="5" w:name="page6"/>
    <w:bookmarkEnd w:id="5"/>
    <w:p>
      <w:pPr>
        <w:spacing w:after="0" w:line="4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Neuromodulation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Neuromodulation sales were $109.2 million in the fourth quarter, representing a 3.8 percent decrease versus the fourth quarter of 2019.</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This decline was primarily related to the impact of COVID-19 on procedure volumes globally.</w:t>
      </w:r>
    </w:p>
    <w:p>
      <w:pPr>
        <w:spacing w:after="0" w:line="31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Financial Performance</w:t>
      </w:r>
    </w:p>
    <w:p>
      <w:pPr>
        <w:spacing w:after="0" w:line="306" w:lineRule="exact"/>
        <w:rPr>
          <w:sz w:val="20"/>
          <w:szCs w:val="20"/>
          <w:color w:val="auto"/>
        </w:rPr>
      </w:pPr>
    </w:p>
    <w:p>
      <w:pPr>
        <w:jc w:val="both"/>
        <w:spacing w:after="0" w:line="357" w:lineRule="auto"/>
        <w:rPr>
          <w:sz w:val="20"/>
          <w:szCs w:val="20"/>
          <w:color w:val="auto"/>
        </w:rPr>
      </w:pPr>
      <w:r>
        <w:rPr>
          <w:rFonts w:ascii="Arial" w:cs="Arial" w:eastAsia="Arial" w:hAnsi="Arial"/>
          <w:sz w:val="19"/>
          <w:szCs w:val="19"/>
          <w:color w:val="auto"/>
        </w:rPr>
        <w:t>On a U.S. GAAP basis, fourth quarter 2020 operating loss from continuing operations was $247.7 million, which includes an impairment charge of $208.2 million primarily related to the anticipated sale of the Heart Valve business and a $42.2 million provision for future obligations relating to hazardous substances from former operations at the Saluggia, Italy campus. Adjusted operating income from continuing operations for the fourth quarter of 2020 was $48.6 million, a decrease of 12.1 percent as compared to the fourth quarter of 2019, related to the revenue impact from COVID-19, partially offset by a reduction in adjusted selling, general and administrative (SG&amp;A) expenses.</w:t>
      </w:r>
    </w:p>
    <w:p>
      <w:pPr>
        <w:spacing w:after="0" w:line="164" w:lineRule="exact"/>
        <w:rPr>
          <w:sz w:val="20"/>
          <w:szCs w:val="20"/>
          <w:color w:val="auto"/>
        </w:rPr>
      </w:pPr>
    </w:p>
    <w:p>
      <w:pPr>
        <w:jc w:val="both"/>
        <w:spacing w:after="0" w:line="368" w:lineRule="auto"/>
        <w:rPr>
          <w:sz w:val="20"/>
          <w:szCs w:val="20"/>
          <w:color w:val="auto"/>
        </w:rPr>
      </w:pPr>
      <w:r>
        <w:rPr>
          <w:rFonts w:ascii="Arial" w:cs="Arial" w:eastAsia="Arial" w:hAnsi="Arial"/>
          <w:sz w:val="19"/>
          <w:szCs w:val="19"/>
          <w:color w:val="auto"/>
        </w:rPr>
        <w:t>On a U.S. GAAP basis, fourth quarter 2020 effective tax rate was 6.2 percent, as compared to 4.5 percent in the fourth quarter of 2019. The adjusted effective tax rate in the quarter was a negative 0.1 percent, as compared to 5.3 percent in the fourth quarter of 2019, related to changes in the geographic income mix offset by a partial valuation allowance in the U.S.</w:t>
      </w:r>
    </w:p>
    <w:p>
      <w:pPr>
        <w:spacing w:after="0" w:line="154" w:lineRule="exact"/>
        <w:rPr>
          <w:sz w:val="20"/>
          <w:szCs w:val="20"/>
          <w:color w:val="auto"/>
        </w:rPr>
      </w:pPr>
    </w:p>
    <w:p>
      <w:pPr>
        <w:jc w:val="both"/>
        <w:spacing w:after="0" w:line="422" w:lineRule="auto"/>
        <w:rPr>
          <w:sz w:val="20"/>
          <w:szCs w:val="20"/>
          <w:color w:val="auto"/>
        </w:rPr>
      </w:pPr>
      <w:r>
        <w:rPr>
          <w:rFonts w:ascii="Arial" w:cs="Arial" w:eastAsia="Arial" w:hAnsi="Arial"/>
          <w:sz w:val="18"/>
          <w:szCs w:val="18"/>
          <w:color w:val="auto"/>
        </w:rPr>
        <w:t>On a U.S. GAAP basis, fourth quarter 2020 diluted loss per share from continuing operations was $5.74. Fourth quarter 2020 adjusted diluted earnings per share from continuing operations was $0.71, as compared to $1.00 per share in the fourth quarter of 2019.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288" w:lineRule="exact"/>
        <w:rPr>
          <w:sz w:val="20"/>
          <w:szCs w:val="20"/>
          <w:color w:val="auto"/>
        </w:rPr>
      </w:pPr>
    </w:p>
    <w:p>
      <w:pPr>
        <w:ind w:left="20"/>
        <w:spacing w:after="0"/>
        <w:rPr>
          <w:sz w:val="20"/>
          <w:szCs w:val="20"/>
          <w:color w:val="auto"/>
        </w:rPr>
      </w:pPr>
      <w:r>
        <w:rPr>
          <w:rFonts w:ascii="Arial" w:cs="Arial" w:eastAsia="Arial" w:hAnsi="Arial"/>
          <w:sz w:val="19"/>
          <w:szCs w:val="19"/>
          <w:b w:val="1"/>
          <w:bCs w:val="1"/>
          <w:u w:val="single" w:color="auto"/>
          <w:color w:val="auto"/>
        </w:rPr>
        <w:t>Full-Year 2020 Results</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The following table summarizes worldwide sales for the full-year 2020 by business:</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9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5"/>
                <w:szCs w:val="15"/>
                <w:i w:val="1"/>
                <w:iCs w:val="1"/>
                <w:color w:val="auto"/>
              </w:rPr>
              <w:t>$ in millions</w:t>
            </w:r>
          </w:p>
        </w:tc>
        <w:tc>
          <w:tcPr>
            <w:tcW w:w="3840" w:type="dxa"/>
            <w:vAlign w:val="bottom"/>
            <w:tcBorders>
              <w:top w:val="single" w:sz="8" w:color="auto"/>
              <w:right w:val="single" w:sz="8" w:color="auto"/>
            </w:tcBorders>
            <w:gridSpan w:val="2"/>
            <w:vMerge w:val="restart"/>
          </w:tcPr>
          <w:p>
            <w:pPr>
              <w:jc w:val="right"/>
              <w:ind w:right="395"/>
              <w:spacing w:after="0"/>
              <w:rPr>
                <w:sz w:val="20"/>
                <w:szCs w:val="20"/>
                <w:color w:val="auto"/>
              </w:rPr>
            </w:pPr>
            <w:r>
              <w:rPr>
                <w:rFonts w:ascii="Arial" w:cs="Arial" w:eastAsia="Arial" w:hAnsi="Arial"/>
                <w:sz w:val="17"/>
                <w:szCs w:val="17"/>
                <w:b w:val="1"/>
                <w:bCs w:val="1"/>
                <w:color w:val="auto"/>
              </w:rPr>
              <w:t>Twelve Months Ended December 31,</w:t>
            </w:r>
          </w:p>
        </w:tc>
        <w:tc>
          <w:tcPr>
            <w:tcW w:w="1740" w:type="dxa"/>
            <w:vAlign w:val="bottom"/>
            <w:tcBorders>
              <w:top w:val="single" w:sz="8" w:color="auto"/>
              <w:right w:val="single" w:sz="8" w:color="auto"/>
            </w:tcBorders>
          </w:tcPr>
          <w:p>
            <w:pPr>
              <w:spacing w:after="0"/>
              <w:rPr>
                <w:sz w:val="19"/>
                <w:szCs w:val="19"/>
                <w:color w:val="auto"/>
              </w:rPr>
            </w:pPr>
          </w:p>
        </w:tc>
        <w:tc>
          <w:tcPr>
            <w:tcW w:w="176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9"/>
                <w:szCs w:val="19"/>
                <w:b w:val="1"/>
                <w:bCs w:val="1"/>
                <w:color w:val="auto"/>
                <w:w w:val="98"/>
              </w:rPr>
              <w:t>Constant-Currency</w:t>
            </w:r>
          </w:p>
        </w:tc>
        <w:tc>
          <w:tcPr>
            <w:tcW w:w="0" w:type="dxa"/>
            <w:vAlign w:val="bottom"/>
          </w:tcPr>
          <w:p>
            <w:pPr>
              <w:spacing w:after="0"/>
              <w:rPr>
                <w:sz w:val="1"/>
                <w:szCs w:val="1"/>
                <w:color w:val="auto"/>
              </w:rPr>
            </w:pPr>
          </w:p>
        </w:tc>
      </w:tr>
      <w:tr>
        <w:trPr>
          <w:trHeight w:val="175"/>
        </w:trPr>
        <w:tc>
          <w:tcPr>
            <w:tcW w:w="394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9"/>
                <w:szCs w:val="19"/>
                <w:b w:val="1"/>
                <w:bCs w:val="1"/>
                <w:color w:val="auto"/>
              </w:rPr>
              <w:t>Business / Product Line:</w:t>
            </w:r>
          </w:p>
        </w:tc>
        <w:tc>
          <w:tcPr>
            <w:tcW w:w="3840" w:type="dxa"/>
            <w:vAlign w:val="bottom"/>
            <w:tcBorders>
              <w:bottom w:val="single" w:sz="8" w:color="auto"/>
              <w:right w:val="single" w:sz="8" w:color="auto"/>
            </w:tcBorders>
            <w:gridSpan w:val="2"/>
            <w:vMerge w:val="continue"/>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94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920" w:type="dxa"/>
            <w:vAlign w:val="bottom"/>
            <w:tcBorders>
              <w:bottom w:val="single" w:sz="8" w:color="auto"/>
              <w:right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2020</w:t>
            </w:r>
          </w:p>
        </w:tc>
        <w:tc>
          <w:tcPr>
            <w:tcW w:w="1920" w:type="dxa"/>
            <w:vAlign w:val="bottom"/>
            <w:tcBorders>
              <w:bottom w:val="single" w:sz="8" w:color="auto"/>
              <w:right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2019</w:t>
            </w:r>
          </w:p>
        </w:tc>
        <w:tc>
          <w:tcPr>
            <w:tcW w:w="1740" w:type="dxa"/>
            <w:vAlign w:val="bottom"/>
            <w:tcBorders>
              <w:bottom w:val="single" w:sz="8" w:color="auto"/>
              <w:right w:val="single" w:sz="8" w:color="auto"/>
            </w:tcBorders>
          </w:tcPr>
          <w:p>
            <w:pPr>
              <w:jc w:val="right"/>
              <w:ind w:right="354"/>
              <w:spacing w:after="0"/>
              <w:rPr>
                <w:sz w:val="20"/>
                <w:szCs w:val="20"/>
                <w:color w:val="auto"/>
              </w:rPr>
            </w:pPr>
            <w:r>
              <w:rPr>
                <w:rFonts w:ascii="Arial" w:cs="Arial" w:eastAsia="Arial" w:hAnsi="Arial"/>
                <w:sz w:val="19"/>
                <w:szCs w:val="19"/>
                <w:b w:val="1"/>
                <w:bCs w:val="1"/>
                <w:color w:val="auto"/>
              </w:rPr>
              <w:t>% Change</w:t>
            </w:r>
          </w:p>
        </w:tc>
        <w:tc>
          <w:tcPr>
            <w:tcW w:w="1760" w:type="dxa"/>
            <w:vAlign w:val="bottom"/>
            <w:tcBorders>
              <w:bottom w:val="single" w:sz="8" w:color="auto"/>
              <w:right w:val="single" w:sz="8" w:color="auto"/>
            </w:tcBorders>
          </w:tcPr>
          <w:p>
            <w:pPr>
              <w:jc w:val="right"/>
              <w:ind w:right="353"/>
              <w:spacing w:after="0"/>
              <w:rPr>
                <w:sz w:val="20"/>
                <w:szCs w:val="20"/>
                <w:color w:val="auto"/>
              </w:rPr>
            </w:pPr>
            <w:r>
              <w:rPr>
                <w:rFonts w:ascii="Arial" w:cs="Arial" w:eastAsia="Arial" w:hAnsi="Arial"/>
                <w:sz w:val="19"/>
                <w:szCs w:val="19"/>
                <w:b w:val="1"/>
                <w:bCs w:val="1"/>
                <w:color w:val="auto"/>
              </w:rPr>
              <w:t>% Change</w:t>
            </w:r>
          </w:p>
        </w:tc>
        <w:tc>
          <w:tcPr>
            <w:tcW w:w="0" w:type="dxa"/>
            <w:vAlign w:val="bottom"/>
          </w:tcPr>
          <w:p>
            <w:pPr>
              <w:spacing w:after="0"/>
              <w:rPr>
                <w:sz w:val="1"/>
                <w:szCs w:val="1"/>
                <w:color w:val="auto"/>
              </w:rPr>
            </w:pPr>
          </w:p>
        </w:tc>
      </w:tr>
      <w:tr>
        <w:trPr>
          <w:trHeight w:val="216"/>
        </w:trPr>
        <w:tc>
          <w:tcPr>
            <w:tcW w:w="3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Cardiopulmonary</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$446.7</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i w:val="1"/>
                <w:iCs w:val="1"/>
                <w:color w:val="auto"/>
              </w:rPr>
              <w:t>$504.7</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209"/>
        </w:trPr>
        <w:tc>
          <w:tcPr>
            <w:tcW w:w="3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Heart Valves</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i w:val="1"/>
                <w:iCs w:val="1"/>
                <w:color w:val="auto"/>
              </w:rPr>
              <w:t>88.0</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i w:val="1"/>
                <w:iCs w:val="1"/>
                <w:color w:val="auto"/>
              </w:rPr>
              <w:t>120.0</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209"/>
        </w:trPr>
        <w:tc>
          <w:tcPr>
            <w:tcW w:w="39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Advanced Circulatory Support</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i w:val="1"/>
                <w:iCs w:val="1"/>
                <w:color w:val="auto"/>
              </w:rPr>
              <w:t>42.3</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i w:val="1"/>
                <w:iCs w:val="1"/>
                <w:color w:val="auto"/>
              </w:rPr>
              <w:t>31.9</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32.6 %</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32.6 %</w:t>
            </w:r>
          </w:p>
        </w:tc>
        <w:tc>
          <w:tcPr>
            <w:tcW w:w="0" w:type="dxa"/>
            <w:vAlign w:val="bottom"/>
          </w:tcPr>
          <w:p>
            <w:pPr>
              <w:spacing w:after="0"/>
              <w:rPr>
                <w:sz w:val="1"/>
                <w:szCs w:val="1"/>
                <w:color w:val="auto"/>
              </w:rPr>
            </w:pPr>
          </w:p>
        </w:tc>
      </w:tr>
      <w:tr>
        <w:trPr>
          <w:trHeight w:val="209"/>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Cardiovascular</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color w:val="auto"/>
              </w:rPr>
              <w:t>577.1</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color w:val="auto"/>
              </w:rPr>
              <w:t>656.6</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9"/>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Neuromodulation</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color w:val="auto"/>
              </w:rPr>
              <w:t>354.4</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color w:val="auto"/>
              </w:rPr>
              <w:t>424.5</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(16.5)%</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9"/>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Other</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color w:val="auto"/>
              </w:rPr>
              <w:t>2.7</w:t>
            </w:r>
          </w:p>
        </w:tc>
        <w:tc>
          <w:tcPr>
            <w:tcW w:w="1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7"/>
                <w:szCs w:val="17"/>
                <w:color w:val="auto"/>
              </w:rPr>
              <w:t>3.0</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9"/>
        </w:trPr>
        <w:tc>
          <w:tcPr>
            <w:tcW w:w="39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Total Net Sales</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$934.2</w:t>
            </w:r>
          </w:p>
        </w:tc>
        <w:tc>
          <w:tcPr>
            <w:tcW w:w="1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$1,084.2</w:t>
            </w: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1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both"/>
        <w:ind w:left="260" w:right="20" w:hanging="238"/>
        <w:spacing w:after="0" w:line="271" w:lineRule="auto"/>
        <w:tabs>
          <w:tab w:leader="none" w:pos="258" w:val="left"/>
        </w:tabs>
        <w:numPr>
          <w:ilvl w:val="0"/>
          <w:numId w:val="4"/>
        </w:numPr>
        <w:rPr>
          <w:rFonts w:ascii="Arial" w:cs="Arial" w:eastAsia="Arial" w:hAnsi="Arial"/>
          <w:sz w:val="7"/>
          <w:szCs w:val="7"/>
          <w:color w:val="auto"/>
        </w:rPr>
      </w:pPr>
      <w:r>
        <w:rPr>
          <w:rFonts w:ascii="Arial" w:cs="Arial" w:eastAsia="Arial" w:hAnsi="Arial"/>
          <w:sz w:val="15"/>
          <w:szCs w:val="15"/>
          <w:color w:val="auto"/>
        </w:rPr>
        <w:t>Note: Numbers may not add precisely due to rounding. Constant-currency percent change is a non-GAAP metric. For an explanation of this and other non-GAAP metrics used in this release, please see the section entitled "Use of Non-GAAP Financial Measures." For reconciliations of certain non-GAAP metrics, please see the tables that accompany the press release.</w:t>
      </w:r>
    </w:p>
    <w:p>
      <w:pPr>
        <w:spacing w:after="0" w:line="323" w:lineRule="exact"/>
        <w:rPr>
          <w:sz w:val="20"/>
          <w:szCs w:val="20"/>
          <w:color w:val="auto"/>
        </w:rPr>
      </w:pPr>
    </w:p>
    <w:p>
      <w:pPr>
        <w:ind w:left="20" w:right="20"/>
        <w:spacing w:after="0" w:line="387" w:lineRule="auto"/>
        <w:rPr>
          <w:sz w:val="20"/>
          <w:szCs w:val="20"/>
          <w:color w:val="auto"/>
        </w:rPr>
      </w:pPr>
      <w:r>
        <w:rPr>
          <w:rFonts w:ascii="Arial" w:cs="Arial" w:eastAsia="Arial" w:hAnsi="Arial"/>
          <w:sz w:val="19"/>
          <w:szCs w:val="19"/>
          <w:color w:val="auto"/>
        </w:rPr>
        <w:t>All sales growth rates below reflect comparable, constant-currency growth. Constant-currency growth accounts for the impact from fluctuations in the various currencies in which the Company operates as compared to reported growth.</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9"/>
          <w:szCs w:val="19"/>
          <w:b w:val="1"/>
          <w:bCs w:val="1"/>
          <w:u w:val="single" w:color="auto"/>
          <w:color w:val="auto"/>
        </w:rPr>
        <w:t>Cardiovascular</w:t>
      </w:r>
    </w:p>
    <w:p>
      <w:pPr>
        <w:spacing w:after="0" w:line="306" w:lineRule="exact"/>
        <w:rPr>
          <w:sz w:val="20"/>
          <w:szCs w:val="20"/>
          <w:color w:val="auto"/>
        </w:rPr>
      </w:pPr>
    </w:p>
    <w:p>
      <w:pPr>
        <w:ind w:left="20" w:right="20"/>
        <w:spacing w:after="0" w:line="387" w:lineRule="auto"/>
        <w:rPr>
          <w:sz w:val="20"/>
          <w:szCs w:val="20"/>
          <w:color w:val="auto"/>
        </w:rPr>
      </w:pPr>
      <w:r>
        <w:rPr>
          <w:rFonts w:ascii="Arial" w:cs="Arial" w:eastAsia="Arial" w:hAnsi="Arial"/>
          <w:sz w:val="19"/>
          <w:szCs w:val="19"/>
          <w:color w:val="auto"/>
        </w:rPr>
        <w:t>Cardiovascular sales, which include Cardiopulmonary, Heart Valves and ACS products, were $577.1 million, representing a 12.0 percent decrease versus full-year 2019.</w:t>
      </w:r>
    </w:p>
    <w:p>
      <w:pPr>
        <w:spacing w:after="0" w:line="136" w:lineRule="exact"/>
        <w:rPr>
          <w:sz w:val="20"/>
          <w:szCs w:val="20"/>
          <w:color w:val="auto"/>
        </w:rPr>
      </w:pPr>
    </w:p>
    <w:p>
      <w:pPr>
        <w:ind w:left="20" w:right="20"/>
        <w:spacing w:after="0" w:line="422" w:lineRule="auto"/>
        <w:rPr>
          <w:sz w:val="20"/>
          <w:szCs w:val="20"/>
          <w:color w:val="auto"/>
        </w:rPr>
      </w:pPr>
      <w:r>
        <w:rPr>
          <w:rFonts w:ascii="Arial" w:cs="Arial" w:eastAsia="Arial" w:hAnsi="Arial"/>
          <w:sz w:val="18"/>
          <w:szCs w:val="18"/>
          <w:color w:val="auto"/>
        </w:rPr>
        <w:t>Sales in Cardiopulmonary products were $446.7 million, representing an 11.4 percent decline versus full-year 2019. For 2020, the sales decline was related to the impact of COVID-19 on cardiac surgery procedure volumes and a slowdown in capital equipment purchases.</w:t>
      </w:r>
    </w:p>
    <w:p>
      <w:pPr>
        <w:spacing w:after="0" w:line="113" w:lineRule="exact"/>
        <w:rPr>
          <w:sz w:val="20"/>
          <w:szCs w:val="20"/>
          <w:color w:val="auto"/>
        </w:rPr>
      </w:pPr>
    </w:p>
    <w:p>
      <w:pPr>
        <w:ind w:left="20" w:right="20"/>
        <w:spacing w:after="0" w:line="387" w:lineRule="auto"/>
        <w:rPr>
          <w:sz w:val="20"/>
          <w:szCs w:val="20"/>
          <w:color w:val="auto"/>
        </w:rPr>
      </w:pPr>
      <w:r>
        <w:rPr>
          <w:rFonts w:ascii="Arial" w:cs="Arial" w:eastAsia="Arial" w:hAnsi="Arial"/>
          <w:sz w:val="19"/>
          <w:szCs w:val="19"/>
          <w:color w:val="auto"/>
        </w:rPr>
        <w:t>Heart Valve sales were $88.0 million, a decrease of 26.6 percent compared to full-year 2019 due to the impact of COVID-19 on surgical valve replacement procedures.</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9"/>
          <w:szCs w:val="19"/>
          <w:color w:val="auto"/>
        </w:rPr>
        <w:t>ACS sales were $42.3 million, an increase of 32.6 percent compared to 2019, primarily due to the U.S. launch of LifeSPARC.</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80"/>
          </w:cols>
          <w:pgMar w:left="300" w:top="1440" w:right="319" w:bottom="1440" w:gutter="0" w:footer="0" w:header="0"/>
        </w:sectPr>
      </w:pPr>
    </w:p>
    <w:bookmarkStart w:id="7" w:name="page8"/>
    <w:bookmarkEnd w:id="7"/>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Neuromodulation</w:t>
      </w:r>
    </w:p>
    <w:p>
      <w:pPr>
        <w:spacing w:after="0" w:line="306" w:lineRule="exact"/>
        <w:rPr>
          <w:sz w:val="20"/>
          <w:szCs w:val="20"/>
          <w:color w:val="auto"/>
        </w:rPr>
      </w:pPr>
    </w:p>
    <w:p>
      <w:pPr>
        <w:jc w:val="both"/>
        <w:spacing w:after="0" w:line="387" w:lineRule="auto"/>
        <w:rPr>
          <w:sz w:val="20"/>
          <w:szCs w:val="20"/>
          <w:color w:val="auto"/>
        </w:rPr>
      </w:pPr>
      <w:r>
        <w:rPr>
          <w:rFonts w:ascii="Arial" w:cs="Arial" w:eastAsia="Arial" w:hAnsi="Arial"/>
          <w:sz w:val="19"/>
          <w:szCs w:val="19"/>
          <w:color w:val="auto"/>
        </w:rPr>
        <w:t>Neuromodulation sales were $354.4 million for full-year 2020, representing a 16.4 percent decrease versus 2019. This decline was primarily related to the impact of COVID-19 on procedure volumes globally.</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Financial Performance</w:t>
      </w:r>
    </w:p>
    <w:p>
      <w:pPr>
        <w:spacing w:after="0" w:line="306" w:lineRule="exact"/>
        <w:rPr>
          <w:sz w:val="20"/>
          <w:szCs w:val="20"/>
          <w:color w:val="auto"/>
        </w:rPr>
      </w:pPr>
    </w:p>
    <w:p>
      <w:pPr>
        <w:jc w:val="both"/>
        <w:spacing w:after="0" w:line="357" w:lineRule="auto"/>
        <w:rPr>
          <w:sz w:val="20"/>
          <w:szCs w:val="20"/>
          <w:color w:val="auto"/>
        </w:rPr>
      </w:pPr>
      <w:r>
        <w:rPr>
          <w:rFonts w:ascii="Arial" w:cs="Arial" w:eastAsia="Arial" w:hAnsi="Arial"/>
          <w:sz w:val="19"/>
          <w:szCs w:val="19"/>
          <w:color w:val="auto"/>
        </w:rPr>
        <w:t>On a U.S. GAAP basis, full-year 2020 operating loss from continuing operations was $269.9 million, which includes an impairment charge of $208.2 million primarily related to the anticipated sale of the Heart Valve business and $57.5 million primarily for 3T Heater-Cooler® legal expenses, remeasurement of contingent consideration and a provision for future obligations relating to hazardous substances from former operations in Italy. Adjusted operating income from continuing operations for full-year 2020 was $97.5 million, a decrease of 45.7 percent as compared to full-year 2019, related to the revenue impact from COVID-19, partially offset by a reduction in expenses.</w:t>
      </w:r>
    </w:p>
    <w:p>
      <w:pPr>
        <w:spacing w:after="0" w:line="164" w:lineRule="exact"/>
        <w:rPr>
          <w:sz w:val="20"/>
          <w:szCs w:val="20"/>
          <w:color w:val="auto"/>
        </w:rPr>
      </w:pPr>
    </w:p>
    <w:p>
      <w:pPr>
        <w:jc w:val="both"/>
        <w:spacing w:after="0" w:line="368" w:lineRule="auto"/>
        <w:rPr>
          <w:sz w:val="20"/>
          <w:szCs w:val="20"/>
          <w:color w:val="auto"/>
        </w:rPr>
      </w:pPr>
      <w:r>
        <w:rPr>
          <w:rFonts w:ascii="Arial" w:cs="Arial" w:eastAsia="Arial" w:hAnsi="Arial"/>
          <w:sz w:val="19"/>
          <w:szCs w:val="19"/>
          <w:color w:val="auto"/>
        </w:rPr>
        <w:t>On a U.S. GAAP basis, full-year 2020 effective tax rate was 0.2 percent, as compared to 16.2 percent in 2019. The adjusted effective tax rate for full-year 2020 was 3.2 percent, as compared to 11.2 percent in 2019, related to changes in the geographic income mix offset by a partial valuation allowance in the U.S.</w:t>
      </w:r>
    </w:p>
    <w:p>
      <w:pPr>
        <w:spacing w:after="0" w:line="154" w:lineRule="exact"/>
        <w:rPr>
          <w:sz w:val="20"/>
          <w:szCs w:val="20"/>
          <w:color w:val="auto"/>
        </w:rPr>
      </w:pPr>
    </w:p>
    <w:p>
      <w:pPr>
        <w:jc w:val="both"/>
        <w:spacing w:after="0" w:line="359" w:lineRule="auto"/>
        <w:rPr>
          <w:sz w:val="20"/>
          <w:szCs w:val="20"/>
          <w:color w:val="auto"/>
        </w:rPr>
      </w:pPr>
      <w:r>
        <w:rPr>
          <w:rFonts w:ascii="Arial" w:cs="Arial" w:eastAsia="Arial" w:hAnsi="Arial"/>
          <w:sz w:val="19"/>
          <w:szCs w:val="19"/>
          <w:color w:val="auto"/>
        </w:rPr>
        <w:t>On a U.S. GAAP basis, full-year 2020 diluted loss per share from continuing operations was $7.07. Full-year 2020 adjusted diluted earnings per share from continuing operations was $1.27, as compared to $3.08 per share for full-year 2019. Full-year 2020 adjusted free cash flow was $16.9 million which is defined as net cash used in operating activities less investing activities and excludes one time extraordinary adjustments such as 3T litigation payments. Cash and cash equivalents totaled $252.8 million at December 31, 2020. Total debt was $655.6 million.</w:t>
      </w:r>
    </w:p>
    <w:p>
      <w:pPr>
        <w:spacing w:after="0" w:line="29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2021 Guidance</w:t>
      </w:r>
    </w:p>
    <w:p>
      <w:pPr>
        <w:spacing w:after="0" w:line="306" w:lineRule="exact"/>
        <w:rPr>
          <w:sz w:val="20"/>
          <w:szCs w:val="20"/>
          <w:color w:val="auto"/>
        </w:rPr>
      </w:pPr>
    </w:p>
    <w:p>
      <w:pPr>
        <w:jc w:val="both"/>
        <w:spacing w:after="0" w:line="359" w:lineRule="auto"/>
        <w:rPr>
          <w:sz w:val="20"/>
          <w:szCs w:val="20"/>
          <w:color w:val="auto"/>
        </w:rPr>
      </w:pPr>
      <w:r>
        <w:rPr>
          <w:rFonts w:ascii="Arial" w:cs="Arial" w:eastAsia="Arial" w:hAnsi="Arial"/>
          <w:sz w:val="19"/>
          <w:szCs w:val="19"/>
          <w:color w:val="auto"/>
        </w:rPr>
        <w:t>While continued COVID-related uncertainty is anticipated in 2021, sales levels are expected to return to more normalized levels in the second half of the year. As a result, LivaNova expects worldwide net sales from continuing operations for full-year 2021 to grow between 8 and 13 percent on a constant-currency basis. Adjusted diluted earnings per share from continuing operations for 2021 are expected to be in the range of $1.40 to $1.90. In 2021, the Company estimates that adjusted free cash flow, excluding extraordinary items, will be in the range of $30 to $50 million.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5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Webcast and Conference Call Instructions</w:t>
      </w:r>
    </w:p>
    <w:p>
      <w:pPr>
        <w:spacing w:after="0" w:line="306" w:lineRule="exact"/>
        <w:rPr>
          <w:sz w:val="20"/>
          <w:szCs w:val="20"/>
          <w:color w:val="auto"/>
        </w:rPr>
      </w:pPr>
    </w:p>
    <w:p>
      <w:pPr>
        <w:jc w:val="both"/>
        <w:spacing w:after="0" w:line="379" w:lineRule="auto"/>
        <w:rPr>
          <w:sz w:val="20"/>
          <w:szCs w:val="20"/>
          <w:color w:val="auto"/>
        </w:rPr>
      </w:pPr>
      <w:r>
        <w:rPr>
          <w:rFonts w:ascii="Arial" w:cs="Arial" w:eastAsia="Arial" w:hAnsi="Arial"/>
          <w:sz w:val="18"/>
          <w:szCs w:val="18"/>
          <w:color w:val="auto"/>
        </w:rPr>
        <w:t xml:space="preserve">The Company will host a live audio webcast for interested parties commencing at 1 p.m. London time (8 a.m. Eastern Time) on Wednesday, February 24 that will be accessible through the Investor section of the LivaNova website at </w:t>
      </w:r>
      <w:r>
        <w:rPr>
          <w:rFonts w:ascii="Arial" w:cs="Arial" w:eastAsia="Arial" w:hAnsi="Arial"/>
          <w:sz w:val="18"/>
          <w:szCs w:val="18"/>
          <w:u w:val="single" w:color="auto"/>
          <w:color w:val="0E32E1"/>
        </w:rPr>
        <w:t>www.livanova.com</w:t>
      </w:r>
      <w:r>
        <w:rPr>
          <w:rFonts w:ascii="Arial" w:cs="Arial" w:eastAsia="Arial" w:hAnsi="Arial"/>
          <w:sz w:val="18"/>
          <w:szCs w:val="18"/>
          <w:color w:val="0E32E1"/>
        </w:rPr>
        <w:t>.</w:t>
      </w:r>
      <w:r>
        <w:rPr>
          <w:rFonts w:ascii="Arial" w:cs="Arial" w:eastAsia="Arial" w:hAnsi="Arial"/>
          <w:sz w:val="18"/>
          <w:szCs w:val="18"/>
          <w:color w:val="auto"/>
        </w:rPr>
        <w:t xml:space="preserve"> Listeners should log on approximately 10 minutes in advance to ensure proper setup to receive the webcast. To listen to the conference call by telephone, dial 844-239-5285 (if dialing from within the U.S. or Canada) or 512-961-6524 (if dialing from outside the U.S. or Canada). The conference ID is 1290829. Within 24 hours of the webcast, a replay will be available under the </w:t>
      </w:r>
      <w:r>
        <w:rPr>
          <w:rFonts w:ascii="Arial" w:cs="Arial" w:eastAsia="Arial" w:hAnsi="Arial"/>
          <w:sz w:val="18"/>
          <w:szCs w:val="18"/>
          <w:b w:val="1"/>
          <w:bCs w:val="1"/>
          <w:color w:val="auto"/>
        </w:rPr>
        <w:t>"News / Events &amp; Presentations"</w:t>
      </w:r>
      <w:r>
        <w:rPr>
          <w:rFonts w:ascii="Arial" w:cs="Arial" w:eastAsia="Arial" w:hAnsi="Arial"/>
          <w:sz w:val="18"/>
          <w:szCs w:val="18"/>
          <w:color w:val="auto"/>
        </w:rPr>
        <w:t xml:space="preserve"> section of the Investors portion of the LivaNova website, where it will be archived and accessible for approximately 90 days.</w:t>
      </w:r>
    </w:p>
    <w:p>
      <w:pPr>
        <w:spacing w:after="0" w:line="153" w:lineRule="exact"/>
        <w:rPr>
          <w:sz w:val="20"/>
          <w:szCs w:val="20"/>
          <w:color w:val="auto"/>
        </w:rPr>
      </w:pPr>
    </w:p>
    <w:p>
      <w:pPr>
        <w:spacing w:after="0"/>
        <w:rPr>
          <w:sz w:val="20"/>
          <w:szCs w:val="20"/>
          <w:color w:val="auto"/>
        </w:rPr>
      </w:pPr>
      <w:r>
        <w:rPr>
          <w:rFonts w:ascii="Arial" w:cs="Arial" w:eastAsia="Arial" w:hAnsi="Arial"/>
          <w:sz w:val="19"/>
          <w:szCs w:val="19"/>
          <w:color w:val="FF5C39"/>
        </w:rPr>
        <w:t>About LivaNova</w:t>
      </w:r>
    </w:p>
    <w:p>
      <w:pPr>
        <w:spacing w:after="0" w:line="304" w:lineRule="exact"/>
        <w:rPr>
          <w:sz w:val="20"/>
          <w:szCs w:val="20"/>
          <w:color w:val="auto"/>
        </w:rPr>
      </w:pPr>
    </w:p>
    <w:p>
      <w:pPr>
        <w:jc w:val="both"/>
        <w:spacing w:after="0" w:line="362" w:lineRule="auto"/>
        <w:rPr>
          <w:sz w:val="20"/>
          <w:szCs w:val="20"/>
          <w:color w:val="auto"/>
        </w:rPr>
      </w:pPr>
      <w:r>
        <w:rPr>
          <w:rFonts w:ascii="Arial" w:cs="Arial" w:eastAsia="Arial" w:hAnsi="Arial"/>
          <w:sz w:val="19"/>
          <w:szCs w:val="19"/>
          <w:color w:val="auto"/>
        </w:rPr>
        <w:t>LivaNova PLC is a global medical technology and innovation company built on nearly five decades of experience and a relentless commitment to provide hope for patients and their families through innovative medical technologies, delivering life-changing improvements for both the Head and Heart. Headquartered in London, LivaNova employs approximately 4,000 employees and has a presence in more than 100 countries for the benefit of patients, healthcare professionals and healthcare systems worldwide.</w:t>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For more information, please visit </w:t>
      </w:r>
      <w:r>
        <w:rPr>
          <w:rFonts w:ascii="Arial" w:cs="Arial" w:eastAsia="Arial" w:hAnsi="Arial"/>
          <w:sz w:val="19"/>
          <w:szCs w:val="19"/>
          <w:b w:val="1"/>
          <w:bCs w:val="1"/>
          <w:u w:val="single" w:color="auto"/>
          <w:color w:val="0E32E1"/>
        </w:rPr>
        <w:t>www.livanova.com</w:t>
      </w:r>
      <w:r>
        <w:rPr>
          <w:rFonts w:ascii="Arial" w:cs="Arial" w:eastAsia="Arial" w:hAnsi="Arial"/>
          <w:sz w:val="19"/>
          <w:szCs w:val="19"/>
          <w:b w:val="1"/>
          <w:bCs w:val="1"/>
          <w:color w:val="auto"/>
        </w:rPr>
        <w:t>.</w:t>
      </w: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FF5C39"/>
        </w:rPr>
        <w:t>Use of Non-GAAP Financial Measures</w:t>
      </w:r>
    </w:p>
    <w:p>
      <w:pPr>
        <w:spacing w:after="0" w:line="304" w:lineRule="exact"/>
        <w:rPr>
          <w:sz w:val="20"/>
          <w:szCs w:val="20"/>
          <w:color w:val="auto"/>
        </w:rPr>
      </w:pPr>
    </w:p>
    <w:p>
      <w:pPr>
        <w:jc w:val="both"/>
        <w:spacing w:after="0" w:line="357" w:lineRule="auto"/>
        <w:rPr>
          <w:sz w:val="20"/>
          <w:szCs w:val="20"/>
          <w:color w:val="auto"/>
        </w:rPr>
      </w:pPr>
      <w:r>
        <w:rPr>
          <w:rFonts w:ascii="Arial" w:cs="Arial" w:eastAsia="Arial" w:hAnsi="Arial"/>
          <w:sz w:val="19"/>
          <w:szCs w:val="19"/>
          <w:color w:val="auto"/>
        </w:rPr>
        <w:t>In this press release, management has disclosed financial measurements that present financial information not necessarily in accordance with GAAP. Company management uses these measurements as aids in monitoring the Company’s ongoing financial performance from quarter to quarter and year to year on a regular basis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the operating performance measure as prescribed by GAAP.</w:t>
      </w:r>
    </w:p>
    <w:p>
      <w:pPr>
        <w:spacing w:after="0" w:line="164" w:lineRule="exact"/>
        <w:rPr>
          <w:sz w:val="20"/>
          <w:szCs w:val="20"/>
          <w:color w:val="auto"/>
        </w:rPr>
      </w:pPr>
    </w:p>
    <w:p>
      <w:pPr>
        <w:jc w:val="both"/>
        <w:spacing w:after="0" w:line="362" w:lineRule="auto"/>
        <w:rPr>
          <w:sz w:val="20"/>
          <w:szCs w:val="20"/>
          <w:color w:val="auto"/>
        </w:rPr>
      </w:pPr>
      <w:r>
        <w:rPr>
          <w:rFonts w:ascii="Arial" w:cs="Arial" w:eastAsia="Arial" w:hAnsi="Arial"/>
          <w:sz w:val="19"/>
          <w:szCs w:val="19"/>
          <w:color w:val="auto"/>
        </w:rPr>
        <w:t>Unless otherwise noted, all sales growth rates in this release reflect comparable, constant-currency growth. Management believes that referring to comparable, constant-currency growth is the most useful way to evaluate the sales performance of LivaNova and to compare the sales performance of current periods to prior periods on a consistent basis. Constant-currency growth, a non-GAAP financial measure, measures the change in sales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between current and prior-year periods using average exchange rates in effect during the applicable prior-year period.</w:t>
      </w:r>
    </w:p>
    <w:p>
      <w:pPr>
        <w:spacing w:after="0" w:line="304" w:lineRule="exact"/>
        <w:rPr>
          <w:sz w:val="20"/>
          <w:szCs w:val="20"/>
          <w:color w:val="auto"/>
        </w:rPr>
      </w:pPr>
    </w:p>
    <w:p>
      <w:pPr>
        <w:jc w:val="both"/>
        <w:spacing w:after="0" w:line="352" w:lineRule="auto"/>
        <w:rPr>
          <w:sz w:val="20"/>
          <w:szCs w:val="20"/>
          <w:color w:val="auto"/>
        </w:rPr>
      </w:pPr>
      <w:r>
        <w:rPr>
          <w:rFonts w:ascii="Arial" w:cs="Arial" w:eastAsia="Arial" w:hAnsi="Arial"/>
          <w:sz w:val="19"/>
          <w:szCs w:val="19"/>
          <w:color w:val="auto"/>
        </w:rPr>
        <w:t>LivaNova calculates forward-looking non-GAAP financial measures based on internal forecasts that omit certain amounts that would be included in GAAP financial measures. For example, forward-looking net sales growth projections are estimated on a constant-currency basis and exclude the impact of foreign currency fluctuations. Forward-looking non-GAAP adjusted tax rate and adjusted diluted earnings per share guidance exclude other items such as, but not limited to, changes in fair value of contingent consideration arrangements, asset impairment charges and product remediation costs that would be included in comparable GAAP financial measures. The most directly comparable GAAP measure for constant-currency net sales, non-GAAP adjusted tax rate and adjusted diluted earnings per share are net sales, the effective tax rate, and earnings per share, respectively.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gains or losses on the potential sale of businesses or other assets, restructuring costs, merger and integration activities, changes in fair value of contingent consideration arrangements, product remediation costs, asset impairment charges, and the tax impact of the aforementioned items, tax law changes or other tax matters. Accordingly, reconciliations to the most directly comparable forward-looking GAAP financial measures are not available without unreasonable effort.</w:t>
      </w:r>
    </w:p>
    <w:p>
      <w:pPr>
        <w:spacing w:after="0" w:line="177" w:lineRule="exact"/>
        <w:rPr>
          <w:sz w:val="20"/>
          <w:szCs w:val="20"/>
          <w:color w:val="auto"/>
        </w:rPr>
      </w:pPr>
    </w:p>
    <w:p>
      <w:pPr>
        <w:jc w:val="both"/>
        <w:spacing w:after="0" w:line="376" w:lineRule="auto"/>
        <w:rPr>
          <w:sz w:val="20"/>
          <w:szCs w:val="20"/>
          <w:color w:val="auto"/>
        </w:rPr>
      </w:pPr>
      <w:r>
        <w:rPr>
          <w:rFonts w:ascii="Arial" w:cs="Arial" w:eastAsia="Arial" w:hAnsi="Arial"/>
          <w:sz w:val="18"/>
          <w:szCs w:val="18"/>
          <w:color w:val="auto"/>
        </w:rPr>
        <w:t>The Company also believes adjusted financial measures such as adjusted gross profit percentage; adjusted selling, general and administrative expense; adjusted research and development expense; adjusted other operating expenses; adjusted operating income from continuing operations; adjusted segment operating income; adjusted income tax expense; adjusted net income from continuing operations; and adjusted diluted earnings per share from continuing operations, are measures by which LivaNova generally uses to facilitate management review of the operational performance of the company, to serve as a basis for strategic planning, and to assist in the design of compensation incentive plans. Furthermore, adjusted financial measures allow investors to evaluate the Company’s core performance for different periods on a more comparable and consistent basis, and with other entities in the medical technology industry by adjusting for items that are not related to the ongoing operations of the Company or incurred in the ordinary course of business.</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FF5C39"/>
        </w:rPr>
        <w:t>Safe Harbor Statement</w:t>
      </w:r>
    </w:p>
    <w:p>
      <w:pPr>
        <w:spacing w:after="0" w:line="304" w:lineRule="exact"/>
        <w:rPr>
          <w:sz w:val="20"/>
          <w:szCs w:val="20"/>
          <w:color w:val="auto"/>
        </w:rPr>
      </w:pPr>
    </w:p>
    <w:p>
      <w:pPr>
        <w:jc w:val="both"/>
        <w:spacing w:after="0" w:line="387" w:lineRule="auto"/>
        <w:rPr>
          <w:sz w:val="20"/>
          <w:szCs w:val="20"/>
          <w:color w:val="auto"/>
        </w:rPr>
      </w:pPr>
      <w:r>
        <w:rPr>
          <w:rFonts w:ascii="Arial" w:cs="Arial" w:eastAsia="Arial" w:hAnsi="Arial"/>
          <w:sz w:val="19"/>
          <w:szCs w:val="19"/>
          <w:color w:val="auto"/>
        </w:rPr>
        <w:t>Certain statements in this press release, other than purely historical information, are “forward-looking statements” within the meaning of the Private Securities Litigation Reform Act of 1995, Section 27A of the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4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Securities Act of 1933 and Section 21E of the Securities Exchange Act of 1934, as amended.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Investors are cautioned that all such statements involve risks and uncertainties, including without limitation, statements concerning achieving a stronger future, driving sustainable growth and value to our shareholders, projected net sales, adjusted diluted earnings per share, cash flow from operations, capital expenditures, and depreciation and amortization for 2021, advancing our growth, driving product launches and funding our equity investments, executing on our synergy targets and retaining our focus, energy and discipline as a company, and serving the needs of our customers and patients. Important factors that may cause actual results to differ include, but are not limited to:</w:t>
      </w:r>
    </w:p>
    <w:p>
      <w:pPr>
        <w:spacing w:after="0" w:line="2" w:lineRule="exact"/>
        <w:rPr>
          <w:sz w:val="20"/>
          <w:szCs w:val="20"/>
          <w:color w:val="auto"/>
        </w:rPr>
      </w:pPr>
    </w:p>
    <w:p>
      <w:pPr>
        <w:jc w:val="both"/>
        <w:ind w:firstLine="2"/>
        <w:spacing w:after="0" w:line="352" w:lineRule="auto"/>
        <w:tabs>
          <w:tab w:leader="none" w:pos="223"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severity and duration of the COVID-19 pandemic and its impact on our business, financial condition and results of operations; (ii) reductions in customer spending, a slowdown in customer payments and changes in customer demand for products and services; (iii) unanticipated changes relating to competitive factors in the industries in which LivaNova operates; (iv) the ability to hire and retain key personnel; (v) the ability to attract new customers and retain existing customers in the manner anticipated; (vi) changes in legislation or governmental regulations affecting LivaNova; (vii) international, national or local economic, social or political conditions that could adversely affect LivaNova, its partners or its customers; (viii) conditions in the credit markets; (ix) business and other financial risks inherent to the industries in which LivaNova operates; (x) risks associated with assumptions made in connection with critical accounting estimates and legal proceedings; (xi) LivaNova’s international operations, which are subject to the risks of currency fluctuations and foreign exchange controls; (xii) the potential for international unrest, economic downturn or effects of currencies, tax assessments, tax adjustments, anticipated tax rates, raw material costs or availability, benefit or retirement plan costs, or other regulatory compliance costs; (xiii) the inability of LivaNova to meet expectations regarding the timing, completion and accounting of tax treatments; (xiv) and organizational and governance structure. The foregoing list of factors is not exhaustive. You should carefully consider the foregoing factors and the other risks and uncertainties that affect the Company’s business,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48" w:lineRule="exact"/>
        <w:rPr>
          <w:sz w:val="20"/>
          <w:szCs w:val="20"/>
          <w:color w:val="auto"/>
        </w:rPr>
      </w:pPr>
    </w:p>
    <w:p>
      <w:pPr>
        <w:jc w:val="both"/>
        <w:spacing w:after="0" w:line="368" w:lineRule="auto"/>
        <w:rPr>
          <w:sz w:val="20"/>
          <w:szCs w:val="20"/>
          <w:color w:val="auto"/>
        </w:rPr>
      </w:pPr>
      <w:r>
        <w:rPr>
          <w:rFonts w:ascii="Arial" w:cs="Arial" w:eastAsia="Arial" w:hAnsi="Arial"/>
          <w:sz w:val="19"/>
          <w:szCs w:val="19"/>
          <w:color w:val="auto"/>
        </w:rPr>
        <w:t>including those described in the “Risk Factors” section of Annual Reports on Form 10-K, Quarterly Reports on Form 10-Q, Current Reports on Form 8-K and other documents filed from time to time with the United States Securities and Exchange Commission by LivaNova.</w:t>
      </w:r>
    </w:p>
    <w:p>
      <w:pPr>
        <w:spacing w:after="0" w:line="154" w:lineRule="exact"/>
        <w:rPr>
          <w:sz w:val="20"/>
          <w:szCs w:val="20"/>
          <w:color w:val="auto"/>
        </w:rPr>
      </w:pPr>
    </w:p>
    <w:p>
      <w:pPr>
        <w:jc w:val="both"/>
        <w:spacing w:after="0" w:line="359" w:lineRule="auto"/>
        <w:rPr>
          <w:sz w:val="20"/>
          <w:szCs w:val="20"/>
          <w:color w:val="auto"/>
        </w:rPr>
      </w:pPr>
      <w:r>
        <w:rPr>
          <w:rFonts w:ascii="Arial" w:cs="Arial" w:eastAsia="Arial" w:hAnsi="Arial"/>
          <w:sz w:val="19"/>
          <w:szCs w:val="19"/>
          <w:color w:val="auto"/>
        </w:rPr>
        <w:t>We caution you not to place undue reliance on any forward-looking statements, which are made only as of the date of this press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298"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Melissa Farina</w:t>
      </w:r>
    </w:p>
    <w:p>
      <w:pPr>
        <w:ind w:left="60"/>
        <w:spacing w:after="0" w:line="195" w:lineRule="auto"/>
        <w:rPr>
          <w:sz w:val="20"/>
          <w:szCs w:val="20"/>
          <w:color w:val="auto"/>
        </w:rPr>
      </w:pPr>
      <w:r>
        <w:rPr>
          <w:rFonts w:ascii="Arial" w:cs="Arial" w:eastAsia="Arial" w:hAnsi="Arial"/>
          <w:sz w:val="19"/>
          <w:szCs w:val="19"/>
          <w:color w:val="auto"/>
        </w:rPr>
        <w:t>Vice President, Investor Relations</w:t>
      </w:r>
    </w:p>
    <w:p>
      <w:pPr>
        <w:ind w:left="60"/>
        <w:spacing w:after="0" w:line="196" w:lineRule="auto"/>
        <w:rPr>
          <w:sz w:val="20"/>
          <w:szCs w:val="20"/>
          <w:color w:val="auto"/>
        </w:rPr>
      </w:pPr>
      <w:r>
        <w:rPr>
          <w:rFonts w:ascii="Arial" w:cs="Arial" w:eastAsia="Arial" w:hAnsi="Arial"/>
          <w:sz w:val="19"/>
          <w:szCs w:val="19"/>
          <w:color w:val="auto"/>
        </w:rPr>
        <w:t>Phone: +1 (281) 228 7262</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9"/>
          <w:szCs w:val="19"/>
          <w:color w:val="auto"/>
        </w:rPr>
        <w:t>e-mail: investorrelations@LivaNova.com</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5" w:lineRule="exact"/>
        <w:rPr>
          <w:sz w:val="20"/>
          <w:szCs w:val="20"/>
          <w:color w:val="auto"/>
        </w:rPr>
      </w:pPr>
    </w:p>
    <w:tbl>
      <w:tblPr>
        <w:tblLayout w:type="fixed"/>
        <w:tblInd w:w="1"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7"/>
                <w:szCs w:val="17"/>
                <w:b w:val="1"/>
                <w:bCs w:val="1"/>
                <w:color w:val="auto"/>
              </w:rPr>
              <w:t>LIVANOVA PLC</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7"/>
                <w:szCs w:val="17"/>
                <w:b w:val="1"/>
                <w:bCs w:val="1"/>
                <w:color w:val="auto"/>
              </w:rPr>
              <w:t>NET SALES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540" w:type="dxa"/>
            <w:vAlign w:val="bottom"/>
          </w:tcPr>
          <w:p>
            <w:pPr>
              <w:spacing w:after="0"/>
              <w:rPr>
                <w:sz w:val="20"/>
                <w:szCs w:val="20"/>
                <w:color w:val="auto"/>
              </w:rPr>
            </w:pPr>
            <w:r>
              <w:rPr>
                <w:rFonts w:ascii="Arial" w:cs="Arial" w:eastAsia="Arial" w:hAnsi="Arial"/>
                <w:sz w:val="17"/>
                <w:szCs w:val="17"/>
                <w:b w:val="1"/>
                <w:bCs w:val="1"/>
                <w:color w:val="auto"/>
              </w:rPr>
              <w:t>(U.S. dollars in millions)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gridSpan w:val="4"/>
            <w:vMerge w:val="restart"/>
          </w:tcPr>
          <w:p>
            <w:pPr>
              <w:ind w:left="500"/>
              <w:spacing w:after="0"/>
              <w:rPr>
                <w:sz w:val="20"/>
                <w:szCs w:val="20"/>
                <w:color w:val="auto"/>
              </w:rPr>
            </w:pPr>
            <w:r>
              <w:rPr>
                <w:rFonts w:ascii="Arial" w:cs="Arial" w:eastAsia="Arial" w:hAnsi="Arial"/>
                <w:sz w:val="17"/>
                <w:szCs w:val="17"/>
                <w:b w:val="1"/>
                <w:bCs w:val="1"/>
                <w:color w:val="auto"/>
              </w:rPr>
              <w:t>Three Months Ended December 31,</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4"/>
            <w:vMerge w:val="continue"/>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540" w:type="dxa"/>
            <w:vAlign w:val="bottom"/>
          </w:tcPr>
          <w:p>
            <w:pPr>
              <w:spacing w:after="0"/>
              <w:rPr>
                <w:sz w:val="13"/>
                <w:szCs w:val="13"/>
                <w:color w:val="auto"/>
              </w:rPr>
            </w:pPr>
          </w:p>
        </w:tc>
        <w:tc>
          <w:tcPr>
            <w:tcW w:w="13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3"/>
                <w:szCs w:val="13"/>
                <w:color w:val="auto"/>
              </w:rPr>
            </w:pPr>
          </w:p>
        </w:tc>
        <w:tc>
          <w:tcPr>
            <w:tcW w:w="130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3"/>
                <w:szCs w:val="13"/>
                <w:color w:val="auto"/>
              </w:rPr>
            </w:pPr>
          </w:p>
        </w:tc>
        <w:tc>
          <w:tcPr>
            <w:tcW w:w="1960" w:type="dxa"/>
            <w:vAlign w:val="bottom"/>
            <w:gridSpan w:val="2"/>
          </w:tcPr>
          <w:p>
            <w:pPr>
              <w:jc w:val="center"/>
              <w:ind w:right="100"/>
              <w:spacing w:after="0" w:line="159" w:lineRule="exact"/>
              <w:rPr>
                <w:sz w:val="20"/>
                <w:szCs w:val="20"/>
                <w:color w:val="auto"/>
              </w:rPr>
            </w:pPr>
            <w:r>
              <w:rPr>
                <w:rFonts w:ascii="Arial" w:cs="Arial" w:eastAsia="Arial" w:hAnsi="Arial"/>
                <w:sz w:val="17"/>
                <w:szCs w:val="17"/>
                <w:b w:val="1"/>
                <w:bCs w:val="1"/>
                <w:color w:val="auto"/>
                <w:w w:val="99"/>
              </w:rPr>
              <w:t>% Change at Actual</w:t>
            </w:r>
          </w:p>
        </w:tc>
        <w:tc>
          <w:tcPr>
            <w:tcW w:w="1900" w:type="dxa"/>
            <w:vAlign w:val="bottom"/>
          </w:tcPr>
          <w:p>
            <w:pPr>
              <w:jc w:val="right"/>
              <w:spacing w:after="0" w:line="159" w:lineRule="exact"/>
              <w:rPr>
                <w:sz w:val="20"/>
                <w:szCs w:val="20"/>
                <w:color w:val="auto"/>
              </w:rPr>
            </w:pPr>
            <w:r>
              <w:rPr>
                <w:rFonts w:ascii="Arial" w:cs="Arial" w:eastAsia="Arial" w:hAnsi="Arial"/>
                <w:sz w:val="17"/>
                <w:szCs w:val="17"/>
                <w:b w:val="1"/>
                <w:bCs w:val="1"/>
                <w:color w:val="auto"/>
                <w:w w:val="99"/>
              </w:rPr>
              <w:t>% Change at Constant-</w:t>
            </w:r>
          </w:p>
        </w:tc>
        <w:tc>
          <w:tcPr>
            <w:tcW w:w="0" w:type="dxa"/>
            <w:vAlign w:val="bottom"/>
          </w:tcPr>
          <w:p>
            <w:pPr>
              <w:spacing w:after="0"/>
              <w:rPr>
                <w:sz w:val="1"/>
                <w:szCs w:val="1"/>
                <w:color w:val="auto"/>
              </w:rPr>
            </w:pPr>
          </w:p>
        </w:tc>
      </w:tr>
      <w:tr>
        <w:trPr>
          <w:trHeight w:val="216"/>
        </w:trPr>
        <w:tc>
          <w:tcPr>
            <w:tcW w:w="454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Cardiopulmonary</w:t>
            </w: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Currency Rates</w:t>
            </w:r>
          </w:p>
        </w:tc>
        <w:tc>
          <w:tcPr>
            <w:tcW w:w="1900" w:type="dxa"/>
            <w:vAlign w:val="bottom"/>
          </w:tcPr>
          <w:p>
            <w:pPr>
              <w:jc w:val="right"/>
              <w:ind w:right="175"/>
              <w:spacing w:after="0" w:line="217" w:lineRule="exact"/>
              <w:rPr>
                <w:sz w:val="20"/>
                <w:szCs w:val="20"/>
                <w:color w:val="auto"/>
              </w:rPr>
            </w:pPr>
            <w:r>
              <w:rPr>
                <w:rFonts w:ascii="Arial" w:cs="Arial" w:eastAsia="Arial" w:hAnsi="Arial"/>
                <w:sz w:val="17"/>
                <w:szCs w:val="17"/>
                <w:b w:val="1"/>
                <w:bCs w:val="1"/>
                <w:color w:val="auto"/>
              </w:rPr>
              <w:t>Currency Rates</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86"/>
        </w:trPr>
        <w:tc>
          <w:tcPr>
            <w:tcW w:w="4540" w:type="dxa"/>
            <w:vAlign w:val="bottom"/>
            <w:vMerge w:val="continue"/>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$41.9</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34.6</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35.7</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27"/>
        </w:trPr>
        <w:tc>
          <w:tcPr>
            <w:tcW w:w="4540" w:type="dxa"/>
            <w:vAlign w:val="bottom"/>
          </w:tcPr>
          <w:p>
            <w:pPr>
              <w:ind w:left="2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9"/>
        </w:trPr>
        <w:tc>
          <w:tcPr>
            <w:tcW w:w="4540" w:type="dxa"/>
            <w:vAlign w:val="bottom"/>
          </w:tcPr>
          <w:p>
            <w:pPr>
              <w:ind w:left="3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122.1</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132.6</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86"/>
        </w:trPr>
        <w:tc>
          <w:tcPr>
            <w:tcW w:w="4540" w:type="dxa"/>
            <w:vAlign w:val="bottom"/>
          </w:tcPr>
          <w:p>
            <w:pPr>
              <w:ind w:left="100"/>
              <w:spacing w:after="0" w:line="186" w:lineRule="exact"/>
              <w:rPr>
                <w:sz w:val="20"/>
                <w:szCs w:val="20"/>
                <w:color w:val="auto"/>
              </w:rPr>
            </w:pPr>
            <w:r>
              <w:rPr>
                <w:rFonts w:ascii="Arial" w:cs="Arial" w:eastAsia="Arial" w:hAnsi="Arial"/>
                <w:sz w:val="17"/>
                <w:szCs w:val="17"/>
                <w:b w:val="1"/>
                <w:bCs w:val="1"/>
                <w:color w:val="auto"/>
              </w:rPr>
              <w:t>Heart Valves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(33.2)%</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(33.2)%</w:t>
            </w: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9.8</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27"/>
        </w:trPr>
        <w:tc>
          <w:tcPr>
            <w:tcW w:w="4540" w:type="dxa"/>
            <w:vAlign w:val="bottom"/>
          </w:tcPr>
          <w:p>
            <w:pPr>
              <w:ind w:left="2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(29.6)%</w:t>
            </w:r>
          </w:p>
        </w:tc>
        <w:tc>
          <w:tcPr>
            <w:tcW w:w="0" w:type="dxa"/>
            <w:vAlign w:val="bottom"/>
          </w:tcPr>
          <w:p>
            <w:pPr>
              <w:spacing w:after="0"/>
              <w:rPr>
                <w:sz w:val="1"/>
                <w:szCs w:val="1"/>
                <w:color w:val="auto"/>
              </w:rPr>
            </w:pPr>
          </w:p>
        </w:tc>
      </w:tr>
      <w:tr>
        <w:trPr>
          <w:trHeight w:val="209"/>
        </w:trPr>
        <w:tc>
          <w:tcPr>
            <w:tcW w:w="4540" w:type="dxa"/>
            <w:vAlign w:val="bottom"/>
          </w:tcPr>
          <w:p>
            <w:pPr>
              <w:ind w:left="3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(24.6)%</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186"/>
        </w:trPr>
        <w:tc>
          <w:tcPr>
            <w:tcW w:w="4540" w:type="dxa"/>
            <w:vAlign w:val="bottom"/>
          </w:tcPr>
          <w:p>
            <w:pPr>
              <w:ind w:left="100"/>
              <w:spacing w:after="0" w:line="186" w:lineRule="exact"/>
              <w:rPr>
                <w:sz w:val="20"/>
                <w:szCs w:val="20"/>
                <w:color w:val="auto"/>
              </w:rPr>
            </w:pPr>
            <w:r>
              <w:rPr>
                <w:rFonts w:ascii="Arial" w:cs="Arial" w:eastAsia="Arial" w:hAnsi="Arial"/>
                <w:sz w:val="17"/>
                <w:szCs w:val="17"/>
                <w:b w:val="1"/>
                <w:bCs w:val="1"/>
                <w:color w:val="auto"/>
              </w:rPr>
              <w:t>Advanced Circulatory Support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8.5</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53.3 %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53.3 %</w:t>
            </w: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7"/>
                <w:szCs w:val="17"/>
                <w:color w:val="auto"/>
              </w:rPr>
              <w:t>N/M</w:t>
            </w:r>
          </w:p>
        </w:tc>
        <w:tc>
          <w:tcPr>
            <w:tcW w:w="190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7"/>
        </w:trPr>
        <w:tc>
          <w:tcPr>
            <w:tcW w:w="4540" w:type="dxa"/>
            <w:vAlign w:val="bottom"/>
          </w:tcPr>
          <w:p>
            <w:pPr>
              <w:ind w:left="2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7"/>
                <w:szCs w:val="17"/>
                <w:color w:val="auto"/>
              </w:rPr>
              <w:t>N/M</w:t>
            </w:r>
          </w:p>
        </w:tc>
        <w:tc>
          <w:tcPr>
            <w:tcW w:w="190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9"/>
        </w:trPr>
        <w:tc>
          <w:tcPr>
            <w:tcW w:w="4540" w:type="dxa"/>
            <w:vAlign w:val="bottom"/>
          </w:tcPr>
          <w:p>
            <w:pPr>
              <w:ind w:left="3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50.4 %</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50.3 %</w:t>
            </w:r>
          </w:p>
        </w:tc>
        <w:tc>
          <w:tcPr>
            <w:tcW w:w="0" w:type="dxa"/>
            <w:vAlign w:val="bottom"/>
          </w:tcPr>
          <w:p>
            <w:pPr>
              <w:spacing w:after="0"/>
              <w:rPr>
                <w:sz w:val="1"/>
                <w:szCs w:val="1"/>
                <w:color w:val="auto"/>
              </w:rPr>
            </w:pPr>
          </w:p>
        </w:tc>
      </w:tr>
      <w:tr>
        <w:trPr>
          <w:trHeight w:val="186"/>
        </w:trPr>
        <w:tc>
          <w:tcPr>
            <w:tcW w:w="4540" w:type="dxa"/>
            <w:vAlign w:val="bottom"/>
          </w:tcPr>
          <w:p>
            <w:pPr>
              <w:spacing w:after="0" w:line="186" w:lineRule="exact"/>
              <w:rPr>
                <w:sz w:val="20"/>
                <w:szCs w:val="20"/>
                <w:color w:val="auto"/>
              </w:rPr>
            </w:pPr>
            <w:r>
              <w:rPr>
                <w:rFonts w:ascii="Arial" w:cs="Arial" w:eastAsia="Arial" w:hAnsi="Arial"/>
                <w:sz w:val="17"/>
                <w:szCs w:val="17"/>
                <w:b w:val="1"/>
                <w:bCs w:val="1"/>
                <w:color w:val="auto"/>
              </w:rPr>
              <w:t>Cardiovascular</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52.8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55.6</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43.2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45.7</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27"/>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9"/>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159.6</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173.5</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86"/>
        </w:trPr>
        <w:tc>
          <w:tcPr>
            <w:tcW w:w="4540" w:type="dxa"/>
            <w:vAlign w:val="bottom"/>
          </w:tcPr>
          <w:p>
            <w:pPr>
              <w:spacing w:after="0" w:line="186" w:lineRule="exact"/>
              <w:rPr>
                <w:sz w:val="20"/>
                <w:szCs w:val="20"/>
                <w:color w:val="auto"/>
              </w:rPr>
            </w:pPr>
            <w:r>
              <w:rPr>
                <w:rFonts w:ascii="Arial" w:cs="Arial" w:eastAsia="Arial" w:hAnsi="Arial"/>
                <w:sz w:val="17"/>
                <w:szCs w:val="17"/>
                <w:b w:val="1"/>
                <w:bCs w:val="1"/>
                <w:color w:val="auto"/>
              </w:rPr>
              <w:t>Neuromodulation</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85.2</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89.5</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27"/>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8.9 %</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10.9 %</w:t>
            </w:r>
          </w:p>
        </w:tc>
        <w:tc>
          <w:tcPr>
            <w:tcW w:w="0" w:type="dxa"/>
            <w:vAlign w:val="bottom"/>
          </w:tcPr>
          <w:p>
            <w:pPr>
              <w:spacing w:after="0"/>
              <w:rPr>
                <w:sz w:val="1"/>
                <w:szCs w:val="1"/>
                <w:color w:val="auto"/>
              </w:rPr>
            </w:pPr>
          </w:p>
        </w:tc>
      </w:tr>
      <w:tr>
        <w:trPr>
          <w:trHeight w:val="209"/>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86"/>
        </w:trPr>
        <w:tc>
          <w:tcPr>
            <w:tcW w:w="4540" w:type="dxa"/>
            <w:vAlign w:val="bottom"/>
          </w:tcPr>
          <w:p>
            <w:pPr>
              <w:spacing w:after="0" w:line="186" w:lineRule="exact"/>
              <w:rPr>
                <w:sz w:val="20"/>
                <w:szCs w:val="20"/>
                <w:color w:val="auto"/>
              </w:rPr>
            </w:pPr>
            <w:r>
              <w:rPr>
                <w:rFonts w:ascii="Arial" w:cs="Arial" w:eastAsia="Arial" w:hAnsi="Arial"/>
                <w:sz w:val="17"/>
                <w:szCs w:val="17"/>
                <w:b w:val="1"/>
                <w:bCs w:val="1"/>
                <w:color w:val="auto"/>
              </w:rPr>
              <w:t>Other</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190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Europe</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190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7"/>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09"/>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(22.8)%</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186"/>
        </w:trPr>
        <w:tc>
          <w:tcPr>
            <w:tcW w:w="4540" w:type="dxa"/>
            <w:vAlign w:val="bottom"/>
          </w:tcPr>
          <w:p>
            <w:pPr>
              <w:spacing w:after="0" w:line="186" w:lineRule="exact"/>
              <w:rPr>
                <w:sz w:val="20"/>
                <w:szCs w:val="20"/>
                <w:color w:val="auto"/>
              </w:rPr>
            </w:pPr>
            <w:r>
              <w:rPr>
                <w:rFonts w:ascii="Arial" w:cs="Arial" w:eastAsia="Arial" w:hAnsi="Arial"/>
                <w:sz w:val="17"/>
                <w:szCs w:val="17"/>
                <w:b w:val="1"/>
                <w:bCs w:val="1"/>
                <w:color w:val="auto"/>
              </w:rPr>
              <w:t>Totals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138.0</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145.1</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54.8</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57.9</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27"/>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84.6</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$269.6</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$287.6</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1" w:right="20" w:hanging="401"/>
        <w:spacing w:after="0" w:line="249" w:lineRule="auto"/>
        <w:tabs>
          <w:tab w:leader="none" w:pos="401" w:val="left"/>
        </w:tabs>
        <w:numPr>
          <w:ilvl w:val="0"/>
          <w:numId w:val="6"/>
        </w:numPr>
        <w:rPr>
          <w:rFonts w:ascii="Arial" w:cs="Arial" w:eastAsia="Arial" w:hAnsi="Arial"/>
          <w:sz w:val="15"/>
          <w:szCs w:val="15"/>
          <w:color w:val="auto"/>
        </w:rPr>
      </w:pPr>
      <w:r>
        <w:rPr>
          <w:rFonts w:ascii="Arial" w:cs="Arial" w:eastAsia="Arial" w:hAnsi="Arial"/>
          <w:sz w:val="15"/>
          <w:szCs w:val="15"/>
          <w:color w:val="auto"/>
        </w:rPr>
        <w:t>Constant-currency growth, a non-GAAP financial measure, measures the change in sales between current and prior-year periods using average exchange rates in effect during the applicable prior-year period.</w:t>
      </w:r>
    </w:p>
    <w:p>
      <w:pPr>
        <w:spacing w:after="0" w:line="1" w:lineRule="exact"/>
        <w:rPr>
          <w:sz w:val="20"/>
          <w:szCs w:val="20"/>
          <w:color w:val="auto"/>
        </w:rPr>
      </w:pPr>
    </w:p>
    <w:p>
      <w:pPr>
        <w:ind w:left="401" w:hanging="401"/>
        <w:spacing w:after="0"/>
        <w:tabs>
          <w:tab w:leader="none" w:pos="401"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sales results presented are unaudited. Numbers may not add precisely due to rounding.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21"/>
          </w:cols>
          <w:pgMar w:left="339" w:top="1440" w:right="339" w:bottom="1440" w:gutter="0" w:footer="0" w:header="0"/>
        </w:sectPr>
      </w:pPr>
    </w:p>
    <w:bookmarkStart w:id="13" w:name="page14"/>
    <w:bookmarkEnd w:id="13"/>
    <w:tbl>
      <w:tblPr>
        <w:tblLayout w:type="fixed"/>
        <w:tblInd w:w="1" w:type="dxa"/>
        <w:tblCellMar>
          <w:top w:w="0" w:type="dxa"/>
          <w:left w:w="0" w:type="dxa"/>
          <w:bottom w:w="0" w:type="dxa"/>
          <w:right w:w="0" w:type="dxa"/>
        </w:tblCellMar>
      </w:tblPr>
      <w:tr>
        <w:trPr>
          <w:trHeight w:val="216"/>
        </w:trPr>
        <w:tc>
          <w:tcPr>
            <w:tcW w:w="4540" w:type="dxa"/>
            <w:vAlign w:val="bottom"/>
          </w:tcPr>
          <w:p>
            <w:pPr>
              <w:spacing w:after="0"/>
              <w:rPr>
                <w:sz w:val="20"/>
                <w:szCs w:val="20"/>
                <w:color w:val="auto"/>
              </w:rPr>
            </w:pPr>
            <w:r>
              <w:rPr>
                <w:rFonts w:ascii="Arial" w:cs="Arial" w:eastAsia="Arial" w:hAnsi="Arial"/>
                <w:sz w:val="17"/>
                <w:szCs w:val="17"/>
                <w:b w:val="1"/>
                <w:bCs w:val="1"/>
                <w:color w:val="auto"/>
              </w:rPr>
              <w:t>LIVANOVA PLC</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7"/>
                <w:szCs w:val="17"/>
                <w:b w:val="1"/>
                <w:bCs w:val="1"/>
                <w:color w:val="auto"/>
              </w:rPr>
              <w:t>NET SALES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540" w:type="dxa"/>
            <w:vAlign w:val="bottom"/>
          </w:tcPr>
          <w:p>
            <w:pPr>
              <w:spacing w:after="0"/>
              <w:rPr>
                <w:sz w:val="20"/>
                <w:szCs w:val="20"/>
                <w:color w:val="auto"/>
              </w:rPr>
            </w:pPr>
            <w:r>
              <w:rPr>
                <w:rFonts w:ascii="Arial" w:cs="Arial" w:eastAsia="Arial" w:hAnsi="Arial"/>
                <w:sz w:val="17"/>
                <w:szCs w:val="17"/>
                <w:b w:val="1"/>
                <w:bCs w:val="1"/>
                <w:color w:val="auto"/>
              </w:rPr>
              <w:t>(U.S. dollars in millions)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80" w:type="dxa"/>
            <w:vAlign w:val="bottom"/>
            <w:gridSpan w:val="5"/>
            <w:vMerge w:val="restart"/>
          </w:tcPr>
          <w:p>
            <w:pPr>
              <w:ind w:left="460"/>
              <w:spacing w:after="0"/>
              <w:rPr>
                <w:sz w:val="20"/>
                <w:szCs w:val="20"/>
                <w:color w:val="auto"/>
              </w:rPr>
            </w:pPr>
            <w:r>
              <w:rPr>
                <w:rFonts w:ascii="Arial" w:cs="Arial" w:eastAsia="Arial" w:hAnsi="Arial"/>
                <w:sz w:val="17"/>
                <w:szCs w:val="17"/>
                <w:b w:val="1"/>
                <w:bCs w:val="1"/>
                <w:color w:val="auto"/>
                <w:w w:val="98"/>
              </w:rPr>
              <w:t>Twelve Months Ended December 31,</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gridSpan w:val="5"/>
            <w:vMerge w:val="continue"/>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540" w:type="dxa"/>
            <w:vAlign w:val="bottom"/>
          </w:tcPr>
          <w:p>
            <w:pPr>
              <w:spacing w:after="0"/>
              <w:rPr>
                <w:sz w:val="13"/>
                <w:szCs w:val="13"/>
                <w:color w:val="auto"/>
              </w:rPr>
            </w:pPr>
          </w:p>
        </w:tc>
        <w:tc>
          <w:tcPr>
            <w:tcW w:w="13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3"/>
                <w:szCs w:val="13"/>
                <w:color w:val="auto"/>
              </w:rPr>
            </w:pPr>
          </w:p>
        </w:tc>
        <w:tc>
          <w:tcPr>
            <w:tcW w:w="1320" w:type="dxa"/>
            <w:vAlign w:val="bottom"/>
            <w:vMerge w:val="restart"/>
          </w:tcPr>
          <w:p>
            <w:pPr>
              <w:ind w:left="460"/>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3"/>
                <w:szCs w:val="13"/>
                <w:color w:val="auto"/>
              </w:rPr>
            </w:pPr>
          </w:p>
        </w:tc>
        <w:tc>
          <w:tcPr>
            <w:tcW w:w="1960" w:type="dxa"/>
            <w:vAlign w:val="bottom"/>
            <w:gridSpan w:val="3"/>
          </w:tcPr>
          <w:p>
            <w:pPr>
              <w:jc w:val="center"/>
              <w:ind w:right="100"/>
              <w:spacing w:after="0" w:line="159" w:lineRule="exact"/>
              <w:rPr>
                <w:sz w:val="20"/>
                <w:szCs w:val="20"/>
                <w:color w:val="auto"/>
              </w:rPr>
            </w:pPr>
            <w:r>
              <w:rPr>
                <w:rFonts w:ascii="Arial" w:cs="Arial" w:eastAsia="Arial" w:hAnsi="Arial"/>
                <w:sz w:val="17"/>
                <w:szCs w:val="17"/>
                <w:b w:val="1"/>
                <w:bCs w:val="1"/>
                <w:color w:val="auto"/>
                <w:w w:val="99"/>
              </w:rPr>
              <w:t>% Change at Actual</w:t>
            </w:r>
          </w:p>
        </w:tc>
        <w:tc>
          <w:tcPr>
            <w:tcW w:w="1880" w:type="dxa"/>
            <w:vAlign w:val="bottom"/>
          </w:tcPr>
          <w:p>
            <w:pPr>
              <w:jc w:val="right"/>
              <w:spacing w:after="0" w:line="159" w:lineRule="exact"/>
              <w:rPr>
                <w:sz w:val="20"/>
                <w:szCs w:val="20"/>
                <w:color w:val="auto"/>
              </w:rPr>
            </w:pPr>
            <w:r>
              <w:rPr>
                <w:rFonts w:ascii="Arial" w:cs="Arial" w:eastAsia="Arial" w:hAnsi="Arial"/>
                <w:sz w:val="17"/>
                <w:szCs w:val="17"/>
                <w:b w:val="1"/>
                <w:bCs w:val="1"/>
                <w:color w:val="auto"/>
                <w:w w:val="98"/>
              </w:rPr>
              <w:t>% Change at Constant-</w:t>
            </w:r>
          </w:p>
        </w:tc>
        <w:tc>
          <w:tcPr>
            <w:tcW w:w="0" w:type="dxa"/>
            <w:vAlign w:val="bottom"/>
          </w:tcPr>
          <w:p>
            <w:pPr>
              <w:spacing w:after="0"/>
              <w:rPr>
                <w:sz w:val="1"/>
                <w:szCs w:val="1"/>
                <w:color w:val="auto"/>
              </w:rPr>
            </w:pPr>
          </w:p>
        </w:tc>
      </w:tr>
      <w:tr>
        <w:trPr>
          <w:trHeight w:val="216"/>
        </w:trPr>
        <w:tc>
          <w:tcPr>
            <w:tcW w:w="4540" w:type="dxa"/>
            <w:vAlign w:val="bottom"/>
            <w:vMerge w:val="restart"/>
          </w:tcPr>
          <w:p>
            <w:pPr>
              <w:ind w:left="100"/>
              <w:spacing w:after="0"/>
              <w:rPr>
                <w:sz w:val="20"/>
                <w:szCs w:val="20"/>
                <w:color w:val="auto"/>
              </w:rPr>
            </w:pPr>
            <w:r>
              <w:rPr>
                <w:rFonts w:ascii="Arial" w:cs="Arial" w:eastAsia="Arial" w:hAnsi="Arial"/>
                <w:sz w:val="17"/>
                <w:szCs w:val="17"/>
                <w:b w:val="1"/>
                <w:bCs w:val="1"/>
                <w:color w:val="auto"/>
              </w:rPr>
              <w:t>Cardiopulmonary</w:t>
            </w: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rPr>
              <w:t>Currency Rates</w:t>
            </w:r>
          </w:p>
        </w:tc>
        <w:tc>
          <w:tcPr>
            <w:tcW w:w="1880" w:type="dxa"/>
            <w:vAlign w:val="bottom"/>
          </w:tcPr>
          <w:p>
            <w:pPr>
              <w:jc w:val="right"/>
              <w:ind w:right="135"/>
              <w:spacing w:after="0" w:line="217" w:lineRule="exact"/>
              <w:rPr>
                <w:sz w:val="20"/>
                <w:szCs w:val="20"/>
                <w:color w:val="auto"/>
              </w:rPr>
            </w:pPr>
            <w:r>
              <w:rPr>
                <w:rFonts w:ascii="Arial" w:cs="Arial" w:eastAsia="Arial" w:hAnsi="Arial"/>
                <w:sz w:val="17"/>
                <w:szCs w:val="17"/>
                <w:b w:val="1"/>
                <w:bCs w:val="1"/>
                <w:color w:val="auto"/>
              </w:rPr>
              <w:t xml:space="preserve">Currency Rates </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86"/>
        </w:trPr>
        <w:tc>
          <w:tcPr>
            <w:tcW w:w="4540" w:type="dxa"/>
            <w:vAlign w:val="bottom"/>
            <w:vMerge w:val="continue"/>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$132.5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$161.5</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(17.9)%</w:t>
            </w: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122.1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135.6</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27"/>
        </w:trPr>
        <w:tc>
          <w:tcPr>
            <w:tcW w:w="4540" w:type="dxa"/>
            <w:vAlign w:val="bottom"/>
          </w:tcPr>
          <w:p>
            <w:pPr>
              <w:ind w:left="2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207.6</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9"/>
        </w:trPr>
        <w:tc>
          <w:tcPr>
            <w:tcW w:w="4540" w:type="dxa"/>
            <w:vAlign w:val="bottom"/>
          </w:tcPr>
          <w:p>
            <w:pPr>
              <w:ind w:left="3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446.7</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504.7</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186"/>
        </w:trPr>
        <w:tc>
          <w:tcPr>
            <w:tcW w:w="4540" w:type="dxa"/>
            <w:vAlign w:val="bottom"/>
          </w:tcPr>
          <w:p>
            <w:pPr>
              <w:ind w:left="100"/>
              <w:spacing w:after="0" w:line="186" w:lineRule="exact"/>
              <w:rPr>
                <w:sz w:val="20"/>
                <w:szCs w:val="20"/>
                <w:color w:val="auto"/>
              </w:rPr>
            </w:pPr>
            <w:r>
              <w:rPr>
                <w:rFonts w:ascii="Arial" w:cs="Arial" w:eastAsia="Arial" w:hAnsi="Arial"/>
                <w:sz w:val="17"/>
                <w:szCs w:val="17"/>
                <w:b w:val="1"/>
                <w:bCs w:val="1"/>
                <w:color w:val="auto"/>
              </w:rPr>
              <w:t>Heart Valves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18.9</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31.3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40.5</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(22.9)%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27"/>
        </w:trPr>
        <w:tc>
          <w:tcPr>
            <w:tcW w:w="4540" w:type="dxa"/>
            <w:vAlign w:val="bottom"/>
          </w:tcPr>
          <w:p>
            <w:pPr>
              <w:ind w:left="2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44.3</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209"/>
        </w:trPr>
        <w:tc>
          <w:tcPr>
            <w:tcW w:w="4540" w:type="dxa"/>
            <w:vAlign w:val="bottom"/>
          </w:tcPr>
          <w:p>
            <w:pPr>
              <w:ind w:left="3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120.0</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(26.6)%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186"/>
        </w:trPr>
        <w:tc>
          <w:tcPr>
            <w:tcW w:w="4540" w:type="dxa"/>
            <w:vAlign w:val="bottom"/>
          </w:tcPr>
          <w:p>
            <w:pPr>
              <w:ind w:left="100"/>
              <w:spacing w:after="0" w:line="186" w:lineRule="exact"/>
              <w:rPr>
                <w:sz w:val="20"/>
                <w:szCs w:val="20"/>
                <w:color w:val="auto"/>
              </w:rPr>
            </w:pPr>
            <w:r>
              <w:rPr>
                <w:rFonts w:ascii="Arial" w:cs="Arial" w:eastAsia="Arial" w:hAnsi="Arial"/>
                <w:sz w:val="17"/>
                <w:szCs w:val="17"/>
                <w:b w:val="1"/>
                <w:bCs w:val="1"/>
                <w:color w:val="auto"/>
              </w:rPr>
              <w:t>Advanced Circulatory Support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30.8</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33.5 %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33.5 %</w:t>
            </w:r>
          </w:p>
        </w:tc>
        <w:tc>
          <w:tcPr>
            <w:tcW w:w="0" w:type="dxa"/>
            <w:vAlign w:val="bottom"/>
          </w:tcPr>
          <w:p>
            <w:pPr>
              <w:spacing w:after="0"/>
              <w:rPr>
                <w:sz w:val="1"/>
                <w:szCs w:val="1"/>
                <w:color w:val="auto"/>
              </w:rPr>
            </w:pPr>
          </w:p>
        </w:tc>
      </w:tr>
      <w:tr>
        <w:trPr>
          <w:trHeight w:val="216"/>
        </w:trPr>
        <w:tc>
          <w:tcPr>
            <w:tcW w:w="4540" w:type="dxa"/>
            <w:vAlign w:val="bottom"/>
          </w:tcPr>
          <w:p>
            <w:pPr>
              <w:ind w:left="2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1960" w:type="dxa"/>
            <w:vAlign w:val="bottom"/>
            <w:gridSpan w:val="3"/>
          </w:tcPr>
          <w:p>
            <w:pPr>
              <w:jc w:val="right"/>
              <w:ind w:right="120"/>
              <w:spacing w:after="0"/>
              <w:rPr>
                <w:sz w:val="20"/>
                <w:szCs w:val="20"/>
                <w:color w:val="auto"/>
              </w:rPr>
            </w:pPr>
            <w:r>
              <w:rPr>
                <w:rFonts w:ascii="Arial" w:cs="Arial" w:eastAsia="Arial" w:hAnsi="Arial"/>
                <w:sz w:val="17"/>
                <w:szCs w:val="17"/>
                <w:color w:val="auto"/>
              </w:rPr>
              <w:t>N/M</w:t>
            </w:r>
          </w:p>
        </w:tc>
        <w:tc>
          <w:tcPr>
            <w:tcW w:w="188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7"/>
        </w:trPr>
        <w:tc>
          <w:tcPr>
            <w:tcW w:w="4540" w:type="dxa"/>
            <w:vAlign w:val="bottom"/>
          </w:tcPr>
          <w:p>
            <w:pPr>
              <w:ind w:left="2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1960" w:type="dxa"/>
            <w:vAlign w:val="bottom"/>
            <w:gridSpan w:val="3"/>
          </w:tcPr>
          <w:p>
            <w:pPr>
              <w:jc w:val="right"/>
              <w:ind w:right="120"/>
              <w:spacing w:after="0"/>
              <w:rPr>
                <w:sz w:val="20"/>
                <w:szCs w:val="20"/>
                <w:color w:val="auto"/>
              </w:rPr>
            </w:pPr>
            <w:r>
              <w:rPr>
                <w:rFonts w:ascii="Arial" w:cs="Arial" w:eastAsia="Arial" w:hAnsi="Arial"/>
                <w:sz w:val="17"/>
                <w:szCs w:val="17"/>
                <w:color w:val="auto"/>
              </w:rPr>
              <w:t>N/M</w:t>
            </w:r>
          </w:p>
        </w:tc>
        <w:tc>
          <w:tcPr>
            <w:tcW w:w="188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9"/>
        </w:trPr>
        <w:tc>
          <w:tcPr>
            <w:tcW w:w="4540" w:type="dxa"/>
            <w:vAlign w:val="bottom"/>
          </w:tcPr>
          <w:p>
            <w:pPr>
              <w:ind w:left="3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32.6 %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32.6 %</w:t>
            </w:r>
          </w:p>
        </w:tc>
        <w:tc>
          <w:tcPr>
            <w:tcW w:w="0" w:type="dxa"/>
            <w:vAlign w:val="bottom"/>
          </w:tcPr>
          <w:p>
            <w:pPr>
              <w:spacing w:after="0"/>
              <w:rPr>
                <w:sz w:val="1"/>
                <w:szCs w:val="1"/>
                <w:color w:val="auto"/>
              </w:rPr>
            </w:pPr>
          </w:p>
        </w:tc>
      </w:tr>
      <w:tr>
        <w:trPr>
          <w:trHeight w:val="186"/>
        </w:trPr>
        <w:tc>
          <w:tcPr>
            <w:tcW w:w="4540" w:type="dxa"/>
            <w:vAlign w:val="bottom"/>
          </w:tcPr>
          <w:p>
            <w:pPr>
              <w:spacing w:after="0" w:line="186" w:lineRule="exact"/>
              <w:rPr>
                <w:sz w:val="20"/>
                <w:szCs w:val="20"/>
                <w:color w:val="auto"/>
              </w:rPr>
            </w:pPr>
            <w:r>
              <w:rPr>
                <w:rFonts w:ascii="Arial" w:cs="Arial" w:eastAsia="Arial" w:hAnsi="Arial"/>
                <w:sz w:val="17"/>
                <w:szCs w:val="17"/>
                <w:b w:val="1"/>
                <w:bCs w:val="1"/>
                <w:color w:val="auto"/>
              </w:rPr>
              <w:t>Cardiovascular</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186.1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211.2</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154.3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176.9</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7"/>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268.6</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9"/>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577.1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656.6</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186"/>
        </w:trPr>
        <w:tc>
          <w:tcPr>
            <w:tcW w:w="4540" w:type="dxa"/>
            <w:vAlign w:val="bottom"/>
          </w:tcPr>
          <w:p>
            <w:pPr>
              <w:spacing w:after="0" w:line="186" w:lineRule="exact"/>
              <w:rPr>
                <w:sz w:val="20"/>
                <w:szCs w:val="20"/>
                <w:color w:val="auto"/>
              </w:rPr>
            </w:pPr>
            <w:r>
              <w:rPr>
                <w:rFonts w:ascii="Arial" w:cs="Arial" w:eastAsia="Arial" w:hAnsi="Arial"/>
                <w:sz w:val="17"/>
                <w:szCs w:val="17"/>
                <w:b w:val="1"/>
                <w:bCs w:val="1"/>
                <w:color w:val="auto"/>
              </w:rPr>
              <w:t>Neuromodulation</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282.5</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335.3</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46.3</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27"/>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43.0</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9"/>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354.4</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424.5</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186"/>
        </w:trPr>
        <w:tc>
          <w:tcPr>
            <w:tcW w:w="4540" w:type="dxa"/>
            <w:vAlign w:val="bottom"/>
          </w:tcPr>
          <w:p>
            <w:pPr>
              <w:spacing w:after="0" w:line="186" w:lineRule="exact"/>
              <w:rPr>
                <w:sz w:val="20"/>
                <w:szCs w:val="20"/>
                <w:color w:val="auto"/>
              </w:rPr>
            </w:pPr>
            <w:r>
              <w:rPr>
                <w:rFonts w:ascii="Arial" w:cs="Arial" w:eastAsia="Arial" w:hAnsi="Arial"/>
                <w:sz w:val="17"/>
                <w:szCs w:val="17"/>
                <w:b w:val="1"/>
                <w:bCs w:val="1"/>
                <w:color w:val="auto"/>
              </w:rPr>
              <w:t>Other</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960" w:type="dxa"/>
            <w:vAlign w:val="bottom"/>
            <w:gridSpan w:val="3"/>
          </w:tcPr>
          <w:p>
            <w:pPr>
              <w:jc w:val="right"/>
              <w:ind w:right="120"/>
              <w:spacing w:after="0"/>
              <w:rPr>
                <w:sz w:val="20"/>
                <w:szCs w:val="20"/>
                <w:color w:val="auto"/>
              </w:rPr>
            </w:pPr>
            <w:r>
              <w:rPr>
                <w:rFonts w:ascii="Arial" w:cs="Arial" w:eastAsia="Arial" w:hAnsi="Arial"/>
                <w:sz w:val="17"/>
                <w:szCs w:val="17"/>
                <w:color w:val="auto"/>
              </w:rPr>
              <w:t>N/A</w:t>
            </w:r>
          </w:p>
        </w:tc>
        <w:tc>
          <w:tcPr>
            <w:tcW w:w="188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Europe</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960" w:type="dxa"/>
            <w:vAlign w:val="bottom"/>
            <w:gridSpan w:val="3"/>
          </w:tcPr>
          <w:p>
            <w:pPr>
              <w:jc w:val="right"/>
              <w:ind w:right="120"/>
              <w:spacing w:after="0"/>
              <w:rPr>
                <w:sz w:val="20"/>
                <w:szCs w:val="20"/>
                <w:color w:val="auto"/>
              </w:rPr>
            </w:pPr>
            <w:r>
              <w:rPr>
                <w:rFonts w:ascii="Arial" w:cs="Arial" w:eastAsia="Arial" w:hAnsi="Arial"/>
                <w:sz w:val="17"/>
                <w:szCs w:val="17"/>
                <w:color w:val="auto"/>
              </w:rPr>
              <w:t>N/A</w:t>
            </w:r>
          </w:p>
        </w:tc>
        <w:tc>
          <w:tcPr>
            <w:tcW w:w="1880" w:type="dxa"/>
            <w:vAlign w:val="bottom"/>
          </w:tcPr>
          <w:p>
            <w:pPr>
              <w:jc w:val="right"/>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27"/>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9"/>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186"/>
        </w:trPr>
        <w:tc>
          <w:tcPr>
            <w:tcW w:w="4540" w:type="dxa"/>
            <w:vAlign w:val="bottom"/>
          </w:tcPr>
          <w:p>
            <w:pPr>
              <w:spacing w:after="0" w:line="186" w:lineRule="exact"/>
              <w:rPr>
                <w:sz w:val="20"/>
                <w:szCs w:val="20"/>
                <w:color w:val="auto"/>
              </w:rPr>
            </w:pPr>
            <w:r>
              <w:rPr>
                <w:rFonts w:ascii="Arial" w:cs="Arial" w:eastAsia="Arial" w:hAnsi="Arial"/>
                <w:sz w:val="17"/>
                <w:szCs w:val="17"/>
                <w:b w:val="1"/>
                <w:bCs w:val="1"/>
                <w:color w:val="auto"/>
              </w:rPr>
              <w:t>Totals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US</w:t>
            </w:r>
          </w:p>
        </w:tc>
        <w:tc>
          <w:tcPr>
            <w:tcW w:w="1320" w:type="dxa"/>
            <w:vAlign w:val="bottom"/>
          </w:tcPr>
          <w:p>
            <w:pPr>
              <w:jc w:val="right"/>
              <w:spacing w:after="0"/>
              <w:rPr>
                <w:sz w:val="20"/>
                <w:szCs w:val="20"/>
                <w:color w:val="auto"/>
              </w:rPr>
            </w:pPr>
            <w:r>
              <w:rPr>
                <w:rFonts w:ascii="Arial" w:cs="Arial" w:eastAsia="Arial" w:hAnsi="Arial"/>
                <w:sz w:val="17"/>
                <w:szCs w:val="17"/>
                <w:color w:val="auto"/>
              </w:rPr>
              <w:t>468.6</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546.5</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216"/>
        </w:trPr>
        <w:tc>
          <w:tcPr>
            <w:tcW w:w="4540" w:type="dxa"/>
            <w:vAlign w:val="bottom"/>
          </w:tcPr>
          <w:p>
            <w:pPr>
              <w:ind w:left="100"/>
              <w:spacing w:after="0"/>
              <w:rPr>
                <w:sz w:val="20"/>
                <w:szCs w:val="20"/>
                <w:color w:val="auto"/>
              </w:rPr>
            </w:pPr>
            <w:r>
              <w:rPr>
                <w:rFonts w:ascii="Arial" w:cs="Arial" w:eastAsia="Arial" w:hAnsi="Arial"/>
                <w:sz w:val="17"/>
                <w:szCs w:val="17"/>
                <w:color w:val="auto"/>
              </w:rPr>
              <w:t>Europe</w:t>
            </w:r>
          </w:p>
        </w:tc>
        <w:tc>
          <w:tcPr>
            <w:tcW w:w="1320" w:type="dxa"/>
            <w:vAlign w:val="bottom"/>
          </w:tcPr>
          <w:p>
            <w:pPr>
              <w:jc w:val="right"/>
              <w:spacing w:after="0"/>
              <w:rPr>
                <w:sz w:val="20"/>
                <w:szCs w:val="20"/>
                <w:color w:val="auto"/>
              </w:rPr>
            </w:pPr>
            <w:r>
              <w:rPr>
                <w:rFonts w:ascii="Arial" w:cs="Arial" w:eastAsia="Arial" w:hAnsi="Arial"/>
                <w:sz w:val="17"/>
                <w:szCs w:val="17"/>
                <w:color w:val="auto"/>
              </w:rPr>
              <w:t>193.4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223.2</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(14.9)%</w:t>
            </w:r>
          </w:p>
        </w:tc>
        <w:tc>
          <w:tcPr>
            <w:tcW w:w="0" w:type="dxa"/>
            <w:vAlign w:val="bottom"/>
          </w:tcPr>
          <w:p>
            <w:pPr>
              <w:spacing w:after="0"/>
              <w:rPr>
                <w:sz w:val="1"/>
                <w:szCs w:val="1"/>
                <w:color w:val="auto"/>
              </w:rPr>
            </w:pPr>
          </w:p>
        </w:tc>
      </w:tr>
      <w:tr>
        <w:trPr>
          <w:trHeight w:val="227"/>
        </w:trPr>
        <w:tc>
          <w:tcPr>
            <w:tcW w:w="4540" w:type="dxa"/>
            <w:vAlign w:val="bottom"/>
          </w:tcPr>
          <w:p>
            <w:pPr>
              <w:ind w:left="100"/>
              <w:spacing w:after="0"/>
              <w:rPr>
                <w:sz w:val="20"/>
                <w:szCs w:val="20"/>
                <w:color w:val="auto"/>
              </w:rPr>
            </w:pPr>
            <w:r>
              <w:rPr>
                <w:rFonts w:ascii="Arial" w:cs="Arial" w:eastAsia="Arial" w:hAnsi="Arial"/>
                <w:sz w:val="17"/>
                <w:szCs w:val="17"/>
                <w:color w:val="auto"/>
              </w:rPr>
              <w:t>Rest of World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272.2</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314.5</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09"/>
        </w:trPr>
        <w:tc>
          <w:tcPr>
            <w:tcW w:w="4540" w:type="dxa"/>
            <w:vAlign w:val="bottom"/>
          </w:tcPr>
          <w:p>
            <w:pPr>
              <w:ind w:left="20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$934.2</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$1,084.2</w:t>
            </w:r>
          </w:p>
        </w:tc>
        <w:tc>
          <w:tcPr>
            <w:tcW w:w="1940" w:type="dxa"/>
            <w:vAlign w:val="bottom"/>
            <w:gridSpan w:val="2"/>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401" w:right="20" w:hanging="401"/>
        <w:spacing w:after="0" w:line="249" w:lineRule="auto"/>
        <w:tabs>
          <w:tab w:leader="none" w:pos="401"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Constant-currency growth, a non-GAAP financial measure, measures the change in sales between current and prior-year periods using average exchange rates in effect during the applicable prior-year period.</w:t>
      </w:r>
    </w:p>
    <w:p>
      <w:pPr>
        <w:spacing w:after="0" w:line="1" w:lineRule="exact"/>
        <w:rPr>
          <w:sz w:val="20"/>
          <w:szCs w:val="20"/>
          <w:color w:val="auto"/>
        </w:rPr>
      </w:pPr>
    </w:p>
    <w:p>
      <w:pPr>
        <w:ind w:left="401" w:hanging="401"/>
        <w:spacing w:after="0"/>
        <w:tabs>
          <w:tab w:leader="none" w:pos="401"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sales results presented are unaudited. Numbers may not add precisely due to rounding.</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21"/>
          </w:cols>
          <w:pgMar w:left="339" w:top="1375" w:right="339" w:bottom="1440" w:gutter="0" w:footer="0" w:header="0"/>
        </w:sectPr>
      </w:pPr>
    </w:p>
    <w:bookmarkStart w:id="14" w:name="page15"/>
    <w:bookmarkEnd w:id="14"/>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LIVANOVA PLC AND SUBSIDIARIES</w:t>
      </w:r>
    </w:p>
    <w:p>
      <w:pPr>
        <w:spacing w:after="0" w:line="44" w:lineRule="exact"/>
        <w:rPr>
          <w:sz w:val="20"/>
          <w:szCs w:val="20"/>
          <w:color w:val="auto"/>
        </w:rPr>
      </w:pPr>
    </w:p>
    <w:p>
      <w:pPr>
        <w:ind w:right="5420"/>
        <w:spacing w:after="0" w:line="291" w:lineRule="auto"/>
        <w:rPr>
          <w:sz w:val="20"/>
          <w:szCs w:val="20"/>
          <w:color w:val="auto"/>
        </w:rPr>
      </w:pPr>
      <w:r>
        <w:rPr>
          <w:rFonts w:ascii="Arial" w:cs="Arial" w:eastAsia="Arial" w:hAnsi="Arial"/>
          <w:sz w:val="17"/>
          <w:szCs w:val="17"/>
          <w:b w:val="1"/>
          <w:bCs w:val="1"/>
          <w:color w:val="auto"/>
        </w:rPr>
        <w:t>CONDENSED CONSOLIDATED STATEMENTS OF INCOME - UNAUDITED (U.S. dollars in millions, except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60" w:type="dxa"/>
            <w:vAlign w:val="bottom"/>
          </w:tcPr>
          <w:p>
            <w:pPr>
              <w:spacing w:after="0"/>
              <w:rPr>
                <w:sz w:val="19"/>
                <w:szCs w:val="19"/>
                <w:color w:val="auto"/>
              </w:rPr>
            </w:pPr>
          </w:p>
        </w:tc>
        <w:tc>
          <w:tcPr>
            <w:tcW w:w="380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7"/>
                <w:szCs w:val="17"/>
                <w:b w:val="1"/>
                <w:bCs w:val="1"/>
                <w:color w:val="auto"/>
              </w:rPr>
              <w:t>Three Months Ended December 31,</w:t>
            </w:r>
          </w:p>
        </w:tc>
        <w:tc>
          <w:tcPr>
            <w:tcW w:w="100" w:type="dxa"/>
            <w:vAlign w:val="bottom"/>
          </w:tcPr>
          <w:p>
            <w:pPr>
              <w:spacing w:after="0"/>
              <w:rPr>
                <w:sz w:val="19"/>
                <w:szCs w:val="19"/>
                <w:color w:val="auto"/>
              </w:rPr>
            </w:pPr>
          </w:p>
        </w:tc>
        <w:tc>
          <w:tcPr>
            <w:tcW w:w="1860" w:type="dxa"/>
            <w:vAlign w:val="bottom"/>
            <w:vMerge w:val="restart"/>
          </w:tcPr>
          <w:p>
            <w:pPr>
              <w:jc w:val="right"/>
              <w:ind w:right="435"/>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9"/>
        </w:trPr>
        <w:tc>
          <w:tcPr>
            <w:tcW w:w="5460" w:type="dxa"/>
            <w:vAlign w:val="bottom"/>
            <w:vMerge w:val="restart"/>
          </w:tcPr>
          <w:p>
            <w:pPr>
              <w:spacing w:after="0"/>
              <w:rPr>
                <w:sz w:val="20"/>
                <w:szCs w:val="20"/>
                <w:color w:val="auto"/>
              </w:rPr>
            </w:pPr>
            <w:r>
              <w:rPr>
                <w:rFonts w:ascii="Arial" w:cs="Arial" w:eastAsia="Arial" w:hAnsi="Arial"/>
                <w:sz w:val="17"/>
                <w:szCs w:val="17"/>
                <w:color w:val="auto"/>
              </w:rPr>
              <w:t>Net sales</w:t>
            </w:r>
          </w:p>
        </w:tc>
        <w:tc>
          <w:tcPr>
            <w:tcW w:w="184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460" w:type="dxa"/>
            <w:vAlign w:val="bottom"/>
            <w:vMerge w:val="continue"/>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$269.6</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$287.6</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7"/>
                <w:szCs w:val="17"/>
                <w:color w:val="auto"/>
              </w:rPr>
              <w:t>Costs and expenses: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7"/>
                <w:szCs w:val="17"/>
                <w:color w:val="auto"/>
              </w:rPr>
              <w:t>Cost of sales - exclusive of amortization</w:t>
            </w:r>
          </w:p>
        </w:tc>
        <w:tc>
          <w:tcPr>
            <w:tcW w:w="1840" w:type="dxa"/>
            <w:vAlign w:val="bottom"/>
          </w:tcPr>
          <w:p>
            <w:pPr>
              <w:jc w:val="right"/>
              <w:spacing w:after="0"/>
              <w:rPr>
                <w:sz w:val="20"/>
                <w:szCs w:val="20"/>
                <w:color w:val="auto"/>
              </w:rPr>
            </w:pPr>
            <w:r>
              <w:rPr>
                <w:rFonts w:ascii="Arial" w:cs="Arial" w:eastAsia="Arial" w:hAnsi="Arial"/>
                <w:sz w:val="17"/>
                <w:szCs w:val="17"/>
                <w:color w:val="auto"/>
              </w:rPr>
              <w:t>95.9</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78.2</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7"/>
                <w:szCs w:val="17"/>
                <w:color w:val="auto"/>
              </w:rPr>
              <w:t>Product remediation</w:t>
            </w:r>
          </w:p>
        </w:tc>
        <w:tc>
          <w:tcPr>
            <w:tcW w:w="18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7"/>
                <w:szCs w:val="17"/>
                <w:color w:val="auto"/>
              </w:rPr>
              <w:t>Selling, general and administrative</w:t>
            </w:r>
          </w:p>
        </w:tc>
        <w:tc>
          <w:tcPr>
            <w:tcW w:w="1840" w:type="dxa"/>
            <w:vAlign w:val="bottom"/>
          </w:tcPr>
          <w:p>
            <w:pPr>
              <w:jc w:val="right"/>
              <w:spacing w:after="0"/>
              <w:rPr>
                <w:sz w:val="20"/>
                <w:szCs w:val="20"/>
                <w:color w:val="auto"/>
              </w:rPr>
            </w:pPr>
            <w:r>
              <w:rPr>
                <w:rFonts w:ascii="Arial" w:cs="Arial" w:eastAsia="Arial" w:hAnsi="Arial"/>
                <w:sz w:val="17"/>
                <w:szCs w:val="17"/>
                <w:color w:val="auto"/>
              </w:rPr>
              <w:t>110.3</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130.5</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7"/>
                <w:szCs w:val="17"/>
                <w:color w:val="auto"/>
              </w:rPr>
              <w:t>Research and development</w:t>
            </w:r>
          </w:p>
        </w:tc>
        <w:tc>
          <w:tcPr>
            <w:tcW w:w="1840" w:type="dxa"/>
            <w:vAlign w:val="bottom"/>
          </w:tcPr>
          <w:p>
            <w:pPr>
              <w:jc w:val="right"/>
              <w:spacing w:after="0"/>
              <w:rPr>
                <w:sz w:val="20"/>
                <w:szCs w:val="20"/>
                <w:color w:val="auto"/>
              </w:rPr>
            </w:pPr>
            <w:r>
              <w:rPr>
                <w:rFonts w:ascii="Arial" w:cs="Arial" w:eastAsia="Arial" w:hAnsi="Arial"/>
                <w:sz w:val="17"/>
                <w:szCs w:val="17"/>
                <w:color w:val="auto"/>
              </w:rPr>
              <w:t>44.5</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7"/>
                <w:szCs w:val="17"/>
                <w:color w:val="auto"/>
              </w:rPr>
              <w:t>Merger and integration expenses</w:t>
            </w:r>
          </w:p>
        </w:tc>
        <w:tc>
          <w:tcPr>
            <w:tcW w:w="184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7"/>
                <w:szCs w:val="17"/>
                <w:color w:val="auto"/>
              </w:rPr>
              <w:t>Restructuring expenses</w:t>
            </w:r>
          </w:p>
        </w:tc>
        <w:tc>
          <w:tcPr>
            <w:tcW w:w="184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7"/>
                <w:szCs w:val="17"/>
                <w:color w:val="auto"/>
              </w:rPr>
              <w:t>Impairment of disposal group</w:t>
            </w:r>
          </w:p>
        </w:tc>
        <w:tc>
          <w:tcPr>
            <w:tcW w:w="1840" w:type="dxa"/>
            <w:vAlign w:val="bottom"/>
          </w:tcPr>
          <w:p>
            <w:pPr>
              <w:jc w:val="right"/>
              <w:spacing w:after="0"/>
              <w:rPr>
                <w:sz w:val="20"/>
                <w:szCs w:val="20"/>
                <w:color w:val="auto"/>
              </w:rPr>
            </w:pPr>
            <w:r>
              <w:rPr>
                <w:rFonts w:ascii="Arial" w:cs="Arial" w:eastAsia="Arial" w:hAnsi="Arial"/>
                <w:sz w:val="17"/>
                <w:szCs w:val="17"/>
                <w:color w:val="auto"/>
              </w:rPr>
              <w:t>180.2</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7"/>
                <w:szCs w:val="17"/>
                <w:color w:val="auto"/>
              </w:rPr>
              <w:t>Impairment of goodwill</w:t>
            </w:r>
          </w:p>
        </w:tc>
        <w:tc>
          <w:tcPr>
            <w:tcW w:w="184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7"/>
                <w:szCs w:val="17"/>
                <w:color w:val="auto"/>
              </w:rPr>
              <w:t>Impairment of long-lived assets</w:t>
            </w:r>
          </w:p>
        </w:tc>
        <w:tc>
          <w:tcPr>
            <w:tcW w:w="184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91.3</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7"/>
                <w:szCs w:val="17"/>
                <w:color w:val="auto"/>
              </w:rPr>
              <w:t>Amortization of intangibles</w:t>
            </w:r>
          </w:p>
        </w:tc>
        <w:tc>
          <w:tcPr>
            <w:tcW w:w="184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7"/>
                <w:szCs w:val="17"/>
                <w:color w:val="auto"/>
              </w:rPr>
              <w:t>Decommissioning provision</w:t>
            </w:r>
          </w:p>
        </w:tc>
        <w:tc>
          <w:tcPr>
            <w:tcW w:w="1840" w:type="dxa"/>
            <w:vAlign w:val="bottom"/>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60" w:type="dxa"/>
            <w:vAlign w:val="bottom"/>
          </w:tcPr>
          <w:p>
            <w:pPr>
              <w:ind w:left="100"/>
              <w:spacing w:after="0"/>
              <w:rPr>
                <w:sz w:val="20"/>
                <w:szCs w:val="20"/>
                <w:color w:val="auto"/>
              </w:rPr>
            </w:pPr>
            <w:r>
              <w:rPr>
                <w:rFonts w:ascii="Arial" w:cs="Arial" w:eastAsia="Arial" w:hAnsi="Arial"/>
                <w:sz w:val="17"/>
                <w:szCs w:val="17"/>
                <w:color w:val="auto"/>
              </w:rPr>
              <w:t>Litigation provision, net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w:t>
            </w:r>
          </w:p>
        </w:tc>
        <w:tc>
          <w:tcPr>
            <w:tcW w:w="10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7"/>
                <w:szCs w:val="17"/>
                <w:color w:val="auto"/>
              </w:rPr>
              <w:t>Operating loss from continuing operations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(247.7)</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(144.0)</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72.1 %</w:t>
            </w:r>
          </w:p>
        </w:tc>
        <w:tc>
          <w:tcPr>
            <w:tcW w:w="0" w:type="dxa"/>
            <w:vAlign w:val="bottom"/>
          </w:tcPr>
          <w:p>
            <w:pPr>
              <w:spacing w:after="0"/>
              <w:rPr>
                <w:sz w:val="1"/>
                <w:szCs w:val="1"/>
                <w:color w:val="auto"/>
              </w:rPr>
            </w:pPr>
          </w:p>
        </w:tc>
      </w:tr>
      <w:tr>
        <w:trPr>
          <w:trHeight w:val="199"/>
        </w:trPr>
        <w:tc>
          <w:tcPr>
            <w:tcW w:w="5460" w:type="dxa"/>
            <w:vAlign w:val="bottom"/>
          </w:tcPr>
          <w:p>
            <w:pPr>
              <w:ind w:left="100"/>
              <w:spacing w:after="0"/>
              <w:rPr>
                <w:sz w:val="20"/>
                <w:szCs w:val="20"/>
                <w:color w:val="auto"/>
              </w:rPr>
            </w:pPr>
            <w:r>
              <w:rPr>
                <w:rFonts w:ascii="Arial" w:cs="Arial" w:eastAsia="Arial" w:hAnsi="Arial"/>
                <w:sz w:val="17"/>
                <w:szCs w:val="17"/>
                <w:color w:val="auto"/>
              </w:rPr>
              <w:t>Interest expense, net</w:t>
            </w:r>
          </w:p>
        </w:tc>
        <w:tc>
          <w:tcPr>
            <w:tcW w:w="1840" w:type="dxa"/>
            <w:vAlign w:val="bottom"/>
          </w:tcPr>
          <w:p>
            <w:pPr>
              <w:jc w:val="right"/>
              <w:spacing w:after="0"/>
              <w:rPr>
                <w:sz w:val="20"/>
                <w:szCs w:val="20"/>
                <w:color w:val="auto"/>
              </w:rPr>
            </w:pPr>
            <w:r>
              <w:rPr>
                <w:rFonts w:ascii="Arial" w:cs="Arial" w:eastAsia="Arial" w:hAnsi="Arial"/>
                <w:sz w:val="17"/>
                <w:szCs w:val="17"/>
                <w:color w:val="auto"/>
              </w:rPr>
              <w:t>(16.0)</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460" w:type="dxa"/>
            <w:vAlign w:val="bottom"/>
          </w:tcPr>
          <w:p>
            <w:pPr>
              <w:ind w:left="100"/>
              <w:spacing w:after="0"/>
              <w:rPr>
                <w:sz w:val="20"/>
                <w:szCs w:val="20"/>
                <w:color w:val="auto"/>
              </w:rPr>
            </w:pPr>
            <w:r>
              <w:rPr>
                <w:rFonts w:ascii="Arial" w:cs="Arial" w:eastAsia="Arial" w:hAnsi="Arial"/>
                <w:sz w:val="17"/>
                <w:szCs w:val="17"/>
                <w:color w:val="auto"/>
              </w:rPr>
              <w:t>Foreign exchange and other losses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(33.9)</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7"/>
                <w:szCs w:val="17"/>
                <w:color w:val="auto"/>
              </w:rPr>
              <w:t>Loss from continuing operations before tax</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(297.6)</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(150.1)</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98.2 %</w:t>
            </w:r>
          </w:p>
        </w:tc>
        <w:tc>
          <w:tcPr>
            <w:tcW w:w="0" w:type="dxa"/>
            <w:vAlign w:val="bottom"/>
          </w:tcPr>
          <w:p>
            <w:pPr>
              <w:spacing w:after="0"/>
              <w:rPr>
                <w:sz w:val="1"/>
                <w:szCs w:val="1"/>
                <w:color w:val="auto"/>
              </w:rPr>
            </w:pPr>
          </w:p>
        </w:tc>
      </w:tr>
      <w:tr>
        <w:trPr>
          <w:trHeight w:val="199"/>
        </w:trPr>
        <w:tc>
          <w:tcPr>
            <w:tcW w:w="5460" w:type="dxa"/>
            <w:vAlign w:val="bottom"/>
          </w:tcPr>
          <w:p>
            <w:pPr>
              <w:ind w:left="100"/>
              <w:spacing w:after="0"/>
              <w:rPr>
                <w:sz w:val="20"/>
                <w:szCs w:val="20"/>
                <w:color w:val="auto"/>
              </w:rPr>
            </w:pPr>
            <w:r>
              <w:rPr>
                <w:rFonts w:ascii="Arial" w:cs="Arial" w:eastAsia="Arial" w:hAnsi="Arial"/>
                <w:sz w:val="17"/>
                <w:szCs w:val="17"/>
                <w:color w:val="auto"/>
              </w:rPr>
              <w:t>Income tax benefit</w:t>
            </w:r>
          </w:p>
        </w:tc>
        <w:tc>
          <w:tcPr>
            <w:tcW w:w="1840" w:type="dxa"/>
            <w:vAlign w:val="bottom"/>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460" w:type="dxa"/>
            <w:vAlign w:val="bottom"/>
          </w:tcPr>
          <w:p>
            <w:pPr>
              <w:ind w:left="100"/>
              <w:spacing w:after="0"/>
              <w:rPr>
                <w:sz w:val="20"/>
                <w:szCs w:val="20"/>
                <w:color w:val="auto"/>
              </w:rPr>
            </w:pPr>
            <w:r>
              <w:rPr>
                <w:rFonts w:ascii="Arial" w:cs="Arial" w:eastAsia="Arial" w:hAnsi="Arial"/>
                <w:sz w:val="17"/>
                <w:szCs w:val="17"/>
                <w:color w:val="auto"/>
              </w:rPr>
              <w:t>Losses from equity method investments</w:t>
            </w:r>
          </w:p>
        </w:tc>
        <w:tc>
          <w:tcPr>
            <w:tcW w:w="19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7"/>
                <w:szCs w:val="17"/>
                <w:color w:val="auto"/>
              </w:rPr>
              <w:t>Net loss from continuing operations</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(279.3)</w:t>
            </w:r>
          </w:p>
        </w:tc>
        <w:tc>
          <w:tcPr>
            <w:tcW w:w="100" w:type="dxa"/>
            <w:vAlign w:val="bottom"/>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(143.4)</w:t>
            </w:r>
          </w:p>
        </w:tc>
        <w:tc>
          <w:tcPr>
            <w:tcW w:w="100" w:type="dxa"/>
            <w:vAlign w:val="bottom"/>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94.8 %</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7"/>
                <w:szCs w:val="17"/>
                <w:color w:val="auto"/>
              </w:rPr>
              <w:t>Net (loss) income from discontinued operations, net of tax</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7"/>
                <w:szCs w:val="17"/>
                <w:color w:val="auto"/>
              </w:rPr>
              <w:t>Net loss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($279.8)</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95.4 %</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7"/>
                <w:szCs w:val="17"/>
                <w:color w:val="auto"/>
              </w:rPr>
              <w:t>Basic loss per share:</w:t>
            </w: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46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7"/>
                <w:szCs w:val="17"/>
                <w:color w:val="auto"/>
              </w:rPr>
              <w:t>Continuing operations</w:t>
            </w:r>
          </w:p>
        </w:tc>
        <w:tc>
          <w:tcPr>
            <w:tcW w:w="1840" w:type="dxa"/>
            <w:vAlign w:val="bottom"/>
          </w:tcPr>
          <w:p>
            <w:pPr>
              <w:jc w:val="right"/>
              <w:spacing w:after="0"/>
              <w:rPr>
                <w:sz w:val="20"/>
                <w:szCs w:val="20"/>
                <w:color w:val="auto"/>
              </w:rPr>
            </w:pPr>
            <w:r>
              <w:rPr>
                <w:rFonts w:ascii="Arial" w:cs="Arial" w:eastAsia="Arial" w:hAnsi="Arial"/>
                <w:sz w:val="17"/>
                <w:szCs w:val="17"/>
                <w:color w:val="auto"/>
              </w:rPr>
              <w:t>($5.74)</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60" w:type="dxa"/>
            <w:vAlign w:val="bottom"/>
          </w:tcPr>
          <w:p>
            <w:pPr>
              <w:ind w:left="100"/>
              <w:spacing w:after="0"/>
              <w:rPr>
                <w:sz w:val="20"/>
                <w:szCs w:val="20"/>
                <w:color w:val="auto"/>
              </w:rPr>
            </w:pPr>
            <w:r>
              <w:rPr>
                <w:rFonts w:ascii="Arial" w:cs="Arial" w:eastAsia="Arial" w:hAnsi="Arial"/>
                <w:sz w:val="17"/>
                <w:szCs w:val="17"/>
                <w:color w:val="auto"/>
              </w:rPr>
              <w:t>Discontinued operations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7"/>
                <w:szCs w:val="17"/>
                <w:color w:val="auto"/>
              </w:rPr>
              <w:t>Diluted loss per share:</w:t>
            </w: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46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7"/>
                <w:szCs w:val="17"/>
                <w:color w:val="auto"/>
              </w:rPr>
              <w:t>Continuing operations</w:t>
            </w:r>
          </w:p>
        </w:tc>
        <w:tc>
          <w:tcPr>
            <w:tcW w:w="1840" w:type="dxa"/>
            <w:vAlign w:val="bottom"/>
          </w:tcPr>
          <w:p>
            <w:pPr>
              <w:jc w:val="right"/>
              <w:spacing w:after="0"/>
              <w:rPr>
                <w:sz w:val="20"/>
                <w:szCs w:val="20"/>
                <w:color w:val="auto"/>
              </w:rPr>
            </w:pPr>
            <w:r>
              <w:rPr>
                <w:rFonts w:ascii="Arial" w:cs="Arial" w:eastAsia="Arial" w:hAnsi="Arial"/>
                <w:sz w:val="17"/>
                <w:szCs w:val="17"/>
                <w:color w:val="auto"/>
              </w:rPr>
              <w:t>($5.74)</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60" w:type="dxa"/>
            <w:vAlign w:val="bottom"/>
          </w:tcPr>
          <w:p>
            <w:pPr>
              <w:ind w:left="100"/>
              <w:spacing w:after="0"/>
              <w:rPr>
                <w:sz w:val="20"/>
                <w:szCs w:val="20"/>
                <w:color w:val="auto"/>
              </w:rPr>
            </w:pPr>
            <w:r>
              <w:rPr>
                <w:rFonts w:ascii="Arial" w:cs="Arial" w:eastAsia="Arial" w:hAnsi="Arial"/>
                <w:sz w:val="17"/>
                <w:szCs w:val="17"/>
                <w:color w:val="auto"/>
              </w:rPr>
              <w:t>Discontinued operations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7"/>
                <w:szCs w:val="17"/>
                <w:color w:val="auto"/>
              </w:rPr>
              <w:t>Weighted average common shares outstanding:</w:t>
            </w: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46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100"/>
              <w:spacing w:after="0"/>
              <w:rPr>
                <w:sz w:val="20"/>
                <w:szCs w:val="20"/>
                <w:color w:val="auto"/>
              </w:rPr>
            </w:pPr>
            <w:r>
              <w:rPr>
                <w:rFonts w:ascii="Arial" w:cs="Arial" w:eastAsia="Arial" w:hAnsi="Arial"/>
                <w:sz w:val="17"/>
                <w:szCs w:val="17"/>
                <w:color w:val="auto"/>
              </w:rPr>
              <w:t>Basic</w:t>
            </w:r>
          </w:p>
        </w:tc>
        <w:tc>
          <w:tcPr>
            <w:tcW w:w="184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48.4</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00"/>
              <w:spacing w:after="0"/>
              <w:rPr>
                <w:sz w:val="20"/>
                <w:szCs w:val="20"/>
                <w:color w:val="auto"/>
              </w:rPr>
            </w:pPr>
            <w:r>
              <w:rPr>
                <w:rFonts w:ascii="Arial" w:cs="Arial" w:eastAsia="Arial" w:hAnsi="Arial"/>
                <w:sz w:val="17"/>
                <w:szCs w:val="17"/>
                <w:color w:val="auto"/>
              </w:rPr>
              <w:t>Diluted</w:t>
            </w:r>
          </w:p>
        </w:tc>
        <w:tc>
          <w:tcPr>
            <w:tcW w:w="184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48.4</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 Numbers may not add precisely due to rounding.</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20"/>
          </w:cols>
          <w:pgMar w:left="340" w:top="1440" w:right="339" w:bottom="1440" w:gutter="0" w:footer="0" w:header="0"/>
        </w:sectPr>
      </w:pPr>
    </w:p>
    <w:bookmarkStart w:id="15" w:name="page16"/>
    <w:bookmarkEnd w:id="15"/>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140" w:type="dxa"/>
            <w:vAlign w:val="bottom"/>
            <w:gridSpan w:val="2"/>
          </w:tcPr>
          <w:p>
            <w:pPr>
              <w:spacing w:after="0"/>
              <w:rPr>
                <w:sz w:val="20"/>
                <w:szCs w:val="20"/>
                <w:color w:val="auto"/>
              </w:rPr>
            </w:pPr>
            <w:r>
              <w:rPr>
                <w:rFonts w:ascii="Arial" w:cs="Arial" w:eastAsia="Arial" w:hAnsi="Arial"/>
                <w:sz w:val="17"/>
                <w:szCs w:val="17"/>
                <w:b w:val="1"/>
                <w:bCs w:val="1"/>
                <w:color w:val="auto"/>
              </w:rPr>
              <w:t>Adjusted Financial Measures (U.S. dollars in millions, except per share amounts)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5"/>
        </w:trPr>
        <w:tc>
          <w:tcPr>
            <w:tcW w:w="6020" w:type="dxa"/>
            <w:vAlign w:val="bottom"/>
          </w:tcPr>
          <w:p>
            <w:pPr>
              <w:spacing w:after="0"/>
              <w:rPr>
                <w:sz w:val="24"/>
                <w:szCs w:val="24"/>
                <w:color w:val="auto"/>
              </w:rPr>
            </w:pPr>
          </w:p>
        </w:tc>
        <w:tc>
          <w:tcPr>
            <w:tcW w:w="352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7"/>
                <w:szCs w:val="17"/>
                <w:b w:val="1"/>
                <w:bCs w:val="1"/>
                <w:color w:val="auto"/>
              </w:rPr>
              <w:t>Three Months Ended December 31,</w:t>
            </w: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2"/>
        </w:trPr>
        <w:tc>
          <w:tcPr>
            <w:tcW w:w="7140" w:type="dxa"/>
            <w:vAlign w:val="bottom"/>
            <w:gridSpan w:val="2"/>
          </w:tcPr>
          <w:p>
            <w:pPr>
              <w:ind w:left="6680"/>
              <w:spacing w:after="0"/>
              <w:rPr>
                <w:sz w:val="20"/>
                <w:szCs w:val="20"/>
                <w:color w:val="auto"/>
              </w:rPr>
            </w:pPr>
            <w:r>
              <w:rPr>
                <w:rFonts w:ascii="Arial" w:cs="Arial" w:eastAsia="Arial" w:hAnsi="Arial"/>
                <w:sz w:val="17"/>
                <w:szCs w:val="17"/>
                <w:b w:val="1"/>
                <w:bCs w:val="1"/>
                <w:color w:val="auto"/>
              </w:rPr>
              <w:t>2020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right"/>
              <w:ind w:right="59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9"/>
                <w:szCs w:val="19"/>
                <w:color w:val="auto"/>
              </w:rPr>
            </w:pPr>
          </w:p>
        </w:tc>
        <w:tc>
          <w:tcPr>
            <w:tcW w:w="1580" w:type="dxa"/>
            <w:vAlign w:val="bottom"/>
          </w:tcPr>
          <w:p>
            <w:pPr>
              <w:jc w:val="right"/>
              <w:ind w:right="195"/>
              <w:spacing w:after="0" w:line="222" w:lineRule="exact"/>
              <w:rPr>
                <w:sz w:val="20"/>
                <w:szCs w:val="20"/>
                <w:color w:val="auto"/>
              </w:rPr>
            </w:pPr>
            <w:r>
              <w:rPr>
                <w:rFonts w:ascii="Arial" w:cs="Arial" w:eastAsia="Arial" w:hAnsi="Arial"/>
                <w:sz w:val="17"/>
                <w:szCs w:val="17"/>
                <w:b w:val="1"/>
                <w:bCs w:val="1"/>
                <w:color w:val="auto"/>
              </w:rPr>
              <w:t xml:space="preserve">% Change </w:t>
            </w:r>
            <w:r>
              <w:rPr>
                <w:rFonts w:ascii="Arial" w:cs="Arial" w:eastAsia="Arial" w:hAnsi="Arial"/>
                <w:sz w:val="22"/>
                <w:szCs w:val="22"/>
                <w:b w:val="1"/>
                <w:bCs w:val="1"/>
                <w:color w:val="auto"/>
                <w:vertAlign w:val="superscript"/>
              </w:rPr>
              <w:t>(1)</w:t>
            </w:r>
          </w:p>
        </w:tc>
      </w:tr>
      <w:tr>
        <w:trPr>
          <w:trHeight w:val="197"/>
        </w:trPr>
        <w:tc>
          <w:tcPr>
            <w:tcW w:w="6020" w:type="dxa"/>
            <w:vAlign w:val="bottom"/>
          </w:tcPr>
          <w:p>
            <w:pPr>
              <w:spacing w:after="0" w:line="198" w:lineRule="exact"/>
              <w:rPr>
                <w:sz w:val="20"/>
                <w:szCs w:val="20"/>
                <w:color w:val="auto"/>
              </w:rPr>
            </w:pPr>
            <w:r>
              <w:rPr>
                <w:rFonts w:ascii="Arial" w:cs="Arial" w:eastAsia="Arial" w:hAnsi="Arial"/>
                <w:sz w:val="17"/>
                <w:szCs w:val="17"/>
                <w:color w:val="auto"/>
              </w:rPr>
              <w:t xml:space="preserve">Adjusted SG&amp;A </w:t>
            </w:r>
            <w:r>
              <w:rPr>
                <w:rFonts w:ascii="Arial" w:cs="Arial" w:eastAsia="Arial" w:hAnsi="Arial"/>
                <w:sz w:val="22"/>
                <w:szCs w:val="22"/>
                <w:color w:val="auto"/>
                <w:vertAlign w:val="superscript"/>
              </w:rPr>
              <w:t>(1)</w:t>
            </w:r>
          </w:p>
        </w:tc>
        <w:tc>
          <w:tcPr>
            <w:tcW w:w="1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$93.7</w:t>
            </w:r>
          </w:p>
        </w:tc>
        <w:tc>
          <w:tcPr>
            <w:tcW w:w="100" w:type="dxa"/>
            <w:vAlign w:val="bottom"/>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$107.5</w:t>
            </w:r>
          </w:p>
        </w:tc>
        <w:tc>
          <w:tcPr>
            <w:tcW w:w="100" w:type="dxa"/>
            <w:vAlign w:val="bottom"/>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(12.9)%</w:t>
            </w:r>
          </w:p>
        </w:tc>
      </w:tr>
      <w:tr>
        <w:trPr>
          <w:trHeight w:val="216"/>
        </w:trPr>
        <w:tc>
          <w:tcPr>
            <w:tcW w:w="7140" w:type="dxa"/>
            <w:vAlign w:val="bottom"/>
            <w:gridSpan w:val="2"/>
          </w:tcPr>
          <w:p>
            <w:pPr>
              <w:spacing w:after="0" w:line="217" w:lineRule="exact"/>
              <w:rPr>
                <w:sz w:val="20"/>
                <w:szCs w:val="20"/>
                <w:color w:val="auto"/>
              </w:rPr>
            </w:pPr>
            <w:r>
              <w:rPr>
                <w:rFonts w:ascii="Arial" w:cs="Arial" w:eastAsia="Arial" w:hAnsi="Arial"/>
                <w:sz w:val="17"/>
                <w:szCs w:val="17"/>
                <w:color w:val="auto"/>
              </w:rPr>
              <w:t xml:space="preserve">Adjusted R&amp;D </w:t>
            </w:r>
            <w:r>
              <w:rPr>
                <w:rFonts w:ascii="Arial" w:cs="Arial" w:eastAsia="Arial" w:hAnsi="Arial"/>
                <w:sz w:val="22"/>
                <w:szCs w:val="22"/>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37.6</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3.6 %</w:t>
            </w:r>
          </w:p>
        </w:tc>
      </w:tr>
      <w:tr>
        <w:trPr>
          <w:trHeight w:val="216"/>
        </w:trPr>
        <w:tc>
          <w:tcPr>
            <w:tcW w:w="7140" w:type="dxa"/>
            <w:vAlign w:val="bottom"/>
            <w:gridSpan w:val="2"/>
          </w:tcPr>
          <w:p>
            <w:pPr>
              <w:spacing w:after="0" w:line="217" w:lineRule="exact"/>
              <w:rPr>
                <w:sz w:val="20"/>
                <w:szCs w:val="20"/>
                <w:color w:val="auto"/>
              </w:rPr>
            </w:pPr>
            <w:r>
              <w:rPr>
                <w:rFonts w:ascii="Arial" w:cs="Arial" w:eastAsia="Arial" w:hAnsi="Arial"/>
                <w:sz w:val="17"/>
                <w:szCs w:val="17"/>
                <w:color w:val="auto"/>
              </w:rPr>
              <w:t xml:space="preserve">Adjusted operating income from continuing operations </w:t>
            </w:r>
            <w:r>
              <w:rPr>
                <w:rFonts w:ascii="Arial" w:cs="Arial" w:eastAsia="Arial" w:hAnsi="Arial"/>
                <w:sz w:val="22"/>
                <w:szCs w:val="22"/>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55.3</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(12.1)%</w:t>
            </w:r>
          </w:p>
        </w:tc>
      </w:tr>
      <w:tr>
        <w:trPr>
          <w:trHeight w:val="216"/>
        </w:trPr>
        <w:tc>
          <w:tcPr>
            <w:tcW w:w="7140" w:type="dxa"/>
            <w:vAlign w:val="bottom"/>
            <w:gridSpan w:val="2"/>
          </w:tcPr>
          <w:p>
            <w:pPr>
              <w:spacing w:after="0" w:line="217" w:lineRule="exact"/>
              <w:rPr>
                <w:sz w:val="20"/>
                <w:szCs w:val="20"/>
                <w:color w:val="auto"/>
              </w:rPr>
            </w:pPr>
            <w:r>
              <w:rPr>
                <w:rFonts w:ascii="Arial" w:cs="Arial" w:eastAsia="Arial" w:hAnsi="Arial"/>
                <w:sz w:val="17"/>
                <w:szCs w:val="17"/>
                <w:color w:val="auto"/>
              </w:rPr>
              <w:t xml:space="preserve">Adjusted net income from continuing operations </w:t>
            </w:r>
            <w:r>
              <w:rPr>
                <w:rFonts w:ascii="Arial" w:cs="Arial" w:eastAsia="Arial" w:hAnsi="Arial"/>
                <w:sz w:val="22"/>
                <w:szCs w:val="22"/>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48.8</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(28.3)%</w:t>
            </w:r>
          </w:p>
        </w:tc>
      </w:tr>
      <w:tr>
        <w:trPr>
          <w:trHeight w:val="298"/>
        </w:trPr>
        <w:tc>
          <w:tcPr>
            <w:tcW w:w="7140" w:type="dxa"/>
            <w:vAlign w:val="bottom"/>
            <w:gridSpan w:val="2"/>
          </w:tcPr>
          <w:p>
            <w:pPr>
              <w:spacing w:after="0"/>
              <w:rPr>
                <w:sz w:val="20"/>
                <w:szCs w:val="20"/>
                <w:color w:val="auto"/>
              </w:rPr>
            </w:pPr>
            <w:r>
              <w:rPr>
                <w:rFonts w:ascii="Arial" w:cs="Arial" w:eastAsia="Arial" w:hAnsi="Arial"/>
                <w:sz w:val="17"/>
                <w:szCs w:val="17"/>
                <w:color w:val="auto"/>
              </w:rPr>
              <w:t xml:space="preserve">Adjusted diluted earnings per share from continuing operations </w:t>
            </w:r>
            <w:r>
              <w:rPr>
                <w:rFonts w:ascii="Arial" w:cs="Arial" w:eastAsia="Arial" w:hAnsi="Arial"/>
                <w:sz w:val="22"/>
                <w:szCs w:val="22"/>
                <w:color w:val="auto"/>
                <w:vertAlign w:val="superscript"/>
              </w:rPr>
              <w:t>(1)</w:t>
            </w:r>
          </w:p>
        </w:tc>
        <w:tc>
          <w:tcPr>
            <w:tcW w:w="580" w:type="dxa"/>
            <w:vAlign w:val="bottom"/>
          </w:tcPr>
          <w:p>
            <w:pPr>
              <w:jc w:val="right"/>
              <w:spacing w:after="0"/>
              <w:rPr>
                <w:sz w:val="20"/>
                <w:szCs w:val="20"/>
                <w:color w:val="auto"/>
              </w:rPr>
            </w:pPr>
            <w:r>
              <w:rPr>
                <w:rFonts w:ascii="Arial" w:cs="Arial" w:eastAsia="Arial" w:hAnsi="Arial"/>
                <w:sz w:val="17"/>
                <w:szCs w:val="17"/>
                <w:color w:val="auto"/>
              </w:rPr>
              <w:t>$0.71</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$1.00</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(28.5)%</w:t>
            </w:r>
          </w:p>
        </w:tc>
      </w:tr>
    </w:tbl>
    <w:p>
      <w:pPr>
        <w:spacing w:after="0" w:line="27" w:lineRule="exact"/>
        <w:rPr>
          <w:sz w:val="20"/>
          <w:szCs w:val="20"/>
          <w:color w:val="auto"/>
        </w:rPr>
      </w:pPr>
    </w:p>
    <w:p>
      <w:pPr>
        <w:ind w:left="480" w:right="20" w:hanging="356"/>
        <w:spacing w:after="0" w:line="259" w:lineRule="auto"/>
        <w:tabs>
          <w:tab w:leader="none" w:pos="4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Adjusted financial measures are non-GAAP measures and exclude specified items as described and reconciled in the "Reconciliation of GAAP to non-GAAP Financial Measures" contained in the press release.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Statistics (as a % of net sales, except for income tax rate)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20" w:type="dxa"/>
            <w:vAlign w:val="bottom"/>
          </w:tcPr>
          <w:p>
            <w:pPr>
              <w:spacing w:after="0"/>
              <w:rPr>
                <w:sz w:val="21"/>
                <w:szCs w:val="21"/>
                <w:color w:val="auto"/>
              </w:rPr>
            </w:pPr>
          </w:p>
        </w:tc>
        <w:tc>
          <w:tcPr>
            <w:tcW w:w="4340" w:type="dxa"/>
            <w:vAlign w:val="bottom"/>
            <w:gridSpan w:val="5"/>
          </w:tcPr>
          <w:p>
            <w:pPr>
              <w:ind w:left="440"/>
              <w:spacing w:after="0"/>
              <w:rPr>
                <w:sz w:val="20"/>
                <w:szCs w:val="20"/>
                <w:color w:val="auto"/>
              </w:rPr>
            </w:pPr>
            <w:r>
              <w:rPr>
                <w:rFonts w:ascii="Arial" w:cs="Arial" w:eastAsia="Arial" w:hAnsi="Arial"/>
                <w:sz w:val="17"/>
                <w:szCs w:val="17"/>
                <w:b w:val="1"/>
                <w:bCs w:val="1"/>
                <w:color w:val="auto"/>
              </w:rPr>
              <w:t>GAAP Three Months Ended December 31,</w:t>
            </w:r>
          </w:p>
        </w:tc>
        <w:tc>
          <w:tcPr>
            <w:tcW w:w="4660" w:type="dxa"/>
            <w:vAlign w:val="bottom"/>
            <w:gridSpan w:val="3"/>
          </w:tcPr>
          <w:p>
            <w:pPr>
              <w:jc w:val="right"/>
              <w:ind w:right="355"/>
              <w:spacing w:after="0"/>
              <w:rPr>
                <w:sz w:val="20"/>
                <w:szCs w:val="20"/>
                <w:color w:val="auto"/>
              </w:rPr>
            </w:pPr>
            <w:r>
              <w:rPr>
                <w:rFonts w:ascii="Arial" w:cs="Arial" w:eastAsia="Arial" w:hAnsi="Arial"/>
                <w:sz w:val="17"/>
                <w:szCs w:val="17"/>
                <w:b w:val="1"/>
                <w:bCs w:val="1"/>
                <w:color w:val="auto"/>
              </w:rPr>
              <w:t xml:space="preserve">Adjusted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 xml:space="preserve"> Three Months Ended December 31,</w:t>
            </w:r>
          </w:p>
        </w:tc>
        <w:tc>
          <w:tcPr>
            <w:tcW w:w="0" w:type="dxa"/>
            <w:vAlign w:val="bottom"/>
          </w:tcPr>
          <w:p>
            <w:pPr>
              <w:spacing w:after="0"/>
              <w:rPr>
                <w:sz w:val="1"/>
                <w:szCs w:val="1"/>
                <w:color w:val="auto"/>
              </w:rPr>
            </w:pPr>
          </w:p>
        </w:tc>
      </w:tr>
      <w:tr>
        <w:trPr>
          <w:trHeight w:val="209"/>
        </w:trPr>
        <w:tc>
          <w:tcPr>
            <w:tcW w:w="2220" w:type="dxa"/>
            <w:vAlign w:val="bottom"/>
            <w:vMerge w:val="restart"/>
          </w:tcPr>
          <w:p>
            <w:pPr>
              <w:spacing w:after="0"/>
              <w:rPr>
                <w:sz w:val="20"/>
                <w:szCs w:val="20"/>
                <w:color w:val="auto"/>
              </w:rPr>
            </w:pPr>
            <w:r>
              <w:rPr>
                <w:rFonts w:ascii="Arial" w:cs="Arial" w:eastAsia="Arial" w:hAnsi="Arial"/>
                <w:sz w:val="17"/>
                <w:szCs w:val="17"/>
                <w:color w:val="auto"/>
              </w:rPr>
              <w:t>Gross profit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8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280" w:type="dxa"/>
            <w:vAlign w:val="bottom"/>
            <w:tcBorders>
              <w:top w:val="single" w:sz="8" w:color="auto"/>
              <w:bottom w:val="single" w:sz="8" w:color="auto"/>
            </w:tcBorders>
          </w:tcPr>
          <w:p>
            <w:pPr>
              <w:jc w:val="right"/>
              <w:ind w:right="875"/>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2280" w:type="dxa"/>
            <w:vAlign w:val="bottom"/>
            <w:tcBorders>
              <w:top w:val="single" w:sz="8" w:color="auto"/>
              <w:bottom w:val="single" w:sz="8" w:color="auto"/>
            </w:tcBorders>
          </w:tcPr>
          <w:p>
            <w:pPr>
              <w:jc w:val="right"/>
              <w:ind w:right="87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99"/>
        </w:trPr>
        <w:tc>
          <w:tcPr>
            <w:tcW w:w="2220" w:type="dxa"/>
            <w:vAlign w:val="bottom"/>
            <w:vMerge w:val="continue"/>
          </w:tcPr>
          <w:p>
            <w:pPr>
              <w:spacing w:after="0"/>
              <w:rPr>
                <w:sz w:val="17"/>
                <w:szCs w:val="17"/>
                <w:color w:val="auto"/>
              </w:rPr>
            </w:pPr>
          </w:p>
        </w:tc>
        <w:tc>
          <w:tcPr>
            <w:tcW w:w="1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64.1 %</w:t>
            </w:r>
          </w:p>
        </w:tc>
        <w:tc>
          <w:tcPr>
            <w:tcW w:w="10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71.2 %</w:t>
            </w:r>
          </w:p>
        </w:tc>
        <w:tc>
          <w:tcPr>
            <w:tcW w:w="1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67.2 %</w:t>
            </w:r>
          </w:p>
        </w:tc>
        <w:tc>
          <w:tcPr>
            <w:tcW w:w="10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69.7 %</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7"/>
                <w:szCs w:val="17"/>
                <w:color w:val="auto"/>
              </w:rPr>
              <w:t>SG&amp;A</w:t>
            </w:r>
          </w:p>
        </w:tc>
        <w:tc>
          <w:tcPr>
            <w:tcW w:w="780" w:type="dxa"/>
            <w:vAlign w:val="bottom"/>
          </w:tcPr>
          <w:p>
            <w:pPr>
              <w:jc w:val="right"/>
              <w:spacing w:after="0"/>
              <w:rPr>
                <w:sz w:val="20"/>
                <w:szCs w:val="20"/>
                <w:color w:val="auto"/>
              </w:rPr>
            </w:pPr>
            <w:r>
              <w:rPr>
                <w:rFonts w:ascii="Arial" w:cs="Arial" w:eastAsia="Arial" w:hAnsi="Arial"/>
                <w:sz w:val="17"/>
                <w:szCs w:val="17"/>
                <w:color w:val="auto"/>
              </w:rPr>
              <w:t>40.9 %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45.4 %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34.7 %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37.4 %</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7"/>
                <w:szCs w:val="17"/>
                <w:color w:val="auto"/>
              </w:rPr>
              <w:t>R&amp;D</w:t>
            </w:r>
          </w:p>
        </w:tc>
        <w:tc>
          <w:tcPr>
            <w:tcW w:w="780" w:type="dxa"/>
            <w:vAlign w:val="bottom"/>
          </w:tcPr>
          <w:p>
            <w:pPr>
              <w:jc w:val="right"/>
              <w:spacing w:after="0"/>
              <w:rPr>
                <w:sz w:val="20"/>
                <w:szCs w:val="20"/>
                <w:color w:val="auto"/>
              </w:rPr>
            </w:pPr>
            <w:r>
              <w:rPr>
                <w:rFonts w:ascii="Arial" w:cs="Arial" w:eastAsia="Arial" w:hAnsi="Arial"/>
                <w:sz w:val="17"/>
                <w:szCs w:val="17"/>
                <w:color w:val="auto"/>
              </w:rPr>
              <w:t>16.5 %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8.2 %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14.5 %</w:t>
            </w:r>
          </w:p>
        </w:tc>
        <w:tc>
          <w:tcPr>
            <w:tcW w:w="10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13.1 %</w:t>
            </w:r>
          </w:p>
        </w:tc>
        <w:tc>
          <w:tcPr>
            <w:tcW w:w="0" w:type="dxa"/>
            <w:vAlign w:val="bottom"/>
          </w:tcPr>
          <w:p>
            <w:pPr>
              <w:spacing w:after="0"/>
              <w:rPr>
                <w:sz w:val="1"/>
                <w:szCs w:val="1"/>
                <w:color w:val="auto"/>
              </w:rPr>
            </w:pPr>
          </w:p>
        </w:tc>
      </w:tr>
      <w:tr>
        <w:trPr>
          <w:trHeight w:val="176"/>
        </w:trPr>
        <w:tc>
          <w:tcPr>
            <w:tcW w:w="3500" w:type="dxa"/>
            <w:vAlign w:val="bottom"/>
            <w:gridSpan w:val="2"/>
          </w:tcPr>
          <w:p>
            <w:pPr>
              <w:spacing w:after="0" w:line="176" w:lineRule="exact"/>
              <w:rPr>
                <w:sz w:val="20"/>
                <w:szCs w:val="20"/>
                <w:color w:val="auto"/>
              </w:rPr>
            </w:pPr>
            <w:r>
              <w:rPr>
                <w:rFonts w:ascii="Arial" w:cs="Arial" w:eastAsia="Arial" w:hAnsi="Arial"/>
                <w:sz w:val="17"/>
                <w:szCs w:val="17"/>
                <w:color w:val="auto"/>
              </w:rPr>
              <w:t>Operating (loss) income</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(91.9)%</w:t>
            </w:r>
          </w:p>
        </w:tc>
        <w:tc>
          <w:tcPr>
            <w:tcW w:w="100" w:type="dxa"/>
            <w:vAlign w:val="bottom"/>
          </w:tcPr>
          <w:p>
            <w:pPr>
              <w:spacing w:after="0"/>
              <w:rPr>
                <w:sz w:val="15"/>
                <w:szCs w:val="15"/>
                <w:color w:val="auto"/>
              </w:rPr>
            </w:pPr>
          </w:p>
        </w:tc>
        <w:tc>
          <w:tcPr>
            <w:tcW w:w="2080" w:type="dxa"/>
            <w:vAlign w:val="bottom"/>
            <w:vMerge w:val="restart"/>
          </w:tcPr>
          <w:p>
            <w:pPr>
              <w:jc w:val="right"/>
              <w:spacing w:after="0"/>
              <w:rPr>
                <w:sz w:val="20"/>
                <w:szCs w:val="20"/>
                <w:color w:val="auto"/>
              </w:rPr>
            </w:pPr>
            <w:r>
              <w:rPr>
                <w:rFonts w:ascii="Arial" w:cs="Arial" w:eastAsia="Arial" w:hAnsi="Arial"/>
                <w:sz w:val="17"/>
                <w:szCs w:val="17"/>
                <w:color w:val="auto"/>
              </w:rPr>
              <w:t>(50.1)%</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7"/>
                <w:szCs w:val="17"/>
                <w:color w:val="auto"/>
              </w:rPr>
              <w:t>18.0 %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7"/>
                <w:szCs w:val="17"/>
                <w:color w:val="auto"/>
              </w:rPr>
              <w:t>19.2 %</w:t>
            </w:r>
          </w:p>
        </w:tc>
        <w:tc>
          <w:tcPr>
            <w:tcW w:w="0" w:type="dxa"/>
            <w:vAlign w:val="bottom"/>
          </w:tcPr>
          <w:p>
            <w:pPr>
              <w:spacing w:after="0"/>
              <w:rPr>
                <w:sz w:val="1"/>
                <w:szCs w:val="1"/>
                <w:color w:val="auto"/>
              </w:rPr>
            </w:pPr>
          </w:p>
        </w:tc>
      </w:tr>
      <w:tr>
        <w:trPr>
          <w:trHeight w:val="206"/>
        </w:trPr>
        <w:tc>
          <w:tcPr>
            <w:tcW w:w="3500" w:type="dxa"/>
            <w:vAlign w:val="bottom"/>
            <w:gridSpan w:val="2"/>
          </w:tcPr>
          <w:p>
            <w:pPr>
              <w:spacing w:after="0"/>
              <w:rPr>
                <w:sz w:val="20"/>
                <w:szCs w:val="20"/>
                <w:color w:val="auto"/>
              </w:rPr>
            </w:pPr>
            <w:r>
              <w:rPr>
                <w:rFonts w:ascii="Arial" w:cs="Arial" w:eastAsia="Arial" w:hAnsi="Arial"/>
                <w:sz w:val="17"/>
                <w:szCs w:val="17"/>
                <w:color w:val="auto"/>
              </w:rPr>
              <w:t>from continuing operations</w:t>
            </w: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spacing w:after="0" w:line="176" w:lineRule="exact"/>
              <w:rPr>
                <w:sz w:val="20"/>
                <w:szCs w:val="20"/>
                <w:color w:val="auto"/>
              </w:rPr>
            </w:pPr>
            <w:r>
              <w:rPr>
                <w:rFonts w:ascii="Arial" w:cs="Arial" w:eastAsia="Arial" w:hAnsi="Arial"/>
                <w:sz w:val="17"/>
                <w:szCs w:val="17"/>
                <w:color w:val="auto"/>
              </w:rPr>
              <w:t>Net (loss) income from</w:t>
            </w: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(103.6)%</w:t>
            </w:r>
          </w:p>
        </w:tc>
        <w:tc>
          <w:tcPr>
            <w:tcW w:w="100" w:type="dxa"/>
            <w:vAlign w:val="bottom"/>
          </w:tcPr>
          <w:p>
            <w:pPr>
              <w:spacing w:after="0"/>
              <w:rPr>
                <w:sz w:val="15"/>
                <w:szCs w:val="15"/>
                <w:color w:val="auto"/>
              </w:rPr>
            </w:pPr>
          </w:p>
        </w:tc>
        <w:tc>
          <w:tcPr>
            <w:tcW w:w="2080" w:type="dxa"/>
            <w:vAlign w:val="bottom"/>
            <w:vMerge w:val="restart"/>
          </w:tcPr>
          <w:p>
            <w:pPr>
              <w:jc w:val="right"/>
              <w:spacing w:after="0"/>
              <w:rPr>
                <w:sz w:val="20"/>
                <w:szCs w:val="20"/>
                <w:color w:val="auto"/>
              </w:rPr>
            </w:pPr>
            <w:r>
              <w:rPr>
                <w:rFonts w:ascii="Arial" w:cs="Arial" w:eastAsia="Arial" w:hAnsi="Arial"/>
                <w:sz w:val="17"/>
                <w:szCs w:val="17"/>
                <w:color w:val="auto"/>
              </w:rPr>
              <w:t>(49.9)%</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7"/>
                <w:szCs w:val="17"/>
                <w:color w:val="auto"/>
              </w:rPr>
              <w:t>13.0 %</w:t>
            </w:r>
          </w:p>
        </w:tc>
        <w:tc>
          <w:tcPr>
            <w:tcW w:w="100" w:type="dxa"/>
            <w:vAlign w:val="bottom"/>
          </w:tcPr>
          <w:p>
            <w:pPr>
              <w:spacing w:after="0"/>
              <w:rPr>
                <w:sz w:val="15"/>
                <w:szCs w:val="15"/>
                <w:color w:val="auto"/>
              </w:rPr>
            </w:pPr>
          </w:p>
        </w:tc>
        <w:tc>
          <w:tcPr>
            <w:tcW w:w="2280" w:type="dxa"/>
            <w:vAlign w:val="bottom"/>
            <w:vMerge w:val="restart"/>
          </w:tcPr>
          <w:p>
            <w:pPr>
              <w:jc w:val="right"/>
              <w:spacing w:after="0"/>
              <w:rPr>
                <w:sz w:val="20"/>
                <w:szCs w:val="20"/>
                <w:color w:val="auto"/>
              </w:rPr>
            </w:pPr>
            <w:r>
              <w:rPr>
                <w:rFonts w:ascii="Arial" w:cs="Arial" w:eastAsia="Arial" w:hAnsi="Arial"/>
                <w:sz w:val="17"/>
                <w:szCs w:val="17"/>
                <w:color w:val="auto"/>
              </w:rPr>
              <w:t>17.0 %</w:t>
            </w:r>
          </w:p>
        </w:tc>
        <w:tc>
          <w:tcPr>
            <w:tcW w:w="0" w:type="dxa"/>
            <w:vAlign w:val="bottom"/>
          </w:tcPr>
          <w:p>
            <w:pPr>
              <w:spacing w:after="0"/>
              <w:rPr>
                <w:sz w:val="1"/>
                <w:szCs w:val="1"/>
                <w:color w:val="auto"/>
              </w:rPr>
            </w:pPr>
          </w:p>
        </w:tc>
      </w:tr>
      <w:tr>
        <w:trPr>
          <w:trHeight w:val="206"/>
        </w:trPr>
        <w:tc>
          <w:tcPr>
            <w:tcW w:w="3500" w:type="dxa"/>
            <w:vAlign w:val="bottom"/>
            <w:gridSpan w:val="2"/>
          </w:tcPr>
          <w:p>
            <w:pPr>
              <w:spacing w:after="0"/>
              <w:rPr>
                <w:sz w:val="20"/>
                <w:szCs w:val="20"/>
                <w:color w:val="auto"/>
              </w:rPr>
            </w:pPr>
            <w:r>
              <w:rPr>
                <w:rFonts w:ascii="Arial" w:cs="Arial" w:eastAsia="Arial" w:hAnsi="Arial"/>
                <w:sz w:val="17"/>
                <w:szCs w:val="17"/>
                <w:color w:val="auto"/>
              </w:rPr>
              <w:t>continuing operations</w:t>
            </w: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7"/>
                <w:szCs w:val="17"/>
                <w:color w:val="auto"/>
              </w:rPr>
              <w:t>Income tax rate</w:t>
            </w:r>
          </w:p>
        </w:tc>
        <w:tc>
          <w:tcPr>
            <w:tcW w:w="780" w:type="dxa"/>
            <w:vAlign w:val="bottom"/>
          </w:tcPr>
          <w:p>
            <w:pPr>
              <w:jc w:val="right"/>
              <w:spacing w:after="0"/>
              <w:rPr>
                <w:sz w:val="20"/>
                <w:szCs w:val="20"/>
                <w:color w:val="auto"/>
              </w:rPr>
            </w:pPr>
            <w:r>
              <w:rPr>
                <w:rFonts w:ascii="Arial" w:cs="Arial" w:eastAsia="Arial" w:hAnsi="Arial"/>
                <w:sz w:val="17"/>
                <w:szCs w:val="17"/>
                <w:color w:val="auto"/>
              </w:rPr>
              <w:t>6.2 %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4.5 %</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7"/>
                <w:szCs w:val="17"/>
                <w:color w:val="auto"/>
              </w:rPr>
              <w:t>5.3 %</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40" w:right="20" w:hanging="329"/>
        <w:spacing w:after="0" w:line="259" w:lineRule="auto"/>
        <w:tabs>
          <w:tab w:leader="none" w:pos="4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Adjusted financial measures are non-GAAP measures and exclude specified items as described and reconciled in the "Reconciliation of GAAP to non-GAAP Financial Measures" contained in the press release.</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40" w:top="1440" w:right="339" w:bottom="1440" w:gutter="0" w:footer="0" w:header="0"/>
        </w:sectPr>
      </w:pPr>
    </w:p>
    <w:bookmarkStart w:id="16" w:name="page17"/>
    <w:bookmarkEnd w:id="16"/>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LIVANOVA PLC AND SUBSIDIARIES</w:t>
      </w:r>
    </w:p>
    <w:p>
      <w:pPr>
        <w:spacing w:after="0" w:line="44" w:lineRule="exact"/>
        <w:rPr>
          <w:sz w:val="20"/>
          <w:szCs w:val="20"/>
          <w:color w:val="auto"/>
        </w:rPr>
      </w:pPr>
    </w:p>
    <w:p>
      <w:pPr>
        <w:ind w:right="5420"/>
        <w:spacing w:after="0" w:line="291" w:lineRule="auto"/>
        <w:rPr>
          <w:sz w:val="20"/>
          <w:szCs w:val="20"/>
          <w:color w:val="auto"/>
        </w:rPr>
      </w:pPr>
      <w:r>
        <w:rPr>
          <w:rFonts w:ascii="Arial" w:cs="Arial" w:eastAsia="Arial" w:hAnsi="Arial"/>
          <w:sz w:val="17"/>
          <w:szCs w:val="17"/>
          <w:b w:val="1"/>
          <w:bCs w:val="1"/>
          <w:color w:val="auto"/>
        </w:rPr>
        <w:t>CONDENSED CONSOLIDATED STATEMENTS OF INCOME - UNAUDITED (U.S. dollars in millions, except per share amounts)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40" w:type="dxa"/>
            <w:vAlign w:val="bottom"/>
          </w:tcPr>
          <w:p>
            <w:pPr>
              <w:spacing w:after="0"/>
              <w:rPr>
                <w:sz w:val="19"/>
                <w:szCs w:val="19"/>
                <w:color w:val="auto"/>
              </w:rPr>
            </w:pPr>
          </w:p>
        </w:tc>
        <w:tc>
          <w:tcPr>
            <w:tcW w:w="3820" w:type="dxa"/>
            <w:vAlign w:val="bottom"/>
            <w:tcBorders>
              <w:bottom w:val="single" w:sz="8" w:color="auto"/>
            </w:tcBorders>
            <w:gridSpan w:val="3"/>
          </w:tcPr>
          <w:p>
            <w:pPr>
              <w:jc w:val="right"/>
              <w:ind w:right="375"/>
              <w:spacing w:after="0"/>
              <w:rPr>
                <w:sz w:val="20"/>
                <w:szCs w:val="20"/>
                <w:color w:val="auto"/>
              </w:rPr>
            </w:pPr>
            <w:r>
              <w:rPr>
                <w:rFonts w:ascii="Arial" w:cs="Arial" w:eastAsia="Arial" w:hAnsi="Arial"/>
                <w:sz w:val="17"/>
                <w:szCs w:val="17"/>
                <w:b w:val="1"/>
                <w:bCs w:val="1"/>
                <w:color w:val="auto"/>
              </w:rPr>
              <w:t>Twelve Months Ended December 31,</w:t>
            </w:r>
          </w:p>
        </w:tc>
        <w:tc>
          <w:tcPr>
            <w:tcW w:w="100" w:type="dxa"/>
            <w:vAlign w:val="bottom"/>
          </w:tcPr>
          <w:p>
            <w:pPr>
              <w:spacing w:after="0"/>
              <w:rPr>
                <w:sz w:val="19"/>
                <w:szCs w:val="19"/>
                <w:color w:val="auto"/>
              </w:rPr>
            </w:pPr>
          </w:p>
        </w:tc>
        <w:tc>
          <w:tcPr>
            <w:tcW w:w="1860" w:type="dxa"/>
            <w:vAlign w:val="bottom"/>
            <w:vMerge w:val="restart"/>
          </w:tcPr>
          <w:p>
            <w:pPr>
              <w:jc w:val="right"/>
              <w:ind w:right="435"/>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09"/>
        </w:trPr>
        <w:tc>
          <w:tcPr>
            <w:tcW w:w="5440" w:type="dxa"/>
            <w:vAlign w:val="bottom"/>
            <w:vMerge w:val="restart"/>
          </w:tcPr>
          <w:p>
            <w:pPr>
              <w:spacing w:after="0"/>
              <w:rPr>
                <w:sz w:val="20"/>
                <w:szCs w:val="20"/>
                <w:color w:val="auto"/>
              </w:rPr>
            </w:pPr>
            <w:r>
              <w:rPr>
                <w:rFonts w:ascii="Arial" w:cs="Arial" w:eastAsia="Arial" w:hAnsi="Arial"/>
                <w:sz w:val="17"/>
                <w:szCs w:val="17"/>
                <w:color w:val="auto"/>
              </w:rPr>
              <w:t>Net sales</w:t>
            </w:r>
          </w:p>
        </w:tc>
        <w:tc>
          <w:tcPr>
            <w:tcW w:w="186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1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440" w:type="dxa"/>
            <w:vAlign w:val="bottom"/>
            <w:vMerge w:val="continue"/>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$934.2</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$1,084.2</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7"/>
                <w:szCs w:val="17"/>
                <w:color w:val="auto"/>
              </w:rPr>
              <w:t>Costs and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Cost of sales - exclusive of amortization</w:t>
            </w:r>
          </w:p>
        </w:tc>
        <w:tc>
          <w:tcPr>
            <w:tcW w:w="1860" w:type="dxa"/>
            <w:vAlign w:val="bottom"/>
          </w:tcPr>
          <w:p>
            <w:pPr>
              <w:jc w:val="right"/>
              <w:spacing w:after="0"/>
              <w:rPr>
                <w:sz w:val="20"/>
                <w:szCs w:val="20"/>
                <w:color w:val="auto"/>
              </w:rPr>
            </w:pPr>
            <w:r>
              <w:rPr>
                <w:rFonts w:ascii="Arial" w:cs="Arial" w:eastAsia="Arial" w:hAnsi="Arial"/>
                <w:sz w:val="17"/>
                <w:szCs w:val="17"/>
                <w:color w:val="auto"/>
              </w:rPr>
              <w:t>308.1</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323.5</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Product remediation</w:t>
            </w:r>
          </w:p>
        </w:tc>
        <w:tc>
          <w:tcPr>
            <w:tcW w:w="186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Selling, general and administrative</w:t>
            </w:r>
          </w:p>
        </w:tc>
        <w:tc>
          <w:tcPr>
            <w:tcW w:w="1860" w:type="dxa"/>
            <w:vAlign w:val="bottom"/>
          </w:tcPr>
          <w:p>
            <w:pPr>
              <w:jc w:val="right"/>
              <w:spacing w:after="0"/>
              <w:rPr>
                <w:sz w:val="20"/>
                <w:szCs w:val="20"/>
                <w:color w:val="auto"/>
              </w:rPr>
            </w:pPr>
            <w:r>
              <w:rPr>
                <w:rFonts w:ascii="Arial" w:cs="Arial" w:eastAsia="Arial" w:hAnsi="Arial"/>
                <w:sz w:val="17"/>
                <w:szCs w:val="17"/>
                <w:color w:val="auto"/>
              </w:rPr>
              <w:t>427.8</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506.5</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Research and development</w:t>
            </w:r>
          </w:p>
        </w:tc>
        <w:tc>
          <w:tcPr>
            <w:tcW w:w="1860" w:type="dxa"/>
            <w:vAlign w:val="bottom"/>
          </w:tcPr>
          <w:p>
            <w:pPr>
              <w:jc w:val="right"/>
              <w:spacing w:after="0"/>
              <w:rPr>
                <w:sz w:val="20"/>
                <w:szCs w:val="20"/>
                <w:color w:val="auto"/>
              </w:rPr>
            </w:pPr>
            <w:r>
              <w:rPr>
                <w:rFonts w:ascii="Arial" w:cs="Arial" w:eastAsia="Arial" w:hAnsi="Arial"/>
                <w:sz w:val="17"/>
                <w:szCs w:val="17"/>
                <w:color w:val="auto"/>
              </w:rPr>
              <w:t>152.9</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146.8</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Merger and integration expenses</w:t>
            </w:r>
          </w:p>
        </w:tc>
        <w:tc>
          <w:tcPr>
            <w:tcW w:w="186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Restructuring expenses</w:t>
            </w:r>
          </w:p>
        </w:tc>
        <w:tc>
          <w:tcPr>
            <w:tcW w:w="186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Impairment of disposal group</w:t>
            </w:r>
          </w:p>
        </w:tc>
        <w:tc>
          <w:tcPr>
            <w:tcW w:w="1860" w:type="dxa"/>
            <w:vAlign w:val="bottom"/>
          </w:tcPr>
          <w:p>
            <w:pPr>
              <w:jc w:val="right"/>
              <w:spacing w:after="0"/>
              <w:rPr>
                <w:sz w:val="20"/>
                <w:szCs w:val="20"/>
                <w:color w:val="auto"/>
              </w:rPr>
            </w:pPr>
            <w:r>
              <w:rPr>
                <w:rFonts w:ascii="Arial" w:cs="Arial" w:eastAsia="Arial" w:hAnsi="Arial"/>
                <w:sz w:val="17"/>
                <w:szCs w:val="17"/>
                <w:color w:val="auto"/>
              </w:rPr>
              <w:t>180.2</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Impairment of goodwill</w:t>
            </w:r>
          </w:p>
        </w:tc>
        <w:tc>
          <w:tcPr>
            <w:tcW w:w="1860" w:type="dxa"/>
            <w:vAlign w:val="bottom"/>
          </w:tcPr>
          <w:p>
            <w:pPr>
              <w:jc w:val="right"/>
              <w:spacing w:after="0"/>
              <w:rPr>
                <w:sz w:val="20"/>
                <w:szCs w:val="20"/>
                <w:color w:val="auto"/>
              </w:rPr>
            </w:pPr>
            <w:r>
              <w:rPr>
                <w:rFonts w:ascii="Arial" w:cs="Arial" w:eastAsia="Arial" w:hAnsi="Arial"/>
                <w:sz w:val="17"/>
                <w:szCs w:val="17"/>
                <w:color w:val="auto"/>
              </w:rPr>
              <w:t>21.3</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Impairment of long-lived assets</w:t>
            </w:r>
          </w:p>
        </w:tc>
        <w:tc>
          <w:tcPr>
            <w:tcW w:w="186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142.5</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Amortization of intangibles</w:t>
            </w:r>
          </w:p>
        </w:tc>
        <w:tc>
          <w:tcPr>
            <w:tcW w:w="1860" w:type="dxa"/>
            <w:vAlign w:val="bottom"/>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40.4</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Decommissioning provision</w:t>
            </w:r>
          </w:p>
        </w:tc>
        <w:tc>
          <w:tcPr>
            <w:tcW w:w="1860" w:type="dxa"/>
            <w:vAlign w:val="bottom"/>
          </w:tcPr>
          <w:p>
            <w:pPr>
              <w:jc w:val="right"/>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100"/>
              <w:spacing w:after="0"/>
              <w:rPr>
                <w:sz w:val="20"/>
                <w:szCs w:val="20"/>
                <w:color w:val="auto"/>
              </w:rPr>
            </w:pPr>
            <w:r>
              <w:rPr>
                <w:rFonts w:ascii="Arial" w:cs="Arial" w:eastAsia="Arial" w:hAnsi="Arial"/>
                <w:sz w:val="17"/>
                <w:szCs w:val="17"/>
                <w:color w:val="auto"/>
              </w:rPr>
              <w:t>Litigation provision, net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7"/>
                <w:szCs w:val="17"/>
                <w:color w:val="auto"/>
              </w:rPr>
              <w:t>Operating loss from continuing operations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(269.9)</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(168.9)</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59.8 %</w:t>
            </w:r>
          </w:p>
        </w:tc>
        <w:tc>
          <w:tcPr>
            <w:tcW w:w="0" w:type="dxa"/>
            <w:vAlign w:val="bottom"/>
          </w:tcPr>
          <w:p>
            <w:pPr>
              <w:spacing w:after="0"/>
              <w:rPr>
                <w:sz w:val="1"/>
                <w:szCs w:val="1"/>
                <w:color w:val="auto"/>
              </w:rPr>
            </w:pPr>
          </w:p>
        </w:tc>
      </w:tr>
      <w:tr>
        <w:trPr>
          <w:trHeight w:val="199"/>
        </w:trPr>
        <w:tc>
          <w:tcPr>
            <w:tcW w:w="5440" w:type="dxa"/>
            <w:vAlign w:val="bottom"/>
          </w:tcPr>
          <w:p>
            <w:pPr>
              <w:ind w:left="100"/>
              <w:spacing w:after="0"/>
              <w:rPr>
                <w:sz w:val="20"/>
                <w:szCs w:val="20"/>
                <w:color w:val="auto"/>
              </w:rPr>
            </w:pPr>
            <w:r>
              <w:rPr>
                <w:rFonts w:ascii="Arial" w:cs="Arial" w:eastAsia="Arial" w:hAnsi="Arial"/>
                <w:sz w:val="17"/>
                <w:szCs w:val="17"/>
                <w:color w:val="auto"/>
              </w:rPr>
              <w:t>Interest expense, net</w:t>
            </w:r>
          </w:p>
        </w:tc>
        <w:tc>
          <w:tcPr>
            <w:tcW w:w="1860" w:type="dxa"/>
            <w:vAlign w:val="bottom"/>
          </w:tcPr>
          <w:p>
            <w:pPr>
              <w:jc w:val="right"/>
              <w:spacing w:after="0"/>
              <w:rPr>
                <w:sz w:val="20"/>
                <w:szCs w:val="20"/>
                <w:color w:val="auto"/>
              </w:rPr>
            </w:pPr>
            <w:r>
              <w:rPr>
                <w:rFonts w:ascii="Arial" w:cs="Arial" w:eastAsia="Arial" w:hAnsi="Arial"/>
                <w:sz w:val="17"/>
                <w:szCs w:val="17"/>
                <w:color w:val="auto"/>
              </w:rPr>
              <w:t>(40.7)</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100"/>
              <w:spacing w:after="0"/>
              <w:rPr>
                <w:sz w:val="20"/>
                <w:szCs w:val="20"/>
                <w:color w:val="auto"/>
              </w:rPr>
            </w:pPr>
            <w:r>
              <w:rPr>
                <w:rFonts w:ascii="Arial" w:cs="Arial" w:eastAsia="Arial" w:hAnsi="Arial"/>
                <w:sz w:val="17"/>
                <w:szCs w:val="17"/>
                <w:color w:val="auto"/>
              </w:rPr>
              <w:t>Foreign exchange and other losses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7"/>
                <w:szCs w:val="17"/>
                <w:color w:val="auto"/>
              </w:rPr>
              <w:t>Loss from continuing operations before tax</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(344.0)</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(185.7)</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85.2 %</w:t>
            </w:r>
          </w:p>
        </w:tc>
        <w:tc>
          <w:tcPr>
            <w:tcW w:w="0" w:type="dxa"/>
            <w:vAlign w:val="bottom"/>
          </w:tcPr>
          <w:p>
            <w:pPr>
              <w:spacing w:after="0"/>
              <w:rPr>
                <w:sz w:val="1"/>
                <w:szCs w:val="1"/>
                <w:color w:val="auto"/>
              </w:rPr>
            </w:pPr>
          </w:p>
        </w:tc>
      </w:tr>
      <w:tr>
        <w:trPr>
          <w:trHeight w:val="199"/>
        </w:trPr>
        <w:tc>
          <w:tcPr>
            <w:tcW w:w="5440" w:type="dxa"/>
            <w:vAlign w:val="bottom"/>
          </w:tcPr>
          <w:p>
            <w:pPr>
              <w:ind w:left="100"/>
              <w:spacing w:after="0"/>
              <w:rPr>
                <w:sz w:val="20"/>
                <w:szCs w:val="20"/>
                <w:color w:val="auto"/>
              </w:rPr>
            </w:pPr>
            <w:r>
              <w:rPr>
                <w:rFonts w:ascii="Arial" w:cs="Arial" w:eastAsia="Arial" w:hAnsi="Arial"/>
                <w:sz w:val="17"/>
                <w:szCs w:val="17"/>
                <w:color w:val="auto"/>
              </w:rPr>
              <w:t>Income tax benefit</w:t>
            </w:r>
          </w:p>
        </w:tc>
        <w:tc>
          <w:tcPr>
            <w:tcW w:w="186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(30.2)</w:t>
            </w: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100"/>
              <w:spacing w:after="0"/>
              <w:rPr>
                <w:sz w:val="20"/>
                <w:szCs w:val="20"/>
                <w:color w:val="auto"/>
              </w:rPr>
            </w:pPr>
            <w:r>
              <w:rPr>
                <w:rFonts w:ascii="Arial" w:cs="Arial" w:eastAsia="Arial" w:hAnsi="Arial"/>
                <w:sz w:val="17"/>
                <w:szCs w:val="17"/>
                <w:color w:val="auto"/>
              </w:rPr>
              <w:t>Losses from equity method investments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7"/>
                <w:szCs w:val="17"/>
                <w:color w:val="auto"/>
              </w:rPr>
              <w:t>Net loss from continuing operations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(343.5)</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(155.5)</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120.9 %</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7"/>
                <w:szCs w:val="17"/>
                <w:color w:val="auto"/>
              </w:rPr>
              <w:t>Net (loss) income from discontinued operations, net of tax</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7"/>
                <w:szCs w:val="17"/>
                <w:color w:val="auto"/>
              </w:rPr>
              <w:t>Net loss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($345.0)</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($155.2)</w:t>
            </w:r>
          </w:p>
        </w:tc>
        <w:tc>
          <w:tcPr>
            <w:tcW w:w="1960" w:type="dxa"/>
            <w:vAlign w:val="bottom"/>
            <w:gridSpan w:val="2"/>
          </w:tcPr>
          <w:p>
            <w:pPr>
              <w:jc w:val="right"/>
              <w:spacing w:after="0"/>
              <w:rPr>
                <w:sz w:val="20"/>
                <w:szCs w:val="20"/>
                <w:color w:val="auto"/>
              </w:rPr>
            </w:pPr>
            <w:r>
              <w:rPr>
                <w:rFonts w:ascii="Arial" w:cs="Arial" w:eastAsia="Arial" w:hAnsi="Arial"/>
                <w:sz w:val="17"/>
                <w:szCs w:val="17"/>
                <w:color w:val="auto"/>
              </w:rPr>
              <w:t>122.3 %</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Basic (loss) income per share:</w:t>
            </w: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44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Continuing operations</w:t>
            </w:r>
          </w:p>
        </w:tc>
        <w:tc>
          <w:tcPr>
            <w:tcW w:w="1860" w:type="dxa"/>
            <w:vAlign w:val="bottom"/>
          </w:tcPr>
          <w:p>
            <w:pPr>
              <w:jc w:val="right"/>
              <w:spacing w:after="0"/>
              <w:rPr>
                <w:sz w:val="20"/>
                <w:szCs w:val="20"/>
                <w:color w:val="auto"/>
              </w:rPr>
            </w:pPr>
            <w:r>
              <w:rPr>
                <w:rFonts w:ascii="Arial" w:cs="Arial" w:eastAsia="Arial" w:hAnsi="Arial"/>
                <w:sz w:val="17"/>
                <w:szCs w:val="17"/>
                <w:color w:val="auto"/>
              </w:rPr>
              <w:t>($7.07)</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100"/>
              <w:spacing w:after="0"/>
              <w:rPr>
                <w:sz w:val="20"/>
                <w:szCs w:val="20"/>
                <w:color w:val="auto"/>
              </w:rPr>
            </w:pPr>
            <w:r>
              <w:rPr>
                <w:rFonts w:ascii="Arial" w:cs="Arial" w:eastAsia="Arial" w:hAnsi="Arial"/>
                <w:sz w:val="17"/>
                <w:szCs w:val="17"/>
                <w:color w:val="auto"/>
              </w:rPr>
              <w:t>Discontinued operations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Diluted (loss) income per share:</w:t>
            </w: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44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Continuing operations</w:t>
            </w:r>
          </w:p>
        </w:tc>
        <w:tc>
          <w:tcPr>
            <w:tcW w:w="1860" w:type="dxa"/>
            <w:vAlign w:val="bottom"/>
          </w:tcPr>
          <w:p>
            <w:pPr>
              <w:jc w:val="right"/>
              <w:spacing w:after="0"/>
              <w:rPr>
                <w:sz w:val="20"/>
                <w:szCs w:val="20"/>
                <w:color w:val="auto"/>
              </w:rPr>
            </w:pPr>
            <w:r>
              <w:rPr>
                <w:rFonts w:ascii="Arial" w:cs="Arial" w:eastAsia="Arial" w:hAnsi="Arial"/>
                <w:sz w:val="17"/>
                <w:szCs w:val="17"/>
                <w:color w:val="auto"/>
              </w:rPr>
              <w:t>($7.07)</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440" w:type="dxa"/>
            <w:vAlign w:val="bottom"/>
          </w:tcPr>
          <w:p>
            <w:pPr>
              <w:ind w:left="100"/>
              <w:spacing w:after="0"/>
              <w:rPr>
                <w:sz w:val="20"/>
                <w:szCs w:val="20"/>
                <w:color w:val="auto"/>
              </w:rPr>
            </w:pPr>
            <w:r>
              <w:rPr>
                <w:rFonts w:ascii="Arial" w:cs="Arial" w:eastAsia="Arial" w:hAnsi="Arial"/>
                <w:sz w:val="17"/>
                <w:szCs w:val="17"/>
                <w:color w:val="auto"/>
              </w:rPr>
              <w:t>Discontinued operations</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4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($7.10)</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7"/>
                <w:szCs w:val="17"/>
                <w:color w:val="auto"/>
              </w:rPr>
              <w:t>Weighted average common shares outstanding:</w:t>
            </w: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44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7"/>
                <w:szCs w:val="17"/>
                <w:color w:val="auto"/>
              </w:rPr>
              <w:t>Basic</w:t>
            </w:r>
          </w:p>
        </w:tc>
        <w:tc>
          <w:tcPr>
            <w:tcW w:w="186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48.3</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00"/>
              <w:spacing w:after="0"/>
              <w:rPr>
                <w:sz w:val="20"/>
                <w:szCs w:val="20"/>
                <w:color w:val="auto"/>
              </w:rPr>
            </w:pPr>
            <w:r>
              <w:rPr>
                <w:rFonts w:ascii="Arial" w:cs="Arial" w:eastAsia="Arial" w:hAnsi="Arial"/>
                <w:sz w:val="17"/>
                <w:szCs w:val="17"/>
                <w:color w:val="auto"/>
              </w:rPr>
              <w:t>Diluted</w:t>
            </w:r>
          </w:p>
        </w:tc>
        <w:tc>
          <w:tcPr>
            <w:tcW w:w="1860" w:type="dxa"/>
            <w:vAlign w:val="bottom"/>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48.3</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 Numbers may not add precisely due to rounding.</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20"/>
          </w:cols>
          <w:pgMar w:left="340" w:top="1440" w:right="339" w:bottom="1440" w:gutter="0" w:footer="0" w:header="0"/>
        </w:sectPr>
      </w:pPr>
    </w:p>
    <w:bookmarkStart w:id="17" w:name="page18"/>
    <w:bookmarkEnd w:id="17"/>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7140" w:type="dxa"/>
            <w:vAlign w:val="bottom"/>
            <w:gridSpan w:val="2"/>
          </w:tcPr>
          <w:p>
            <w:pPr>
              <w:spacing w:after="0"/>
              <w:rPr>
                <w:sz w:val="20"/>
                <w:szCs w:val="20"/>
                <w:color w:val="auto"/>
              </w:rPr>
            </w:pPr>
            <w:r>
              <w:rPr>
                <w:rFonts w:ascii="Arial" w:cs="Arial" w:eastAsia="Arial" w:hAnsi="Arial"/>
                <w:sz w:val="17"/>
                <w:szCs w:val="17"/>
                <w:b w:val="1"/>
                <w:bCs w:val="1"/>
                <w:color w:val="auto"/>
              </w:rPr>
              <w:t>Adjusted Financial Measures (U.S. dollars in millions, except per share amounts)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6060" w:type="dxa"/>
            <w:vAlign w:val="bottom"/>
          </w:tcPr>
          <w:p>
            <w:pPr>
              <w:spacing w:after="0"/>
              <w:rPr>
                <w:sz w:val="24"/>
                <w:szCs w:val="24"/>
                <w:color w:val="auto"/>
              </w:rPr>
            </w:pPr>
          </w:p>
        </w:tc>
        <w:tc>
          <w:tcPr>
            <w:tcW w:w="3620" w:type="dxa"/>
            <w:vAlign w:val="bottom"/>
            <w:gridSpan w:val="5"/>
          </w:tcPr>
          <w:p>
            <w:pPr>
              <w:ind w:left="300"/>
              <w:spacing w:after="0"/>
              <w:rPr>
                <w:sz w:val="20"/>
                <w:szCs w:val="20"/>
                <w:color w:val="auto"/>
              </w:rPr>
            </w:pPr>
            <w:r>
              <w:rPr>
                <w:rFonts w:ascii="Arial" w:cs="Arial" w:eastAsia="Arial" w:hAnsi="Arial"/>
                <w:sz w:val="17"/>
                <w:szCs w:val="17"/>
                <w:b w:val="1"/>
                <w:bCs w:val="1"/>
                <w:color w:val="auto"/>
              </w:rPr>
              <w:t>Twelve Months Ended December 31,</w:t>
            </w:r>
          </w:p>
        </w:tc>
        <w:tc>
          <w:tcPr>
            <w:tcW w:w="1540" w:type="dxa"/>
            <w:vAlign w:val="bottom"/>
            <w:vMerge w:val="restart"/>
          </w:tcPr>
          <w:p>
            <w:pPr>
              <w:jc w:val="right"/>
              <w:ind w:right="175"/>
              <w:spacing w:after="0"/>
              <w:rPr>
                <w:sz w:val="20"/>
                <w:szCs w:val="20"/>
                <w:color w:val="auto"/>
              </w:rPr>
            </w:pPr>
            <w:r>
              <w:rPr>
                <w:rFonts w:ascii="Arial" w:cs="Arial" w:eastAsia="Arial" w:hAnsi="Arial"/>
                <w:sz w:val="17"/>
                <w:szCs w:val="17"/>
                <w:b w:val="1"/>
                <w:bCs w:val="1"/>
                <w:color w:val="auto"/>
              </w:rPr>
              <w:t xml:space="preserve">% Change </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209"/>
        </w:trPr>
        <w:tc>
          <w:tcPr>
            <w:tcW w:w="6060" w:type="dxa"/>
            <w:vAlign w:val="bottom"/>
            <w:vMerge w:val="restart"/>
          </w:tcPr>
          <w:p>
            <w:pPr>
              <w:spacing w:after="0"/>
              <w:rPr>
                <w:sz w:val="20"/>
                <w:szCs w:val="20"/>
                <w:color w:val="auto"/>
              </w:rPr>
            </w:pPr>
            <w:r>
              <w:rPr>
                <w:rFonts w:ascii="Arial" w:cs="Arial" w:eastAsia="Arial" w:hAnsi="Arial"/>
                <w:sz w:val="17"/>
                <w:szCs w:val="17"/>
                <w:color w:val="auto"/>
              </w:rPr>
              <w:t xml:space="preserve">Adjusted SG&amp;A </w:t>
            </w:r>
            <w:r>
              <w:rPr>
                <w:rFonts w:ascii="Arial" w:cs="Arial" w:eastAsia="Arial" w:hAnsi="Arial"/>
                <w:sz w:val="22"/>
                <w:szCs w:val="22"/>
                <w:color w:val="auto"/>
                <w:vertAlign w:val="superscript"/>
              </w:rPr>
              <w:t>(1)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$368.8</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$421.6</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line="217" w:lineRule="exact"/>
              <w:rPr>
                <w:sz w:val="20"/>
                <w:szCs w:val="20"/>
                <w:color w:val="auto"/>
              </w:rPr>
            </w:pPr>
            <w:r>
              <w:rPr>
                <w:rFonts w:ascii="Arial" w:cs="Arial" w:eastAsia="Arial" w:hAnsi="Arial"/>
                <w:sz w:val="17"/>
                <w:szCs w:val="17"/>
                <w:color w:val="auto"/>
              </w:rPr>
              <w:t xml:space="preserve">Adjusted R&amp;D </w:t>
            </w:r>
            <w:r>
              <w:rPr>
                <w:rFonts w:ascii="Arial" w:cs="Arial" w:eastAsia="Arial" w:hAnsi="Arial"/>
                <w:sz w:val="22"/>
                <w:szCs w:val="22"/>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150.9</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152.9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line="217" w:lineRule="exact"/>
              <w:rPr>
                <w:sz w:val="20"/>
                <w:szCs w:val="20"/>
                <w:color w:val="auto"/>
              </w:rPr>
            </w:pPr>
            <w:r>
              <w:rPr>
                <w:rFonts w:ascii="Arial" w:cs="Arial" w:eastAsia="Arial" w:hAnsi="Arial"/>
                <w:sz w:val="17"/>
                <w:szCs w:val="17"/>
                <w:color w:val="auto"/>
              </w:rPr>
              <w:t xml:space="preserve">Adjusted operating income from continuing operations </w:t>
            </w:r>
            <w:r>
              <w:rPr>
                <w:rFonts w:ascii="Arial" w:cs="Arial" w:eastAsia="Arial" w:hAnsi="Arial"/>
                <w:sz w:val="22"/>
                <w:szCs w:val="22"/>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97.5</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179.7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line="217" w:lineRule="exact"/>
              <w:rPr>
                <w:sz w:val="20"/>
                <w:szCs w:val="20"/>
                <w:color w:val="auto"/>
              </w:rPr>
            </w:pPr>
            <w:r>
              <w:rPr>
                <w:rFonts w:ascii="Arial" w:cs="Arial" w:eastAsia="Arial" w:hAnsi="Arial"/>
                <w:sz w:val="17"/>
                <w:szCs w:val="17"/>
                <w:color w:val="auto"/>
              </w:rPr>
              <w:t xml:space="preserve">Adjusted net income from continuing operations </w:t>
            </w:r>
            <w:r>
              <w:rPr>
                <w:rFonts w:ascii="Arial" w:cs="Arial" w:eastAsia="Arial" w:hAnsi="Arial"/>
                <w:sz w:val="22"/>
                <w:szCs w:val="22"/>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61.9</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150.4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98"/>
        </w:trPr>
        <w:tc>
          <w:tcPr>
            <w:tcW w:w="7140" w:type="dxa"/>
            <w:vAlign w:val="bottom"/>
            <w:gridSpan w:val="2"/>
          </w:tcPr>
          <w:p>
            <w:pPr>
              <w:spacing w:after="0"/>
              <w:rPr>
                <w:sz w:val="20"/>
                <w:szCs w:val="20"/>
                <w:color w:val="auto"/>
              </w:rPr>
            </w:pPr>
            <w:r>
              <w:rPr>
                <w:rFonts w:ascii="Arial" w:cs="Arial" w:eastAsia="Arial" w:hAnsi="Arial"/>
                <w:sz w:val="17"/>
                <w:szCs w:val="17"/>
                <w:color w:val="auto"/>
              </w:rPr>
              <w:t xml:space="preserve">Adjusted diluted earnings per share from continuing operations </w:t>
            </w:r>
            <w:r>
              <w:rPr>
                <w:rFonts w:ascii="Arial" w:cs="Arial" w:eastAsia="Arial" w:hAnsi="Arial"/>
                <w:sz w:val="22"/>
                <w:szCs w:val="22"/>
                <w:color w:val="auto"/>
                <w:vertAlign w:val="superscript"/>
              </w:rPr>
              <w:t>(1)</w:t>
            </w:r>
          </w:p>
        </w:tc>
        <w:tc>
          <w:tcPr>
            <w:tcW w:w="62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$3.08</w:t>
            </w: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80" w:right="20" w:hanging="356"/>
        <w:spacing w:after="0" w:line="259" w:lineRule="auto"/>
        <w:tabs>
          <w:tab w:leader="none" w:pos="4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Adjusted financial measures are non-GAAP measures and exclude specified items as described and reconciled in the "Reconciliation of GAAP to non-GAAP Financial Measures" contained in the press release.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Statistics (as a % of net sales, except for income tax rate)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4340" w:type="dxa"/>
            <w:vAlign w:val="bottom"/>
            <w:gridSpan w:val="5"/>
          </w:tcPr>
          <w:p>
            <w:pPr>
              <w:ind w:left="380"/>
              <w:spacing w:after="0"/>
              <w:rPr>
                <w:sz w:val="20"/>
                <w:szCs w:val="20"/>
                <w:color w:val="auto"/>
              </w:rPr>
            </w:pPr>
            <w:r>
              <w:rPr>
                <w:rFonts w:ascii="Arial" w:cs="Arial" w:eastAsia="Arial" w:hAnsi="Arial"/>
                <w:sz w:val="17"/>
                <w:szCs w:val="17"/>
                <w:b w:val="1"/>
                <w:bCs w:val="1"/>
                <w:color w:val="auto"/>
              </w:rPr>
              <w:t>GAAP Twelve Months Ended December 31,</w:t>
            </w:r>
          </w:p>
        </w:tc>
        <w:tc>
          <w:tcPr>
            <w:tcW w:w="4700" w:type="dxa"/>
            <w:vAlign w:val="bottom"/>
            <w:gridSpan w:val="3"/>
          </w:tcPr>
          <w:p>
            <w:pPr>
              <w:jc w:val="right"/>
              <w:ind w:right="335"/>
              <w:spacing w:after="0"/>
              <w:rPr>
                <w:sz w:val="20"/>
                <w:szCs w:val="20"/>
                <w:color w:val="auto"/>
              </w:rPr>
            </w:pPr>
            <w:r>
              <w:rPr>
                <w:rFonts w:ascii="Arial" w:cs="Arial" w:eastAsia="Arial" w:hAnsi="Arial"/>
                <w:sz w:val="17"/>
                <w:szCs w:val="17"/>
                <w:b w:val="1"/>
                <w:bCs w:val="1"/>
                <w:color w:val="auto"/>
              </w:rPr>
              <w:t xml:space="preserve">Adjusted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 xml:space="preserve"> Twelve Months Ended December 31,</w:t>
            </w:r>
          </w:p>
        </w:tc>
        <w:tc>
          <w:tcPr>
            <w:tcW w:w="0" w:type="dxa"/>
            <w:vAlign w:val="bottom"/>
          </w:tcPr>
          <w:p>
            <w:pPr>
              <w:spacing w:after="0"/>
              <w:rPr>
                <w:sz w:val="1"/>
                <w:szCs w:val="1"/>
                <w:color w:val="auto"/>
              </w:rPr>
            </w:pPr>
          </w:p>
        </w:tc>
      </w:tr>
      <w:tr>
        <w:trPr>
          <w:trHeight w:val="209"/>
        </w:trPr>
        <w:tc>
          <w:tcPr>
            <w:tcW w:w="2180" w:type="dxa"/>
            <w:vAlign w:val="bottom"/>
            <w:vMerge w:val="restart"/>
          </w:tcPr>
          <w:p>
            <w:pPr>
              <w:spacing w:after="0"/>
              <w:rPr>
                <w:sz w:val="20"/>
                <w:szCs w:val="20"/>
                <w:color w:val="auto"/>
              </w:rPr>
            </w:pPr>
            <w:r>
              <w:rPr>
                <w:rFonts w:ascii="Arial" w:cs="Arial" w:eastAsia="Arial" w:hAnsi="Arial"/>
                <w:sz w:val="17"/>
                <w:szCs w:val="17"/>
                <w:color w:val="auto"/>
              </w:rPr>
              <w:t>Gross profit</w:t>
            </w:r>
          </w:p>
        </w:tc>
        <w:tc>
          <w:tcPr>
            <w:tcW w:w="13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2020</w:t>
            </w:r>
          </w:p>
        </w:tc>
        <w:tc>
          <w:tcPr>
            <w:tcW w:w="7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8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7"/>
                <w:szCs w:val="17"/>
                <w:b w:val="1"/>
                <w:bCs w:val="1"/>
                <w:color w:val="auto"/>
              </w:rPr>
              <w:t>2019</w:t>
            </w:r>
          </w:p>
        </w:tc>
        <w:tc>
          <w:tcPr>
            <w:tcW w:w="100" w:type="dxa"/>
            <w:vAlign w:val="bottom"/>
          </w:tcPr>
          <w:p>
            <w:pPr>
              <w:spacing w:after="0"/>
              <w:rPr>
                <w:sz w:val="18"/>
                <w:szCs w:val="18"/>
                <w:color w:val="auto"/>
              </w:rPr>
            </w:pPr>
          </w:p>
        </w:tc>
        <w:tc>
          <w:tcPr>
            <w:tcW w:w="2300" w:type="dxa"/>
            <w:vAlign w:val="bottom"/>
            <w:tcBorders>
              <w:top w:val="single" w:sz="8" w:color="auto"/>
              <w:bottom w:val="single" w:sz="8" w:color="auto"/>
            </w:tcBorders>
          </w:tcPr>
          <w:p>
            <w:pPr>
              <w:jc w:val="right"/>
              <w:ind w:right="875"/>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top w:val="single" w:sz="8" w:color="auto"/>
            </w:tcBorders>
          </w:tcPr>
          <w:p>
            <w:pPr>
              <w:spacing w:after="0"/>
              <w:rPr>
                <w:sz w:val="18"/>
                <w:szCs w:val="18"/>
                <w:color w:val="auto"/>
              </w:rPr>
            </w:pPr>
          </w:p>
        </w:tc>
        <w:tc>
          <w:tcPr>
            <w:tcW w:w="2300" w:type="dxa"/>
            <w:vAlign w:val="bottom"/>
            <w:tcBorders>
              <w:top w:val="single" w:sz="8" w:color="auto"/>
              <w:bottom w:val="single" w:sz="8" w:color="auto"/>
            </w:tcBorders>
          </w:tcPr>
          <w:p>
            <w:pPr>
              <w:jc w:val="right"/>
              <w:ind w:right="87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199"/>
        </w:trPr>
        <w:tc>
          <w:tcPr>
            <w:tcW w:w="2180" w:type="dxa"/>
            <w:vAlign w:val="bottom"/>
            <w:vMerge w:val="continue"/>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66.2 %</w:t>
            </w:r>
          </w:p>
        </w:tc>
        <w:tc>
          <w:tcPr>
            <w:tcW w:w="10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68.7 %</w:t>
            </w:r>
          </w:p>
        </w:tc>
        <w:tc>
          <w:tcPr>
            <w:tcW w:w="1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66.1 %</w:t>
            </w:r>
          </w:p>
        </w:tc>
        <w:tc>
          <w:tcPr>
            <w:tcW w:w="1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69.6 %</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7"/>
                <w:szCs w:val="17"/>
                <w:color w:val="auto"/>
              </w:rPr>
              <w:t>SG&amp;A</w:t>
            </w:r>
          </w:p>
        </w:tc>
        <w:tc>
          <w:tcPr>
            <w:tcW w:w="720" w:type="dxa"/>
            <w:vAlign w:val="bottom"/>
          </w:tcPr>
          <w:p>
            <w:pPr>
              <w:jc w:val="right"/>
              <w:spacing w:after="0"/>
              <w:rPr>
                <w:sz w:val="20"/>
                <w:szCs w:val="20"/>
                <w:color w:val="auto"/>
              </w:rPr>
            </w:pPr>
            <w:r>
              <w:rPr>
                <w:rFonts w:ascii="Arial" w:cs="Arial" w:eastAsia="Arial" w:hAnsi="Arial"/>
                <w:sz w:val="17"/>
                <w:szCs w:val="17"/>
                <w:color w:val="auto"/>
              </w:rPr>
              <w:t>45.8 %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46.7 %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39.5 %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38.9 %</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7"/>
                <w:szCs w:val="17"/>
                <w:color w:val="auto"/>
              </w:rPr>
              <w:t>R&amp;D</w:t>
            </w:r>
          </w:p>
        </w:tc>
        <w:tc>
          <w:tcPr>
            <w:tcW w:w="720" w:type="dxa"/>
            <w:vAlign w:val="bottom"/>
          </w:tcPr>
          <w:p>
            <w:pPr>
              <w:jc w:val="right"/>
              <w:spacing w:after="0"/>
              <w:rPr>
                <w:sz w:val="20"/>
                <w:szCs w:val="20"/>
                <w:color w:val="auto"/>
              </w:rPr>
            </w:pPr>
            <w:r>
              <w:rPr>
                <w:rFonts w:ascii="Arial" w:cs="Arial" w:eastAsia="Arial" w:hAnsi="Arial"/>
                <w:sz w:val="17"/>
                <w:szCs w:val="17"/>
                <w:color w:val="auto"/>
              </w:rPr>
              <w:t>16.4 %</w:t>
            </w:r>
          </w:p>
        </w:tc>
        <w:tc>
          <w:tcPr>
            <w:tcW w:w="1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13.5 %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16.2 %</w:t>
            </w:r>
          </w:p>
        </w:tc>
        <w:tc>
          <w:tcPr>
            <w:tcW w:w="10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14.1 %</w:t>
            </w:r>
          </w:p>
        </w:tc>
        <w:tc>
          <w:tcPr>
            <w:tcW w:w="0" w:type="dxa"/>
            <w:vAlign w:val="bottom"/>
          </w:tcPr>
          <w:p>
            <w:pPr>
              <w:spacing w:after="0"/>
              <w:rPr>
                <w:sz w:val="1"/>
                <w:szCs w:val="1"/>
                <w:color w:val="auto"/>
              </w:rPr>
            </w:pPr>
          </w:p>
        </w:tc>
      </w:tr>
      <w:tr>
        <w:trPr>
          <w:trHeight w:val="176"/>
        </w:trPr>
        <w:tc>
          <w:tcPr>
            <w:tcW w:w="3520" w:type="dxa"/>
            <w:vAlign w:val="bottom"/>
            <w:gridSpan w:val="2"/>
          </w:tcPr>
          <w:p>
            <w:pPr>
              <w:spacing w:after="0" w:line="176" w:lineRule="exact"/>
              <w:rPr>
                <w:sz w:val="20"/>
                <w:szCs w:val="20"/>
                <w:color w:val="auto"/>
              </w:rPr>
            </w:pPr>
            <w:r>
              <w:rPr>
                <w:rFonts w:ascii="Arial" w:cs="Arial" w:eastAsia="Arial" w:hAnsi="Arial"/>
                <w:sz w:val="17"/>
                <w:szCs w:val="17"/>
                <w:color w:val="auto"/>
              </w:rPr>
              <w:t>Operating (loss) income</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(28.9)%</w:t>
            </w:r>
          </w:p>
        </w:tc>
        <w:tc>
          <w:tcPr>
            <w:tcW w:w="100" w:type="dxa"/>
            <w:vAlign w:val="bottom"/>
          </w:tcPr>
          <w:p>
            <w:pPr>
              <w:spacing w:after="0"/>
              <w:rPr>
                <w:sz w:val="15"/>
                <w:szCs w:val="15"/>
                <w:color w:val="auto"/>
              </w:rPr>
            </w:pPr>
          </w:p>
        </w:tc>
        <w:tc>
          <w:tcPr>
            <w:tcW w:w="2080" w:type="dxa"/>
            <w:vAlign w:val="bottom"/>
            <w:vMerge w:val="restart"/>
          </w:tcPr>
          <w:p>
            <w:pPr>
              <w:jc w:val="right"/>
              <w:spacing w:after="0"/>
              <w:rPr>
                <w:sz w:val="20"/>
                <w:szCs w:val="20"/>
                <w:color w:val="auto"/>
              </w:rPr>
            </w:pPr>
            <w:r>
              <w:rPr>
                <w:rFonts w:ascii="Arial" w:cs="Arial" w:eastAsia="Arial" w:hAnsi="Arial"/>
                <w:sz w:val="17"/>
                <w:szCs w:val="17"/>
                <w:color w:val="auto"/>
              </w:rPr>
              <w:t>(15.6)%</w:t>
            </w:r>
          </w:p>
        </w:tc>
        <w:tc>
          <w:tcPr>
            <w:tcW w:w="100" w:type="dxa"/>
            <w:vAlign w:val="bottom"/>
          </w:tcPr>
          <w:p>
            <w:pPr>
              <w:spacing w:after="0"/>
              <w:rPr>
                <w:sz w:val="15"/>
                <w:szCs w:val="15"/>
                <w:color w:val="auto"/>
              </w:rPr>
            </w:pPr>
          </w:p>
        </w:tc>
        <w:tc>
          <w:tcPr>
            <w:tcW w:w="2300" w:type="dxa"/>
            <w:vAlign w:val="bottom"/>
            <w:vMerge w:val="restart"/>
          </w:tcPr>
          <w:p>
            <w:pPr>
              <w:jc w:val="right"/>
              <w:spacing w:after="0"/>
              <w:rPr>
                <w:sz w:val="20"/>
                <w:szCs w:val="20"/>
                <w:color w:val="auto"/>
              </w:rPr>
            </w:pPr>
            <w:r>
              <w:rPr>
                <w:rFonts w:ascii="Arial" w:cs="Arial" w:eastAsia="Arial" w:hAnsi="Arial"/>
                <w:sz w:val="17"/>
                <w:szCs w:val="17"/>
                <w:color w:val="auto"/>
              </w:rPr>
              <w:t>10.4 %</w:t>
            </w:r>
          </w:p>
        </w:tc>
        <w:tc>
          <w:tcPr>
            <w:tcW w:w="100" w:type="dxa"/>
            <w:vAlign w:val="bottom"/>
          </w:tcPr>
          <w:p>
            <w:pPr>
              <w:spacing w:after="0"/>
              <w:rPr>
                <w:sz w:val="15"/>
                <w:szCs w:val="15"/>
                <w:color w:val="auto"/>
              </w:rPr>
            </w:pPr>
          </w:p>
        </w:tc>
        <w:tc>
          <w:tcPr>
            <w:tcW w:w="2300" w:type="dxa"/>
            <w:vAlign w:val="bottom"/>
            <w:vMerge w:val="restart"/>
          </w:tcPr>
          <w:p>
            <w:pPr>
              <w:jc w:val="right"/>
              <w:spacing w:after="0"/>
              <w:rPr>
                <w:sz w:val="20"/>
                <w:szCs w:val="20"/>
                <w:color w:val="auto"/>
              </w:rPr>
            </w:pPr>
            <w:r>
              <w:rPr>
                <w:rFonts w:ascii="Arial" w:cs="Arial" w:eastAsia="Arial" w:hAnsi="Arial"/>
                <w:sz w:val="17"/>
                <w:szCs w:val="17"/>
                <w:color w:val="auto"/>
              </w:rPr>
              <w:t>16.6 %</w:t>
            </w:r>
          </w:p>
        </w:tc>
        <w:tc>
          <w:tcPr>
            <w:tcW w:w="0" w:type="dxa"/>
            <w:vAlign w:val="bottom"/>
          </w:tcPr>
          <w:p>
            <w:pPr>
              <w:spacing w:after="0"/>
              <w:rPr>
                <w:sz w:val="1"/>
                <w:szCs w:val="1"/>
                <w:color w:val="auto"/>
              </w:rPr>
            </w:pPr>
          </w:p>
        </w:tc>
      </w:tr>
      <w:tr>
        <w:trPr>
          <w:trHeight w:val="206"/>
        </w:trPr>
        <w:tc>
          <w:tcPr>
            <w:tcW w:w="3520" w:type="dxa"/>
            <w:vAlign w:val="bottom"/>
            <w:gridSpan w:val="2"/>
          </w:tcPr>
          <w:p>
            <w:pPr>
              <w:spacing w:after="0"/>
              <w:rPr>
                <w:sz w:val="20"/>
                <w:szCs w:val="20"/>
                <w:color w:val="auto"/>
              </w:rPr>
            </w:pPr>
            <w:r>
              <w:rPr>
                <w:rFonts w:ascii="Arial" w:cs="Arial" w:eastAsia="Arial" w:hAnsi="Arial"/>
                <w:sz w:val="17"/>
                <w:szCs w:val="17"/>
                <w:color w:val="auto"/>
              </w:rPr>
              <w:t>from continuing operations</w:t>
            </w: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20" w:type="dxa"/>
            <w:vAlign w:val="bottom"/>
            <w:gridSpan w:val="2"/>
          </w:tcPr>
          <w:p>
            <w:pPr>
              <w:spacing w:after="0" w:line="176" w:lineRule="exact"/>
              <w:rPr>
                <w:sz w:val="20"/>
                <w:szCs w:val="20"/>
                <w:color w:val="auto"/>
              </w:rPr>
            </w:pPr>
            <w:r>
              <w:rPr>
                <w:rFonts w:ascii="Arial" w:cs="Arial" w:eastAsia="Arial" w:hAnsi="Arial"/>
                <w:sz w:val="17"/>
                <w:szCs w:val="17"/>
                <w:color w:val="auto"/>
              </w:rPr>
              <w:t>Net (loss) income from</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(36.8)%</w:t>
            </w:r>
          </w:p>
        </w:tc>
        <w:tc>
          <w:tcPr>
            <w:tcW w:w="100" w:type="dxa"/>
            <w:vAlign w:val="bottom"/>
          </w:tcPr>
          <w:p>
            <w:pPr>
              <w:spacing w:after="0"/>
              <w:rPr>
                <w:sz w:val="15"/>
                <w:szCs w:val="15"/>
                <w:color w:val="auto"/>
              </w:rPr>
            </w:pPr>
          </w:p>
        </w:tc>
        <w:tc>
          <w:tcPr>
            <w:tcW w:w="2080" w:type="dxa"/>
            <w:vAlign w:val="bottom"/>
            <w:vMerge w:val="restart"/>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5"/>
                <w:szCs w:val="15"/>
                <w:color w:val="auto"/>
              </w:rPr>
            </w:pPr>
          </w:p>
        </w:tc>
        <w:tc>
          <w:tcPr>
            <w:tcW w:w="2300" w:type="dxa"/>
            <w:vAlign w:val="bottom"/>
            <w:vMerge w:val="restart"/>
          </w:tcPr>
          <w:p>
            <w:pPr>
              <w:jc w:val="right"/>
              <w:spacing w:after="0"/>
              <w:rPr>
                <w:sz w:val="20"/>
                <w:szCs w:val="20"/>
                <w:color w:val="auto"/>
              </w:rPr>
            </w:pPr>
            <w:r>
              <w:rPr>
                <w:rFonts w:ascii="Arial" w:cs="Arial" w:eastAsia="Arial" w:hAnsi="Arial"/>
                <w:sz w:val="17"/>
                <w:szCs w:val="17"/>
                <w:color w:val="auto"/>
              </w:rPr>
              <w:t>6.6 %</w:t>
            </w:r>
          </w:p>
        </w:tc>
        <w:tc>
          <w:tcPr>
            <w:tcW w:w="100" w:type="dxa"/>
            <w:vAlign w:val="bottom"/>
          </w:tcPr>
          <w:p>
            <w:pPr>
              <w:spacing w:after="0"/>
              <w:rPr>
                <w:sz w:val="15"/>
                <w:szCs w:val="15"/>
                <w:color w:val="auto"/>
              </w:rPr>
            </w:pPr>
          </w:p>
        </w:tc>
        <w:tc>
          <w:tcPr>
            <w:tcW w:w="2300" w:type="dxa"/>
            <w:vAlign w:val="bottom"/>
            <w:vMerge w:val="restart"/>
          </w:tcPr>
          <w:p>
            <w:pPr>
              <w:jc w:val="right"/>
              <w:spacing w:after="0"/>
              <w:rPr>
                <w:sz w:val="20"/>
                <w:szCs w:val="20"/>
                <w:color w:val="auto"/>
              </w:rPr>
            </w:pPr>
            <w:r>
              <w:rPr>
                <w:rFonts w:ascii="Arial" w:cs="Arial" w:eastAsia="Arial" w:hAnsi="Arial"/>
                <w:sz w:val="17"/>
                <w:szCs w:val="17"/>
                <w:color w:val="auto"/>
              </w:rPr>
              <w:t>13.9 %</w:t>
            </w:r>
          </w:p>
        </w:tc>
        <w:tc>
          <w:tcPr>
            <w:tcW w:w="0" w:type="dxa"/>
            <w:vAlign w:val="bottom"/>
          </w:tcPr>
          <w:p>
            <w:pPr>
              <w:spacing w:after="0"/>
              <w:rPr>
                <w:sz w:val="1"/>
                <w:szCs w:val="1"/>
                <w:color w:val="auto"/>
              </w:rPr>
            </w:pPr>
          </w:p>
        </w:tc>
      </w:tr>
      <w:tr>
        <w:trPr>
          <w:trHeight w:val="206"/>
        </w:trPr>
        <w:tc>
          <w:tcPr>
            <w:tcW w:w="3520" w:type="dxa"/>
            <w:vAlign w:val="bottom"/>
            <w:gridSpan w:val="2"/>
          </w:tcPr>
          <w:p>
            <w:pPr>
              <w:spacing w:after="0"/>
              <w:rPr>
                <w:sz w:val="20"/>
                <w:szCs w:val="20"/>
                <w:color w:val="auto"/>
              </w:rPr>
            </w:pPr>
            <w:r>
              <w:rPr>
                <w:rFonts w:ascii="Arial" w:cs="Arial" w:eastAsia="Arial" w:hAnsi="Arial"/>
                <w:sz w:val="17"/>
                <w:szCs w:val="17"/>
                <w:color w:val="auto"/>
              </w:rPr>
              <w:t>continuing operations</w:t>
            </w: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7"/>
                <w:szCs w:val="17"/>
                <w:color w:val="auto"/>
              </w:rPr>
              <w:t>Income tax rate</w:t>
            </w:r>
          </w:p>
        </w:tc>
        <w:tc>
          <w:tcPr>
            <w:tcW w:w="720" w:type="dxa"/>
            <w:vAlign w:val="bottom"/>
          </w:tcPr>
          <w:p>
            <w:pPr>
              <w:jc w:val="right"/>
              <w:spacing w:after="0"/>
              <w:rPr>
                <w:sz w:val="20"/>
                <w:szCs w:val="20"/>
                <w:color w:val="auto"/>
              </w:rPr>
            </w:pPr>
            <w:r>
              <w:rPr>
                <w:rFonts w:ascii="Arial" w:cs="Arial" w:eastAsia="Arial" w:hAnsi="Arial"/>
                <w:sz w:val="17"/>
                <w:szCs w:val="17"/>
                <w:color w:val="auto"/>
              </w:rPr>
              <w:t>0.2 %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7"/>
                <w:szCs w:val="17"/>
                <w:color w:val="auto"/>
              </w:rPr>
              <w:t>16.2 %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3.2 %</w:t>
            </w:r>
          </w:p>
        </w:tc>
        <w:tc>
          <w:tcPr>
            <w:tcW w:w="1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7"/>
                <w:szCs w:val="17"/>
                <w:color w:val="auto"/>
              </w:rPr>
              <w:t>11.2 %</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40" w:right="20" w:hanging="329"/>
        <w:spacing w:after="0" w:line="259" w:lineRule="auto"/>
        <w:tabs>
          <w:tab w:leader="none" w:pos="4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Adjusted financial measures are non-GAAP measures and exclude specified items as described and reconciled in the "Reconciliation of GAAP to non-GAAP Financial Measures" contained in the press release.</w:t>
      </w: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20"/>
          </w:cols>
          <w:pgMar w:left="340" w:top="1440"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199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9630" cy="8255"/>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4"/>
          <w:szCs w:val="14"/>
          <w:b w:val="1"/>
          <w:bCs w:val="1"/>
          <w:color w:val="auto"/>
        </w:rPr>
        <w:t>Specified Items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9"/>
              </w:rPr>
              <w:t>Non-recurring</w:t>
            </w:r>
          </w:p>
        </w:tc>
        <w:tc>
          <w:tcPr>
            <w:tcW w:w="100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8"/>
              </w:rPr>
              <w:t>Depreciation</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Legal,</w:t>
            </w:r>
          </w:p>
        </w:tc>
        <w:tc>
          <w:tcPr>
            <w:tcW w:w="10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58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Merger and</w:t>
            </w:r>
          </w:p>
        </w:tc>
        <w:tc>
          <w:tcPr>
            <w:tcW w:w="9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Product</w:t>
            </w:r>
          </w:p>
        </w:tc>
        <w:tc>
          <w:tcPr>
            <w:tcW w:w="880" w:type="dxa"/>
            <w:vAlign w:val="bottom"/>
          </w:tcPr>
          <w:p>
            <w:pPr>
              <w:spacing w:after="0"/>
              <w:rPr>
                <w:sz w:val="9"/>
                <w:szCs w:val="9"/>
                <w:color w:val="auto"/>
              </w:rPr>
            </w:pPr>
          </w:p>
        </w:tc>
        <w:tc>
          <w:tcPr>
            <w:tcW w:w="9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Contingent</w:t>
            </w:r>
          </w:p>
        </w:tc>
        <w:tc>
          <w:tcPr>
            <w:tcW w:w="10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Stock-based</w:t>
            </w:r>
          </w:p>
        </w:tc>
        <w:tc>
          <w:tcPr>
            <w:tcW w:w="88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Certain</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120" w:type="dxa"/>
            <w:vAlign w:val="bottom"/>
            <w:vMerge w:val="continue"/>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GAAP</w:t>
            </w:r>
          </w:p>
        </w:tc>
        <w:tc>
          <w:tcPr>
            <w:tcW w:w="800" w:type="dxa"/>
            <w:vAlign w:val="bottom"/>
            <w:vMerge w:val="continue"/>
          </w:tcPr>
          <w:p>
            <w:pPr>
              <w:spacing w:after="0"/>
              <w:rPr>
                <w:sz w:val="9"/>
                <w:szCs w:val="9"/>
                <w:color w:val="auto"/>
              </w:rPr>
            </w:pPr>
          </w:p>
        </w:tc>
        <w:tc>
          <w:tcPr>
            <w:tcW w:w="94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9"/>
              </w:rPr>
              <w:t>Restructuring</w:t>
            </w:r>
          </w:p>
        </w:tc>
        <w:tc>
          <w:tcPr>
            <w:tcW w:w="8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and</w:t>
            </w:r>
          </w:p>
        </w:tc>
        <w:tc>
          <w:tcPr>
            <w:tcW w:w="8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Financing</w:t>
            </w:r>
          </w:p>
        </w:tc>
        <w:tc>
          <w:tcPr>
            <w:tcW w:w="9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Consideration</w:t>
            </w:r>
          </w:p>
        </w:tc>
        <w:tc>
          <w:tcPr>
            <w:tcW w:w="1000" w:type="dxa"/>
            <w:vAlign w:val="bottom"/>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Certain Tax</w:t>
            </w:r>
          </w:p>
        </w:tc>
        <w:tc>
          <w:tcPr>
            <w:tcW w:w="860" w:type="dxa"/>
            <w:vAlign w:val="bottom"/>
            <w:vMerge w:val="continue"/>
          </w:tcPr>
          <w:p>
            <w:pPr>
              <w:spacing w:after="0"/>
              <w:rPr>
                <w:sz w:val="9"/>
                <w:szCs w:val="9"/>
                <w:color w:val="auto"/>
              </w:rPr>
            </w:pP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5"/>
        </w:trPr>
        <w:tc>
          <w:tcPr>
            <w:tcW w:w="1120" w:type="dxa"/>
            <w:vAlign w:val="bottom"/>
          </w:tcPr>
          <w:p>
            <w:pPr>
              <w:ind w:left="20"/>
              <w:spacing w:after="0" w:line="115" w:lineRule="exact"/>
              <w:rPr>
                <w:sz w:val="20"/>
                <w:szCs w:val="20"/>
                <w:color w:val="auto"/>
              </w:rPr>
            </w:pPr>
            <w:r>
              <w:rPr>
                <w:rFonts w:ascii="Arial" w:cs="Arial" w:eastAsia="Arial" w:hAnsi="Arial"/>
                <w:sz w:val="12"/>
                <w:szCs w:val="12"/>
                <w:b w:val="1"/>
                <w:bCs w:val="1"/>
                <w:color w:val="auto"/>
              </w:rPr>
              <w:t>Ended</w:t>
            </w:r>
          </w:p>
        </w:tc>
        <w:tc>
          <w:tcPr>
            <w:tcW w:w="580" w:type="dxa"/>
            <w:vAlign w:val="bottom"/>
            <w:vMerge w:val="continue"/>
          </w:tcPr>
          <w:p>
            <w:pPr>
              <w:spacing w:after="0"/>
              <w:rPr>
                <w:sz w:val="9"/>
                <w:szCs w:val="9"/>
                <w:color w:val="auto"/>
              </w:rPr>
            </w:pPr>
          </w:p>
        </w:tc>
        <w:tc>
          <w:tcPr>
            <w:tcW w:w="8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Integration</w:t>
            </w:r>
          </w:p>
        </w:tc>
        <w:tc>
          <w:tcPr>
            <w:tcW w:w="940" w:type="dxa"/>
            <w:vAlign w:val="bottom"/>
            <w:vMerge w:val="continue"/>
          </w:tcPr>
          <w:p>
            <w:pPr>
              <w:spacing w:after="0"/>
              <w:rPr>
                <w:sz w:val="9"/>
                <w:szCs w:val="9"/>
                <w:color w:val="auto"/>
              </w:rPr>
            </w:pPr>
          </w:p>
        </w:tc>
        <w:tc>
          <w:tcPr>
            <w:tcW w:w="8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Amortization</w:t>
            </w:r>
          </w:p>
        </w:tc>
        <w:tc>
          <w:tcPr>
            <w:tcW w:w="860" w:type="dxa"/>
            <w:vAlign w:val="bottom"/>
            <w:vMerge w:val="restart"/>
          </w:tcPr>
          <w:p>
            <w:pPr>
              <w:jc w:val="right"/>
              <w:ind w:right="33"/>
              <w:spacing w:after="0"/>
              <w:rPr>
                <w:sz w:val="20"/>
                <w:szCs w:val="20"/>
                <w:color w:val="auto"/>
              </w:rPr>
            </w:pPr>
            <w:r>
              <w:rPr>
                <w:rFonts w:ascii="Arial" w:cs="Arial" w:eastAsia="Arial" w:hAnsi="Arial"/>
                <w:sz w:val="12"/>
                <w:szCs w:val="12"/>
                <w:b w:val="1"/>
                <w:bCs w:val="1"/>
                <w:color w:val="auto"/>
              </w:rPr>
              <w:t>Impairments</w:t>
            </w:r>
          </w:p>
        </w:tc>
        <w:tc>
          <w:tcPr>
            <w:tcW w:w="8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Remediation</w:t>
            </w:r>
          </w:p>
        </w:tc>
        <w:tc>
          <w:tcPr>
            <w:tcW w:w="880" w:type="dxa"/>
            <w:vAlign w:val="bottom"/>
            <w:vMerge w:val="continue"/>
          </w:tcPr>
          <w:p>
            <w:pPr>
              <w:spacing w:after="0"/>
              <w:rPr>
                <w:sz w:val="9"/>
                <w:szCs w:val="9"/>
                <w:color w:val="auto"/>
              </w:rPr>
            </w:pPr>
          </w:p>
        </w:tc>
        <w:tc>
          <w:tcPr>
            <w:tcW w:w="9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8"/>
              </w:rPr>
              <w:t>and Other</w:t>
            </w:r>
          </w:p>
        </w:tc>
        <w:tc>
          <w:tcPr>
            <w:tcW w:w="10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8"/>
              </w:rPr>
              <w:t>Compensation</w:t>
            </w:r>
          </w:p>
        </w:tc>
        <w:tc>
          <w:tcPr>
            <w:tcW w:w="880" w:type="dxa"/>
            <w:vAlign w:val="bottom"/>
            <w:vMerge w:val="continue"/>
          </w:tcPr>
          <w:p>
            <w:pPr>
              <w:spacing w:after="0"/>
              <w:rPr>
                <w:sz w:val="9"/>
                <w:szCs w:val="9"/>
                <w:color w:val="auto"/>
              </w:rPr>
            </w:pP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Interest</w:t>
            </w: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120" w:type="dxa"/>
            <w:vAlign w:val="bottom"/>
          </w:tcPr>
          <w:p>
            <w:pPr>
              <w:ind w:left="20"/>
              <w:spacing w:after="0" w:line="115" w:lineRule="exact"/>
              <w:rPr>
                <w:sz w:val="20"/>
                <w:szCs w:val="20"/>
                <w:color w:val="auto"/>
              </w:rPr>
            </w:pPr>
            <w:r>
              <w:rPr>
                <w:rFonts w:ascii="Arial" w:cs="Arial" w:eastAsia="Arial" w:hAnsi="Arial"/>
                <w:sz w:val="12"/>
                <w:szCs w:val="12"/>
                <w:b w:val="1"/>
                <w:bCs w:val="1"/>
                <w:color w:val="auto"/>
              </w:rPr>
              <w:t>December 31,</w:t>
            </w:r>
          </w:p>
        </w:tc>
        <w:tc>
          <w:tcPr>
            <w:tcW w:w="5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Financial</w:t>
            </w:r>
          </w:p>
        </w:tc>
        <w:tc>
          <w:tcPr>
            <w:tcW w:w="8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Expenses</w:t>
            </w:r>
          </w:p>
        </w:tc>
        <w:tc>
          <w:tcPr>
            <w:tcW w:w="94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w w:val="99"/>
              </w:rPr>
              <w:t>Expenses</w:t>
            </w:r>
          </w:p>
        </w:tc>
        <w:tc>
          <w:tcPr>
            <w:tcW w:w="88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w w:val="96"/>
              </w:rPr>
              <w:t>Expenses</w:t>
            </w:r>
          </w:p>
        </w:tc>
        <w:tc>
          <w:tcPr>
            <w:tcW w:w="860" w:type="dxa"/>
            <w:vAlign w:val="bottom"/>
            <w:vMerge w:val="continue"/>
          </w:tcPr>
          <w:p>
            <w:pPr>
              <w:spacing w:after="0"/>
              <w:rPr>
                <w:sz w:val="9"/>
                <w:szCs w:val="9"/>
                <w:color w:val="auto"/>
              </w:rPr>
            </w:pPr>
          </w:p>
        </w:tc>
        <w:tc>
          <w:tcPr>
            <w:tcW w:w="880" w:type="dxa"/>
            <w:vAlign w:val="bottom"/>
          </w:tcPr>
          <w:p>
            <w:pPr>
              <w:jc w:val="center"/>
              <w:ind w:right="14"/>
              <w:spacing w:after="0" w:line="115" w:lineRule="exact"/>
              <w:rPr>
                <w:sz w:val="20"/>
                <w:szCs w:val="20"/>
                <w:color w:val="auto"/>
              </w:rPr>
            </w:pPr>
            <w:r>
              <w:rPr>
                <w:rFonts w:ascii="Arial" w:cs="Arial" w:eastAsia="Arial" w:hAnsi="Arial"/>
                <w:sz w:val="12"/>
                <w:szCs w:val="12"/>
                <w:b w:val="1"/>
                <w:bCs w:val="1"/>
                <w:color w:val="auto"/>
                <w:w w:val="99"/>
              </w:rPr>
              <w:t>Expenses</w:t>
            </w:r>
          </w:p>
        </w:tc>
        <w:tc>
          <w:tcPr>
            <w:tcW w:w="8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Transactions</w:t>
            </w:r>
          </w:p>
        </w:tc>
        <w:tc>
          <w:tcPr>
            <w:tcW w:w="9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Reserves</w:t>
            </w:r>
          </w:p>
        </w:tc>
        <w:tc>
          <w:tcPr>
            <w:tcW w:w="100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rPr>
              <w:t>Costs</w:t>
            </w:r>
          </w:p>
        </w:tc>
        <w:tc>
          <w:tcPr>
            <w:tcW w:w="880" w:type="dxa"/>
            <w:vAlign w:val="bottom"/>
          </w:tcPr>
          <w:p>
            <w:pPr>
              <w:jc w:val="center"/>
              <w:ind w:right="14"/>
              <w:spacing w:after="0" w:line="115" w:lineRule="exact"/>
              <w:rPr>
                <w:sz w:val="20"/>
                <w:szCs w:val="20"/>
                <w:color w:val="auto"/>
              </w:rPr>
            </w:pPr>
            <w:r>
              <w:rPr>
                <w:rFonts w:ascii="Arial" w:cs="Arial" w:eastAsia="Arial" w:hAnsi="Arial"/>
                <w:sz w:val="12"/>
                <w:szCs w:val="12"/>
                <w:b w:val="1"/>
                <w:bCs w:val="1"/>
                <w:color w:val="auto"/>
                <w:w w:val="99"/>
              </w:rPr>
              <w:t>Adjustments</w:t>
            </w: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Adjustments</w:t>
            </w:r>
          </w:p>
        </w:tc>
        <w:tc>
          <w:tcPr>
            <w:tcW w:w="700" w:type="dxa"/>
            <w:vAlign w:val="bottom"/>
          </w:tcPr>
          <w:p>
            <w:pPr>
              <w:ind w:left="100"/>
              <w:spacing w:after="0" w:line="115"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66"/>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(B)</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w:t>
            </w: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(D)</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(F)</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(H)</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(I)</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(J)</w:t>
            </w: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33"/>
        </w:trPr>
        <w:tc>
          <w:tcPr>
            <w:tcW w:w="1120" w:type="dxa"/>
            <w:vAlign w:val="bottom"/>
          </w:tcPr>
          <w:p>
            <w:pPr>
              <w:ind w:left="20"/>
              <w:spacing w:after="0" w:line="133" w:lineRule="exact"/>
              <w:rPr>
                <w:sz w:val="20"/>
                <w:szCs w:val="20"/>
                <w:color w:val="auto"/>
              </w:rPr>
            </w:pPr>
            <w:r>
              <w:rPr>
                <w:rFonts w:ascii="Arial" w:cs="Arial" w:eastAsia="Arial" w:hAnsi="Arial"/>
                <w:sz w:val="14"/>
                <w:szCs w:val="14"/>
                <w:color w:val="auto"/>
              </w:rPr>
              <w:t>Cost of sales -</w:t>
            </w: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exclusive of</w:t>
            </w:r>
          </w:p>
        </w:tc>
        <w:tc>
          <w:tcPr>
            <w:tcW w:w="580" w:type="dxa"/>
            <w:vAlign w:val="bottom"/>
            <w:vMerge w:val="restart"/>
          </w:tcPr>
          <w:p>
            <w:pPr>
              <w:jc w:val="right"/>
              <w:ind w:right="94"/>
              <w:spacing w:after="0"/>
              <w:rPr>
                <w:sz w:val="20"/>
                <w:szCs w:val="20"/>
                <w:color w:val="auto"/>
              </w:rPr>
            </w:pPr>
            <w:r>
              <w:rPr>
                <w:rFonts w:ascii="Arial" w:cs="Arial" w:eastAsia="Arial" w:hAnsi="Arial"/>
                <w:sz w:val="14"/>
                <w:szCs w:val="14"/>
                <w:color w:val="auto"/>
              </w:rPr>
              <w:t>$95.9</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color w:val="auto"/>
              </w:rPr>
              <w:t>($0.4)</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95"/>
              <w:spacing w:after="0"/>
              <w:rPr>
                <w:sz w:val="20"/>
                <w:szCs w:val="20"/>
                <w:color w:val="auto"/>
              </w:rPr>
            </w:pPr>
            <w:r>
              <w:rPr>
                <w:rFonts w:ascii="Arial" w:cs="Arial" w:eastAsia="Arial" w:hAnsi="Arial"/>
                <w:sz w:val="14"/>
                <w:szCs w:val="14"/>
                <w:color w:val="auto"/>
              </w:rPr>
              <w:t>($6.7)</w:t>
            </w:r>
          </w:p>
        </w:tc>
        <w:tc>
          <w:tcPr>
            <w:tcW w:w="1000" w:type="dxa"/>
            <w:vAlign w:val="bottom"/>
            <w:vMerge w:val="restart"/>
          </w:tcPr>
          <w:p>
            <w:pPr>
              <w:jc w:val="right"/>
              <w:ind w:right="114"/>
              <w:spacing w:after="0"/>
              <w:rPr>
                <w:sz w:val="20"/>
                <w:szCs w:val="20"/>
                <w:color w:val="auto"/>
              </w:rPr>
            </w:pPr>
            <w:r>
              <w:rPr>
                <w:rFonts w:ascii="Arial" w:cs="Arial" w:eastAsia="Arial" w:hAnsi="Arial"/>
                <w:sz w:val="14"/>
                <w:szCs w:val="14"/>
                <w:color w:val="auto"/>
              </w:rPr>
              <w:t>($0.5)</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94"/>
              <w:spacing w:after="0"/>
              <w:rPr>
                <w:sz w:val="20"/>
                <w:szCs w:val="20"/>
                <w:color w:val="auto"/>
              </w:rPr>
            </w:pPr>
            <w:r>
              <w:rPr>
                <w:rFonts w:ascii="Arial" w:cs="Arial" w:eastAsia="Arial" w:hAnsi="Arial"/>
                <w:sz w:val="14"/>
                <w:szCs w:val="14"/>
                <w:color w:val="auto"/>
              </w:rPr>
              <w:t>$88.3</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Product</w:t>
            </w:r>
          </w:p>
        </w:tc>
        <w:tc>
          <w:tcPr>
            <w:tcW w:w="580" w:type="dxa"/>
            <w:vAlign w:val="bottom"/>
            <w:vMerge w:val="restart"/>
          </w:tcPr>
          <w:p>
            <w:pPr>
              <w:jc w:val="right"/>
              <w:ind w:right="94"/>
              <w:spacing w:after="0"/>
              <w:rPr>
                <w:sz w:val="20"/>
                <w:szCs w:val="20"/>
                <w:color w:val="auto"/>
              </w:rPr>
            </w:pPr>
            <w:r>
              <w:rPr>
                <w:rFonts w:ascii="Arial" w:cs="Arial" w:eastAsia="Arial" w:hAnsi="Arial"/>
                <w:sz w:val="14"/>
                <w:szCs w:val="14"/>
                <w:color w:val="auto"/>
              </w:rPr>
              <w:t>1.0</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color w:val="auto"/>
              </w:rPr>
              <w:t>(1.0)</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5"/>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remediation</w:t>
            </w: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Gross profit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64.1 %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0.4 %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67.2 %</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percent</w:t>
            </w: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Selling, general</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and</w:t>
            </w:r>
          </w:p>
        </w:tc>
        <w:tc>
          <w:tcPr>
            <w:tcW w:w="580" w:type="dxa"/>
            <w:vAlign w:val="bottom"/>
            <w:vMerge w:val="restart"/>
          </w:tcPr>
          <w:p>
            <w:pPr>
              <w:jc w:val="right"/>
              <w:ind w:right="94"/>
              <w:spacing w:after="0"/>
              <w:rPr>
                <w:sz w:val="20"/>
                <w:szCs w:val="20"/>
                <w:color w:val="auto"/>
              </w:rPr>
            </w:pPr>
            <w:r>
              <w:rPr>
                <w:rFonts w:ascii="Arial" w:cs="Arial" w:eastAsia="Arial" w:hAnsi="Arial"/>
                <w:sz w:val="14"/>
                <w:szCs w:val="14"/>
                <w:color w:val="auto"/>
              </w:rPr>
              <w:t>110.3</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color w:val="auto"/>
              </w:rPr>
              <w:t>(0.2)</w:t>
            </w:r>
          </w:p>
        </w:tc>
        <w:tc>
          <w:tcPr>
            <w:tcW w:w="960" w:type="dxa"/>
            <w:vAlign w:val="bottom"/>
            <w:vMerge w:val="restart"/>
          </w:tcPr>
          <w:p>
            <w:pPr>
              <w:jc w:val="right"/>
              <w:ind w:right="95"/>
              <w:spacing w:after="0"/>
              <w:rPr>
                <w:sz w:val="20"/>
                <w:szCs w:val="20"/>
                <w:color w:val="auto"/>
              </w:rPr>
            </w:pPr>
            <w:r>
              <w:rPr>
                <w:rFonts w:ascii="Arial" w:cs="Arial" w:eastAsia="Arial" w:hAnsi="Arial"/>
                <w:sz w:val="14"/>
                <w:szCs w:val="14"/>
                <w:color w:val="auto"/>
              </w:rPr>
              <w:t>(10.0)</w:t>
            </w:r>
          </w:p>
        </w:tc>
        <w:tc>
          <w:tcPr>
            <w:tcW w:w="1000" w:type="dxa"/>
            <w:vAlign w:val="bottom"/>
            <w:vMerge w:val="restart"/>
          </w:tcPr>
          <w:p>
            <w:pPr>
              <w:jc w:val="right"/>
              <w:ind w:right="114"/>
              <w:spacing w:after="0"/>
              <w:rPr>
                <w:sz w:val="20"/>
                <w:szCs w:val="20"/>
                <w:color w:val="auto"/>
              </w:rPr>
            </w:pPr>
            <w:r>
              <w:rPr>
                <w:rFonts w:ascii="Arial" w:cs="Arial" w:eastAsia="Arial" w:hAnsi="Arial"/>
                <w:sz w:val="14"/>
                <w:szCs w:val="14"/>
                <w:color w:val="auto"/>
              </w:rPr>
              <w:t>(6.5)</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94"/>
              <w:spacing w:after="0"/>
              <w:rPr>
                <w:sz w:val="20"/>
                <w:szCs w:val="20"/>
                <w:color w:val="auto"/>
              </w:rPr>
            </w:pPr>
            <w:r>
              <w:rPr>
                <w:rFonts w:ascii="Arial" w:cs="Arial" w:eastAsia="Arial" w:hAnsi="Arial"/>
                <w:sz w:val="14"/>
                <w:szCs w:val="14"/>
                <w:color w:val="auto"/>
              </w:rPr>
              <w:t>93.7</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Selling, general</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and</w:t>
            </w: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administrative as</w:t>
            </w: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a percent of net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40.9 %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34.7 %</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sales</w:t>
            </w: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Research and</w:t>
            </w:r>
          </w:p>
        </w:tc>
        <w:tc>
          <w:tcPr>
            <w:tcW w:w="580" w:type="dxa"/>
            <w:vAlign w:val="bottom"/>
            <w:vMerge w:val="restart"/>
          </w:tcPr>
          <w:p>
            <w:pPr>
              <w:jc w:val="right"/>
              <w:ind w:right="94"/>
              <w:spacing w:after="0"/>
              <w:rPr>
                <w:sz w:val="20"/>
                <w:szCs w:val="20"/>
                <w:color w:val="auto"/>
              </w:rPr>
            </w:pPr>
            <w:r>
              <w:rPr>
                <w:rFonts w:ascii="Arial" w:cs="Arial" w:eastAsia="Arial" w:hAnsi="Arial"/>
                <w:sz w:val="14"/>
                <w:szCs w:val="14"/>
                <w:color w:val="auto"/>
              </w:rPr>
              <w:t>44.5</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95"/>
              <w:spacing w:after="0"/>
              <w:rPr>
                <w:sz w:val="20"/>
                <w:szCs w:val="20"/>
                <w:color w:val="auto"/>
              </w:rPr>
            </w:pPr>
            <w:r>
              <w:rPr>
                <w:rFonts w:ascii="Arial" w:cs="Arial" w:eastAsia="Arial" w:hAnsi="Arial"/>
                <w:sz w:val="14"/>
                <w:szCs w:val="14"/>
                <w:color w:val="auto"/>
              </w:rPr>
              <w:t>(4.3)</w:t>
            </w:r>
          </w:p>
        </w:tc>
        <w:tc>
          <w:tcPr>
            <w:tcW w:w="1000" w:type="dxa"/>
            <w:vAlign w:val="bottom"/>
            <w:vMerge w:val="restart"/>
          </w:tcPr>
          <w:p>
            <w:pPr>
              <w:jc w:val="right"/>
              <w:ind w:right="114"/>
              <w:spacing w:after="0"/>
              <w:rPr>
                <w:sz w:val="20"/>
                <w:szCs w:val="20"/>
                <w:color w:val="auto"/>
              </w:rPr>
            </w:pPr>
            <w:r>
              <w:rPr>
                <w:rFonts w:ascii="Arial" w:cs="Arial" w:eastAsia="Arial" w:hAnsi="Arial"/>
                <w:sz w:val="14"/>
                <w:szCs w:val="14"/>
                <w:color w:val="auto"/>
              </w:rPr>
              <w:t>(1.2)</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94"/>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Research and</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w w:val="97"/>
              </w:rPr>
              <w:t>development as a</w:t>
            </w: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percent of net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16.5 %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14.5 %</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sales</w:t>
            </w: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w w:val="97"/>
              </w:rPr>
              <w:t>Decommissioning</w:t>
            </w:r>
          </w:p>
        </w:tc>
        <w:tc>
          <w:tcPr>
            <w:tcW w:w="580" w:type="dxa"/>
            <w:vAlign w:val="bottom"/>
            <w:vMerge w:val="restart"/>
          </w:tcPr>
          <w:p>
            <w:pPr>
              <w:jc w:val="right"/>
              <w:ind w:right="94"/>
              <w:spacing w:after="0"/>
              <w:rPr>
                <w:sz w:val="20"/>
                <w:szCs w:val="20"/>
                <w:color w:val="auto"/>
              </w:rPr>
            </w:pPr>
            <w:r>
              <w:rPr>
                <w:rFonts w:ascii="Arial" w:cs="Arial" w:eastAsia="Arial" w:hAnsi="Arial"/>
                <w:sz w:val="14"/>
                <w:szCs w:val="14"/>
                <w:color w:val="auto"/>
              </w:rPr>
              <w:t>42.2</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95"/>
              <w:spacing w:after="0"/>
              <w:rPr>
                <w:sz w:val="20"/>
                <w:szCs w:val="20"/>
                <w:color w:val="auto"/>
              </w:rPr>
            </w:pPr>
            <w:r>
              <w:rPr>
                <w:rFonts w:ascii="Arial" w:cs="Arial" w:eastAsia="Arial" w:hAnsi="Arial"/>
                <w:sz w:val="14"/>
                <w:szCs w:val="14"/>
                <w:color w:val="auto"/>
              </w:rPr>
              <w:t>(42.2)</w:t>
            </w:r>
          </w:p>
        </w:tc>
        <w:tc>
          <w:tcPr>
            <w:tcW w:w="10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provision</w:t>
            </w: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Litigation</w:t>
            </w:r>
          </w:p>
        </w:tc>
        <w:tc>
          <w:tcPr>
            <w:tcW w:w="580" w:type="dxa"/>
            <w:vAlign w:val="bottom"/>
            <w:vMerge w:val="restart"/>
          </w:tcPr>
          <w:p>
            <w:pPr>
              <w:jc w:val="right"/>
              <w:ind w:right="74"/>
              <w:spacing w:after="0"/>
              <w:rPr>
                <w:sz w:val="20"/>
                <w:szCs w:val="20"/>
                <w:color w:val="auto"/>
              </w:rPr>
            </w:pPr>
            <w:r>
              <w:rPr>
                <w:rFonts w:ascii="Arial" w:cs="Arial" w:eastAsia="Arial" w:hAnsi="Arial"/>
                <w:sz w:val="14"/>
                <w:szCs w:val="14"/>
                <w:color w:val="auto"/>
              </w:rPr>
              <w:t>(0.1)</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5"/>
              <w:spacing w:after="0"/>
              <w:rPr>
                <w:sz w:val="20"/>
                <w:szCs w:val="20"/>
                <w:color w:val="auto"/>
              </w:rPr>
            </w:pPr>
            <w:r>
              <w:rPr>
                <w:rFonts w:ascii="Arial" w:cs="Arial" w:eastAsia="Arial" w:hAnsi="Arial"/>
                <w:sz w:val="14"/>
                <w:szCs w:val="14"/>
                <w:color w:val="auto"/>
              </w:rPr>
              <w:t>0.1</w:t>
            </w:r>
          </w:p>
        </w:tc>
        <w:tc>
          <w:tcPr>
            <w:tcW w:w="10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provision, net</w:t>
            </w: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Other operating</w:t>
            </w:r>
          </w:p>
        </w:tc>
        <w:tc>
          <w:tcPr>
            <w:tcW w:w="580" w:type="dxa"/>
            <w:vAlign w:val="bottom"/>
            <w:vMerge w:val="restart"/>
          </w:tcPr>
          <w:p>
            <w:pPr>
              <w:jc w:val="right"/>
              <w:ind w:right="94"/>
              <w:spacing w:after="0"/>
              <w:rPr>
                <w:sz w:val="20"/>
                <w:szCs w:val="20"/>
                <w:color w:val="auto"/>
              </w:rPr>
            </w:pPr>
            <w:r>
              <w:rPr>
                <w:rFonts w:ascii="Arial" w:cs="Arial" w:eastAsia="Arial" w:hAnsi="Arial"/>
                <w:sz w:val="14"/>
                <w:szCs w:val="14"/>
                <w:color w:val="auto"/>
              </w:rPr>
              <w:t>223.4</w:t>
            </w: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color w:val="auto"/>
              </w:rPr>
              <w:t>(0.7)</w:t>
            </w:r>
          </w:p>
        </w:tc>
        <w:tc>
          <w:tcPr>
            <w:tcW w:w="940" w:type="dxa"/>
            <w:vAlign w:val="bottom"/>
            <w:vMerge w:val="restart"/>
          </w:tcPr>
          <w:p>
            <w:pPr>
              <w:jc w:val="right"/>
              <w:ind w:right="114"/>
              <w:spacing w:after="0"/>
              <w:rPr>
                <w:sz w:val="20"/>
                <w:szCs w:val="20"/>
                <w:color w:val="auto"/>
              </w:rPr>
            </w:pPr>
            <w:r>
              <w:rPr>
                <w:rFonts w:ascii="Arial" w:cs="Arial" w:eastAsia="Arial" w:hAnsi="Arial"/>
                <w:sz w:val="14"/>
                <w:szCs w:val="14"/>
                <w:color w:val="auto"/>
              </w:rPr>
              <w:t>(5.5)</w:t>
            </w: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color w:val="auto"/>
              </w:rPr>
              <w:t>(9.0)</w:t>
            </w:r>
          </w:p>
        </w:tc>
        <w:tc>
          <w:tcPr>
            <w:tcW w:w="860" w:type="dxa"/>
            <w:vAlign w:val="bottom"/>
            <w:vMerge w:val="restart"/>
          </w:tcPr>
          <w:p>
            <w:pPr>
              <w:jc w:val="right"/>
              <w:ind w:right="93"/>
              <w:spacing w:after="0"/>
              <w:rPr>
                <w:sz w:val="20"/>
                <w:szCs w:val="20"/>
                <w:color w:val="auto"/>
              </w:rPr>
            </w:pPr>
            <w:r>
              <w:rPr>
                <w:rFonts w:ascii="Arial" w:cs="Arial" w:eastAsia="Arial" w:hAnsi="Arial"/>
                <w:sz w:val="14"/>
                <w:szCs w:val="14"/>
                <w:color w:val="auto"/>
              </w:rPr>
              <w:t>(208.2)</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35"/>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expenses</w:t>
            </w: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Operating (loss)</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income from</w:t>
            </w:r>
          </w:p>
        </w:tc>
        <w:tc>
          <w:tcPr>
            <w:tcW w:w="5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continuing</w:t>
            </w:r>
          </w:p>
        </w:tc>
        <w:tc>
          <w:tcPr>
            <w:tcW w:w="580" w:type="dxa"/>
            <w:vAlign w:val="bottom"/>
            <w:vMerge w:val="restart"/>
          </w:tcPr>
          <w:p>
            <w:pPr>
              <w:jc w:val="right"/>
              <w:ind w:right="74"/>
              <w:spacing w:after="0"/>
              <w:rPr>
                <w:sz w:val="20"/>
                <w:szCs w:val="20"/>
                <w:color w:val="auto"/>
              </w:rPr>
            </w:pPr>
            <w:r>
              <w:rPr>
                <w:rFonts w:ascii="Arial" w:cs="Arial" w:eastAsia="Arial" w:hAnsi="Arial"/>
                <w:sz w:val="14"/>
                <w:szCs w:val="14"/>
                <w:color w:val="auto"/>
                <w:w w:val="94"/>
              </w:rPr>
              <w:t>(247.7)</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0.7</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5.5</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9.4</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208.2</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1.0</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0.2</w:t>
            </w:r>
          </w:p>
        </w:tc>
        <w:tc>
          <w:tcPr>
            <w:tcW w:w="960" w:type="dxa"/>
            <w:vAlign w:val="bottom"/>
            <w:vMerge w:val="restart"/>
          </w:tcPr>
          <w:p>
            <w:pPr>
              <w:jc w:val="right"/>
              <w:ind w:right="135"/>
              <w:spacing w:after="0"/>
              <w:rPr>
                <w:sz w:val="20"/>
                <w:szCs w:val="20"/>
                <w:color w:val="auto"/>
              </w:rPr>
            </w:pPr>
            <w:r>
              <w:rPr>
                <w:rFonts w:ascii="Arial" w:cs="Arial" w:eastAsia="Arial" w:hAnsi="Arial"/>
                <w:sz w:val="14"/>
                <w:szCs w:val="14"/>
                <w:color w:val="auto"/>
              </w:rPr>
              <w:t>63.1</w:t>
            </w:r>
          </w:p>
        </w:tc>
        <w:tc>
          <w:tcPr>
            <w:tcW w:w="1000" w:type="dxa"/>
            <w:vAlign w:val="bottom"/>
            <w:vMerge w:val="restart"/>
          </w:tcPr>
          <w:p>
            <w:pPr>
              <w:jc w:val="right"/>
              <w:ind w:right="154"/>
              <w:spacing w:after="0"/>
              <w:rPr>
                <w:sz w:val="20"/>
                <w:szCs w:val="20"/>
                <w:color w:val="auto"/>
              </w:rPr>
            </w:pPr>
            <w:r>
              <w:rPr>
                <w:rFonts w:ascii="Arial" w:cs="Arial" w:eastAsia="Arial" w:hAnsi="Arial"/>
                <w:sz w:val="14"/>
                <w:szCs w:val="14"/>
                <w:color w:val="auto"/>
              </w:rPr>
              <w:t>8.2</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94"/>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w w:val="99"/>
              </w:rPr>
              <w:t>Operating margin</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(91.9)%</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3.5 %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77.2 %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0.4 %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23.4 %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3.1 %</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18.0 %</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percent</w:t>
            </w: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Income tax</w:t>
            </w:r>
          </w:p>
        </w:tc>
        <w:tc>
          <w:tcPr>
            <w:tcW w:w="580" w:type="dxa"/>
            <w:vAlign w:val="bottom"/>
            <w:vMerge w:val="restart"/>
          </w:tcPr>
          <w:p>
            <w:pPr>
              <w:jc w:val="right"/>
              <w:ind w:right="74"/>
              <w:spacing w:after="0"/>
              <w:rPr>
                <w:sz w:val="20"/>
                <w:szCs w:val="20"/>
                <w:color w:val="auto"/>
              </w:rPr>
            </w:pPr>
            <w:r>
              <w:rPr>
                <w:rFonts w:ascii="Arial" w:cs="Arial" w:eastAsia="Arial" w:hAnsi="Arial"/>
                <w:sz w:val="14"/>
                <w:szCs w:val="14"/>
                <w:color w:val="auto"/>
              </w:rPr>
              <w:t>(18.3)</w:t>
            </w: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color w:val="auto"/>
              </w:rPr>
              <w:t>(0.3)</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0.4</w:t>
            </w:r>
          </w:p>
        </w:tc>
        <w:tc>
          <w:tcPr>
            <w:tcW w:w="880" w:type="dxa"/>
            <w:vAlign w:val="bottom"/>
            <w:vMerge w:val="restart"/>
          </w:tcPr>
          <w:p>
            <w:pPr>
              <w:jc w:val="right"/>
              <w:ind w:right="94"/>
              <w:spacing w:after="0"/>
              <w:rPr>
                <w:sz w:val="20"/>
                <w:szCs w:val="20"/>
                <w:color w:val="auto"/>
              </w:rPr>
            </w:pPr>
            <w:r>
              <w:rPr>
                <w:rFonts w:ascii="Arial" w:cs="Arial" w:eastAsia="Arial" w:hAnsi="Arial"/>
                <w:sz w:val="14"/>
                <w:szCs w:val="14"/>
                <w:color w:val="auto"/>
              </w:rPr>
              <w:t>(1.3)</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23.1</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0.3</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95"/>
              <w:spacing w:after="0"/>
              <w:rPr>
                <w:sz w:val="20"/>
                <w:szCs w:val="20"/>
                <w:color w:val="auto"/>
              </w:rPr>
            </w:pPr>
            <w:r>
              <w:rPr>
                <w:rFonts w:ascii="Arial" w:cs="Arial" w:eastAsia="Arial" w:hAnsi="Arial"/>
                <w:sz w:val="14"/>
                <w:szCs w:val="14"/>
                <w:color w:val="auto"/>
              </w:rPr>
              <w:t>(0.1)</w:t>
            </w:r>
          </w:p>
        </w:tc>
        <w:tc>
          <w:tcPr>
            <w:tcW w:w="1000" w:type="dxa"/>
            <w:vAlign w:val="bottom"/>
            <w:vMerge w:val="restart"/>
          </w:tcPr>
          <w:p>
            <w:pPr>
              <w:jc w:val="right"/>
              <w:ind w:right="114"/>
              <w:spacing w:after="0"/>
              <w:rPr>
                <w:sz w:val="20"/>
                <w:szCs w:val="20"/>
                <w:color w:val="auto"/>
              </w:rPr>
            </w:pPr>
            <w:r>
              <w:rPr>
                <w:rFonts w:ascii="Arial" w:cs="Arial" w:eastAsia="Arial" w:hAnsi="Arial"/>
                <w:sz w:val="14"/>
                <w:szCs w:val="14"/>
                <w:color w:val="auto"/>
              </w:rPr>
              <w:t>(0.4)</w:t>
            </w:r>
          </w:p>
        </w:tc>
        <w:tc>
          <w:tcPr>
            <w:tcW w:w="880" w:type="dxa"/>
            <w:vAlign w:val="bottom"/>
            <w:vMerge w:val="restart"/>
          </w:tcPr>
          <w:p>
            <w:pPr>
              <w:ind w:left="440"/>
              <w:spacing w:after="0"/>
              <w:rPr>
                <w:sz w:val="20"/>
                <w:szCs w:val="20"/>
                <w:color w:val="auto"/>
              </w:rPr>
            </w:pPr>
            <w:r>
              <w:rPr>
                <w:rFonts w:ascii="Arial" w:cs="Arial" w:eastAsia="Arial" w:hAnsi="Arial"/>
                <w:sz w:val="14"/>
                <w:szCs w:val="14"/>
                <w:color w:val="auto"/>
              </w:rPr>
              <w:t>(3.7)</w:t>
            </w: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color w:val="auto"/>
              </w:rPr>
              <w:t>0.3</w:t>
            </w:r>
          </w:p>
        </w:tc>
        <w:tc>
          <w:tcPr>
            <w:tcW w:w="70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w w:val="99"/>
              </w:rPr>
              <w:t>(benefit) expense</w:t>
            </w: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w w:val="99"/>
              </w:rPr>
              <w:t>Net (loss) income</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from continuing</w:t>
            </w:r>
          </w:p>
        </w:tc>
        <w:tc>
          <w:tcPr>
            <w:tcW w:w="580" w:type="dxa"/>
            <w:vAlign w:val="bottom"/>
            <w:vMerge w:val="restart"/>
          </w:tcPr>
          <w:p>
            <w:pPr>
              <w:jc w:val="right"/>
              <w:ind w:right="74"/>
              <w:spacing w:after="0"/>
              <w:rPr>
                <w:sz w:val="20"/>
                <w:szCs w:val="20"/>
                <w:color w:val="auto"/>
              </w:rPr>
            </w:pPr>
            <w:r>
              <w:rPr>
                <w:rFonts w:ascii="Arial" w:cs="Arial" w:eastAsia="Arial" w:hAnsi="Arial"/>
                <w:sz w:val="14"/>
                <w:szCs w:val="14"/>
                <w:color w:val="auto"/>
                <w:w w:val="94"/>
              </w:rPr>
              <w:t>(279.3)</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1.0</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5.2</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10.7</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185.1</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0.7</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32.2</w:t>
            </w:r>
          </w:p>
        </w:tc>
        <w:tc>
          <w:tcPr>
            <w:tcW w:w="960" w:type="dxa"/>
            <w:vAlign w:val="bottom"/>
            <w:vMerge w:val="restart"/>
          </w:tcPr>
          <w:p>
            <w:pPr>
              <w:jc w:val="right"/>
              <w:ind w:right="135"/>
              <w:spacing w:after="0"/>
              <w:rPr>
                <w:sz w:val="20"/>
                <w:szCs w:val="20"/>
                <w:color w:val="auto"/>
              </w:rPr>
            </w:pPr>
            <w:r>
              <w:rPr>
                <w:rFonts w:ascii="Arial" w:cs="Arial" w:eastAsia="Arial" w:hAnsi="Arial"/>
                <w:sz w:val="14"/>
                <w:szCs w:val="14"/>
                <w:color w:val="auto"/>
              </w:rPr>
              <w:t>62.6</w:t>
            </w:r>
          </w:p>
        </w:tc>
        <w:tc>
          <w:tcPr>
            <w:tcW w:w="1000" w:type="dxa"/>
            <w:vAlign w:val="bottom"/>
            <w:vMerge w:val="restart"/>
          </w:tcPr>
          <w:p>
            <w:pPr>
              <w:jc w:val="right"/>
              <w:ind w:right="154"/>
              <w:spacing w:after="0"/>
              <w:rPr>
                <w:sz w:val="20"/>
                <w:szCs w:val="20"/>
                <w:color w:val="auto"/>
              </w:rPr>
            </w:pPr>
            <w:r>
              <w:rPr>
                <w:rFonts w:ascii="Arial" w:cs="Arial" w:eastAsia="Arial" w:hAnsi="Arial"/>
                <w:sz w:val="14"/>
                <w:szCs w:val="14"/>
                <w:color w:val="auto"/>
              </w:rPr>
              <w:t>8.7</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3.7</w:t>
            </w: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color w:val="auto"/>
              </w:rPr>
              <w:t>4.5</w:t>
            </w:r>
          </w:p>
        </w:tc>
        <w:tc>
          <w:tcPr>
            <w:tcW w:w="700" w:type="dxa"/>
            <w:vAlign w:val="bottom"/>
            <w:vMerge w:val="restart"/>
          </w:tcPr>
          <w:p>
            <w:pPr>
              <w:jc w:val="right"/>
              <w:ind w:right="94"/>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5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Diluted EPS -</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Continuing</w:t>
            </w:r>
          </w:p>
        </w:tc>
        <w:tc>
          <w:tcPr>
            <w:tcW w:w="580" w:type="dxa"/>
            <w:vAlign w:val="bottom"/>
            <w:vMerge w:val="restart"/>
          </w:tcPr>
          <w:p>
            <w:pPr>
              <w:jc w:val="right"/>
              <w:ind w:right="74"/>
              <w:spacing w:after="0"/>
              <w:rPr>
                <w:sz w:val="20"/>
                <w:szCs w:val="20"/>
                <w:color w:val="auto"/>
              </w:rPr>
            </w:pPr>
            <w:r>
              <w:rPr>
                <w:rFonts w:ascii="Arial" w:cs="Arial" w:eastAsia="Arial" w:hAnsi="Arial"/>
                <w:sz w:val="14"/>
                <w:szCs w:val="14"/>
                <w:color w:val="auto"/>
                <w:w w:val="94"/>
              </w:rPr>
              <w:t>($5.74)</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$0.02</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$0.11</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$0.22</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$3.78</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$0.01</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$0.66</w:t>
            </w:r>
          </w:p>
        </w:tc>
        <w:tc>
          <w:tcPr>
            <w:tcW w:w="960" w:type="dxa"/>
            <w:vAlign w:val="bottom"/>
            <w:vMerge w:val="restart"/>
          </w:tcPr>
          <w:p>
            <w:pPr>
              <w:jc w:val="right"/>
              <w:ind w:right="135"/>
              <w:spacing w:after="0"/>
              <w:rPr>
                <w:sz w:val="20"/>
                <w:szCs w:val="20"/>
                <w:color w:val="auto"/>
              </w:rPr>
            </w:pPr>
            <w:r>
              <w:rPr>
                <w:rFonts w:ascii="Arial" w:cs="Arial" w:eastAsia="Arial" w:hAnsi="Arial"/>
                <w:sz w:val="14"/>
                <w:szCs w:val="14"/>
                <w:color w:val="auto"/>
              </w:rPr>
              <w:t>$1.28</w:t>
            </w:r>
          </w:p>
        </w:tc>
        <w:tc>
          <w:tcPr>
            <w:tcW w:w="1000" w:type="dxa"/>
            <w:vAlign w:val="bottom"/>
            <w:vMerge w:val="restart"/>
          </w:tcPr>
          <w:p>
            <w:pPr>
              <w:jc w:val="right"/>
              <w:ind w:right="154"/>
              <w:spacing w:after="0"/>
              <w:rPr>
                <w:sz w:val="20"/>
                <w:szCs w:val="20"/>
                <w:color w:val="auto"/>
              </w:rPr>
            </w:pPr>
            <w:r>
              <w:rPr>
                <w:rFonts w:ascii="Arial" w:cs="Arial" w:eastAsia="Arial" w:hAnsi="Arial"/>
                <w:sz w:val="14"/>
                <w:szCs w:val="14"/>
                <w:color w:val="auto"/>
              </w:rPr>
              <w:t>$0.18</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$0.08</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color w:val="auto"/>
              </w:rPr>
              <w:t>$0.09</w:t>
            </w:r>
          </w:p>
        </w:tc>
        <w:tc>
          <w:tcPr>
            <w:tcW w:w="700" w:type="dxa"/>
            <w:vAlign w:val="bottom"/>
            <w:vMerge w:val="restart"/>
          </w:tcPr>
          <w:p>
            <w:pPr>
              <w:jc w:val="right"/>
              <w:ind w:right="94"/>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181"/>
        </w:trPr>
        <w:tc>
          <w:tcPr>
            <w:tcW w:w="11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58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December 31, 2020 include:</w:t>
      </w:r>
    </w:p>
    <w:p>
      <w:pPr>
        <w:spacing w:after="0" w:line="30" w:lineRule="exact"/>
        <w:rPr>
          <w:sz w:val="20"/>
          <w:szCs w:val="20"/>
          <w:color w:val="auto"/>
        </w:rPr>
      </w:pPr>
    </w:p>
    <w:p>
      <w:pPr>
        <w:ind w:left="340" w:hanging="321"/>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9" w:lineRule="exact"/>
        <w:rPr>
          <w:rFonts w:ascii="Arial" w:cs="Arial" w:eastAsia="Arial" w:hAnsi="Arial"/>
          <w:sz w:val="14"/>
          <w:szCs w:val="14"/>
          <w:color w:val="auto"/>
        </w:rPr>
      </w:pPr>
    </w:p>
    <w:p>
      <w:pPr>
        <w:ind w:left="340" w:hanging="321"/>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17" w:lineRule="exact"/>
        <w:rPr>
          <w:rFonts w:ascii="Arial" w:cs="Arial" w:eastAsia="Arial" w:hAnsi="Arial"/>
          <w:sz w:val="14"/>
          <w:szCs w:val="14"/>
          <w:color w:val="auto"/>
        </w:rPr>
      </w:pPr>
    </w:p>
    <w:p>
      <w:pPr>
        <w:ind w:left="340" w:hanging="321"/>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17" w:lineRule="exact"/>
        <w:rPr>
          <w:rFonts w:ascii="Arial" w:cs="Arial" w:eastAsia="Arial" w:hAnsi="Arial"/>
          <w:sz w:val="14"/>
          <w:szCs w:val="14"/>
          <w:color w:val="auto"/>
        </w:rPr>
      </w:pPr>
    </w:p>
    <w:p>
      <w:pPr>
        <w:ind w:left="340" w:hanging="321"/>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Impairments primarily associated with the classification of Heart Valves as held for sale</w:t>
      </w:r>
    </w:p>
    <w:p>
      <w:pPr>
        <w:spacing w:after="0" w:line="17" w:lineRule="exact"/>
        <w:rPr>
          <w:rFonts w:ascii="Arial" w:cs="Arial" w:eastAsia="Arial" w:hAnsi="Arial"/>
          <w:sz w:val="14"/>
          <w:szCs w:val="14"/>
          <w:color w:val="auto"/>
        </w:rPr>
      </w:pPr>
    </w:p>
    <w:p>
      <w:pPr>
        <w:ind w:left="340" w:hanging="321"/>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17" w:lineRule="exact"/>
        <w:rPr>
          <w:rFonts w:ascii="Arial" w:cs="Arial" w:eastAsia="Arial" w:hAnsi="Arial"/>
          <w:sz w:val="14"/>
          <w:szCs w:val="14"/>
          <w:color w:val="auto"/>
        </w:rPr>
      </w:pPr>
    </w:p>
    <w:p>
      <w:pPr>
        <w:ind w:left="340" w:hanging="321"/>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p>
      <w:pPr>
        <w:spacing w:after="0" w:line="17" w:lineRule="exact"/>
        <w:rPr>
          <w:rFonts w:ascii="Arial" w:cs="Arial" w:eastAsia="Arial" w:hAnsi="Arial"/>
          <w:sz w:val="14"/>
          <w:szCs w:val="14"/>
          <w:color w:val="auto"/>
        </w:rPr>
      </w:pPr>
    </w:p>
    <w:p>
      <w:pPr>
        <w:ind w:left="340" w:right="520" w:hanging="321"/>
        <w:spacing w:after="0" w:line="227"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and other matters, remeasurement of contingent consideration related to acquisitions and provision for decommissioning at our Saluggia site</w:t>
      </w:r>
    </w:p>
    <w:p>
      <w:pPr>
        <w:spacing w:after="0" w:line="1" w:lineRule="exact"/>
        <w:rPr>
          <w:rFonts w:ascii="Arial" w:cs="Arial" w:eastAsia="Arial" w:hAnsi="Arial"/>
          <w:sz w:val="14"/>
          <w:szCs w:val="14"/>
          <w:color w:val="auto"/>
        </w:rPr>
      </w:pPr>
    </w:p>
    <w:p>
      <w:pPr>
        <w:ind w:left="340" w:hanging="321"/>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17" w:lineRule="exact"/>
        <w:rPr>
          <w:rFonts w:ascii="Arial" w:cs="Arial" w:eastAsia="Arial" w:hAnsi="Arial"/>
          <w:sz w:val="14"/>
          <w:szCs w:val="14"/>
          <w:color w:val="auto"/>
        </w:rPr>
      </w:pPr>
    </w:p>
    <w:p>
      <w:pPr>
        <w:ind w:left="340" w:hanging="321"/>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17" w:lineRule="exact"/>
        <w:rPr>
          <w:rFonts w:ascii="Arial" w:cs="Arial" w:eastAsia="Arial" w:hAnsi="Arial"/>
          <w:sz w:val="14"/>
          <w:szCs w:val="14"/>
          <w:color w:val="auto"/>
        </w:rPr>
      </w:pPr>
    </w:p>
    <w:p>
      <w:pPr>
        <w:ind w:left="340" w:hanging="321"/>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Primarily relates to non-cash interest expense on our Senior Secured Term Loan and Cash Exchangeable Senior Notes and intellectual property migration</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Numbers may not add precisely due to rounding.</w:t>
      </w:r>
    </w:p>
    <w:p>
      <w:pPr>
        <w:spacing w:after="0" w:line="17"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340"/>
          </w:cols>
          <w:pgMar w:left="320" w:top="849" w:right="23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139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ind w:left="5600"/>
        <w:spacing w:after="0"/>
        <w:rPr>
          <w:sz w:val="20"/>
          <w:szCs w:val="20"/>
          <w:color w:val="auto"/>
        </w:rPr>
      </w:pPr>
      <w:r>
        <w:rPr>
          <w:rFonts w:ascii="Arial" w:cs="Arial" w:eastAsia="Arial" w:hAnsi="Arial"/>
          <w:sz w:val="14"/>
          <w:szCs w:val="14"/>
          <w:b w:val="1"/>
          <w:bCs w:val="1"/>
          <w:color w:val="auto"/>
        </w:rPr>
        <w:t>Specified Items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ind w:right="15"/>
              <w:spacing w:after="0" w:line="107" w:lineRule="exact"/>
              <w:rPr>
                <w:sz w:val="20"/>
                <w:szCs w:val="20"/>
                <w:color w:val="auto"/>
              </w:rPr>
            </w:pPr>
            <w:r>
              <w:rPr>
                <w:rFonts w:ascii="Arial" w:cs="Arial" w:eastAsia="Arial" w:hAnsi="Arial"/>
                <w:sz w:val="12"/>
                <w:szCs w:val="12"/>
                <w:b w:val="1"/>
                <w:bCs w:val="1"/>
                <w:color w:val="auto"/>
                <w:w w:val="99"/>
              </w:rPr>
              <w:t>Non-recurring</w:t>
            </w:r>
          </w:p>
        </w:tc>
        <w:tc>
          <w:tcPr>
            <w:tcW w:w="9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8"/>
              </w:rPr>
              <w:t>Depreciation</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0" w:type="dxa"/>
            <w:vAlign w:val="bottom"/>
          </w:tcPr>
          <w:p>
            <w:pPr>
              <w:jc w:val="center"/>
              <w:ind w:right="15"/>
              <w:spacing w:after="0" w:line="115" w:lineRule="exact"/>
              <w:rPr>
                <w:sz w:val="20"/>
                <w:szCs w:val="20"/>
                <w:color w:val="auto"/>
              </w:rPr>
            </w:pPr>
            <w:r>
              <w:rPr>
                <w:rFonts w:ascii="Arial" w:cs="Arial" w:eastAsia="Arial" w:hAnsi="Arial"/>
                <w:sz w:val="12"/>
                <w:szCs w:val="12"/>
                <w:b w:val="1"/>
                <w:bCs w:val="1"/>
                <w:color w:val="auto"/>
                <w:w w:val="99"/>
              </w:rPr>
              <w:t>Legal and</w:t>
            </w: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w:t>
            </w:r>
          </w:p>
        </w:tc>
        <w:tc>
          <w:tcPr>
            <w:tcW w:w="64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Merger and</w:t>
            </w:r>
          </w:p>
        </w:tc>
        <w:tc>
          <w:tcPr>
            <w:tcW w:w="9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Product</w:t>
            </w:r>
          </w:p>
        </w:tc>
        <w:tc>
          <w:tcPr>
            <w:tcW w:w="820" w:type="dxa"/>
            <w:vAlign w:val="bottom"/>
          </w:tcPr>
          <w:p>
            <w:pPr>
              <w:spacing w:after="0"/>
              <w:rPr>
                <w:sz w:val="9"/>
                <w:szCs w:val="9"/>
                <w:color w:val="auto"/>
              </w:rPr>
            </w:pPr>
          </w:p>
        </w:tc>
        <w:tc>
          <w:tcPr>
            <w:tcW w:w="1000" w:type="dxa"/>
            <w:vAlign w:val="bottom"/>
          </w:tcPr>
          <w:p>
            <w:pPr>
              <w:jc w:val="center"/>
              <w:ind w:right="15"/>
              <w:spacing w:after="0" w:line="115" w:lineRule="exact"/>
              <w:rPr>
                <w:sz w:val="20"/>
                <w:szCs w:val="20"/>
                <w:color w:val="auto"/>
              </w:rPr>
            </w:pPr>
            <w:r>
              <w:rPr>
                <w:rFonts w:ascii="Arial" w:cs="Arial" w:eastAsia="Arial" w:hAnsi="Arial"/>
                <w:sz w:val="12"/>
                <w:szCs w:val="12"/>
                <w:b w:val="1"/>
                <w:bCs w:val="1"/>
                <w:color w:val="auto"/>
              </w:rPr>
              <w:t>Contingent</w:t>
            </w: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88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020" w:type="dxa"/>
            <w:vAlign w:val="bottom"/>
            <w:vMerge w:val="continue"/>
          </w:tcPr>
          <w:p>
            <w:pPr>
              <w:spacing w:after="0"/>
              <w:rPr>
                <w:sz w:val="9"/>
                <w:szCs w:val="9"/>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GAAP</w:t>
            </w:r>
          </w:p>
        </w:tc>
        <w:tc>
          <w:tcPr>
            <w:tcW w:w="800" w:type="dxa"/>
            <w:vAlign w:val="bottom"/>
            <w:vMerge w:val="continue"/>
          </w:tcPr>
          <w:p>
            <w:pPr>
              <w:spacing w:after="0"/>
              <w:rPr>
                <w:sz w:val="9"/>
                <w:szCs w:val="9"/>
                <w:color w:val="auto"/>
              </w:rPr>
            </w:pPr>
          </w:p>
        </w:tc>
        <w:tc>
          <w:tcPr>
            <w:tcW w:w="94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9"/>
              </w:rPr>
              <w:t>Restructuring</w:t>
            </w:r>
          </w:p>
        </w:tc>
        <w:tc>
          <w:tcPr>
            <w:tcW w:w="880" w:type="dxa"/>
            <w:vAlign w:val="bottom"/>
          </w:tcPr>
          <w:p>
            <w:pPr>
              <w:jc w:val="center"/>
              <w:ind w:right="14"/>
              <w:spacing w:after="0" w:line="115" w:lineRule="exact"/>
              <w:rPr>
                <w:sz w:val="20"/>
                <w:szCs w:val="20"/>
                <w:color w:val="auto"/>
              </w:rPr>
            </w:pPr>
            <w:r>
              <w:rPr>
                <w:rFonts w:ascii="Arial" w:cs="Arial" w:eastAsia="Arial" w:hAnsi="Arial"/>
                <w:sz w:val="12"/>
                <w:szCs w:val="12"/>
                <w:b w:val="1"/>
                <w:bCs w:val="1"/>
                <w:color w:val="auto"/>
                <w:w w:val="93"/>
              </w:rPr>
              <w:t>and</w:t>
            </w:r>
          </w:p>
        </w:tc>
        <w:tc>
          <w:tcPr>
            <w:tcW w:w="8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Acquisition</w:t>
            </w:r>
          </w:p>
        </w:tc>
        <w:tc>
          <w:tcPr>
            <w:tcW w:w="1000" w:type="dxa"/>
            <w:vAlign w:val="bottom"/>
          </w:tcPr>
          <w:p>
            <w:pPr>
              <w:jc w:val="center"/>
              <w:ind w:right="15"/>
              <w:spacing w:after="0" w:line="115" w:lineRule="exact"/>
              <w:rPr>
                <w:sz w:val="20"/>
                <w:szCs w:val="20"/>
                <w:color w:val="auto"/>
              </w:rPr>
            </w:pPr>
            <w:r>
              <w:rPr>
                <w:rFonts w:ascii="Arial" w:cs="Arial" w:eastAsia="Arial" w:hAnsi="Arial"/>
                <w:sz w:val="12"/>
                <w:szCs w:val="12"/>
                <w:b w:val="1"/>
                <w:bCs w:val="1"/>
                <w:color w:val="auto"/>
                <w:w w:val="99"/>
              </w:rPr>
              <w:t>Consideration</w:t>
            </w:r>
          </w:p>
        </w:tc>
        <w:tc>
          <w:tcPr>
            <w:tcW w:w="980" w:type="dxa"/>
            <w:vAlign w:val="bottom"/>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Certain Tax</w:t>
            </w:r>
          </w:p>
        </w:tc>
        <w:tc>
          <w:tcPr>
            <w:tcW w:w="860" w:type="dxa"/>
            <w:vAlign w:val="bottom"/>
            <w:vMerge w:val="continue"/>
          </w:tcPr>
          <w:p>
            <w:pPr>
              <w:spacing w:after="0"/>
              <w:rPr>
                <w:sz w:val="9"/>
                <w:szCs w:val="9"/>
                <w:color w:val="auto"/>
              </w:rPr>
            </w:pP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5"/>
        </w:trPr>
        <w:tc>
          <w:tcPr>
            <w:tcW w:w="1020" w:type="dxa"/>
            <w:vAlign w:val="bottom"/>
          </w:tcPr>
          <w:p>
            <w:pPr>
              <w:ind w:left="20"/>
              <w:spacing w:after="0" w:line="115" w:lineRule="exact"/>
              <w:rPr>
                <w:sz w:val="20"/>
                <w:szCs w:val="20"/>
                <w:color w:val="auto"/>
              </w:rPr>
            </w:pPr>
            <w:r>
              <w:rPr>
                <w:rFonts w:ascii="Arial" w:cs="Arial" w:eastAsia="Arial" w:hAnsi="Arial"/>
                <w:sz w:val="12"/>
                <w:szCs w:val="12"/>
                <w:b w:val="1"/>
                <w:bCs w:val="1"/>
                <w:color w:val="auto"/>
              </w:rPr>
              <w:t>Ended</w:t>
            </w:r>
          </w:p>
        </w:tc>
        <w:tc>
          <w:tcPr>
            <w:tcW w:w="640" w:type="dxa"/>
            <w:vAlign w:val="bottom"/>
            <w:vMerge w:val="continue"/>
          </w:tcPr>
          <w:p>
            <w:pPr>
              <w:spacing w:after="0"/>
              <w:rPr>
                <w:sz w:val="9"/>
                <w:szCs w:val="9"/>
                <w:color w:val="auto"/>
              </w:rPr>
            </w:pPr>
          </w:p>
        </w:tc>
        <w:tc>
          <w:tcPr>
            <w:tcW w:w="8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Integration</w:t>
            </w:r>
          </w:p>
        </w:tc>
        <w:tc>
          <w:tcPr>
            <w:tcW w:w="940" w:type="dxa"/>
            <w:vAlign w:val="bottom"/>
            <w:vMerge w:val="continue"/>
          </w:tcPr>
          <w:p>
            <w:pPr>
              <w:spacing w:after="0"/>
              <w:rPr>
                <w:sz w:val="9"/>
                <w:szCs w:val="9"/>
                <w:color w:val="auto"/>
              </w:rPr>
            </w:pPr>
          </w:p>
        </w:tc>
        <w:tc>
          <w:tcPr>
            <w:tcW w:w="880" w:type="dxa"/>
            <w:vAlign w:val="bottom"/>
          </w:tcPr>
          <w:p>
            <w:pPr>
              <w:jc w:val="center"/>
              <w:ind w:right="14"/>
              <w:spacing w:after="0" w:line="115" w:lineRule="exact"/>
              <w:rPr>
                <w:sz w:val="20"/>
                <w:szCs w:val="20"/>
                <w:color w:val="auto"/>
              </w:rPr>
            </w:pPr>
            <w:r>
              <w:rPr>
                <w:rFonts w:ascii="Arial" w:cs="Arial" w:eastAsia="Arial" w:hAnsi="Arial"/>
                <w:sz w:val="12"/>
                <w:szCs w:val="12"/>
                <w:b w:val="1"/>
                <w:bCs w:val="1"/>
                <w:color w:val="auto"/>
                <w:w w:val="98"/>
              </w:rPr>
              <w:t>Amortization</w:t>
            </w:r>
          </w:p>
        </w:tc>
        <w:tc>
          <w:tcPr>
            <w:tcW w:w="8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Impairments</w:t>
            </w: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Remediation</w:t>
            </w:r>
          </w:p>
        </w:tc>
        <w:tc>
          <w:tcPr>
            <w:tcW w:w="820" w:type="dxa"/>
            <w:vAlign w:val="bottom"/>
            <w:vMerge w:val="continue"/>
          </w:tcPr>
          <w:p>
            <w:pPr>
              <w:spacing w:after="0"/>
              <w:rPr>
                <w:sz w:val="9"/>
                <w:szCs w:val="9"/>
                <w:color w:val="auto"/>
              </w:rPr>
            </w:pPr>
          </w:p>
        </w:tc>
        <w:tc>
          <w:tcPr>
            <w:tcW w:w="1000" w:type="dxa"/>
            <w:vAlign w:val="bottom"/>
          </w:tcPr>
          <w:p>
            <w:pPr>
              <w:jc w:val="center"/>
              <w:ind w:right="15"/>
              <w:spacing w:after="0" w:line="115" w:lineRule="exact"/>
              <w:rPr>
                <w:sz w:val="20"/>
                <w:szCs w:val="20"/>
                <w:color w:val="auto"/>
              </w:rPr>
            </w:pPr>
            <w:r>
              <w:rPr>
                <w:rFonts w:ascii="Arial" w:cs="Arial" w:eastAsia="Arial" w:hAnsi="Arial"/>
                <w:sz w:val="12"/>
                <w:szCs w:val="12"/>
                <w:b w:val="1"/>
                <w:bCs w:val="1"/>
                <w:color w:val="auto"/>
                <w:w w:val="98"/>
              </w:rPr>
              <w:t>and Other</w:t>
            </w:r>
          </w:p>
        </w:tc>
        <w:tc>
          <w:tcPr>
            <w:tcW w:w="9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Compensation</w:t>
            </w:r>
          </w:p>
        </w:tc>
        <w:tc>
          <w:tcPr>
            <w:tcW w:w="880" w:type="dxa"/>
            <w:vAlign w:val="bottom"/>
            <w:vMerge w:val="continue"/>
          </w:tcPr>
          <w:p>
            <w:pPr>
              <w:spacing w:after="0"/>
              <w:rPr>
                <w:sz w:val="9"/>
                <w:szCs w:val="9"/>
                <w:color w:val="auto"/>
              </w:rPr>
            </w:pP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6"/>
              </w:rPr>
              <w:t>Interest</w:t>
            </w: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020" w:type="dxa"/>
            <w:vAlign w:val="bottom"/>
          </w:tcPr>
          <w:p>
            <w:pPr>
              <w:ind w:left="20"/>
              <w:spacing w:after="0" w:line="115" w:lineRule="exact"/>
              <w:rPr>
                <w:sz w:val="20"/>
                <w:szCs w:val="20"/>
                <w:color w:val="auto"/>
              </w:rPr>
            </w:pPr>
            <w:r>
              <w:rPr>
                <w:rFonts w:ascii="Arial" w:cs="Arial" w:eastAsia="Arial" w:hAnsi="Arial"/>
                <w:sz w:val="12"/>
                <w:szCs w:val="12"/>
                <w:b w:val="1"/>
                <w:bCs w:val="1"/>
                <w:color w:val="auto"/>
              </w:rPr>
              <w:t>December 31,</w:t>
            </w:r>
          </w:p>
        </w:tc>
        <w:tc>
          <w:tcPr>
            <w:tcW w:w="6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Financial</w:t>
            </w:r>
          </w:p>
        </w:tc>
        <w:tc>
          <w:tcPr>
            <w:tcW w:w="8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6"/>
              </w:rPr>
              <w:t>Expenses</w:t>
            </w:r>
          </w:p>
        </w:tc>
        <w:tc>
          <w:tcPr>
            <w:tcW w:w="94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w w:val="99"/>
              </w:rPr>
              <w:t>Expenses</w:t>
            </w:r>
          </w:p>
        </w:tc>
        <w:tc>
          <w:tcPr>
            <w:tcW w:w="880" w:type="dxa"/>
            <w:vAlign w:val="bottom"/>
          </w:tcPr>
          <w:p>
            <w:pPr>
              <w:jc w:val="center"/>
              <w:ind w:right="54"/>
              <w:spacing w:after="0" w:line="115" w:lineRule="exact"/>
              <w:rPr>
                <w:sz w:val="20"/>
                <w:szCs w:val="20"/>
                <w:color w:val="auto"/>
              </w:rPr>
            </w:pPr>
            <w:r>
              <w:rPr>
                <w:rFonts w:ascii="Arial" w:cs="Arial" w:eastAsia="Arial" w:hAnsi="Arial"/>
                <w:sz w:val="12"/>
                <w:szCs w:val="12"/>
                <w:b w:val="1"/>
                <w:bCs w:val="1"/>
                <w:color w:val="auto"/>
                <w:w w:val="99"/>
              </w:rPr>
              <w:t>Expenses</w:t>
            </w:r>
          </w:p>
        </w:tc>
        <w:tc>
          <w:tcPr>
            <w:tcW w:w="860" w:type="dxa"/>
            <w:vAlign w:val="bottom"/>
            <w:vMerge w:val="continue"/>
          </w:tcPr>
          <w:p>
            <w:pPr>
              <w:spacing w:after="0"/>
              <w:rPr>
                <w:sz w:val="9"/>
                <w:szCs w:val="9"/>
                <w:color w:val="auto"/>
              </w:rPr>
            </w:pPr>
          </w:p>
        </w:tc>
        <w:tc>
          <w:tcPr>
            <w:tcW w:w="86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w w:val="99"/>
              </w:rPr>
              <w:t>Expenses</w:t>
            </w:r>
          </w:p>
        </w:tc>
        <w:tc>
          <w:tcPr>
            <w:tcW w:w="82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w w:val="95"/>
              </w:rPr>
              <w:t>Costs</w:t>
            </w:r>
          </w:p>
        </w:tc>
        <w:tc>
          <w:tcPr>
            <w:tcW w:w="1000" w:type="dxa"/>
            <w:vAlign w:val="bottom"/>
          </w:tcPr>
          <w:p>
            <w:pPr>
              <w:jc w:val="center"/>
              <w:ind w:right="15"/>
              <w:spacing w:after="0" w:line="115" w:lineRule="exact"/>
              <w:rPr>
                <w:sz w:val="20"/>
                <w:szCs w:val="20"/>
                <w:color w:val="auto"/>
              </w:rPr>
            </w:pPr>
            <w:r>
              <w:rPr>
                <w:rFonts w:ascii="Arial" w:cs="Arial" w:eastAsia="Arial" w:hAnsi="Arial"/>
                <w:sz w:val="12"/>
                <w:szCs w:val="12"/>
                <w:b w:val="1"/>
                <w:bCs w:val="1"/>
                <w:color w:val="auto"/>
                <w:w w:val="97"/>
              </w:rPr>
              <w:t>Reserves</w:t>
            </w:r>
          </w:p>
        </w:tc>
        <w:tc>
          <w:tcPr>
            <w:tcW w:w="98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w w:val="95"/>
              </w:rPr>
              <w:t>Costs</w:t>
            </w:r>
          </w:p>
        </w:tc>
        <w:tc>
          <w:tcPr>
            <w:tcW w:w="880" w:type="dxa"/>
            <w:vAlign w:val="bottom"/>
          </w:tcPr>
          <w:p>
            <w:pPr>
              <w:jc w:val="center"/>
              <w:ind w:right="14"/>
              <w:spacing w:after="0" w:line="115" w:lineRule="exact"/>
              <w:rPr>
                <w:sz w:val="20"/>
                <w:szCs w:val="20"/>
                <w:color w:val="auto"/>
              </w:rPr>
            </w:pPr>
            <w:r>
              <w:rPr>
                <w:rFonts w:ascii="Arial" w:cs="Arial" w:eastAsia="Arial" w:hAnsi="Arial"/>
                <w:sz w:val="12"/>
                <w:szCs w:val="12"/>
                <w:b w:val="1"/>
                <w:bCs w:val="1"/>
                <w:color w:val="auto"/>
                <w:w w:val="99"/>
              </w:rPr>
              <w:t>Adjustments</w:t>
            </w: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Adjustments</w:t>
            </w:r>
          </w:p>
        </w:tc>
        <w:tc>
          <w:tcPr>
            <w:tcW w:w="700" w:type="dxa"/>
            <w:vAlign w:val="bottom"/>
          </w:tcPr>
          <w:p>
            <w:pPr>
              <w:ind w:left="100"/>
              <w:spacing w:after="0" w:line="115"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66"/>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(B)</w:t>
            </w: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2"/>
                <w:szCs w:val="12"/>
                <w:b w:val="1"/>
                <w:bCs w:val="1"/>
                <w:color w:val="auto"/>
                <w:w w:val="95"/>
              </w:rPr>
              <w:t>(C)</w:t>
            </w: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1000" w:type="dxa"/>
            <w:vAlign w:val="bottom"/>
            <w:tcBorders>
              <w:bottom w:val="single" w:sz="8" w:color="auto"/>
            </w:tcBorders>
          </w:tcPr>
          <w:p>
            <w:pPr>
              <w:jc w:val="center"/>
              <w:ind w:right="15"/>
              <w:spacing w:after="0"/>
              <w:rPr>
                <w:sz w:val="20"/>
                <w:szCs w:val="20"/>
                <w:color w:val="auto"/>
              </w:rPr>
            </w:pPr>
            <w:r>
              <w:rPr>
                <w:rFonts w:ascii="Arial" w:cs="Arial" w:eastAsia="Arial" w:hAnsi="Arial"/>
                <w:sz w:val="12"/>
                <w:szCs w:val="12"/>
                <w:b w:val="1"/>
                <w:bCs w:val="1"/>
                <w:color w:val="auto"/>
                <w:w w:val="92"/>
              </w:rPr>
              <w:t>(G)</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w:t>
            </w: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33"/>
        </w:trPr>
        <w:tc>
          <w:tcPr>
            <w:tcW w:w="1020" w:type="dxa"/>
            <w:vAlign w:val="bottom"/>
          </w:tcPr>
          <w:p>
            <w:pPr>
              <w:ind w:left="20"/>
              <w:spacing w:after="0" w:line="133" w:lineRule="exact"/>
              <w:rPr>
                <w:sz w:val="20"/>
                <w:szCs w:val="20"/>
                <w:color w:val="auto"/>
              </w:rPr>
            </w:pPr>
            <w:r>
              <w:rPr>
                <w:rFonts w:ascii="Arial" w:cs="Arial" w:eastAsia="Arial" w:hAnsi="Arial"/>
                <w:sz w:val="14"/>
                <w:szCs w:val="14"/>
                <w:color w:val="auto"/>
              </w:rPr>
              <w:t>Cost of sales -</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20" w:type="dxa"/>
            <w:vAlign w:val="bottom"/>
          </w:tcPr>
          <w:p>
            <w:pPr>
              <w:ind w:left="20"/>
              <w:spacing w:after="0" w:line="127" w:lineRule="exact"/>
              <w:rPr>
                <w:sz w:val="20"/>
                <w:szCs w:val="20"/>
                <w:color w:val="auto"/>
              </w:rPr>
            </w:pPr>
            <w:r>
              <w:rPr>
                <w:rFonts w:ascii="Arial" w:cs="Arial" w:eastAsia="Arial" w:hAnsi="Arial"/>
                <w:sz w:val="14"/>
                <w:szCs w:val="14"/>
                <w:color w:val="auto"/>
              </w:rPr>
              <w:t>exclusive of</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$78.2</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color w:val="auto"/>
              </w:rPr>
              <w:t>($0.4)</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5"/>
              <w:spacing w:after="0"/>
              <w:rPr>
                <w:sz w:val="20"/>
                <w:szCs w:val="20"/>
                <w:color w:val="auto"/>
              </w:rPr>
            </w:pPr>
            <w:r>
              <w:rPr>
                <w:rFonts w:ascii="Arial" w:cs="Arial" w:eastAsia="Arial" w:hAnsi="Arial"/>
                <w:sz w:val="14"/>
                <w:szCs w:val="14"/>
                <w:color w:val="auto"/>
              </w:rPr>
              <w:t>$9.7</w:t>
            </w:r>
          </w:p>
        </w:tc>
        <w:tc>
          <w:tcPr>
            <w:tcW w:w="980" w:type="dxa"/>
            <w:vAlign w:val="bottom"/>
            <w:vMerge w:val="restart"/>
          </w:tcPr>
          <w:p>
            <w:pPr>
              <w:jc w:val="right"/>
              <w:ind w:right="94"/>
              <w:spacing w:after="0"/>
              <w:rPr>
                <w:sz w:val="20"/>
                <w:szCs w:val="20"/>
                <w:color w:val="auto"/>
              </w:rPr>
            </w:pPr>
            <w:r>
              <w:rPr>
                <w:rFonts w:ascii="Arial" w:cs="Arial" w:eastAsia="Arial" w:hAnsi="Arial"/>
                <w:sz w:val="14"/>
                <w:szCs w:val="14"/>
                <w:color w:val="auto"/>
              </w:rPr>
              <w:t>($0.3)</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67"/>
        </w:trPr>
        <w:tc>
          <w:tcPr>
            <w:tcW w:w="102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20"/>
              <w:spacing w:after="0" w:line="139" w:lineRule="exact"/>
              <w:rPr>
                <w:sz w:val="20"/>
                <w:szCs w:val="20"/>
                <w:color w:val="auto"/>
              </w:rPr>
            </w:pPr>
            <w:r>
              <w:rPr>
                <w:rFonts w:ascii="Arial" w:cs="Arial" w:eastAsia="Arial" w:hAnsi="Arial"/>
                <w:sz w:val="14"/>
                <w:szCs w:val="14"/>
                <w:color w:val="auto"/>
              </w:rPr>
              <w:t>Product</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4.6</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color w:val="auto"/>
              </w:rPr>
              <w:t>(4.6)</w:t>
            </w: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5"/>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020" w:type="dxa"/>
            <w:vAlign w:val="bottom"/>
          </w:tcPr>
          <w:p>
            <w:pPr>
              <w:ind w:left="20"/>
              <w:spacing w:after="0"/>
              <w:rPr>
                <w:sz w:val="20"/>
                <w:szCs w:val="20"/>
                <w:color w:val="auto"/>
              </w:rPr>
            </w:pPr>
            <w:r>
              <w:rPr>
                <w:rFonts w:ascii="Arial" w:cs="Arial" w:eastAsia="Arial" w:hAnsi="Arial"/>
                <w:sz w:val="14"/>
                <w:szCs w:val="14"/>
                <w:color w:val="auto"/>
              </w:rPr>
              <w:t>remediation</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20"/>
              <w:spacing w:after="0" w:line="139" w:lineRule="exact"/>
              <w:rPr>
                <w:sz w:val="20"/>
                <w:szCs w:val="20"/>
                <w:color w:val="auto"/>
              </w:rPr>
            </w:pPr>
            <w:r>
              <w:rPr>
                <w:rFonts w:ascii="Arial" w:cs="Arial" w:eastAsia="Arial" w:hAnsi="Arial"/>
                <w:sz w:val="14"/>
                <w:szCs w:val="14"/>
                <w:color w:val="auto"/>
              </w:rPr>
              <w:t>Gross profit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71.2 %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69.7 %</w:t>
            </w:r>
          </w:p>
        </w:tc>
        <w:tc>
          <w:tcPr>
            <w:tcW w:w="0" w:type="dxa"/>
            <w:vAlign w:val="bottom"/>
          </w:tcPr>
          <w:p>
            <w:pPr>
              <w:spacing w:after="0"/>
              <w:rPr>
                <w:sz w:val="1"/>
                <w:szCs w:val="1"/>
                <w:color w:val="auto"/>
              </w:rPr>
            </w:pPr>
          </w:p>
        </w:tc>
      </w:tr>
      <w:tr>
        <w:trPr>
          <w:trHeight w:val="167"/>
        </w:trPr>
        <w:tc>
          <w:tcPr>
            <w:tcW w:w="1020" w:type="dxa"/>
            <w:vAlign w:val="bottom"/>
          </w:tcPr>
          <w:p>
            <w:pPr>
              <w:ind w:left="20"/>
              <w:spacing w:after="0"/>
              <w:rPr>
                <w:sz w:val="20"/>
                <w:szCs w:val="20"/>
                <w:color w:val="auto"/>
              </w:rPr>
            </w:pPr>
            <w:r>
              <w:rPr>
                <w:rFonts w:ascii="Arial" w:cs="Arial" w:eastAsia="Arial" w:hAnsi="Arial"/>
                <w:sz w:val="14"/>
                <w:szCs w:val="14"/>
                <w:color w:val="auto"/>
              </w:rPr>
              <w:t>percent</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20"/>
              <w:spacing w:after="0" w:line="139" w:lineRule="exact"/>
              <w:rPr>
                <w:sz w:val="20"/>
                <w:szCs w:val="20"/>
                <w:color w:val="auto"/>
              </w:rPr>
            </w:pPr>
            <w:r>
              <w:rPr>
                <w:rFonts w:ascii="Arial" w:cs="Arial" w:eastAsia="Arial" w:hAnsi="Arial"/>
                <w:sz w:val="14"/>
                <w:szCs w:val="14"/>
                <w:color w:val="auto"/>
              </w:rPr>
              <w:t>Selling, general</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20" w:type="dxa"/>
            <w:vAlign w:val="bottom"/>
          </w:tcPr>
          <w:p>
            <w:pPr>
              <w:ind w:left="20"/>
              <w:spacing w:after="0" w:line="127" w:lineRule="exact"/>
              <w:rPr>
                <w:sz w:val="20"/>
                <w:szCs w:val="20"/>
                <w:color w:val="auto"/>
              </w:rPr>
            </w:pPr>
            <w:r>
              <w:rPr>
                <w:rFonts w:ascii="Arial" w:cs="Arial" w:eastAsia="Arial" w:hAnsi="Arial"/>
                <w:sz w:val="14"/>
                <w:szCs w:val="14"/>
                <w:color w:val="auto"/>
              </w:rPr>
              <w:t>and</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130.5</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color w:val="auto"/>
              </w:rPr>
              <w:t>(0.1)</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14"/>
              <w:spacing w:after="0"/>
              <w:rPr>
                <w:sz w:val="20"/>
                <w:szCs w:val="20"/>
                <w:color w:val="auto"/>
              </w:rPr>
            </w:pPr>
            <w:r>
              <w:rPr>
                <w:rFonts w:ascii="Arial" w:cs="Arial" w:eastAsia="Arial" w:hAnsi="Arial"/>
                <w:sz w:val="14"/>
                <w:szCs w:val="14"/>
                <w:color w:val="auto"/>
              </w:rPr>
              <w:t>(0.4)</w:t>
            </w:r>
          </w:p>
        </w:tc>
        <w:tc>
          <w:tcPr>
            <w:tcW w:w="1000" w:type="dxa"/>
            <w:vAlign w:val="bottom"/>
            <w:vMerge w:val="restart"/>
          </w:tcPr>
          <w:p>
            <w:pPr>
              <w:jc w:val="right"/>
              <w:ind w:right="115"/>
              <w:spacing w:after="0"/>
              <w:rPr>
                <w:sz w:val="20"/>
                <w:szCs w:val="20"/>
                <w:color w:val="auto"/>
              </w:rPr>
            </w:pPr>
            <w:r>
              <w:rPr>
                <w:rFonts w:ascii="Arial" w:cs="Arial" w:eastAsia="Arial" w:hAnsi="Arial"/>
                <w:sz w:val="14"/>
                <w:szCs w:val="14"/>
                <w:color w:val="auto"/>
              </w:rPr>
              <w:t>(15.5)</w:t>
            </w:r>
          </w:p>
        </w:tc>
        <w:tc>
          <w:tcPr>
            <w:tcW w:w="980" w:type="dxa"/>
            <w:vAlign w:val="bottom"/>
            <w:vMerge w:val="restart"/>
          </w:tcPr>
          <w:p>
            <w:pPr>
              <w:jc w:val="right"/>
              <w:ind w:right="94"/>
              <w:spacing w:after="0"/>
              <w:rPr>
                <w:sz w:val="20"/>
                <w:szCs w:val="20"/>
                <w:color w:val="auto"/>
              </w:rPr>
            </w:pPr>
            <w:r>
              <w:rPr>
                <w:rFonts w:ascii="Arial" w:cs="Arial" w:eastAsia="Arial" w:hAnsi="Arial"/>
                <w:sz w:val="14"/>
                <w:szCs w:val="14"/>
                <w:color w:val="auto"/>
              </w:rPr>
              <w:t>(7.1)</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167"/>
        </w:trPr>
        <w:tc>
          <w:tcPr>
            <w:tcW w:w="10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20"/>
              <w:spacing w:after="0" w:line="139" w:lineRule="exact"/>
              <w:rPr>
                <w:sz w:val="20"/>
                <w:szCs w:val="20"/>
                <w:color w:val="auto"/>
              </w:rPr>
            </w:pPr>
            <w:r>
              <w:rPr>
                <w:rFonts w:ascii="Arial" w:cs="Arial" w:eastAsia="Arial" w:hAnsi="Arial"/>
                <w:sz w:val="14"/>
                <w:szCs w:val="14"/>
                <w:color w:val="auto"/>
              </w:rPr>
              <w:t>Selling, general</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20" w:type="dxa"/>
            <w:vAlign w:val="bottom"/>
          </w:tcPr>
          <w:p>
            <w:pPr>
              <w:ind w:left="20"/>
              <w:spacing w:after="0" w:line="127" w:lineRule="exact"/>
              <w:rPr>
                <w:sz w:val="20"/>
                <w:szCs w:val="20"/>
                <w:color w:val="auto"/>
              </w:rPr>
            </w:pPr>
            <w:r>
              <w:rPr>
                <w:rFonts w:ascii="Arial" w:cs="Arial" w:eastAsia="Arial" w:hAnsi="Arial"/>
                <w:sz w:val="14"/>
                <w:szCs w:val="14"/>
                <w:color w:val="auto"/>
              </w:rPr>
              <w:t>and</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20" w:type="dxa"/>
            <w:vAlign w:val="bottom"/>
          </w:tcPr>
          <w:p>
            <w:pPr>
              <w:ind w:left="20"/>
              <w:spacing w:after="0" w:line="127" w:lineRule="exact"/>
              <w:rPr>
                <w:sz w:val="20"/>
                <w:szCs w:val="20"/>
                <w:color w:val="auto"/>
              </w:rPr>
            </w:pPr>
            <w:r>
              <w:rPr>
                <w:rFonts w:ascii="Arial" w:cs="Arial" w:eastAsia="Arial" w:hAnsi="Arial"/>
                <w:sz w:val="14"/>
                <w:szCs w:val="14"/>
                <w:color w:val="auto"/>
              </w:rPr>
              <w:t>administrative</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20" w:type="dxa"/>
            <w:vAlign w:val="bottom"/>
          </w:tcPr>
          <w:p>
            <w:pPr>
              <w:ind w:left="20"/>
              <w:spacing w:after="0" w:line="127" w:lineRule="exact"/>
              <w:rPr>
                <w:sz w:val="20"/>
                <w:szCs w:val="20"/>
                <w:color w:val="auto"/>
              </w:rPr>
            </w:pPr>
            <w:r>
              <w:rPr>
                <w:rFonts w:ascii="Arial" w:cs="Arial" w:eastAsia="Arial" w:hAnsi="Arial"/>
                <w:sz w:val="14"/>
                <w:szCs w:val="14"/>
                <w:color w:val="auto"/>
              </w:rPr>
              <w:t>as a percent of</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45.4 %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37.4 %</w:t>
            </w:r>
          </w:p>
        </w:tc>
        <w:tc>
          <w:tcPr>
            <w:tcW w:w="0" w:type="dxa"/>
            <w:vAlign w:val="bottom"/>
          </w:tcPr>
          <w:p>
            <w:pPr>
              <w:spacing w:after="0"/>
              <w:rPr>
                <w:sz w:val="1"/>
                <w:szCs w:val="1"/>
                <w:color w:val="auto"/>
              </w:rPr>
            </w:pPr>
          </w:p>
        </w:tc>
      </w:tr>
      <w:tr>
        <w:trPr>
          <w:trHeight w:val="167"/>
        </w:trPr>
        <w:tc>
          <w:tcPr>
            <w:tcW w:w="1020" w:type="dxa"/>
            <w:vAlign w:val="bottom"/>
          </w:tcPr>
          <w:p>
            <w:pPr>
              <w:ind w:left="20"/>
              <w:spacing w:after="0"/>
              <w:rPr>
                <w:sz w:val="20"/>
                <w:szCs w:val="20"/>
                <w:color w:val="auto"/>
              </w:rPr>
            </w:pPr>
            <w:r>
              <w:rPr>
                <w:rFonts w:ascii="Arial" w:cs="Arial" w:eastAsia="Arial" w:hAnsi="Arial"/>
                <w:sz w:val="14"/>
                <w:szCs w:val="14"/>
                <w:color w:val="auto"/>
              </w:rPr>
              <w:t>net sales</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20"/>
              <w:spacing w:after="0" w:line="139" w:lineRule="exact"/>
              <w:rPr>
                <w:sz w:val="20"/>
                <w:szCs w:val="20"/>
                <w:color w:val="auto"/>
              </w:rPr>
            </w:pPr>
            <w:r>
              <w:rPr>
                <w:rFonts w:ascii="Arial" w:cs="Arial" w:eastAsia="Arial" w:hAnsi="Arial"/>
                <w:sz w:val="14"/>
                <w:szCs w:val="14"/>
                <w:color w:val="auto"/>
              </w:rPr>
              <w:t>Research and</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23.7</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3"/>
              <w:spacing w:after="0"/>
              <w:rPr>
                <w:sz w:val="20"/>
                <w:szCs w:val="20"/>
                <w:color w:val="auto"/>
              </w:rPr>
            </w:pPr>
            <w:r>
              <w:rPr>
                <w:rFonts w:ascii="Arial" w:cs="Arial" w:eastAsia="Arial" w:hAnsi="Arial"/>
                <w:sz w:val="14"/>
                <w:szCs w:val="14"/>
                <w:color w:val="auto"/>
              </w:rPr>
              <w:t>(2.7)</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color w:val="auto"/>
              </w:rPr>
              <w:t>3.3</w:t>
            </w:r>
          </w:p>
        </w:tc>
        <w:tc>
          <w:tcPr>
            <w:tcW w:w="1000" w:type="dxa"/>
            <w:vAlign w:val="bottom"/>
            <w:vMerge w:val="restart"/>
          </w:tcPr>
          <w:p>
            <w:pPr>
              <w:jc w:val="right"/>
              <w:ind w:right="155"/>
              <w:spacing w:after="0"/>
              <w:rPr>
                <w:sz w:val="20"/>
                <w:szCs w:val="20"/>
                <w:color w:val="auto"/>
              </w:rPr>
            </w:pPr>
            <w:r>
              <w:rPr>
                <w:rFonts w:ascii="Arial" w:cs="Arial" w:eastAsia="Arial" w:hAnsi="Arial"/>
                <w:sz w:val="14"/>
                <w:szCs w:val="14"/>
                <w:color w:val="auto"/>
              </w:rPr>
              <w:t>14.4</w:t>
            </w:r>
          </w:p>
        </w:tc>
        <w:tc>
          <w:tcPr>
            <w:tcW w:w="980" w:type="dxa"/>
            <w:vAlign w:val="bottom"/>
            <w:vMerge w:val="restart"/>
          </w:tcPr>
          <w:p>
            <w:pPr>
              <w:jc w:val="right"/>
              <w:ind w:right="94"/>
              <w:spacing w:after="0"/>
              <w:rPr>
                <w:sz w:val="20"/>
                <w:szCs w:val="20"/>
                <w:color w:val="auto"/>
              </w:rPr>
            </w:pPr>
            <w:r>
              <w:rPr>
                <w:rFonts w:ascii="Arial" w:cs="Arial" w:eastAsia="Arial" w:hAnsi="Arial"/>
                <w:sz w:val="14"/>
                <w:szCs w:val="14"/>
                <w:color w:val="auto"/>
              </w:rPr>
              <w:t>(1.1)</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167"/>
        </w:trPr>
        <w:tc>
          <w:tcPr>
            <w:tcW w:w="102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20"/>
              <w:spacing w:after="0" w:line="139" w:lineRule="exact"/>
              <w:rPr>
                <w:sz w:val="20"/>
                <w:szCs w:val="20"/>
                <w:color w:val="auto"/>
              </w:rPr>
            </w:pPr>
            <w:r>
              <w:rPr>
                <w:rFonts w:ascii="Arial" w:cs="Arial" w:eastAsia="Arial" w:hAnsi="Arial"/>
                <w:sz w:val="14"/>
                <w:szCs w:val="14"/>
                <w:color w:val="auto"/>
              </w:rPr>
              <w:t>Research and</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20" w:type="dxa"/>
            <w:vAlign w:val="bottom"/>
          </w:tcPr>
          <w:p>
            <w:pPr>
              <w:ind w:left="20"/>
              <w:spacing w:after="0" w:line="127" w:lineRule="exact"/>
              <w:rPr>
                <w:sz w:val="20"/>
                <w:szCs w:val="20"/>
                <w:color w:val="auto"/>
              </w:rPr>
            </w:pPr>
            <w:r>
              <w:rPr>
                <w:rFonts w:ascii="Arial" w:cs="Arial" w:eastAsia="Arial" w:hAnsi="Arial"/>
                <w:sz w:val="14"/>
                <w:szCs w:val="14"/>
                <w:color w:val="auto"/>
                <w:w w:val="99"/>
              </w:rPr>
              <w:t>development as</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20" w:type="dxa"/>
            <w:vAlign w:val="bottom"/>
          </w:tcPr>
          <w:p>
            <w:pPr>
              <w:ind w:left="20"/>
              <w:spacing w:after="0" w:line="127" w:lineRule="exact"/>
              <w:rPr>
                <w:sz w:val="20"/>
                <w:szCs w:val="20"/>
                <w:color w:val="auto"/>
              </w:rPr>
            </w:pPr>
            <w:r>
              <w:rPr>
                <w:rFonts w:ascii="Arial" w:cs="Arial" w:eastAsia="Arial" w:hAnsi="Arial"/>
                <w:sz w:val="14"/>
                <w:szCs w:val="14"/>
                <w:color w:val="auto"/>
              </w:rPr>
              <w:t>a percent of net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8.2 %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5.0 %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13.1 %</w:t>
            </w:r>
          </w:p>
        </w:tc>
        <w:tc>
          <w:tcPr>
            <w:tcW w:w="0" w:type="dxa"/>
            <w:vAlign w:val="bottom"/>
          </w:tcPr>
          <w:p>
            <w:pPr>
              <w:spacing w:after="0"/>
              <w:rPr>
                <w:sz w:val="1"/>
                <w:szCs w:val="1"/>
                <w:color w:val="auto"/>
              </w:rPr>
            </w:pPr>
          </w:p>
        </w:tc>
      </w:tr>
      <w:tr>
        <w:trPr>
          <w:trHeight w:val="167"/>
        </w:trPr>
        <w:tc>
          <w:tcPr>
            <w:tcW w:w="1020" w:type="dxa"/>
            <w:vAlign w:val="bottom"/>
          </w:tcPr>
          <w:p>
            <w:pPr>
              <w:ind w:left="20"/>
              <w:spacing w:after="0"/>
              <w:rPr>
                <w:sz w:val="20"/>
                <w:szCs w:val="20"/>
                <w:color w:val="auto"/>
              </w:rPr>
            </w:pPr>
            <w:r>
              <w:rPr>
                <w:rFonts w:ascii="Arial" w:cs="Arial" w:eastAsia="Arial" w:hAnsi="Arial"/>
                <w:sz w:val="14"/>
                <w:szCs w:val="14"/>
                <w:color w:val="auto"/>
              </w:rPr>
              <w:t>sales</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20"/>
              <w:spacing w:after="0" w:line="139" w:lineRule="exact"/>
              <w:rPr>
                <w:sz w:val="20"/>
                <w:szCs w:val="20"/>
                <w:color w:val="auto"/>
              </w:rPr>
            </w:pPr>
            <w:r>
              <w:rPr>
                <w:rFonts w:ascii="Arial" w:cs="Arial" w:eastAsia="Arial" w:hAnsi="Arial"/>
                <w:sz w:val="14"/>
                <w:szCs w:val="14"/>
                <w:color w:val="auto"/>
              </w:rPr>
              <w:t>Litigation</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33.2</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15"/>
              <w:spacing w:after="0"/>
              <w:rPr>
                <w:sz w:val="20"/>
                <w:szCs w:val="20"/>
                <w:color w:val="auto"/>
              </w:rPr>
            </w:pPr>
            <w:r>
              <w:rPr>
                <w:rFonts w:ascii="Arial" w:cs="Arial" w:eastAsia="Arial" w:hAnsi="Arial"/>
                <w:sz w:val="14"/>
                <w:szCs w:val="14"/>
                <w:color w:val="auto"/>
              </w:rPr>
              <w:t>(33.2)</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020" w:type="dxa"/>
            <w:vAlign w:val="bottom"/>
          </w:tcPr>
          <w:p>
            <w:pPr>
              <w:ind w:left="20"/>
              <w:spacing w:after="0"/>
              <w:rPr>
                <w:sz w:val="20"/>
                <w:szCs w:val="20"/>
                <w:color w:val="auto"/>
              </w:rPr>
            </w:pPr>
            <w:r>
              <w:rPr>
                <w:rFonts w:ascii="Arial" w:cs="Arial" w:eastAsia="Arial" w:hAnsi="Arial"/>
                <w:sz w:val="14"/>
                <w:szCs w:val="14"/>
                <w:color w:val="auto"/>
              </w:rPr>
              <w:t>provision, net</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20"/>
              <w:spacing w:after="0" w:line="139" w:lineRule="exact"/>
              <w:rPr>
                <w:sz w:val="20"/>
                <w:szCs w:val="20"/>
                <w:color w:val="auto"/>
              </w:rPr>
            </w:pPr>
            <w:r>
              <w:rPr>
                <w:rFonts w:ascii="Arial" w:cs="Arial" w:eastAsia="Arial" w:hAnsi="Arial"/>
                <w:sz w:val="14"/>
                <w:szCs w:val="14"/>
                <w:color w:val="auto"/>
              </w:rPr>
              <w:t>Other operating</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161.2</w:t>
            </w:r>
          </w:p>
        </w:tc>
        <w:tc>
          <w:tcPr>
            <w:tcW w:w="800" w:type="dxa"/>
            <w:vAlign w:val="bottom"/>
            <w:vMerge w:val="restart"/>
          </w:tcPr>
          <w:p>
            <w:pPr>
              <w:jc w:val="right"/>
              <w:ind w:right="94"/>
              <w:spacing w:after="0"/>
              <w:rPr>
                <w:sz w:val="20"/>
                <w:szCs w:val="20"/>
                <w:color w:val="auto"/>
              </w:rPr>
            </w:pPr>
            <w:r>
              <w:rPr>
                <w:rFonts w:ascii="Arial" w:cs="Arial" w:eastAsia="Arial" w:hAnsi="Arial"/>
                <w:sz w:val="14"/>
                <w:szCs w:val="14"/>
                <w:color w:val="auto"/>
              </w:rPr>
              <w:t>(9.1)</w:t>
            </w:r>
          </w:p>
        </w:tc>
        <w:tc>
          <w:tcPr>
            <w:tcW w:w="940" w:type="dxa"/>
            <w:vAlign w:val="bottom"/>
            <w:vMerge w:val="restart"/>
          </w:tcPr>
          <w:p>
            <w:pPr>
              <w:jc w:val="right"/>
              <w:ind w:right="114"/>
              <w:spacing w:after="0"/>
              <w:rPr>
                <w:sz w:val="20"/>
                <w:szCs w:val="20"/>
                <w:color w:val="auto"/>
              </w:rPr>
            </w:pPr>
            <w:r>
              <w:rPr>
                <w:rFonts w:ascii="Arial" w:cs="Arial" w:eastAsia="Arial" w:hAnsi="Arial"/>
                <w:sz w:val="14"/>
                <w:szCs w:val="14"/>
                <w:color w:val="auto"/>
              </w:rPr>
              <w:t>(7.7)</w:t>
            </w: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color w:val="auto"/>
              </w:rPr>
              <w:t>(10.7)</w:t>
            </w:r>
          </w:p>
        </w:tc>
        <w:tc>
          <w:tcPr>
            <w:tcW w:w="860" w:type="dxa"/>
            <w:vAlign w:val="bottom"/>
            <w:vMerge w:val="restart"/>
          </w:tcPr>
          <w:p>
            <w:pPr>
              <w:jc w:val="right"/>
              <w:ind w:right="113"/>
              <w:spacing w:after="0"/>
              <w:rPr>
                <w:sz w:val="20"/>
                <w:szCs w:val="20"/>
                <w:color w:val="auto"/>
              </w:rPr>
            </w:pPr>
            <w:r>
              <w:rPr>
                <w:rFonts w:ascii="Arial" w:cs="Arial" w:eastAsia="Arial" w:hAnsi="Arial"/>
                <w:sz w:val="14"/>
                <w:szCs w:val="14"/>
                <w:color w:val="auto"/>
              </w:rPr>
              <w:t>(133.7)</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155"/>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020" w:type="dxa"/>
            <w:vAlign w:val="bottom"/>
          </w:tcPr>
          <w:p>
            <w:pPr>
              <w:ind w:left="20"/>
              <w:spacing w:after="0"/>
              <w:rPr>
                <w:sz w:val="20"/>
                <w:szCs w:val="20"/>
                <w:color w:val="auto"/>
              </w:rPr>
            </w:pPr>
            <w:r>
              <w:rPr>
                <w:rFonts w:ascii="Arial" w:cs="Arial" w:eastAsia="Arial" w:hAnsi="Arial"/>
                <w:sz w:val="14"/>
                <w:szCs w:val="14"/>
                <w:color w:val="auto"/>
              </w:rPr>
              <w:t>expenses</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20"/>
              <w:spacing w:after="0" w:line="139" w:lineRule="exact"/>
              <w:rPr>
                <w:sz w:val="20"/>
                <w:szCs w:val="20"/>
                <w:color w:val="auto"/>
              </w:rPr>
            </w:pPr>
            <w:r>
              <w:rPr>
                <w:rFonts w:ascii="Arial" w:cs="Arial" w:eastAsia="Arial" w:hAnsi="Arial"/>
                <w:sz w:val="14"/>
                <w:szCs w:val="14"/>
                <w:color w:val="auto"/>
                <w:w w:val="98"/>
              </w:rPr>
              <w:t>Operating (loss)</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20" w:type="dxa"/>
            <w:vAlign w:val="bottom"/>
          </w:tcPr>
          <w:p>
            <w:pPr>
              <w:ind w:left="20"/>
              <w:spacing w:after="0" w:line="127" w:lineRule="exact"/>
              <w:rPr>
                <w:sz w:val="20"/>
                <w:szCs w:val="20"/>
                <w:color w:val="auto"/>
              </w:rPr>
            </w:pPr>
            <w:r>
              <w:rPr>
                <w:rFonts w:ascii="Arial" w:cs="Arial" w:eastAsia="Arial" w:hAnsi="Arial"/>
                <w:sz w:val="14"/>
                <w:szCs w:val="14"/>
                <w:color w:val="auto"/>
              </w:rPr>
              <w:t>income from</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20" w:type="dxa"/>
            <w:vAlign w:val="bottom"/>
          </w:tcPr>
          <w:p>
            <w:pPr>
              <w:ind w:left="20"/>
              <w:spacing w:after="0" w:line="127"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74"/>
              <w:spacing w:after="0"/>
              <w:rPr>
                <w:sz w:val="20"/>
                <w:szCs w:val="20"/>
                <w:color w:val="auto"/>
              </w:rPr>
            </w:pPr>
            <w:r>
              <w:rPr>
                <w:rFonts w:ascii="Arial" w:cs="Arial" w:eastAsia="Arial" w:hAnsi="Arial"/>
                <w:sz w:val="14"/>
                <w:szCs w:val="14"/>
                <w:color w:val="auto"/>
              </w:rPr>
              <w:t>(144.0)</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9.1</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7.7</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11.2</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136.4</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4.6</w:t>
            </w:r>
          </w:p>
        </w:tc>
        <w:tc>
          <w:tcPr>
            <w:tcW w:w="820" w:type="dxa"/>
            <w:vAlign w:val="bottom"/>
            <w:vMerge w:val="restart"/>
          </w:tcPr>
          <w:p>
            <w:pPr>
              <w:jc w:val="right"/>
              <w:ind w:right="114"/>
              <w:spacing w:after="0"/>
              <w:rPr>
                <w:sz w:val="20"/>
                <w:szCs w:val="20"/>
                <w:color w:val="auto"/>
              </w:rPr>
            </w:pPr>
            <w:r>
              <w:rPr>
                <w:rFonts w:ascii="Arial" w:cs="Arial" w:eastAsia="Arial" w:hAnsi="Arial"/>
                <w:sz w:val="14"/>
                <w:szCs w:val="14"/>
                <w:color w:val="auto"/>
              </w:rPr>
              <w:t>(2.9)</w:t>
            </w:r>
          </w:p>
        </w:tc>
        <w:tc>
          <w:tcPr>
            <w:tcW w:w="1000" w:type="dxa"/>
            <w:vAlign w:val="bottom"/>
            <w:vMerge w:val="restart"/>
          </w:tcPr>
          <w:p>
            <w:pPr>
              <w:jc w:val="right"/>
              <w:ind w:right="155"/>
              <w:spacing w:after="0"/>
              <w:rPr>
                <w:sz w:val="20"/>
                <w:szCs w:val="20"/>
                <w:color w:val="auto"/>
              </w:rPr>
            </w:pPr>
            <w:r>
              <w:rPr>
                <w:rFonts w:ascii="Arial" w:cs="Arial" w:eastAsia="Arial" w:hAnsi="Arial"/>
                <w:sz w:val="14"/>
                <w:szCs w:val="14"/>
                <w:color w:val="auto"/>
              </w:rPr>
              <w:t>24.6</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8.4</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67"/>
        </w:trPr>
        <w:tc>
          <w:tcPr>
            <w:tcW w:w="10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20"/>
              <w:spacing w:after="0" w:line="139" w:lineRule="exact"/>
              <w:rPr>
                <w:sz w:val="20"/>
                <w:szCs w:val="20"/>
                <w:color w:val="auto"/>
              </w:rPr>
            </w:pPr>
            <w:r>
              <w:rPr>
                <w:rFonts w:ascii="Arial" w:cs="Arial" w:eastAsia="Arial" w:hAnsi="Arial"/>
                <w:sz w:val="14"/>
                <w:szCs w:val="14"/>
                <w:color w:val="auto"/>
              </w:rPr>
              <w:t>Operating</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(50.1)%</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3.2 %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3.9 %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47.4 %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8.6 %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2.9 %</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19.2 %</w:t>
            </w:r>
          </w:p>
        </w:tc>
        <w:tc>
          <w:tcPr>
            <w:tcW w:w="0" w:type="dxa"/>
            <w:vAlign w:val="bottom"/>
          </w:tcPr>
          <w:p>
            <w:pPr>
              <w:spacing w:after="0"/>
              <w:rPr>
                <w:sz w:val="1"/>
                <w:szCs w:val="1"/>
                <w:color w:val="auto"/>
              </w:rPr>
            </w:pPr>
          </w:p>
        </w:tc>
      </w:tr>
      <w:tr>
        <w:trPr>
          <w:trHeight w:val="167"/>
        </w:trPr>
        <w:tc>
          <w:tcPr>
            <w:tcW w:w="1020" w:type="dxa"/>
            <w:vAlign w:val="bottom"/>
          </w:tcPr>
          <w:p>
            <w:pPr>
              <w:ind w:left="20"/>
              <w:spacing w:after="0"/>
              <w:rPr>
                <w:sz w:val="20"/>
                <w:szCs w:val="20"/>
                <w:color w:val="auto"/>
              </w:rPr>
            </w:pPr>
            <w:r>
              <w:rPr>
                <w:rFonts w:ascii="Arial" w:cs="Arial" w:eastAsia="Arial" w:hAnsi="Arial"/>
                <w:sz w:val="14"/>
                <w:szCs w:val="14"/>
                <w:color w:val="auto"/>
              </w:rPr>
              <w:t>margin percent</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20"/>
              <w:spacing w:after="0" w:line="139" w:lineRule="exact"/>
              <w:rPr>
                <w:sz w:val="20"/>
                <w:szCs w:val="20"/>
                <w:color w:val="auto"/>
              </w:rPr>
            </w:pPr>
            <w:r>
              <w:rPr>
                <w:rFonts w:ascii="Arial" w:cs="Arial" w:eastAsia="Arial" w:hAnsi="Arial"/>
                <w:sz w:val="14"/>
                <w:szCs w:val="14"/>
                <w:color w:val="auto"/>
              </w:rPr>
              <w:t>Income tax</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20" w:type="dxa"/>
            <w:vAlign w:val="bottom"/>
          </w:tcPr>
          <w:p>
            <w:pPr>
              <w:ind w:left="20"/>
              <w:spacing w:after="0" w:line="127" w:lineRule="exact"/>
              <w:rPr>
                <w:sz w:val="20"/>
                <w:szCs w:val="20"/>
                <w:color w:val="auto"/>
              </w:rPr>
            </w:pPr>
            <w:r>
              <w:rPr>
                <w:rFonts w:ascii="Arial" w:cs="Arial" w:eastAsia="Arial" w:hAnsi="Arial"/>
                <w:sz w:val="14"/>
                <w:szCs w:val="14"/>
                <w:color w:val="auto"/>
              </w:rPr>
              <w:t>(benefit)</w:t>
            </w:r>
          </w:p>
        </w:tc>
        <w:tc>
          <w:tcPr>
            <w:tcW w:w="640" w:type="dxa"/>
            <w:vAlign w:val="bottom"/>
            <w:vMerge w:val="restart"/>
          </w:tcPr>
          <w:p>
            <w:pPr>
              <w:jc w:val="right"/>
              <w:ind w:right="74"/>
              <w:spacing w:after="0"/>
              <w:rPr>
                <w:sz w:val="20"/>
                <w:szCs w:val="20"/>
                <w:color w:val="auto"/>
              </w:rPr>
            </w:pPr>
            <w:r>
              <w:rPr>
                <w:rFonts w:ascii="Arial" w:cs="Arial" w:eastAsia="Arial" w:hAnsi="Arial"/>
                <w:sz w:val="14"/>
                <w:szCs w:val="14"/>
                <w:color w:val="auto"/>
              </w:rPr>
              <w:t>(6.7)</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0.3</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1.1</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1.1</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11.3</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1.0</w:t>
            </w:r>
          </w:p>
        </w:tc>
        <w:tc>
          <w:tcPr>
            <w:tcW w:w="820" w:type="dxa"/>
            <w:vAlign w:val="bottom"/>
            <w:vMerge w:val="restart"/>
          </w:tcPr>
          <w:p>
            <w:pPr>
              <w:jc w:val="right"/>
              <w:ind w:right="114"/>
              <w:spacing w:after="0"/>
              <w:rPr>
                <w:sz w:val="20"/>
                <w:szCs w:val="20"/>
                <w:color w:val="auto"/>
              </w:rPr>
            </w:pPr>
            <w:r>
              <w:rPr>
                <w:rFonts w:ascii="Arial" w:cs="Arial" w:eastAsia="Arial" w:hAnsi="Arial"/>
                <w:sz w:val="14"/>
                <w:szCs w:val="14"/>
                <w:color w:val="auto"/>
              </w:rPr>
              <w:t>(0.6)</w:t>
            </w:r>
          </w:p>
        </w:tc>
        <w:tc>
          <w:tcPr>
            <w:tcW w:w="1000" w:type="dxa"/>
            <w:vAlign w:val="bottom"/>
            <w:vMerge w:val="restart"/>
          </w:tcPr>
          <w:p>
            <w:pPr>
              <w:jc w:val="right"/>
              <w:ind w:right="155"/>
              <w:spacing w:after="0"/>
              <w:rPr>
                <w:sz w:val="20"/>
                <w:szCs w:val="20"/>
                <w:color w:val="auto"/>
              </w:rPr>
            </w:pPr>
            <w:r>
              <w:rPr>
                <w:rFonts w:ascii="Arial" w:cs="Arial" w:eastAsia="Arial" w:hAnsi="Arial"/>
                <w:sz w:val="14"/>
                <w:szCs w:val="14"/>
                <w:color w:val="auto"/>
              </w:rPr>
              <w:t>0.2</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0.4</w:t>
            </w:r>
          </w:p>
        </w:tc>
        <w:tc>
          <w:tcPr>
            <w:tcW w:w="880" w:type="dxa"/>
            <w:vAlign w:val="bottom"/>
            <w:vMerge w:val="restart"/>
          </w:tcPr>
          <w:p>
            <w:pPr>
              <w:ind w:left="440"/>
              <w:spacing w:after="0"/>
              <w:rPr>
                <w:sz w:val="20"/>
                <w:szCs w:val="20"/>
                <w:color w:val="auto"/>
              </w:rPr>
            </w:pPr>
            <w:r>
              <w:rPr>
                <w:rFonts w:ascii="Arial" w:cs="Arial" w:eastAsia="Arial" w:hAnsi="Arial"/>
                <w:sz w:val="14"/>
                <w:szCs w:val="14"/>
                <w:color w:val="auto"/>
              </w:rPr>
              <w:t>(5.6)</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color w:val="auto"/>
              </w:rPr>
              <w:t>0.3</w:t>
            </w: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67"/>
        </w:trPr>
        <w:tc>
          <w:tcPr>
            <w:tcW w:w="1020" w:type="dxa"/>
            <w:vAlign w:val="bottom"/>
          </w:tcPr>
          <w:p>
            <w:pPr>
              <w:ind w:left="20"/>
              <w:spacing w:after="0"/>
              <w:rPr>
                <w:sz w:val="20"/>
                <w:szCs w:val="20"/>
                <w:color w:val="auto"/>
              </w:rPr>
            </w:pPr>
            <w:r>
              <w:rPr>
                <w:rFonts w:ascii="Arial" w:cs="Arial" w:eastAsia="Arial" w:hAnsi="Arial"/>
                <w:sz w:val="14"/>
                <w:szCs w:val="14"/>
                <w:color w:val="auto"/>
              </w:rPr>
              <w:t>expense</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20"/>
              <w:spacing w:after="0" w:line="139" w:lineRule="exact"/>
              <w:rPr>
                <w:sz w:val="20"/>
                <w:szCs w:val="20"/>
                <w:color w:val="auto"/>
              </w:rPr>
            </w:pPr>
            <w:r>
              <w:rPr>
                <w:rFonts w:ascii="Arial" w:cs="Arial" w:eastAsia="Arial" w:hAnsi="Arial"/>
                <w:sz w:val="14"/>
                <w:szCs w:val="14"/>
                <w:color w:val="auto"/>
              </w:rPr>
              <w:t>Net (loss)</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20" w:type="dxa"/>
            <w:vAlign w:val="bottom"/>
          </w:tcPr>
          <w:p>
            <w:pPr>
              <w:ind w:left="20"/>
              <w:spacing w:after="0" w:line="127" w:lineRule="exact"/>
              <w:rPr>
                <w:sz w:val="20"/>
                <w:szCs w:val="20"/>
                <w:color w:val="auto"/>
              </w:rPr>
            </w:pPr>
            <w:r>
              <w:rPr>
                <w:rFonts w:ascii="Arial" w:cs="Arial" w:eastAsia="Arial" w:hAnsi="Arial"/>
                <w:sz w:val="14"/>
                <w:szCs w:val="14"/>
                <w:color w:val="auto"/>
              </w:rPr>
              <w:t>income from</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20" w:type="dxa"/>
            <w:vAlign w:val="bottom"/>
          </w:tcPr>
          <w:p>
            <w:pPr>
              <w:ind w:left="20"/>
              <w:spacing w:after="0" w:line="127"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74"/>
              <w:spacing w:after="0"/>
              <w:rPr>
                <w:sz w:val="20"/>
                <w:szCs w:val="20"/>
                <w:color w:val="auto"/>
              </w:rPr>
            </w:pPr>
            <w:r>
              <w:rPr>
                <w:rFonts w:ascii="Arial" w:cs="Arial" w:eastAsia="Arial" w:hAnsi="Arial"/>
                <w:sz w:val="14"/>
                <w:szCs w:val="14"/>
                <w:color w:val="auto"/>
              </w:rPr>
              <w:t>(143.4)</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8.9</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6.5</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10.2</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125.1</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3.6</w:t>
            </w:r>
          </w:p>
        </w:tc>
        <w:tc>
          <w:tcPr>
            <w:tcW w:w="820" w:type="dxa"/>
            <w:vAlign w:val="bottom"/>
            <w:vMerge w:val="restart"/>
          </w:tcPr>
          <w:p>
            <w:pPr>
              <w:jc w:val="right"/>
              <w:ind w:right="114"/>
              <w:spacing w:after="0"/>
              <w:rPr>
                <w:sz w:val="20"/>
                <w:szCs w:val="20"/>
                <w:color w:val="auto"/>
              </w:rPr>
            </w:pPr>
            <w:r>
              <w:rPr>
                <w:rFonts w:ascii="Arial" w:cs="Arial" w:eastAsia="Arial" w:hAnsi="Arial"/>
                <w:sz w:val="14"/>
                <w:szCs w:val="14"/>
                <w:color w:val="auto"/>
              </w:rPr>
              <w:t>(2.3)</w:t>
            </w:r>
          </w:p>
        </w:tc>
        <w:tc>
          <w:tcPr>
            <w:tcW w:w="1000" w:type="dxa"/>
            <w:vAlign w:val="bottom"/>
            <w:vMerge w:val="restart"/>
          </w:tcPr>
          <w:p>
            <w:pPr>
              <w:jc w:val="right"/>
              <w:ind w:right="155"/>
              <w:spacing w:after="0"/>
              <w:rPr>
                <w:sz w:val="20"/>
                <w:szCs w:val="20"/>
                <w:color w:val="auto"/>
              </w:rPr>
            </w:pPr>
            <w:r>
              <w:rPr>
                <w:rFonts w:ascii="Arial" w:cs="Arial" w:eastAsia="Arial" w:hAnsi="Arial"/>
                <w:sz w:val="14"/>
                <w:szCs w:val="14"/>
                <w:color w:val="auto"/>
              </w:rPr>
              <w:t>24.4</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8.1</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5.6</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color w:val="auto"/>
              </w:rPr>
              <w:t>2.1</w:t>
            </w: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67"/>
        </w:trPr>
        <w:tc>
          <w:tcPr>
            <w:tcW w:w="10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20" w:type="dxa"/>
            <w:vAlign w:val="bottom"/>
          </w:tcPr>
          <w:p>
            <w:pPr>
              <w:ind w:left="20"/>
              <w:spacing w:after="0" w:line="139" w:lineRule="exact"/>
              <w:rPr>
                <w:sz w:val="20"/>
                <w:szCs w:val="20"/>
                <w:color w:val="auto"/>
              </w:rPr>
            </w:pPr>
            <w:r>
              <w:rPr>
                <w:rFonts w:ascii="Arial" w:cs="Arial" w:eastAsia="Arial" w:hAnsi="Arial"/>
                <w:sz w:val="14"/>
                <w:szCs w:val="14"/>
                <w:color w:val="auto"/>
              </w:rPr>
              <w:t>Diluted EPS -</w:t>
            </w: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20" w:type="dxa"/>
            <w:vAlign w:val="bottom"/>
          </w:tcPr>
          <w:p>
            <w:pPr>
              <w:ind w:left="20"/>
              <w:spacing w:after="0" w:line="127" w:lineRule="exact"/>
              <w:rPr>
                <w:sz w:val="20"/>
                <w:szCs w:val="20"/>
                <w:color w:val="auto"/>
              </w:rPr>
            </w:pPr>
            <w:r>
              <w:rPr>
                <w:rFonts w:ascii="Arial" w:cs="Arial" w:eastAsia="Arial" w:hAnsi="Arial"/>
                <w:sz w:val="14"/>
                <w:szCs w:val="14"/>
                <w:color w:val="auto"/>
              </w:rPr>
              <w:t>Continuing</w:t>
            </w:r>
          </w:p>
        </w:tc>
        <w:tc>
          <w:tcPr>
            <w:tcW w:w="640" w:type="dxa"/>
            <w:vAlign w:val="bottom"/>
            <w:vMerge w:val="restart"/>
          </w:tcPr>
          <w:p>
            <w:pPr>
              <w:jc w:val="right"/>
              <w:ind w:right="74"/>
              <w:spacing w:after="0"/>
              <w:rPr>
                <w:sz w:val="20"/>
                <w:szCs w:val="20"/>
                <w:color w:val="auto"/>
              </w:rPr>
            </w:pPr>
            <w:r>
              <w:rPr>
                <w:rFonts w:ascii="Arial" w:cs="Arial" w:eastAsia="Arial" w:hAnsi="Arial"/>
                <w:sz w:val="14"/>
                <w:szCs w:val="14"/>
                <w:color w:val="auto"/>
              </w:rPr>
              <w:t>($2.96)</w:t>
            </w:r>
          </w:p>
        </w:tc>
        <w:tc>
          <w:tcPr>
            <w:tcW w:w="800" w:type="dxa"/>
            <w:vAlign w:val="bottom"/>
            <w:vMerge w:val="restart"/>
          </w:tcPr>
          <w:p>
            <w:pPr>
              <w:jc w:val="right"/>
              <w:ind w:right="134"/>
              <w:spacing w:after="0"/>
              <w:rPr>
                <w:sz w:val="20"/>
                <w:szCs w:val="20"/>
                <w:color w:val="auto"/>
              </w:rPr>
            </w:pPr>
            <w:r>
              <w:rPr>
                <w:rFonts w:ascii="Arial" w:cs="Arial" w:eastAsia="Arial" w:hAnsi="Arial"/>
                <w:sz w:val="14"/>
                <w:szCs w:val="14"/>
                <w:color w:val="auto"/>
              </w:rPr>
              <w:t>$0.18</w:t>
            </w:r>
          </w:p>
        </w:tc>
        <w:tc>
          <w:tcPr>
            <w:tcW w:w="940" w:type="dxa"/>
            <w:vAlign w:val="bottom"/>
            <w:vMerge w:val="restart"/>
          </w:tcPr>
          <w:p>
            <w:pPr>
              <w:jc w:val="right"/>
              <w:ind w:right="154"/>
              <w:spacing w:after="0"/>
              <w:rPr>
                <w:sz w:val="20"/>
                <w:szCs w:val="20"/>
                <w:color w:val="auto"/>
              </w:rPr>
            </w:pPr>
            <w:r>
              <w:rPr>
                <w:rFonts w:ascii="Arial" w:cs="Arial" w:eastAsia="Arial" w:hAnsi="Arial"/>
                <w:sz w:val="14"/>
                <w:szCs w:val="14"/>
                <w:color w:val="auto"/>
              </w:rPr>
              <w:t>$0.13</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$0.21</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$2.56</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$0.07</w:t>
            </w:r>
          </w:p>
        </w:tc>
        <w:tc>
          <w:tcPr>
            <w:tcW w:w="820" w:type="dxa"/>
            <w:vAlign w:val="bottom"/>
            <w:vMerge w:val="restart"/>
          </w:tcPr>
          <w:p>
            <w:pPr>
              <w:jc w:val="right"/>
              <w:ind w:right="114"/>
              <w:spacing w:after="0"/>
              <w:rPr>
                <w:sz w:val="20"/>
                <w:szCs w:val="20"/>
                <w:color w:val="auto"/>
              </w:rPr>
            </w:pPr>
            <w:r>
              <w:rPr>
                <w:rFonts w:ascii="Arial" w:cs="Arial" w:eastAsia="Arial" w:hAnsi="Arial"/>
                <w:sz w:val="14"/>
                <w:szCs w:val="14"/>
                <w:color w:val="auto"/>
              </w:rPr>
              <w:t>($0.05)</w:t>
            </w:r>
          </w:p>
        </w:tc>
        <w:tc>
          <w:tcPr>
            <w:tcW w:w="1000" w:type="dxa"/>
            <w:vAlign w:val="bottom"/>
            <w:vMerge w:val="restart"/>
          </w:tcPr>
          <w:p>
            <w:pPr>
              <w:jc w:val="right"/>
              <w:ind w:right="155"/>
              <w:spacing w:after="0"/>
              <w:rPr>
                <w:sz w:val="20"/>
                <w:szCs w:val="20"/>
                <w:color w:val="auto"/>
              </w:rPr>
            </w:pPr>
            <w:r>
              <w:rPr>
                <w:rFonts w:ascii="Arial" w:cs="Arial" w:eastAsia="Arial" w:hAnsi="Arial"/>
                <w:sz w:val="14"/>
                <w:szCs w:val="14"/>
                <w:color w:val="auto"/>
              </w:rPr>
              <w:t>$0.50</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$0.17</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$0.11</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color w:val="auto"/>
              </w:rPr>
              <w:t>$0.04</w:t>
            </w:r>
          </w:p>
        </w:tc>
        <w:tc>
          <w:tcPr>
            <w:tcW w:w="700" w:type="dxa"/>
            <w:vAlign w:val="bottom"/>
            <w:vMerge w:val="restart"/>
          </w:tcPr>
          <w:p>
            <w:pPr>
              <w:jc w:val="right"/>
              <w:ind w:right="114"/>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1"/>
        </w:trPr>
        <w:tc>
          <w:tcPr>
            <w:tcW w:w="10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three months ended December 31, 2019 include:</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60" w:type="dxa"/>
            <w:vAlign w:val="bottom"/>
          </w:tcPr>
          <w:p>
            <w:pPr>
              <w:spacing w:after="0"/>
              <w:rPr>
                <w:sz w:val="20"/>
                <w:szCs w:val="20"/>
                <w:color w:val="auto"/>
              </w:rPr>
            </w:pPr>
            <w:r>
              <w:rPr>
                <w:rFonts w:ascii="Arial" w:cs="Arial" w:eastAsia="Arial" w:hAnsi="Arial"/>
                <w:sz w:val="14"/>
                <w:szCs w:val="14"/>
                <w:color w:val="auto"/>
              </w:rPr>
              <w:t>(A)</w:t>
            </w:r>
          </w:p>
        </w:tc>
        <w:tc>
          <w:tcPr>
            <w:tcW w:w="10540" w:type="dxa"/>
            <w:vAlign w:val="bottom"/>
            <w:gridSpan w:val="2"/>
          </w:tcPr>
          <w:p>
            <w:pPr>
              <w:ind w:left="80"/>
              <w:spacing w:after="0"/>
              <w:rPr>
                <w:sz w:val="20"/>
                <w:szCs w:val="20"/>
                <w:color w:val="auto"/>
              </w:rPr>
            </w:pPr>
            <w:r>
              <w:rPr>
                <w:rFonts w:ascii="Arial" w:cs="Arial" w:eastAsia="Arial" w:hAnsi="Arial"/>
                <w:sz w:val="14"/>
                <w:szCs w:val="14"/>
                <w:color w:val="auto"/>
              </w:rPr>
              <w:t>Merger and integration expenses related to our legacy companies and recent acquisitions</w:t>
            </w:r>
          </w:p>
        </w:tc>
      </w:tr>
      <w:tr>
        <w:trPr>
          <w:trHeight w:val="178"/>
        </w:trPr>
        <w:tc>
          <w:tcPr>
            <w:tcW w:w="260" w:type="dxa"/>
            <w:vAlign w:val="bottom"/>
          </w:tcPr>
          <w:p>
            <w:pPr>
              <w:spacing w:after="0"/>
              <w:rPr>
                <w:sz w:val="20"/>
                <w:szCs w:val="20"/>
                <w:color w:val="auto"/>
              </w:rPr>
            </w:pPr>
            <w:r>
              <w:rPr>
                <w:rFonts w:ascii="Arial" w:cs="Arial" w:eastAsia="Arial" w:hAnsi="Arial"/>
                <w:sz w:val="14"/>
                <w:szCs w:val="14"/>
                <w:color w:val="auto"/>
              </w:rPr>
              <w:t>(B)</w:t>
            </w:r>
          </w:p>
        </w:tc>
        <w:tc>
          <w:tcPr>
            <w:tcW w:w="5220" w:type="dxa"/>
            <w:vAlign w:val="bottom"/>
          </w:tcPr>
          <w:p>
            <w:pPr>
              <w:ind w:left="80"/>
              <w:spacing w:after="0"/>
              <w:rPr>
                <w:sz w:val="20"/>
                <w:szCs w:val="20"/>
                <w:color w:val="auto"/>
              </w:rPr>
            </w:pPr>
            <w:r>
              <w:rPr>
                <w:rFonts w:ascii="Arial" w:cs="Arial" w:eastAsia="Arial" w:hAnsi="Arial"/>
                <w:sz w:val="14"/>
                <w:szCs w:val="14"/>
                <w:color w:val="auto"/>
              </w:rPr>
              <w:t>Restructuring expenses related to organizational changes</w:t>
            </w:r>
          </w:p>
        </w:tc>
        <w:tc>
          <w:tcPr>
            <w:tcW w:w="5320" w:type="dxa"/>
            <w:vAlign w:val="bottom"/>
          </w:tcPr>
          <w:p>
            <w:pPr>
              <w:spacing w:after="0"/>
              <w:rPr>
                <w:sz w:val="15"/>
                <w:szCs w:val="15"/>
                <w:color w:val="auto"/>
              </w:rPr>
            </w:pPr>
          </w:p>
        </w:tc>
      </w:tr>
      <w:tr>
        <w:trPr>
          <w:trHeight w:val="178"/>
        </w:trPr>
        <w:tc>
          <w:tcPr>
            <w:tcW w:w="260" w:type="dxa"/>
            <w:vAlign w:val="bottom"/>
          </w:tcPr>
          <w:p>
            <w:pPr>
              <w:spacing w:after="0"/>
              <w:rPr>
                <w:sz w:val="20"/>
                <w:szCs w:val="20"/>
                <w:color w:val="auto"/>
              </w:rPr>
            </w:pPr>
            <w:r>
              <w:rPr>
                <w:rFonts w:ascii="Arial" w:cs="Arial" w:eastAsia="Arial" w:hAnsi="Arial"/>
                <w:sz w:val="14"/>
                <w:szCs w:val="14"/>
                <w:color w:val="auto"/>
              </w:rPr>
              <w:t>(C)</w:t>
            </w:r>
          </w:p>
        </w:tc>
        <w:tc>
          <w:tcPr>
            <w:tcW w:w="5220" w:type="dxa"/>
            <w:vAlign w:val="bottom"/>
          </w:tcPr>
          <w:p>
            <w:pPr>
              <w:ind w:left="80"/>
              <w:spacing w:after="0"/>
              <w:rPr>
                <w:sz w:val="20"/>
                <w:szCs w:val="20"/>
                <w:color w:val="auto"/>
              </w:rPr>
            </w:pPr>
            <w:r>
              <w:rPr>
                <w:rFonts w:ascii="Arial" w:cs="Arial" w:eastAsia="Arial" w:hAnsi="Arial"/>
                <w:sz w:val="14"/>
                <w:szCs w:val="14"/>
                <w:color w:val="auto"/>
              </w:rPr>
              <w:t>Includes depreciation and amortization associated with purchase price accounting</w:t>
            </w:r>
          </w:p>
        </w:tc>
        <w:tc>
          <w:tcPr>
            <w:tcW w:w="5320" w:type="dxa"/>
            <w:vAlign w:val="bottom"/>
          </w:tcPr>
          <w:p>
            <w:pPr>
              <w:spacing w:after="0"/>
              <w:rPr>
                <w:sz w:val="15"/>
                <w:szCs w:val="15"/>
                <w:color w:val="auto"/>
              </w:rPr>
            </w:pPr>
          </w:p>
        </w:tc>
      </w:tr>
      <w:tr>
        <w:trPr>
          <w:trHeight w:val="178"/>
        </w:trPr>
        <w:tc>
          <w:tcPr>
            <w:tcW w:w="260" w:type="dxa"/>
            <w:vAlign w:val="bottom"/>
          </w:tcPr>
          <w:p>
            <w:pPr>
              <w:spacing w:after="0"/>
              <w:rPr>
                <w:sz w:val="20"/>
                <w:szCs w:val="20"/>
                <w:color w:val="auto"/>
              </w:rPr>
            </w:pPr>
            <w:r>
              <w:rPr>
                <w:rFonts w:ascii="Arial" w:cs="Arial" w:eastAsia="Arial" w:hAnsi="Arial"/>
                <w:sz w:val="14"/>
                <w:szCs w:val="14"/>
                <w:color w:val="auto"/>
              </w:rPr>
              <w:t>(D)</w:t>
            </w:r>
          </w:p>
        </w:tc>
        <w:tc>
          <w:tcPr>
            <w:tcW w:w="10540" w:type="dxa"/>
            <w:vAlign w:val="bottom"/>
            <w:gridSpan w:val="2"/>
          </w:tcPr>
          <w:p>
            <w:pPr>
              <w:ind w:left="80"/>
              <w:spacing w:after="0"/>
              <w:rPr>
                <w:sz w:val="20"/>
                <w:szCs w:val="20"/>
                <w:color w:val="auto"/>
              </w:rPr>
            </w:pPr>
            <w:r>
              <w:rPr>
                <w:rFonts w:ascii="Arial" w:cs="Arial" w:eastAsia="Arial" w:hAnsi="Arial"/>
                <w:sz w:val="14"/>
                <w:szCs w:val="14"/>
                <w:color w:val="auto"/>
              </w:rPr>
              <w:t>Impairment of Transcatheter Mitral Valve Replacement goodwill, intangible assets and other long-lived assets</w:t>
            </w:r>
          </w:p>
        </w:tc>
      </w:tr>
      <w:tr>
        <w:trPr>
          <w:trHeight w:val="178"/>
        </w:trPr>
        <w:tc>
          <w:tcPr>
            <w:tcW w:w="260" w:type="dxa"/>
            <w:vAlign w:val="bottom"/>
          </w:tcPr>
          <w:p>
            <w:pPr>
              <w:spacing w:after="0"/>
              <w:rPr>
                <w:sz w:val="20"/>
                <w:szCs w:val="20"/>
                <w:color w:val="auto"/>
              </w:rPr>
            </w:pPr>
            <w:r>
              <w:rPr>
                <w:rFonts w:ascii="Arial" w:cs="Arial" w:eastAsia="Arial" w:hAnsi="Arial"/>
                <w:sz w:val="14"/>
                <w:szCs w:val="14"/>
                <w:color w:val="auto"/>
              </w:rPr>
              <w:t>(E)</w:t>
            </w:r>
          </w:p>
        </w:tc>
        <w:tc>
          <w:tcPr>
            <w:tcW w:w="5220" w:type="dxa"/>
            <w:vAlign w:val="bottom"/>
          </w:tcPr>
          <w:p>
            <w:pPr>
              <w:ind w:left="80"/>
              <w:spacing w:after="0"/>
              <w:rPr>
                <w:sz w:val="20"/>
                <w:szCs w:val="20"/>
                <w:color w:val="auto"/>
              </w:rPr>
            </w:pPr>
            <w:r>
              <w:rPr>
                <w:rFonts w:ascii="Arial" w:cs="Arial" w:eastAsia="Arial" w:hAnsi="Arial"/>
                <w:sz w:val="14"/>
                <w:szCs w:val="14"/>
                <w:color w:val="auto"/>
              </w:rPr>
              <w:t>Costs related to the 3T Heater-Cooler remediation plan</w:t>
            </w:r>
          </w:p>
        </w:tc>
        <w:tc>
          <w:tcPr>
            <w:tcW w:w="5320" w:type="dxa"/>
            <w:vAlign w:val="bottom"/>
          </w:tcPr>
          <w:p>
            <w:pPr>
              <w:spacing w:after="0"/>
              <w:rPr>
                <w:sz w:val="15"/>
                <w:szCs w:val="15"/>
                <w:color w:val="auto"/>
              </w:rPr>
            </w:pPr>
          </w:p>
        </w:tc>
      </w:tr>
      <w:tr>
        <w:trPr>
          <w:trHeight w:val="178"/>
        </w:trPr>
        <w:tc>
          <w:tcPr>
            <w:tcW w:w="260" w:type="dxa"/>
            <w:vAlign w:val="bottom"/>
          </w:tcPr>
          <w:p>
            <w:pPr>
              <w:spacing w:after="0"/>
              <w:rPr>
                <w:sz w:val="20"/>
                <w:szCs w:val="20"/>
                <w:color w:val="auto"/>
              </w:rPr>
            </w:pPr>
            <w:r>
              <w:rPr>
                <w:rFonts w:ascii="Arial" w:cs="Arial" w:eastAsia="Arial" w:hAnsi="Arial"/>
                <w:sz w:val="14"/>
                <w:szCs w:val="14"/>
                <w:color w:val="auto"/>
              </w:rPr>
              <w:t>(F)</w:t>
            </w:r>
          </w:p>
        </w:tc>
        <w:tc>
          <w:tcPr>
            <w:tcW w:w="5220" w:type="dxa"/>
            <w:vAlign w:val="bottom"/>
          </w:tcPr>
          <w:p>
            <w:pPr>
              <w:ind w:left="80"/>
              <w:spacing w:after="0"/>
              <w:rPr>
                <w:sz w:val="20"/>
                <w:szCs w:val="20"/>
                <w:color w:val="auto"/>
              </w:rPr>
            </w:pPr>
            <w:r>
              <w:rPr>
                <w:rFonts w:ascii="Arial" w:cs="Arial" w:eastAsia="Arial" w:hAnsi="Arial"/>
                <w:sz w:val="14"/>
                <w:szCs w:val="14"/>
                <w:color w:val="auto"/>
              </w:rPr>
              <w:t>Costs related to acquisitions</w:t>
            </w:r>
          </w:p>
        </w:tc>
        <w:tc>
          <w:tcPr>
            <w:tcW w:w="5320" w:type="dxa"/>
            <w:vAlign w:val="bottom"/>
          </w:tcPr>
          <w:p>
            <w:pPr>
              <w:spacing w:after="0"/>
              <w:rPr>
                <w:sz w:val="15"/>
                <w:szCs w:val="15"/>
                <w:color w:val="auto"/>
              </w:rPr>
            </w:pPr>
          </w:p>
        </w:tc>
      </w:tr>
      <w:tr>
        <w:trPr>
          <w:trHeight w:val="139"/>
        </w:trPr>
        <w:tc>
          <w:tcPr>
            <w:tcW w:w="260" w:type="dxa"/>
            <w:vAlign w:val="bottom"/>
          </w:tcPr>
          <w:p>
            <w:pPr>
              <w:spacing w:after="0" w:line="139" w:lineRule="exact"/>
              <w:rPr>
                <w:sz w:val="20"/>
                <w:szCs w:val="20"/>
                <w:color w:val="auto"/>
              </w:rPr>
            </w:pPr>
            <w:r>
              <w:rPr>
                <w:rFonts w:ascii="Arial" w:cs="Arial" w:eastAsia="Arial" w:hAnsi="Arial"/>
                <w:sz w:val="14"/>
                <w:szCs w:val="14"/>
                <w:color w:val="auto"/>
              </w:rPr>
              <w:t>(G)</w:t>
            </w:r>
          </w:p>
        </w:tc>
        <w:tc>
          <w:tcPr>
            <w:tcW w:w="10540" w:type="dxa"/>
            <w:vAlign w:val="bottom"/>
            <w:gridSpan w:val="2"/>
          </w:tcPr>
          <w:p>
            <w:pPr>
              <w:ind w:left="80"/>
              <w:spacing w:after="0" w:line="139" w:lineRule="exact"/>
              <w:rPr>
                <w:sz w:val="20"/>
                <w:szCs w:val="20"/>
                <w:color w:val="auto"/>
              </w:rPr>
            </w:pPr>
            <w:r>
              <w:rPr>
                <w:rFonts w:ascii="Arial" w:cs="Arial" w:eastAsia="Arial" w:hAnsi="Arial"/>
                <w:sz w:val="14"/>
                <w:szCs w:val="14"/>
                <w:color w:val="auto"/>
                <w:w w:val="96"/>
              </w:rPr>
              <w:t>3T Heater-Cooler litigation provision, legal expenses primarily related to 3T Heater-Cooler defense, settlements and other matters, remeasurement of contingent consideration</w:t>
            </w:r>
          </w:p>
        </w:tc>
      </w:tr>
      <w:tr>
        <w:trPr>
          <w:trHeight w:val="167"/>
        </w:trPr>
        <w:tc>
          <w:tcPr>
            <w:tcW w:w="260" w:type="dxa"/>
            <w:vAlign w:val="bottom"/>
          </w:tcPr>
          <w:p>
            <w:pPr>
              <w:spacing w:after="0"/>
              <w:rPr>
                <w:sz w:val="14"/>
                <w:szCs w:val="14"/>
                <w:color w:val="auto"/>
              </w:rPr>
            </w:pPr>
          </w:p>
        </w:tc>
        <w:tc>
          <w:tcPr>
            <w:tcW w:w="5220" w:type="dxa"/>
            <w:vAlign w:val="bottom"/>
          </w:tcPr>
          <w:p>
            <w:pPr>
              <w:ind w:left="80"/>
              <w:spacing w:after="0"/>
              <w:rPr>
                <w:sz w:val="20"/>
                <w:szCs w:val="20"/>
                <w:color w:val="auto"/>
              </w:rPr>
            </w:pPr>
            <w:r>
              <w:rPr>
                <w:rFonts w:ascii="Arial" w:cs="Arial" w:eastAsia="Arial" w:hAnsi="Arial"/>
                <w:sz w:val="14"/>
                <w:szCs w:val="14"/>
                <w:color w:val="auto"/>
              </w:rPr>
              <w:t>related to acquisitions and AR reserves</w:t>
            </w:r>
          </w:p>
        </w:tc>
        <w:tc>
          <w:tcPr>
            <w:tcW w:w="5320" w:type="dxa"/>
            <w:vAlign w:val="bottom"/>
          </w:tcPr>
          <w:p>
            <w:pPr>
              <w:spacing w:after="0"/>
              <w:rPr>
                <w:sz w:val="14"/>
                <w:szCs w:val="14"/>
                <w:color w:val="auto"/>
              </w:rPr>
            </w:pPr>
          </w:p>
        </w:tc>
      </w:tr>
      <w:tr>
        <w:trPr>
          <w:trHeight w:val="178"/>
        </w:trPr>
        <w:tc>
          <w:tcPr>
            <w:tcW w:w="260" w:type="dxa"/>
            <w:vAlign w:val="bottom"/>
          </w:tcPr>
          <w:p>
            <w:pPr>
              <w:spacing w:after="0"/>
              <w:rPr>
                <w:sz w:val="20"/>
                <w:szCs w:val="20"/>
                <w:color w:val="auto"/>
              </w:rPr>
            </w:pPr>
            <w:r>
              <w:rPr>
                <w:rFonts w:ascii="Arial" w:cs="Arial" w:eastAsia="Arial" w:hAnsi="Arial"/>
                <w:sz w:val="14"/>
                <w:szCs w:val="14"/>
                <w:color w:val="auto"/>
              </w:rPr>
              <w:t>(H)</w:t>
            </w:r>
          </w:p>
        </w:tc>
        <w:tc>
          <w:tcPr>
            <w:tcW w:w="5220" w:type="dxa"/>
            <w:vAlign w:val="bottom"/>
          </w:tcPr>
          <w:p>
            <w:pPr>
              <w:ind w:left="80"/>
              <w:spacing w:after="0"/>
              <w:rPr>
                <w:sz w:val="20"/>
                <w:szCs w:val="20"/>
                <w:color w:val="auto"/>
              </w:rPr>
            </w:pPr>
            <w:r>
              <w:rPr>
                <w:rFonts w:ascii="Arial" w:cs="Arial" w:eastAsia="Arial" w:hAnsi="Arial"/>
                <w:sz w:val="14"/>
                <w:szCs w:val="14"/>
                <w:color w:val="auto"/>
              </w:rPr>
              <w:t>Non-cash expenses associated with stock-based compensation costs</w:t>
            </w:r>
          </w:p>
        </w:tc>
        <w:tc>
          <w:tcPr>
            <w:tcW w:w="5320" w:type="dxa"/>
            <w:vAlign w:val="bottom"/>
          </w:tcPr>
          <w:p>
            <w:pPr>
              <w:spacing w:after="0"/>
              <w:rPr>
                <w:sz w:val="15"/>
                <w:szCs w:val="15"/>
                <w:color w:val="auto"/>
              </w:rPr>
            </w:pPr>
          </w:p>
        </w:tc>
      </w:tr>
      <w:tr>
        <w:trPr>
          <w:trHeight w:val="178"/>
        </w:trPr>
        <w:tc>
          <w:tcPr>
            <w:tcW w:w="260" w:type="dxa"/>
            <w:vAlign w:val="bottom"/>
          </w:tcPr>
          <w:p>
            <w:pPr>
              <w:spacing w:after="0"/>
              <w:rPr>
                <w:sz w:val="20"/>
                <w:szCs w:val="20"/>
                <w:color w:val="auto"/>
              </w:rPr>
            </w:pPr>
            <w:r>
              <w:rPr>
                <w:rFonts w:ascii="Arial" w:cs="Arial" w:eastAsia="Arial" w:hAnsi="Arial"/>
                <w:sz w:val="14"/>
                <w:szCs w:val="14"/>
                <w:color w:val="auto"/>
              </w:rPr>
              <w:t>(I)</w:t>
            </w:r>
          </w:p>
        </w:tc>
        <w:tc>
          <w:tcPr>
            <w:tcW w:w="5220" w:type="dxa"/>
            <w:vAlign w:val="bottom"/>
          </w:tcPr>
          <w:p>
            <w:pPr>
              <w:ind w:left="80"/>
              <w:spacing w:after="0"/>
              <w:rPr>
                <w:sz w:val="20"/>
                <w:szCs w:val="20"/>
                <w:color w:val="auto"/>
              </w:rPr>
            </w:pPr>
            <w:r>
              <w:rPr>
                <w:rFonts w:ascii="Arial" w:cs="Arial" w:eastAsia="Arial" w:hAnsi="Arial"/>
                <w:sz w:val="14"/>
                <w:szCs w:val="14"/>
                <w:color w:val="auto"/>
                <w:w w:val="96"/>
              </w:rPr>
              <w:t>Primarily relates to discrete tax items and the tax impact of intercompany transactions</w:t>
            </w:r>
          </w:p>
        </w:tc>
        <w:tc>
          <w:tcPr>
            <w:tcW w:w="5320" w:type="dxa"/>
            <w:vAlign w:val="bottom"/>
          </w:tcPr>
          <w:p>
            <w:pPr>
              <w:spacing w:after="0"/>
              <w:rPr>
                <w:sz w:val="15"/>
                <w:szCs w:val="15"/>
                <w:color w:val="auto"/>
              </w:rPr>
            </w:pPr>
          </w:p>
        </w:tc>
      </w:tr>
      <w:tr>
        <w:trPr>
          <w:trHeight w:val="139"/>
        </w:trPr>
        <w:tc>
          <w:tcPr>
            <w:tcW w:w="260" w:type="dxa"/>
            <w:vAlign w:val="bottom"/>
          </w:tcPr>
          <w:p>
            <w:pPr>
              <w:spacing w:after="0" w:line="139" w:lineRule="exact"/>
              <w:rPr>
                <w:sz w:val="20"/>
                <w:szCs w:val="20"/>
                <w:color w:val="auto"/>
              </w:rPr>
            </w:pPr>
            <w:r>
              <w:rPr>
                <w:rFonts w:ascii="Arial" w:cs="Arial" w:eastAsia="Arial" w:hAnsi="Arial"/>
                <w:sz w:val="14"/>
                <w:szCs w:val="14"/>
                <w:color w:val="auto"/>
              </w:rPr>
              <w:t>(J)</w:t>
            </w:r>
          </w:p>
        </w:tc>
        <w:tc>
          <w:tcPr>
            <w:tcW w:w="10540" w:type="dxa"/>
            <w:vAlign w:val="bottom"/>
            <w:gridSpan w:val="2"/>
          </w:tcPr>
          <w:p>
            <w:pPr>
              <w:ind w:left="80"/>
              <w:spacing w:after="0" w:line="139" w:lineRule="exact"/>
              <w:rPr>
                <w:sz w:val="20"/>
                <w:szCs w:val="20"/>
                <w:color w:val="auto"/>
              </w:rPr>
            </w:pPr>
            <w:r>
              <w:rPr>
                <w:rFonts w:ascii="Arial" w:cs="Arial" w:eastAsia="Arial" w:hAnsi="Arial"/>
                <w:sz w:val="14"/>
                <w:szCs w:val="14"/>
                <w:color w:val="auto"/>
              </w:rPr>
              <w:t>Primarily relates to intellectual property migration, interest related to 3T Heater-Cooler litigation settlement and other non-recurring impacts to interest expense</w:t>
            </w:r>
          </w:p>
        </w:tc>
      </w:tr>
      <w:tr>
        <w:trPr>
          <w:trHeight w:val="276"/>
        </w:trPr>
        <w:tc>
          <w:tcPr>
            <w:tcW w:w="5480" w:type="dxa"/>
            <w:vAlign w:val="bottom"/>
            <w:gridSpan w:val="2"/>
          </w:tcPr>
          <w:p>
            <w:pPr>
              <w:spacing w:after="0"/>
              <w:rPr>
                <w:sz w:val="20"/>
                <w:szCs w:val="20"/>
                <w:color w:val="auto"/>
              </w:rPr>
            </w:pPr>
            <w:r>
              <w:rPr>
                <w:rFonts w:ascii="Arial" w:cs="Arial" w:eastAsia="Arial" w:hAnsi="Arial"/>
                <w:sz w:val="14"/>
                <w:szCs w:val="14"/>
                <w:color w:val="auto"/>
              </w:rPr>
              <w:t>* Numbers may not add precisely due to rounding.</w:t>
            </w:r>
          </w:p>
        </w:tc>
        <w:tc>
          <w:tcPr>
            <w:tcW w:w="5320" w:type="dxa"/>
            <w:vAlign w:val="bottom"/>
          </w:tcPr>
          <w:p>
            <w:pPr>
              <w:jc w:val="right"/>
              <w:ind w:right="4978"/>
              <w:spacing w:after="0"/>
              <w:rPr>
                <w:sz w:val="20"/>
                <w:szCs w:val="20"/>
                <w:color w:val="auto"/>
              </w:rPr>
            </w:pPr>
            <w:r>
              <w:rPr>
                <w:rFonts w:ascii="Arial" w:cs="Arial" w:eastAsia="Arial" w:hAnsi="Arial"/>
                <w:sz w:val="20"/>
                <w:szCs w:val="20"/>
                <w:color w:val="auto"/>
                <w:w w:val="98"/>
              </w:rPr>
              <w:t>17</w:t>
            </w:r>
          </w:p>
        </w:tc>
      </w:tr>
    </w:tbl>
    <w:p>
      <w:pPr>
        <w:sectPr>
          <w:pgSz w:w="11900" w:h="16838" w:orient="portrait"/>
          <w:cols w:equalWidth="0" w:num="1">
            <w:col w:w="11240"/>
          </w:cols>
          <w:pgMar w:left="320" w:top="849"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1481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825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4"/>
          <w:szCs w:val="14"/>
          <w:b w:val="1"/>
          <w:bCs w:val="1"/>
          <w:color w:val="auto"/>
        </w:rPr>
        <w:t>Specified Items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7"/>
              </w:rPr>
              <w:t>Non-recurring</w:t>
            </w:r>
          </w:p>
        </w:tc>
        <w:tc>
          <w:tcPr>
            <w:tcW w:w="9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Depreciation</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Legal,</w:t>
            </w: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Twelve Months</w:t>
            </w:r>
          </w:p>
        </w:tc>
        <w:tc>
          <w:tcPr>
            <w:tcW w:w="600" w:type="dxa"/>
            <w:vAlign w:val="bottom"/>
          </w:tcPr>
          <w:p>
            <w:pPr>
              <w:spacing w:after="0"/>
              <w:rPr>
                <w:sz w:val="9"/>
                <w:szCs w:val="9"/>
                <w:color w:val="auto"/>
              </w:rPr>
            </w:pPr>
          </w:p>
        </w:tc>
        <w:tc>
          <w:tcPr>
            <w:tcW w:w="8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Merger and</w:t>
            </w:r>
          </w:p>
        </w:tc>
        <w:tc>
          <w:tcPr>
            <w:tcW w:w="9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Product</w:t>
            </w:r>
          </w:p>
        </w:tc>
        <w:tc>
          <w:tcPr>
            <w:tcW w:w="900" w:type="dxa"/>
            <w:vAlign w:val="bottom"/>
          </w:tcPr>
          <w:p>
            <w:pPr>
              <w:spacing w:after="0"/>
              <w:rPr>
                <w:sz w:val="9"/>
                <w:szCs w:val="9"/>
                <w:color w:val="auto"/>
              </w:rPr>
            </w:pPr>
          </w:p>
        </w:tc>
        <w:tc>
          <w:tcPr>
            <w:tcW w:w="9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Contingent</w:t>
            </w: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Stock-based</w:t>
            </w:r>
          </w:p>
        </w:tc>
        <w:tc>
          <w:tcPr>
            <w:tcW w:w="90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Certain</w:t>
            </w: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120" w:type="dxa"/>
            <w:vAlign w:val="bottom"/>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GAAP</w:t>
            </w:r>
          </w:p>
        </w:tc>
        <w:tc>
          <w:tcPr>
            <w:tcW w:w="800" w:type="dxa"/>
            <w:vAlign w:val="bottom"/>
            <w:vMerge w:val="continue"/>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Restructuring</w:t>
            </w:r>
          </w:p>
        </w:tc>
        <w:tc>
          <w:tcPr>
            <w:tcW w:w="9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3"/>
              </w:rPr>
              <w:t>and</w:t>
            </w:r>
          </w:p>
        </w:tc>
        <w:tc>
          <w:tcPr>
            <w:tcW w:w="8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Financing</w:t>
            </w:r>
          </w:p>
        </w:tc>
        <w:tc>
          <w:tcPr>
            <w:tcW w:w="960" w:type="dxa"/>
            <w:vAlign w:val="bottom"/>
          </w:tcPr>
          <w:p>
            <w:pPr>
              <w:jc w:val="center"/>
              <w:ind w:right="15"/>
              <w:spacing w:after="0" w:line="115" w:lineRule="exact"/>
              <w:rPr>
                <w:sz w:val="20"/>
                <w:szCs w:val="20"/>
                <w:color w:val="auto"/>
              </w:rPr>
            </w:pPr>
            <w:r>
              <w:rPr>
                <w:rFonts w:ascii="Arial" w:cs="Arial" w:eastAsia="Arial" w:hAnsi="Arial"/>
                <w:sz w:val="12"/>
                <w:szCs w:val="12"/>
                <w:b w:val="1"/>
                <w:bCs w:val="1"/>
                <w:color w:val="auto"/>
                <w:w w:val="99"/>
              </w:rPr>
              <w:t>Consideration</w:t>
            </w:r>
          </w:p>
        </w:tc>
        <w:tc>
          <w:tcPr>
            <w:tcW w:w="980" w:type="dxa"/>
            <w:vAlign w:val="bottom"/>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Certain Tax</w:t>
            </w:r>
          </w:p>
        </w:tc>
        <w:tc>
          <w:tcPr>
            <w:tcW w:w="860" w:type="dxa"/>
            <w:vAlign w:val="bottom"/>
            <w:vMerge w:val="continue"/>
          </w:tcPr>
          <w:p>
            <w:pPr>
              <w:spacing w:after="0"/>
              <w:rPr>
                <w:sz w:val="9"/>
                <w:szCs w:val="9"/>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5"/>
        </w:trPr>
        <w:tc>
          <w:tcPr>
            <w:tcW w:w="1120" w:type="dxa"/>
            <w:vAlign w:val="bottom"/>
          </w:tcPr>
          <w:p>
            <w:pPr>
              <w:ind w:left="20"/>
              <w:spacing w:after="0" w:line="115" w:lineRule="exact"/>
              <w:rPr>
                <w:sz w:val="20"/>
                <w:szCs w:val="20"/>
                <w:color w:val="auto"/>
              </w:rPr>
            </w:pPr>
            <w:r>
              <w:rPr>
                <w:rFonts w:ascii="Arial" w:cs="Arial" w:eastAsia="Arial" w:hAnsi="Arial"/>
                <w:sz w:val="12"/>
                <w:szCs w:val="12"/>
                <w:b w:val="1"/>
                <w:bCs w:val="1"/>
                <w:color w:val="auto"/>
              </w:rPr>
              <w:t>Ended</w:t>
            </w:r>
          </w:p>
        </w:tc>
        <w:tc>
          <w:tcPr>
            <w:tcW w:w="600" w:type="dxa"/>
            <w:vAlign w:val="bottom"/>
            <w:vMerge w:val="continue"/>
          </w:tcPr>
          <w:p>
            <w:pPr>
              <w:spacing w:after="0"/>
              <w:rPr>
                <w:sz w:val="9"/>
                <w:szCs w:val="9"/>
                <w:color w:val="auto"/>
              </w:rPr>
            </w:pPr>
          </w:p>
        </w:tc>
        <w:tc>
          <w:tcPr>
            <w:tcW w:w="8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Integration</w:t>
            </w:r>
          </w:p>
        </w:tc>
        <w:tc>
          <w:tcPr>
            <w:tcW w:w="920" w:type="dxa"/>
            <w:vAlign w:val="bottom"/>
            <w:vMerge w:val="continue"/>
          </w:tcPr>
          <w:p>
            <w:pPr>
              <w:spacing w:after="0"/>
              <w:rPr>
                <w:sz w:val="9"/>
                <w:szCs w:val="9"/>
                <w:color w:val="auto"/>
              </w:rPr>
            </w:pPr>
          </w:p>
        </w:tc>
        <w:tc>
          <w:tcPr>
            <w:tcW w:w="9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8"/>
              </w:rPr>
              <w:t>Amortization</w:t>
            </w:r>
          </w:p>
        </w:tc>
        <w:tc>
          <w:tcPr>
            <w:tcW w:w="860" w:type="dxa"/>
            <w:vAlign w:val="bottom"/>
            <w:vMerge w:val="restart"/>
          </w:tcPr>
          <w:p>
            <w:pPr>
              <w:jc w:val="right"/>
              <w:ind w:right="33"/>
              <w:spacing w:after="0"/>
              <w:rPr>
                <w:sz w:val="20"/>
                <w:szCs w:val="20"/>
                <w:color w:val="auto"/>
              </w:rPr>
            </w:pPr>
            <w:r>
              <w:rPr>
                <w:rFonts w:ascii="Arial" w:cs="Arial" w:eastAsia="Arial" w:hAnsi="Arial"/>
                <w:sz w:val="12"/>
                <w:szCs w:val="12"/>
                <w:b w:val="1"/>
                <w:bCs w:val="1"/>
                <w:color w:val="auto"/>
              </w:rPr>
              <w:t>Impairments</w:t>
            </w: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Remediation</w:t>
            </w:r>
          </w:p>
        </w:tc>
        <w:tc>
          <w:tcPr>
            <w:tcW w:w="900" w:type="dxa"/>
            <w:vAlign w:val="bottom"/>
            <w:vMerge w:val="continue"/>
          </w:tcPr>
          <w:p>
            <w:pPr>
              <w:spacing w:after="0"/>
              <w:rPr>
                <w:sz w:val="9"/>
                <w:szCs w:val="9"/>
                <w:color w:val="auto"/>
              </w:rPr>
            </w:pPr>
          </w:p>
        </w:tc>
        <w:tc>
          <w:tcPr>
            <w:tcW w:w="960" w:type="dxa"/>
            <w:vAlign w:val="bottom"/>
          </w:tcPr>
          <w:p>
            <w:pPr>
              <w:jc w:val="center"/>
              <w:ind w:right="15"/>
              <w:spacing w:after="0" w:line="115" w:lineRule="exact"/>
              <w:rPr>
                <w:sz w:val="20"/>
                <w:szCs w:val="20"/>
                <w:color w:val="auto"/>
              </w:rPr>
            </w:pPr>
            <w:r>
              <w:rPr>
                <w:rFonts w:ascii="Arial" w:cs="Arial" w:eastAsia="Arial" w:hAnsi="Arial"/>
                <w:sz w:val="12"/>
                <w:szCs w:val="12"/>
                <w:b w:val="1"/>
                <w:bCs w:val="1"/>
                <w:color w:val="auto"/>
                <w:w w:val="98"/>
              </w:rPr>
              <w:t>and Other</w:t>
            </w:r>
          </w:p>
        </w:tc>
        <w:tc>
          <w:tcPr>
            <w:tcW w:w="9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Compensation</w:t>
            </w:r>
          </w:p>
        </w:tc>
        <w:tc>
          <w:tcPr>
            <w:tcW w:w="900" w:type="dxa"/>
            <w:vAlign w:val="bottom"/>
            <w:vMerge w:val="continue"/>
          </w:tcPr>
          <w:p>
            <w:pPr>
              <w:spacing w:after="0"/>
              <w:rPr>
                <w:sz w:val="9"/>
                <w:szCs w:val="9"/>
                <w:color w:val="auto"/>
              </w:rPr>
            </w:pP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6"/>
              </w:rPr>
              <w:t>Interest</w:t>
            </w: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120" w:type="dxa"/>
            <w:vAlign w:val="bottom"/>
          </w:tcPr>
          <w:p>
            <w:pPr>
              <w:ind w:left="20"/>
              <w:spacing w:after="0" w:line="115" w:lineRule="exact"/>
              <w:rPr>
                <w:sz w:val="20"/>
                <w:szCs w:val="20"/>
                <w:color w:val="auto"/>
              </w:rPr>
            </w:pPr>
            <w:r>
              <w:rPr>
                <w:rFonts w:ascii="Arial" w:cs="Arial" w:eastAsia="Arial" w:hAnsi="Arial"/>
                <w:sz w:val="12"/>
                <w:szCs w:val="12"/>
                <w:b w:val="1"/>
                <w:bCs w:val="1"/>
                <w:color w:val="auto"/>
              </w:rPr>
              <w:t>December 31,</w:t>
            </w:r>
          </w:p>
        </w:tc>
        <w:tc>
          <w:tcPr>
            <w:tcW w:w="6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Financial</w:t>
            </w:r>
          </w:p>
        </w:tc>
        <w:tc>
          <w:tcPr>
            <w:tcW w:w="800" w:type="dxa"/>
            <w:vAlign w:val="bottom"/>
          </w:tcPr>
          <w:p>
            <w:pPr>
              <w:jc w:val="center"/>
              <w:ind w:right="14"/>
              <w:spacing w:after="0" w:line="115" w:lineRule="exact"/>
              <w:rPr>
                <w:sz w:val="20"/>
                <w:szCs w:val="20"/>
                <w:color w:val="auto"/>
              </w:rPr>
            </w:pPr>
            <w:r>
              <w:rPr>
                <w:rFonts w:ascii="Arial" w:cs="Arial" w:eastAsia="Arial" w:hAnsi="Arial"/>
                <w:sz w:val="12"/>
                <w:szCs w:val="12"/>
                <w:b w:val="1"/>
                <w:bCs w:val="1"/>
                <w:color w:val="auto"/>
                <w:w w:val="99"/>
              </w:rPr>
              <w:t>Expenses</w:t>
            </w:r>
          </w:p>
        </w:tc>
        <w:tc>
          <w:tcPr>
            <w:tcW w:w="920" w:type="dxa"/>
            <w:vAlign w:val="bottom"/>
          </w:tcPr>
          <w:p>
            <w:pPr>
              <w:jc w:val="center"/>
              <w:ind w:right="14"/>
              <w:spacing w:after="0" w:line="115" w:lineRule="exact"/>
              <w:rPr>
                <w:sz w:val="20"/>
                <w:szCs w:val="20"/>
                <w:color w:val="auto"/>
              </w:rPr>
            </w:pPr>
            <w:r>
              <w:rPr>
                <w:rFonts w:ascii="Arial" w:cs="Arial" w:eastAsia="Arial" w:hAnsi="Arial"/>
                <w:sz w:val="12"/>
                <w:szCs w:val="12"/>
                <w:b w:val="1"/>
                <w:bCs w:val="1"/>
                <w:color w:val="auto"/>
                <w:w w:val="99"/>
              </w:rPr>
              <w:t>Expenses</w:t>
            </w:r>
          </w:p>
        </w:tc>
        <w:tc>
          <w:tcPr>
            <w:tcW w:w="90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w w:val="99"/>
              </w:rPr>
              <w:t>Expenses</w:t>
            </w:r>
          </w:p>
        </w:tc>
        <w:tc>
          <w:tcPr>
            <w:tcW w:w="860" w:type="dxa"/>
            <w:vAlign w:val="bottom"/>
            <w:vMerge w:val="continue"/>
          </w:tcPr>
          <w:p>
            <w:pPr>
              <w:spacing w:after="0"/>
              <w:rPr>
                <w:sz w:val="9"/>
                <w:szCs w:val="9"/>
                <w:color w:val="auto"/>
              </w:rPr>
            </w:pPr>
          </w:p>
        </w:tc>
        <w:tc>
          <w:tcPr>
            <w:tcW w:w="860" w:type="dxa"/>
            <w:vAlign w:val="bottom"/>
          </w:tcPr>
          <w:p>
            <w:pPr>
              <w:jc w:val="center"/>
              <w:ind w:right="14"/>
              <w:spacing w:after="0" w:line="115" w:lineRule="exact"/>
              <w:rPr>
                <w:sz w:val="20"/>
                <w:szCs w:val="20"/>
                <w:color w:val="auto"/>
              </w:rPr>
            </w:pPr>
            <w:r>
              <w:rPr>
                <w:rFonts w:ascii="Arial" w:cs="Arial" w:eastAsia="Arial" w:hAnsi="Arial"/>
                <w:sz w:val="12"/>
                <w:szCs w:val="12"/>
                <w:b w:val="1"/>
                <w:bCs w:val="1"/>
                <w:color w:val="auto"/>
                <w:w w:val="96"/>
              </w:rPr>
              <w:t>Expenses</w:t>
            </w:r>
          </w:p>
        </w:tc>
        <w:tc>
          <w:tcPr>
            <w:tcW w:w="9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Transactions</w:t>
            </w:r>
          </w:p>
        </w:tc>
        <w:tc>
          <w:tcPr>
            <w:tcW w:w="9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rPr>
              <w:t>Reserves</w:t>
            </w:r>
          </w:p>
        </w:tc>
        <w:tc>
          <w:tcPr>
            <w:tcW w:w="98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w w:val="95"/>
              </w:rPr>
              <w:t>Costs</w:t>
            </w:r>
          </w:p>
        </w:tc>
        <w:tc>
          <w:tcPr>
            <w:tcW w:w="90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w w:val="99"/>
              </w:rPr>
              <w:t>Adjustments</w:t>
            </w:r>
          </w:p>
        </w:tc>
        <w:tc>
          <w:tcPr>
            <w:tcW w:w="8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Adjustments</w:t>
            </w:r>
          </w:p>
        </w:tc>
        <w:tc>
          <w:tcPr>
            <w:tcW w:w="600" w:type="dxa"/>
            <w:vAlign w:val="bottom"/>
          </w:tcPr>
          <w:p>
            <w:pPr>
              <w:ind w:left="40"/>
              <w:spacing w:after="0" w:line="115"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66"/>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Measures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(G)</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w:t>
            </w: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33"/>
        </w:trPr>
        <w:tc>
          <w:tcPr>
            <w:tcW w:w="1120" w:type="dxa"/>
            <w:vAlign w:val="bottom"/>
          </w:tcPr>
          <w:p>
            <w:pPr>
              <w:ind w:left="20"/>
              <w:spacing w:after="0" w:line="133" w:lineRule="exact"/>
              <w:rPr>
                <w:sz w:val="20"/>
                <w:szCs w:val="20"/>
                <w:color w:val="auto"/>
              </w:rPr>
            </w:pPr>
            <w:r>
              <w:rPr>
                <w:rFonts w:ascii="Arial" w:cs="Arial" w:eastAsia="Arial" w:hAnsi="Arial"/>
                <w:sz w:val="14"/>
                <w:szCs w:val="14"/>
                <w:color w:val="auto"/>
              </w:rPr>
              <w:t>Cost of sales -</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exclusive of</w:t>
            </w:r>
          </w:p>
        </w:tc>
        <w:tc>
          <w:tcPr>
            <w:tcW w:w="600" w:type="dxa"/>
            <w:vAlign w:val="bottom"/>
            <w:vMerge w:val="restart"/>
          </w:tcPr>
          <w:p>
            <w:pPr>
              <w:jc w:val="right"/>
              <w:ind w:right="94"/>
              <w:spacing w:after="0"/>
              <w:rPr>
                <w:sz w:val="20"/>
                <w:szCs w:val="20"/>
                <w:color w:val="auto"/>
              </w:rPr>
            </w:pPr>
            <w:r>
              <w:rPr>
                <w:rFonts w:ascii="Arial" w:cs="Arial" w:eastAsia="Arial" w:hAnsi="Arial"/>
                <w:sz w:val="14"/>
                <w:szCs w:val="14"/>
                <w:color w:val="auto"/>
                <w:w w:val="97"/>
              </w:rPr>
              <w:t>$308.1</w:t>
            </w: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color w:val="auto"/>
              </w:rPr>
              <w:t>($1.4)</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color w:val="auto"/>
              </w:rPr>
              <w:t>$12.2</w:t>
            </w:r>
          </w:p>
        </w:tc>
        <w:tc>
          <w:tcPr>
            <w:tcW w:w="980" w:type="dxa"/>
            <w:vAlign w:val="bottom"/>
            <w:vMerge w:val="restart"/>
          </w:tcPr>
          <w:p>
            <w:pPr>
              <w:jc w:val="right"/>
              <w:ind w:right="94"/>
              <w:spacing w:after="0"/>
              <w:rPr>
                <w:sz w:val="20"/>
                <w:szCs w:val="20"/>
                <w:color w:val="auto"/>
              </w:rPr>
            </w:pPr>
            <w:r>
              <w:rPr>
                <w:rFonts w:ascii="Arial" w:cs="Arial" w:eastAsia="Arial" w:hAnsi="Arial"/>
                <w:sz w:val="14"/>
                <w:szCs w:val="14"/>
                <w:color w:val="auto"/>
              </w:rPr>
              <w:t>($1.9)</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94"/>
              <w:spacing w:after="0"/>
              <w:rPr>
                <w:sz w:val="20"/>
                <w:szCs w:val="20"/>
                <w:color w:val="auto"/>
              </w:rPr>
            </w:pPr>
            <w:r>
              <w:rPr>
                <w:rFonts w:ascii="Arial" w:cs="Arial" w:eastAsia="Arial" w:hAnsi="Arial"/>
                <w:sz w:val="14"/>
                <w:szCs w:val="14"/>
                <w:color w:val="auto"/>
                <w:w w:val="97"/>
              </w:rPr>
              <w:t>$317.0</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Product</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7.9</w:t>
            </w: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color w:val="auto"/>
              </w:rPr>
              <w:t>(7.9)</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remediation</w:t>
            </w: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Gross profit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66.2 %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0.8 %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ind w:left="540"/>
              <w:spacing w:after="0"/>
              <w:rPr>
                <w:sz w:val="20"/>
                <w:szCs w:val="20"/>
                <w:color w:val="auto"/>
              </w:rPr>
            </w:pPr>
            <w:r>
              <w:rPr>
                <w:rFonts w:ascii="Arial" w:cs="Arial" w:eastAsia="Arial" w:hAnsi="Arial"/>
                <w:sz w:val="14"/>
                <w:szCs w:val="14"/>
                <w:color w:val="auto"/>
                <w:w w:val="98"/>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66.1 %</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percent</w:t>
            </w: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Selling, general</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and</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427.8</w:t>
            </w: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color w:val="auto"/>
              </w:rPr>
              <w:t>(1.4)</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color w:val="auto"/>
              </w:rPr>
              <w:t>(2.6)</w:t>
            </w:r>
          </w:p>
        </w:tc>
        <w:tc>
          <w:tcPr>
            <w:tcW w:w="960" w:type="dxa"/>
            <w:vAlign w:val="bottom"/>
            <w:vMerge w:val="restart"/>
          </w:tcPr>
          <w:p>
            <w:pPr>
              <w:jc w:val="right"/>
              <w:ind w:right="115"/>
              <w:spacing w:after="0"/>
              <w:rPr>
                <w:sz w:val="20"/>
                <w:szCs w:val="20"/>
                <w:color w:val="auto"/>
              </w:rPr>
            </w:pPr>
            <w:r>
              <w:rPr>
                <w:rFonts w:ascii="Arial" w:cs="Arial" w:eastAsia="Arial" w:hAnsi="Arial"/>
                <w:sz w:val="14"/>
                <w:szCs w:val="14"/>
                <w:color w:val="auto"/>
              </w:rPr>
              <w:t>(25.3)</w:t>
            </w:r>
          </w:p>
        </w:tc>
        <w:tc>
          <w:tcPr>
            <w:tcW w:w="980" w:type="dxa"/>
            <w:vAlign w:val="bottom"/>
            <w:vMerge w:val="restart"/>
          </w:tcPr>
          <w:p>
            <w:pPr>
              <w:jc w:val="right"/>
              <w:ind w:right="94"/>
              <w:spacing w:after="0"/>
              <w:rPr>
                <w:sz w:val="20"/>
                <w:szCs w:val="20"/>
                <w:color w:val="auto"/>
              </w:rPr>
            </w:pPr>
            <w:r>
              <w:rPr>
                <w:rFonts w:ascii="Arial" w:cs="Arial" w:eastAsia="Arial" w:hAnsi="Arial"/>
                <w:sz w:val="14"/>
                <w:szCs w:val="14"/>
                <w:color w:val="auto"/>
              </w:rPr>
              <w:t>(29.7)</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368.8</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Selling, general</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and</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administrative as</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a percent of net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45.8 %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ind w:left="540"/>
              <w:spacing w:after="0"/>
              <w:rPr>
                <w:sz w:val="20"/>
                <w:szCs w:val="20"/>
                <w:color w:val="auto"/>
              </w:rPr>
            </w:pPr>
            <w:r>
              <w:rPr>
                <w:rFonts w:ascii="Arial" w:cs="Arial" w:eastAsia="Arial" w:hAnsi="Arial"/>
                <w:sz w:val="14"/>
                <w:szCs w:val="14"/>
                <w:color w:val="auto"/>
                <w:w w:val="98"/>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39.5 %</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sales</w:t>
            </w: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Research and</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152.9</w:t>
            </w: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color w:val="auto"/>
              </w:rPr>
              <w:t>(0.1)</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color w:val="auto"/>
              </w:rPr>
              <w:t>1.6</w:t>
            </w:r>
          </w:p>
        </w:tc>
        <w:tc>
          <w:tcPr>
            <w:tcW w:w="980" w:type="dxa"/>
            <w:vAlign w:val="bottom"/>
            <w:vMerge w:val="restart"/>
          </w:tcPr>
          <w:p>
            <w:pPr>
              <w:jc w:val="right"/>
              <w:ind w:right="94"/>
              <w:spacing w:after="0"/>
              <w:rPr>
                <w:sz w:val="20"/>
                <w:szCs w:val="20"/>
                <w:color w:val="auto"/>
              </w:rPr>
            </w:pPr>
            <w:r>
              <w:rPr>
                <w:rFonts w:ascii="Arial" w:cs="Arial" w:eastAsia="Arial" w:hAnsi="Arial"/>
                <w:sz w:val="14"/>
                <w:szCs w:val="14"/>
                <w:color w:val="auto"/>
              </w:rPr>
              <w:t>(3.5)</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150.9</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Research and</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w w:val="97"/>
              </w:rPr>
              <w:t>development as a</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percent of net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16.4 %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ind w:left="540"/>
              <w:spacing w:after="0"/>
              <w:rPr>
                <w:sz w:val="20"/>
                <w:szCs w:val="20"/>
                <w:color w:val="auto"/>
              </w:rPr>
            </w:pPr>
            <w:r>
              <w:rPr>
                <w:rFonts w:ascii="Arial" w:cs="Arial" w:eastAsia="Arial" w:hAnsi="Arial"/>
                <w:sz w:val="14"/>
                <w:szCs w:val="14"/>
                <w:color w:val="auto"/>
                <w:w w:val="98"/>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16.2 %</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sales</w:t>
            </w: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w w:val="97"/>
              </w:rPr>
              <w:t>Decommissioning</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42.2</w:t>
            </w: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15"/>
              <w:spacing w:after="0"/>
              <w:rPr>
                <w:sz w:val="20"/>
                <w:szCs w:val="20"/>
                <w:color w:val="auto"/>
              </w:rPr>
            </w:pPr>
            <w:r>
              <w:rPr>
                <w:rFonts w:ascii="Arial" w:cs="Arial" w:eastAsia="Arial" w:hAnsi="Arial"/>
                <w:sz w:val="14"/>
                <w:szCs w:val="14"/>
                <w:color w:val="auto"/>
              </w:rPr>
              <w:t>(42.2)</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provision</w:t>
            </w: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Litigation</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3.9</w:t>
            </w: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15"/>
              <w:spacing w:after="0"/>
              <w:rPr>
                <w:sz w:val="20"/>
                <w:szCs w:val="20"/>
                <w:color w:val="auto"/>
              </w:rPr>
            </w:pPr>
            <w:r>
              <w:rPr>
                <w:rFonts w:ascii="Arial" w:cs="Arial" w:eastAsia="Arial" w:hAnsi="Arial"/>
                <w:sz w:val="14"/>
                <w:szCs w:val="14"/>
                <w:color w:val="auto"/>
              </w:rPr>
              <w:t>(3.9)</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provision, net</w:t>
            </w: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Other operating</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261.4</w:t>
            </w:r>
          </w:p>
        </w:tc>
        <w:tc>
          <w:tcPr>
            <w:tcW w:w="800" w:type="dxa"/>
            <w:vAlign w:val="bottom"/>
            <w:vMerge w:val="restart"/>
          </w:tcPr>
          <w:p>
            <w:pPr>
              <w:jc w:val="right"/>
              <w:ind w:right="114"/>
              <w:spacing w:after="0"/>
              <w:rPr>
                <w:sz w:val="20"/>
                <w:szCs w:val="20"/>
                <w:color w:val="auto"/>
              </w:rPr>
            </w:pPr>
            <w:r>
              <w:rPr>
                <w:rFonts w:ascii="Arial" w:cs="Arial" w:eastAsia="Arial" w:hAnsi="Arial"/>
                <w:sz w:val="14"/>
                <w:szCs w:val="14"/>
                <w:color w:val="auto"/>
              </w:rPr>
              <w:t>(7.3)</w:t>
            </w:r>
          </w:p>
        </w:tc>
        <w:tc>
          <w:tcPr>
            <w:tcW w:w="920" w:type="dxa"/>
            <w:vAlign w:val="bottom"/>
            <w:vMerge w:val="restart"/>
          </w:tcPr>
          <w:p>
            <w:pPr>
              <w:jc w:val="right"/>
              <w:ind w:right="94"/>
              <w:spacing w:after="0"/>
              <w:rPr>
                <w:sz w:val="20"/>
                <w:szCs w:val="20"/>
                <w:color w:val="auto"/>
              </w:rPr>
            </w:pPr>
            <w:r>
              <w:rPr>
                <w:rFonts w:ascii="Arial" w:cs="Arial" w:eastAsia="Arial" w:hAnsi="Arial"/>
                <w:sz w:val="14"/>
                <w:szCs w:val="14"/>
                <w:color w:val="auto"/>
              </w:rPr>
              <w:t>(7.6)</w:t>
            </w: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color w:val="auto"/>
              </w:rPr>
              <w:t>(38.3)</w:t>
            </w:r>
          </w:p>
        </w:tc>
        <w:tc>
          <w:tcPr>
            <w:tcW w:w="860" w:type="dxa"/>
            <w:vAlign w:val="bottom"/>
            <w:vMerge w:val="restart"/>
          </w:tcPr>
          <w:p>
            <w:pPr>
              <w:jc w:val="right"/>
              <w:ind w:right="93"/>
              <w:spacing w:after="0"/>
              <w:rPr>
                <w:sz w:val="20"/>
                <w:szCs w:val="20"/>
                <w:color w:val="auto"/>
              </w:rPr>
            </w:pPr>
            <w:r>
              <w:rPr>
                <w:rFonts w:ascii="Arial" w:cs="Arial" w:eastAsia="Arial" w:hAnsi="Arial"/>
                <w:sz w:val="14"/>
                <w:szCs w:val="14"/>
                <w:color w:val="auto"/>
              </w:rPr>
              <w:t>(208.2)</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expenses</w:t>
            </w: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Operating (loss)</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income from</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continuing</w:t>
            </w:r>
          </w:p>
        </w:tc>
        <w:tc>
          <w:tcPr>
            <w:tcW w:w="600" w:type="dxa"/>
            <w:vAlign w:val="bottom"/>
            <w:vMerge w:val="restart"/>
          </w:tcPr>
          <w:p>
            <w:pPr>
              <w:jc w:val="right"/>
              <w:ind w:right="74"/>
              <w:spacing w:after="0"/>
              <w:rPr>
                <w:sz w:val="20"/>
                <w:szCs w:val="20"/>
                <w:color w:val="auto"/>
              </w:rPr>
            </w:pPr>
            <w:r>
              <w:rPr>
                <w:rFonts w:ascii="Arial" w:cs="Arial" w:eastAsia="Arial" w:hAnsi="Arial"/>
                <w:sz w:val="14"/>
                <w:szCs w:val="14"/>
                <w:color w:val="auto"/>
                <w:w w:val="99"/>
              </w:rPr>
              <w:t>(269.9)</w:t>
            </w: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color w:val="auto"/>
              </w:rPr>
              <w:t>7.3</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7.6</w:t>
            </w: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color w:val="auto"/>
              </w:rPr>
              <w:t>41.2</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208.2</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7.9</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color w:val="auto"/>
              </w:rPr>
              <w:t>2.6</w:t>
            </w: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color w:val="auto"/>
              </w:rPr>
              <w:t>57.5</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35.1</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w w:val="99"/>
              </w:rPr>
              <w:t>Operating margin</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(28.9)%</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0.8 %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0.8 %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4.4 %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22.3 %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0.8 %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0.3 %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6.2 %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3.8 %</w:t>
            </w:r>
          </w:p>
        </w:tc>
        <w:tc>
          <w:tcPr>
            <w:tcW w:w="900" w:type="dxa"/>
            <w:vAlign w:val="bottom"/>
            <w:vMerge w:val="restart"/>
          </w:tcPr>
          <w:p>
            <w:pPr>
              <w:ind w:left="560"/>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ind w:left="540"/>
              <w:spacing w:after="0"/>
              <w:rPr>
                <w:sz w:val="20"/>
                <w:szCs w:val="20"/>
                <w:color w:val="auto"/>
              </w:rPr>
            </w:pPr>
            <w:r>
              <w:rPr>
                <w:rFonts w:ascii="Arial" w:cs="Arial" w:eastAsia="Arial" w:hAnsi="Arial"/>
                <w:sz w:val="14"/>
                <w:szCs w:val="14"/>
                <w:color w:val="auto"/>
                <w:w w:val="98"/>
              </w:rPr>
              <w:t>— %</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10.4 %</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percent</w:t>
            </w: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Income tax</w:t>
            </w:r>
          </w:p>
        </w:tc>
        <w:tc>
          <w:tcPr>
            <w:tcW w:w="600" w:type="dxa"/>
            <w:vAlign w:val="bottom"/>
            <w:vMerge w:val="restart"/>
          </w:tcPr>
          <w:p>
            <w:pPr>
              <w:jc w:val="right"/>
              <w:ind w:right="74"/>
              <w:spacing w:after="0"/>
              <w:rPr>
                <w:sz w:val="20"/>
                <w:szCs w:val="20"/>
                <w:color w:val="auto"/>
              </w:rPr>
            </w:pPr>
            <w:r>
              <w:rPr>
                <w:rFonts w:ascii="Arial" w:cs="Arial" w:eastAsia="Arial" w:hAnsi="Arial"/>
                <w:sz w:val="14"/>
                <w:szCs w:val="14"/>
                <w:color w:val="auto"/>
              </w:rPr>
              <w:t>(0.7)</w:t>
            </w: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0.4</w:t>
            </w: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color w:val="auto"/>
              </w:rPr>
              <w:t>3.2</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23.1</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1.4</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color w:val="auto"/>
              </w:rPr>
              <w:t>2.2</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0.6</w:t>
            </w:r>
          </w:p>
        </w:tc>
        <w:tc>
          <w:tcPr>
            <w:tcW w:w="900" w:type="dxa"/>
            <w:vAlign w:val="bottom"/>
            <w:vMerge w:val="restart"/>
          </w:tcPr>
          <w:p>
            <w:pPr>
              <w:ind w:left="380"/>
              <w:spacing w:after="0"/>
              <w:rPr>
                <w:sz w:val="20"/>
                <w:szCs w:val="20"/>
                <w:color w:val="auto"/>
              </w:rPr>
            </w:pPr>
            <w:r>
              <w:rPr>
                <w:rFonts w:ascii="Arial" w:cs="Arial" w:eastAsia="Arial" w:hAnsi="Arial"/>
                <w:sz w:val="14"/>
                <w:szCs w:val="14"/>
                <w:color w:val="auto"/>
              </w:rPr>
              <w:t>(28.1)</w:t>
            </w:r>
          </w:p>
        </w:tc>
        <w:tc>
          <w:tcPr>
            <w:tcW w:w="86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w w:val="99"/>
              </w:rPr>
              <w:t>(benefit) expense</w:t>
            </w: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w w:val="99"/>
              </w:rPr>
              <w:t>Net (loss) income</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from continuing</w:t>
            </w:r>
          </w:p>
        </w:tc>
        <w:tc>
          <w:tcPr>
            <w:tcW w:w="600" w:type="dxa"/>
            <w:vAlign w:val="bottom"/>
            <w:vMerge w:val="restart"/>
          </w:tcPr>
          <w:p>
            <w:pPr>
              <w:jc w:val="right"/>
              <w:ind w:right="74"/>
              <w:spacing w:after="0"/>
              <w:rPr>
                <w:sz w:val="20"/>
                <w:szCs w:val="20"/>
                <w:color w:val="auto"/>
              </w:rPr>
            </w:pPr>
            <w:r>
              <w:rPr>
                <w:rFonts w:ascii="Arial" w:cs="Arial" w:eastAsia="Arial" w:hAnsi="Arial"/>
                <w:sz w:val="14"/>
                <w:szCs w:val="14"/>
                <w:color w:val="auto"/>
                <w:w w:val="99"/>
              </w:rPr>
              <w:t>(343.5)</w:t>
            </w: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color w:val="auto"/>
              </w:rPr>
              <w:t>7.3</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7.2</w:t>
            </w: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color w:val="auto"/>
              </w:rPr>
              <w:t>38.0</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185.1</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6.4</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color w:val="auto"/>
              </w:rPr>
              <w:t>30.0</w:t>
            </w: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color w:val="auto"/>
              </w:rPr>
              <w:t>54.8</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34.5</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color w:val="auto"/>
              </w:rPr>
              <w:t>28.1</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color w:val="auto"/>
              </w:rPr>
              <w:t>14.0</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167"/>
        </w:trPr>
        <w:tc>
          <w:tcPr>
            <w:tcW w:w="11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20" w:type="dxa"/>
            <w:vAlign w:val="bottom"/>
          </w:tcPr>
          <w:p>
            <w:pPr>
              <w:ind w:left="20"/>
              <w:spacing w:after="0" w:line="139" w:lineRule="exact"/>
              <w:rPr>
                <w:sz w:val="20"/>
                <w:szCs w:val="20"/>
                <w:color w:val="auto"/>
              </w:rPr>
            </w:pPr>
            <w:r>
              <w:rPr>
                <w:rFonts w:ascii="Arial" w:cs="Arial" w:eastAsia="Arial" w:hAnsi="Arial"/>
                <w:sz w:val="14"/>
                <w:szCs w:val="14"/>
                <w:color w:val="auto"/>
              </w:rPr>
              <w:t>Diluted EPS -</w:t>
            </w: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120" w:type="dxa"/>
            <w:vAlign w:val="bottom"/>
          </w:tcPr>
          <w:p>
            <w:pPr>
              <w:ind w:left="20"/>
              <w:spacing w:after="0" w:line="127" w:lineRule="exact"/>
              <w:rPr>
                <w:sz w:val="20"/>
                <w:szCs w:val="20"/>
                <w:color w:val="auto"/>
              </w:rPr>
            </w:pPr>
            <w:r>
              <w:rPr>
                <w:rFonts w:ascii="Arial" w:cs="Arial" w:eastAsia="Arial" w:hAnsi="Arial"/>
                <w:sz w:val="14"/>
                <w:szCs w:val="14"/>
                <w:color w:val="auto"/>
              </w:rPr>
              <w:t>Continuing</w:t>
            </w:r>
          </w:p>
        </w:tc>
        <w:tc>
          <w:tcPr>
            <w:tcW w:w="600" w:type="dxa"/>
            <w:vAlign w:val="bottom"/>
            <w:vMerge w:val="restart"/>
          </w:tcPr>
          <w:p>
            <w:pPr>
              <w:jc w:val="right"/>
              <w:ind w:right="74"/>
              <w:spacing w:after="0"/>
              <w:rPr>
                <w:sz w:val="20"/>
                <w:szCs w:val="20"/>
                <w:color w:val="auto"/>
              </w:rPr>
            </w:pPr>
            <w:r>
              <w:rPr>
                <w:rFonts w:ascii="Arial" w:cs="Arial" w:eastAsia="Arial" w:hAnsi="Arial"/>
                <w:sz w:val="14"/>
                <w:szCs w:val="14"/>
                <w:color w:val="auto"/>
                <w:w w:val="99"/>
              </w:rPr>
              <w:t>($7.07)</w:t>
            </w:r>
          </w:p>
        </w:tc>
        <w:tc>
          <w:tcPr>
            <w:tcW w:w="800" w:type="dxa"/>
            <w:vAlign w:val="bottom"/>
            <w:vMerge w:val="restart"/>
          </w:tcPr>
          <w:p>
            <w:pPr>
              <w:jc w:val="right"/>
              <w:ind w:right="154"/>
              <w:spacing w:after="0"/>
              <w:rPr>
                <w:sz w:val="20"/>
                <w:szCs w:val="20"/>
                <w:color w:val="auto"/>
              </w:rPr>
            </w:pPr>
            <w:r>
              <w:rPr>
                <w:rFonts w:ascii="Arial" w:cs="Arial" w:eastAsia="Arial" w:hAnsi="Arial"/>
                <w:sz w:val="14"/>
                <w:szCs w:val="14"/>
                <w:color w:val="auto"/>
              </w:rPr>
              <w:t>$0.15</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$0.15</w:t>
            </w: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color w:val="auto"/>
              </w:rPr>
              <w:t>$0.78</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$3.79</w:t>
            </w:r>
          </w:p>
        </w:tc>
        <w:tc>
          <w:tcPr>
            <w:tcW w:w="860" w:type="dxa"/>
            <w:vAlign w:val="bottom"/>
            <w:vMerge w:val="restart"/>
          </w:tcPr>
          <w:p>
            <w:pPr>
              <w:jc w:val="right"/>
              <w:ind w:right="134"/>
              <w:spacing w:after="0"/>
              <w:rPr>
                <w:sz w:val="20"/>
                <w:szCs w:val="20"/>
                <w:color w:val="auto"/>
              </w:rPr>
            </w:pPr>
            <w:r>
              <w:rPr>
                <w:rFonts w:ascii="Arial" w:cs="Arial" w:eastAsia="Arial" w:hAnsi="Arial"/>
                <w:sz w:val="14"/>
                <w:szCs w:val="14"/>
                <w:color w:val="auto"/>
              </w:rPr>
              <w:t>$0.13</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color w:val="auto"/>
              </w:rPr>
              <w:t>$0.61</w:t>
            </w: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color w:val="auto"/>
              </w:rPr>
              <w:t>$1.12</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$0.71</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color w:val="auto"/>
              </w:rPr>
              <w:t>$0.58</w:t>
            </w:r>
          </w:p>
        </w:tc>
        <w:tc>
          <w:tcPr>
            <w:tcW w:w="860" w:type="dxa"/>
            <w:vAlign w:val="bottom"/>
            <w:vMerge w:val="restart"/>
          </w:tcPr>
          <w:p>
            <w:pPr>
              <w:jc w:val="right"/>
              <w:ind w:right="114"/>
              <w:spacing w:after="0"/>
              <w:rPr>
                <w:sz w:val="20"/>
                <w:szCs w:val="20"/>
                <w:color w:val="auto"/>
              </w:rPr>
            </w:pPr>
            <w:r>
              <w:rPr>
                <w:rFonts w:ascii="Arial" w:cs="Arial" w:eastAsia="Arial" w:hAnsi="Arial"/>
                <w:sz w:val="14"/>
                <w:szCs w:val="14"/>
                <w:color w:val="auto"/>
              </w:rPr>
              <w:t>$0.29</w:t>
            </w:r>
          </w:p>
        </w:tc>
        <w:tc>
          <w:tcPr>
            <w:tcW w:w="600" w:type="dxa"/>
            <w:vAlign w:val="bottom"/>
            <w:vMerge w:val="restart"/>
          </w:tcPr>
          <w:p>
            <w:pPr>
              <w:jc w:val="right"/>
              <w:ind w:right="114"/>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1"/>
        </w:trPr>
        <w:tc>
          <w:tcPr>
            <w:tcW w:w="112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twelve months ended December 31, 2020 include:</w:t>
      </w:r>
    </w:p>
    <w:p>
      <w:pPr>
        <w:spacing w:after="0" w:line="30" w:lineRule="exact"/>
        <w:rPr>
          <w:sz w:val="20"/>
          <w:szCs w:val="20"/>
          <w:color w:val="auto"/>
        </w:rPr>
      </w:pPr>
    </w:p>
    <w:p>
      <w:pPr>
        <w:ind w:left="340" w:hanging="321"/>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Merger and integration expenses related to our legacy companies and recent acquisitions</w:t>
      </w:r>
    </w:p>
    <w:p>
      <w:pPr>
        <w:spacing w:after="0" w:line="9" w:lineRule="exact"/>
        <w:rPr>
          <w:rFonts w:ascii="Arial" w:cs="Arial" w:eastAsia="Arial" w:hAnsi="Arial"/>
          <w:sz w:val="14"/>
          <w:szCs w:val="14"/>
          <w:color w:val="auto"/>
        </w:rPr>
      </w:pPr>
    </w:p>
    <w:p>
      <w:pPr>
        <w:ind w:left="340" w:hanging="321"/>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Restructuring expenses related to organizational changes</w:t>
      </w:r>
    </w:p>
    <w:p>
      <w:pPr>
        <w:spacing w:after="0" w:line="17" w:lineRule="exact"/>
        <w:rPr>
          <w:rFonts w:ascii="Arial" w:cs="Arial" w:eastAsia="Arial" w:hAnsi="Arial"/>
          <w:sz w:val="14"/>
          <w:szCs w:val="14"/>
          <w:color w:val="auto"/>
        </w:rPr>
      </w:pPr>
    </w:p>
    <w:p>
      <w:pPr>
        <w:ind w:left="340" w:hanging="321"/>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depreciation and amortization associated with purchase price accounting</w:t>
      </w:r>
    </w:p>
    <w:p>
      <w:pPr>
        <w:spacing w:after="0" w:line="17" w:lineRule="exact"/>
        <w:rPr>
          <w:rFonts w:ascii="Arial" w:cs="Arial" w:eastAsia="Arial" w:hAnsi="Arial"/>
          <w:sz w:val="14"/>
          <w:szCs w:val="14"/>
          <w:color w:val="auto"/>
        </w:rPr>
      </w:pPr>
    </w:p>
    <w:p>
      <w:pPr>
        <w:ind w:left="340" w:hanging="321"/>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Impairments primarily associated with the classification of Heart Valves as held for sale</w:t>
      </w:r>
    </w:p>
    <w:p>
      <w:pPr>
        <w:spacing w:after="0" w:line="17" w:lineRule="exact"/>
        <w:rPr>
          <w:rFonts w:ascii="Arial" w:cs="Arial" w:eastAsia="Arial" w:hAnsi="Arial"/>
          <w:sz w:val="14"/>
          <w:szCs w:val="14"/>
          <w:color w:val="auto"/>
        </w:rPr>
      </w:pPr>
    </w:p>
    <w:p>
      <w:pPr>
        <w:ind w:left="340" w:hanging="321"/>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related to the 3T Heater-Cooler remediation plan</w:t>
      </w:r>
    </w:p>
    <w:p>
      <w:pPr>
        <w:spacing w:after="0" w:line="17" w:lineRule="exact"/>
        <w:rPr>
          <w:rFonts w:ascii="Arial" w:cs="Arial" w:eastAsia="Arial" w:hAnsi="Arial"/>
          <w:sz w:val="14"/>
          <w:szCs w:val="14"/>
          <w:color w:val="auto"/>
        </w:rPr>
      </w:pPr>
    </w:p>
    <w:p>
      <w:pPr>
        <w:ind w:left="340" w:hanging="321"/>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Costs associated with our June 2020 financing transactions, including the mark-to-market adjustment for the exchangeable option feature and capped call derivatives</w:t>
      </w:r>
    </w:p>
    <w:p>
      <w:pPr>
        <w:spacing w:after="0" w:line="17" w:lineRule="exact"/>
        <w:rPr>
          <w:rFonts w:ascii="Arial" w:cs="Arial" w:eastAsia="Arial" w:hAnsi="Arial"/>
          <w:sz w:val="14"/>
          <w:szCs w:val="14"/>
          <w:color w:val="auto"/>
        </w:rPr>
      </w:pPr>
    </w:p>
    <w:p>
      <w:pPr>
        <w:ind w:left="340" w:right="440" w:hanging="321"/>
        <w:spacing w:after="0" w:line="227"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3T Heater-Cooler litigation provision, legal expenses primarily related to 3T Heater-Cooler defense, settlements and other matters, remeasurement of contingent consideration related to acquisitions and provision for decommissioning at our Saluggia site</w:t>
      </w:r>
    </w:p>
    <w:p>
      <w:pPr>
        <w:spacing w:after="0" w:line="1" w:lineRule="exact"/>
        <w:rPr>
          <w:rFonts w:ascii="Arial" w:cs="Arial" w:eastAsia="Arial" w:hAnsi="Arial"/>
          <w:sz w:val="14"/>
          <w:szCs w:val="14"/>
          <w:color w:val="auto"/>
        </w:rPr>
      </w:pPr>
    </w:p>
    <w:p>
      <w:pPr>
        <w:ind w:left="340" w:hanging="321"/>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Non-cash expenses associated with stock-based compensation costs</w:t>
      </w:r>
    </w:p>
    <w:p>
      <w:pPr>
        <w:spacing w:after="0" w:line="17" w:lineRule="exact"/>
        <w:rPr>
          <w:rFonts w:ascii="Arial" w:cs="Arial" w:eastAsia="Arial" w:hAnsi="Arial"/>
          <w:sz w:val="14"/>
          <w:szCs w:val="14"/>
          <w:color w:val="auto"/>
        </w:rPr>
      </w:pPr>
    </w:p>
    <w:p>
      <w:pPr>
        <w:ind w:left="340" w:hanging="321"/>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Primarily relates to discrete tax items and the tax impact of intercompany transactions</w:t>
      </w:r>
    </w:p>
    <w:p>
      <w:pPr>
        <w:spacing w:after="0" w:line="17" w:lineRule="exact"/>
        <w:rPr>
          <w:rFonts w:ascii="Arial" w:cs="Arial" w:eastAsia="Arial" w:hAnsi="Arial"/>
          <w:sz w:val="14"/>
          <w:szCs w:val="14"/>
          <w:color w:val="auto"/>
        </w:rPr>
      </w:pPr>
    </w:p>
    <w:p>
      <w:pPr>
        <w:ind w:left="340" w:right="180" w:hanging="321"/>
        <w:spacing w:after="0" w:line="196"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Primarily relates to non-cash interest expense on our Senior Secured Term Loan and Cash Exchangeable Senior Notes, interest related to the 3T Heater-Cooler matter, intellectual property migration and interest reversed upon the settlement of a tax litigation matter </w:t>
      </w:r>
      <w:r>
        <w:rPr>
          <w:rFonts w:ascii="Arial" w:cs="Arial" w:eastAsia="Arial" w:hAnsi="Arial"/>
          <w:sz w:val="40"/>
          <w:szCs w:val="40"/>
          <w:color w:val="auto"/>
          <w:vertAlign w:val="subscript"/>
        </w:rPr>
        <w:t>18</w:t>
      </w:r>
      <w:r>
        <w:rPr>
          <w:rFonts w:ascii="Arial" w:cs="Arial" w:eastAsia="Arial" w:hAnsi="Arial"/>
          <w:sz w:val="27"/>
          <w:szCs w:val="27"/>
          <w:color w:val="auto"/>
          <w:vertAlign w:val="subscript"/>
        </w:rPr>
        <w:t>*Numbersmaynotaddpreciselyduetorounding.</w:t>
      </w:r>
    </w:p>
    <w:p>
      <w:pPr>
        <w:sectPr>
          <w:pgSz w:w="11900" w:h="16838" w:orient="portrait"/>
          <w:cols w:equalWidth="0" w:num="1">
            <w:col w:w="11260"/>
          </w:cols>
          <w:pgMar w:left="320" w:top="849" w:right="319" w:bottom="1440" w:gutter="0" w:footer="0" w:header="0"/>
        </w:sectPr>
      </w:pPr>
    </w:p>
    <w:bookmarkStart w:id="21" w:name="page22"/>
    <w:bookmarkEnd w:id="21"/>
    <w:p>
      <w:pPr>
        <w:ind w:left="20"/>
        <w:spacing w:after="0"/>
        <w:rPr>
          <w:sz w:val="20"/>
          <w:szCs w:val="20"/>
          <w:color w:val="auto"/>
        </w:rPr>
      </w:pPr>
      <w:r>
        <w:rPr>
          <w:rFonts w:ascii="Arial" w:cs="Arial" w:eastAsia="Arial" w:hAnsi="Arial"/>
          <w:sz w:val="14"/>
          <w:szCs w:val="14"/>
          <w:b w:val="1"/>
          <w:bCs w:val="1"/>
          <w:color w:val="auto"/>
        </w:rPr>
        <w:t>RECONCILIATION OF GAAP TO NON-GAAP FINANCIAL MEASURES - UNAUDITED</w:t>
      </w:r>
    </w:p>
    <w:p>
      <w:pPr>
        <w:ind w:left="20"/>
        <w:spacing w:after="0"/>
        <w:rPr>
          <w:sz w:val="20"/>
          <w:szCs w:val="20"/>
          <w:color w:val="auto"/>
        </w:rPr>
      </w:pPr>
      <w:r>
        <w:rPr>
          <w:rFonts w:ascii="Arial" w:cs="Arial" w:eastAsia="Arial" w:hAnsi="Arial"/>
          <w:sz w:val="14"/>
          <w:szCs w:val="14"/>
          <w:b w:val="1"/>
          <w:bCs w:val="1"/>
          <w:color w:val="auto"/>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1399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4"/>
          <w:szCs w:val="14"/>
          <w:b w:val="1"/>
          <w:bCs w:val="1"/>
          <w:color w:val="auto"/>
        </w:rPr>
        <w:t>Specified Items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1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9"/>
              </w:rPr>
              <w:t>Non-recurring</w:t>
            </w:r>
          </w:p>
        </w:tc>
        <w:tc>
          <w:tcPr>
            <w:tcW w:w="9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0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Depreciation</w:t>
            </w: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9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Legal and</w:t>
            </w:r>
          </w:p>
        </w:tc>
        <w:tc>
          <w:tcPr>
            <w:tcW w:w="9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Twelve Months</w:t>
            </w:r>
          </w:p>
        </w:tc>
        <w:tc>
          <w:tcPr>
            <w:tcW w:w="62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8"/>
              </w:rPr>
              <w:t>Merger and</w:t>
            </w:r>
          </w:p>
        </w:tc>
        <w:tc>
          <w:tcPr>
            <w:tcW w:w="9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6"/>
              </w:rPr>
              <w:t>Product</w:t>
            </w:r>
          </w:p>
        </w:tc>
        <w:tc>
          <w:tcPr>
            <w:tcW w:w="840" w:type="dxa"/>
            <w:vAlign w:val="bottom"/>
          </w:tcPr>
          <w:p>
            <w:pPr>
              <w:spacing w:after="0"/>
              <w:rPr>
                <w:sz w:val="9"/>
                <w:szCs w:val="9"/>
                <w:color w:val="auto"/>
              </w:rPr>
            </w:pPr>
          </w:p>
        </w:tc>
        <w:tc>
          <w:tcPr>
            <w:tcW w:w="980" w:type="dxa"/>
            <w:vAlign w:val="bottom"/>
          </w:tcPr>
          <w:p>
            <w:pPr>
              <w:jc w:val="center"/>
              <w:ind w:right="15"/>
              <w:spacing w:after="0" w:line="115" w:lineRule="exact"/>
              <w:rPr>
                <w:sz w:val="20"/>
                <w:szCs w:val="20"/>
                <w:color w:val="auto"/>
              </w:rPr>
            </w:pPr>
            <w:r>
              <w:rPr>
                <w:rFonts w:ascii="Arial" w:cs="Arial" w:eastAsia="Arial" w:hAnsi="Arial"/>
                <w:sz w:val="12"/>
                <w:szCs w:val="12"/>
                <w:b w:val="1"/>
                <w:bCs w:val="1"/>
                <w:color w:val="auto"/>
                <w:w w:val="97"/>
              </w:rPr>
              <w:t>Contingent</w:t>
            </w:r>
          </w:p>
        </w:tc>
        <w:tc>
          <w:tcPr>
            <w:tcW w:w="98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8"/>
              </w:rPr>
              <w:t>Stock-based</w:t>
            </w:r>
          </w:p>
        </w:tc>
        <w:tc>
          <w:tcPr>
            <w:tcW w:w="880" w:type="dxa"/>
            <w:vAlign w:val="bottom"/>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Certain</w:t>
            </w: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080" w:type="dxa"/>
            <w:vAlign w:val="bottom"/>
            <w:vMerge w:val="continue"/>
          </w:tcPr>
          <w:p>
            <w:pPr>
              <w:spacing w:after="0"/>
              <w:rPr>
                <w:sz w:val="9"/>
                <w:szCs w:val="9"/>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GAAP</w:t>
            </w:r>
          </w:p>
        </w:tc>
        <w:tc>
          <w:tcPr>
            <w:tcW w:w="820" w:type="dxa"/>
            <w:vAlign w:val="bottom"/>
            <w:vMerge w:val="continue"/>
          </w:tcPr>
          <w:p>
            <w:pPr>
              <w:spacing w:after="0"/>
              <w:rPr>
                <w:sz w:val="9"/>
                <w:szCs w:val="9"/>
                <w:color w:val="auto"/>
              </w:rPr>
            </w:pPr>
          </w:p>
        </w:tc>
        <w:tc>
          <w:tcPr>
            <w:tcW w:w="9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Restructuring</w:t>
            </w:r>
          </w:p>
        </w:tc>
        <w:tc>
          <w:tcPr>
            <w:tcW w:w="9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3"/>
              </w:rPr>
              <w:t>and</w:t>
            </w:r>
          </w:p>
        </w:tc>
        <w:tc>
          <w:tcPr>
            <w:tcW w:w="8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84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7"/>
              </w:rPr>
              <w:t>Acquisition</w:t>
            </w:r>
          </w:p>
        </w:tc>
        <w:tc>
          <w:tcPr>
            <w:tcW w:w="9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Consideration</w:t>
            </w:r>
          </w:p>
        </w:tc>
        <w:tc>
          <w:tcPr>
            <w:tcW w:w="980" w:type="dxa"/>
            <w:vAlign w:val="bottom"/>
            <w:vMerge w:val="continue"/>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7"/>
              </w:rPr>
              <w:t>Certain Tax</w:t>
            </w:r>
          </w:p>
        </w:tc>
        <w:tc>
          <w:tcPr>
            <w:tcW w:w="840" w:type="dxa"/>
            <w:vAlign w:val="bottom"/>
            <w:vMerge w:val="continue"/>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Adjusted</w:t>
            </w:r>
          </w:p>
        </w:tc>
        <w:tc>
          <w:tcPr>
            <w:tcW w:w="0" w:type="dxa"/>
            <w:vAlign w:val="bottom"/>
          </w:tcPr>
          <w:p>
            <w:pPr>
              <w:spacing w:after="0"/>
              <w:rPr>
                <w:sz w:val="1"/>
                <w:szCs w:val="1"/>
                <w:color w:val="auto"/>
              </w:rPr>
            </w:pPr>
          </w:p>
        </w:tc>
      </w:tr>
      <w:tr>
        <w:trPr>
          <w:trHeight w:val="115"/>
        </w:trPr>
        <w:tc>
          <w:tcPr>
            <w:tcW w:w="1080" w:type="dxa"/>
            <w:vAlign w:val="bottom"/>
          </w:tcPr>
          <w:p>
            <w:pPr>
              <w:ind w:left="20"/>
              <w:spacing w:after="0" w:line="115" w:lineRule="exact"/>
              <w:rPr>
                <w:sz w:val="20"/>
                <w:szCs w:val="20"/>
                <w:color w:val="auto"/>
              </w:rPr>
            </w:pPr>
            <w:r>
              <w:rPr>
                <w:rFonts w:ascii="Arial" w:cs="Arial" w:eastAsia="Arial" w:hAnsi="Arial"/>
                <w:sz w:val="12"/>
                <w:szCs w:val="12"/>
                <w:b w:val="1"/>
                <w:bCs w:val="1"/>
                <w:color w:val="auto"/>
              </w:rPr>
              <w:t>Ended</w:t>
            </w:r>
          </w:p>
        </w:tc>
        <w:tc>
          <w:tcPr>
            <w:tcW w:w="620" w:type="dxa"/>
            <w:vAlign w:val="bottom"/>
            <w:vMerge w:val="continue"/>
          </w:tcPr>
          <w:p>
            <w:pPr>
              <w:spacing w:after="0"/>
              <w:rPr>
                <w:sz w:val="9"/>
                <w:szCs w:val="9"/>
                <w:color w:val="auto"/>
              </w:rPr>
            </w:pPr>
          </w:p>
        </w:tc>
        <w:tc>
          <w:tcPr>
            <w:tcW w:w="8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Integration</w:t>
            </w:r>
          </w:p>
        </w:tc>
        <w:tc>
          <w:tcPr>
            <w:tcW w:w="920" w:type="dxa"/>
            <w:vAlign w:val="bottom"/>
            <w:vMerge w:val="continue"/>
          </w:tcPr>
          <w:p>
            <w:pPr>
              <w:spacing w:after="0"/>
              <w:rPr>
                <w:sz w:val="9"/>
                <w:szCs w:val="9"/>
                <w:color w:val="auto"/>
              </w:rPr>
            </w:pPr>
          </w:p>
        </w:tc>
        <w:tc>
          <w:tcPr>
            <w:tcW w:w="90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8"/>
              </w:rPr>
              <w:t>Amortization</w:t>
            </w:r>
          </w:p>
        </w:tc>
        <w:tc>
          <w:tcPr>
            <w:tcW w:w="860" w:type="dxa"/>
            <w:vAlign w:val="bottom"/>
            <w:vMerge w:val="restart"/>
          </w:tcPr>
          <w:p>
            <w:pPr>
              <w:jc w:val="right"/>
              <w:ind w:right="33"/>
              <w:spacing w:after="0"/>
              <w:rPr>
                <w:sz w:val="20"/>
                <w:szCs w:val="20"/>
                <w:color w:val="auto"/>
              </w:rPr>
            </w:pPr>
            <w:r>
              <w:rPr>
                <w:rFonts w:ascii="Arial" w:cs="Arial" w:eastAsia="Arial" w:hAnsi="Arial"/>
                <w:sz w:val="12"/>
                <w:szCs w:val="12"/>
                <w:b w:val="1"/>
                <w:bCs w:val="1"/>
                <w:color w:val="auto"/>
              </w:rPr>
              <w:t>Impairments</w:t>
            </w:r>
          </w:p>
        </w:tc>
        <w:tc>
          <w:tcPr>
            <w:tcW w:w="880" w:type="dxa"/>
            <w:vAlign w:val="bottom"/>
          </w:tcPr>
          <w:p>
            <w:pPr>
              <w:jc w:val="center"/>
              <w:ind w:right="14"/>
              <w:spacing w:after="0" w:line="115" w:lineRule="exact"/>
              <w:rPr>
                <w:sz w:val="20"/>
                <w:szCs w:val="20"/>
                <w:color w:val="auto"/>
              </w:rPr>
            </w:pPr>
            <w:r>
              <w:rPr>
                <w:rFonts w:ascii="Arial" w:cs="Arial" w:eastAsia="Arial" w:hAnsi="Arial"/>
                <w:sz w:val="12"/>
                <w:szCs w:val="12"/>
                <w:b w:val="1"/>
                <w:bCs w:val="1"/>
                <w:color w:val="auto"/>
                <w:w w:val="99"/>
              </w:rPr>
              <w:t>Remediation</w:t>
            </w:r>
          </w:p>
        </w:tc>
        <w:tc>
          <w:tcPr>
            <w:tcW w:w="840" w:type="dxa"/>
            <w:vAlign w:val="bottom"/>
            <w:vMerge w:val="continue"/>
          </w:tcPr>
          <w:p>
            <w:pPr>
              <w:spacing w:after="0"/>
              <w:rPr>
                <w:sz w:val="9"/>
                <w:szCs w:val="9"/>
                <w:color w:val="auto"/>
              </w:rPr>
            </w:pPr>
          </w:p>
        </w:tc>
        <w:tc>
          <w:tcPr>
            <w:tcW w:w="9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8"/>
              </w:rPr>
              <w:t>and Other</w:t>
            </w:r>
          </w:p>
        </w:tc>
        <w:tc>
          <w:tcPr>
            <w:tcW w:w="980" w:type="dxa"/>
            <w:vAlign w:val="bottom"/>
          </w:tcPr>
          <w:p>
            <w:pPr>
              <w:jc w:val="center"/>
              <w:ind w:right="14"/>
              <w:spacing w:after="0" w:line="115" w:lineRule="exact"/>
              <w:rPr>
                <w:sz w:val="20"/>
                <w:szCs w:val="20"/>
                <w:color w:val="auto"/>
              </w:rPr>
            </w:pPr>
            <w:r>
              <w:rPr>
                <w:rFonts w:ascii="Arial" w:cs="Arial" w:eastAsia="Arial" w:hAnsi="Arial"/>
                <w:sz w:val="12"/>
                <w:szCs w:val="12"/>
                <w:b w:val="1"/>
                <w:bCs w:val="1"/>
                <w:color w:val="auto"/>
                <w:w w:val="98"/>
              </w:rPr>
              <w:t>Compensation</w:t>
            </w:r>
          </w:p>
        </w:tc>
        <w:tc>
          <w:tcPr>
            <w:tcW w:w="880" w:type="dxa"/>
            <w:vAlign w:val="bottom"/>
            <w:vMerge w:val="continue"/>
          </w:tcPr>
          <w:p>
            <w:pPr>
              <w:spacing w:after="0"/>
              <w:rPr>
                <w:sz w:val="9"/>
                <w:szCs w:val="9"/>
                <w:color w:val="auto"/>
              </w:rPr>
            </w:pPr>
          </w:p>
        </w:tc>
        <w:tc>
          <w:tcPr>
            <w:tcW w:w="8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6"/>
              </w:rPr>
              <w:t>Interest</w:t>
            </w: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080" w:type="dxa"/>
            <w:vAlign w:val="bottom"/>
          </w:tcPr>
          <w:p>
            <w:pPr>
              <w:ind w:left="20"/>
              <w:spacing w:after="0" w:line="115" w:lineRule="exact"/>
              <w:rPr>
                <w:sz w:val="20"/>
                <w:szCs w:val="20"/>
                <w:color w:val="auto"/>
              </w:rPr>
            </w:pPr>
            <w:r>
              <w:rPr>
                <w:rFonts w:ascii="Arial" w:cs="Arial" w:eastAsia="Arial" w:hAnsi="Arial"/>
                <w:sz w:val="12"/>
                <w:szCs w:val="12"/>
                <w:b w:val="1"/>
                <w:bCs w:val="1"/>
                <w:color w:val="auto"/>
              </w:rPr>
              <w:t>December 31,</w:t>
            </w:r>
          </w:p>
        </w:tc>
        <w:tc>
          <w:tcPr>
            <w:tcW w:w="6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6"/>
              </w:rPr>
              <w:t>Financial</w:t>
            </w:r>
          </w:p>
        </w:tc>
        <w:tc>
          <w:tcPr>
            <w:tcW w:w="82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Expenses</w:t>
            </w:r>
          </w:p>
        </w:tc>
        <w:tc>
          <w:tcPr>
            <w:tcW w:w="920" w:type="dxa"/>
            <w:vAlign w:val="bottom"/>
          </w:tcPr>
          <w:p>
            <w:pPr>
              <w:jc w:val="center"/>
              <w:ind w:right="14"/>
              <w:spacing w:after="0" w:line="115" w:lineRule="exact"/>
              <w:rPr>
                <w:sz w:val="20"/>
                <w:szCs w:val="20"/>
                <w:color w:val="auto"/>
              </w:rPr>
            </w:pPr>
            <w:r>
              <w:rPr>
                <w:rFonts w:ascii="Arial" w:cs="Arial" w:eastAsia="Arial" w:hAnsi="Arial"/>
                <w:sz w:val="12"/>
                <w:szCs w:val="12"/>
                <w:b w:val="1"/>
                <w:bCs w:val="1"/>
                <w:color w:val="auto"/>
                <w:w w:val="99"/>
              </w:rPr>
              <w:t>Expenses</w:t>
            </w:r>
          </w:p>
        </w:tc>
        <w:tc>
          <w:tcPr>
            <w:tcW w:w="90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w w:val="99"/>
              </w:rPr>
              <w:t>Expenses</w:t>
            </w:r>
          </w:p>
        </w:tc>
        <w:tc>
          <w:tcPr>
            <w:tcW w:w="860" w:type="dxa"/>
            <w:vAlign w:val="bottom"/>
            <w:vMerge w:val="continue"/>
          </w:tcPr>
          <w:p>
            <w:pPr>
              <w:spacing w:after="0"/>
              <w:rPr>
                <w:sz w:val="9"/>
                <w:szCs w:val="9"/>
                <w:color w:val="auto"/>
              </w:rPr>
            </w:pPr>
          </w:p>
        </w:tc>
        <w:tc>
          <w:tcPr>
            <w:tcW w:w="88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w w:val="96"/>
              </w:rPr>
              <w:t>Expenses</w:t>
            </w:r>
          </w:p>
        </w:tc>
        <w:tc>
          <w:tcPr>
            <w:tcW w:w="84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rPr>
              <w:t>Costs</w:t>
            </w:r>
          </w:p>
        </w:tc>
        <w:tc>
          <w:tcPr>
            <w:tcW w:w="98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7"/>
              </w:rPr>
              <w:t>Reserves</w:t>
            </w:r>
          </w:p>
        </w:tc>
        <w:tc>
          <w:tcPr>
            <w:tcW w:w="980" w:type="dxa"/>
            <w:vAlign w:val="bottom"/>
          </w:tcPr>
          <w:p>
            <w:pPr>
              <w:jc w:val="center"/>
              <w:ind w:right="34"/>
              <w:spacing w:after="0" w:line="115" w:lineRule="exact"/>
              <w:rPr>
                <w:sz w:val="20"/>
                <w:szCs w:val="20"/>
                <w:color w:val="auto"/>
              </w:rPr>
            </w:pPr>
            <w:r>
              <w:rPr>
                <w:rFonts w:ascii="Arial" w:cs="Arial" w:eastAsia="Arial" w:hAnsi="Arial"/>
                <w:sz w:val="12"/>
                <w:szCs w:val="12"/>
                <w:b w:val="1"/>
                <w:bCs w:val="1"/>
                <w:color w:val="auto"/>
                <w:w w:val="95"/>
              </w:rPr>
              <w:t>Costs</w:t>
            </w:r>
          </w:p>
        </w:tc>
        <w:tc>
          <w:tcPr>
            <w:tcW w:w="880" w:type="dxa"/>
            <w:vAlign w:val="bottom"/>
          </w:tcPr>
          <w:p>
            <w:pPr>
              <w:jc w:val="center"/>
              <w:ind w:right="14"/>
              <w:spacing w:after="0" w:line="115" w:lineRule="exact"/>
              <w:rPr>
                <w:sz w:val="20"/>
                <w:szCs w:val="20"/>
                <w:color w:val="auto"/>
              </w:rPr>
            </w:pPr>
            <w:r>
              <w:rPr>
                <w:rFonts w:ascii="Arial" w:cs="Arial" w:eastAsia="Arial" w:hAnsi="Arial"/>
                <w:sz w:val="12"/>
                <w:szCs w:val="12"/>
                <w:b w:val="1"/>
                <w:bCs w:val="1"/>
                <w:color w:val="auto"/>
                <w:w w:val="99"/>
              </w:rPr>
              <w:t>Adjustments</w:t>
            </w:r>
          </w:p>
        </w:tc>
        <w:tc>
          <w:tcPr>
            <w:tcW w:w="8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9"/>
              </w:rPr>
              <w:t>Adjustments</w:t>
            </w:r>
          </w:p>
        </w:tc>
        <w:tc>
          <w:tcPr>
            <w:tcW w:w="640" w:type="dxa"/>
            <w:vAlign w:val="bottom"/>
          </w:tcPr>
          <w:p>
            <w:pPr>
              <w:ind w:left="80"/>
              <w:spacing w:after="0" w:line="115" w:lineRule="exact"/>
              <w:rPr>
                <w:sz w:val="20"/>
                <w:szCs w:val="20"/>
                <w:color w:val="auto"/>
              </w:rPr>
            </w:pPr>
            <w:r>
              <w:rPr>
                <w:rFonts w:ascii="Arial" w:cs="Arial" w:eastAsia="Arial" w:hAnsi="Arial"/>
                <w:sz w:val="12"/>
                <w:szCs w:val="12"/>
                <w:b w:val="1"/>
                <w:bCs w:val="1"/>
                <w:color w:val="auto"/>
              </w:rPr>
              <w:t>Financial</w:t>
            </w:r>
          </w:p>
        </w:tc>
        <w:tc>
          <w:tcPr>
            <w:tcW w:w="0" w:type="dxa"/>
            <w:vAlign w:val="bottom"/>
          </w:tcPr>
          <w:p>
            <w:pPr>
              <w:spacing w:after="0"/>
              <w:rPr>
                <w:sz w:val="1"/>
                <w:szCs w:val="1"/>
                <w:color w:val="auto"/>
              </w:rPr>
            </w:pPr>
          </w:p>
        </w:tc>
      </w:tr>
      <w:tr>
        <w:trPr>
          <w:trHeight w:val="166"/>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Measures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2"/>
                <w:szCs w:val="12"/>
                <w:b w:val="1"/>
                <w:bCs w:val="1"/>
                <w:color w:val="auto"/>
              </w:rPr>
              <w:t>(D)</w:t>
            </w:r>
          </w:p>
        </w:tc>
        <w:tc>
          <w:tcPr>
            <w:tcW w:w="880" w:type="dxa"/>
            <w:vAlign w:val="bottom"/>
            <w:tcBorders>
              <w:bottom w:val="single" w:sz="8" w:color="auto"/>
            </w:tcBorders>
          </w:tcPr>
          <w:p>
            <w:pPr>
              <w:jc w:val="center"/>
              <w:ind w:right="14"/>
              <w:spacing w:after="0"/>
              <w:rPr>
                <w:sz w:val="20"/>
                <w:szCs w:val="20"/>
                <w:color w:val="auto"/>
              </w:rPr>
            </w:pPr>
            <w:r>
              <w:rPr>
                <w:rFonts w:ascii="Arial" w:cs="Arial" w:eastAsia="Arial" w:hAnsi="Arial"/>
                <w:sz w:val="12"/>
                <w:szCs w:val="12"/>
                <w:b w:val="1"/>
                <w:bCs w:val="1"/>
                <w:color w:val="auto"/>
                <w:w w:val="99"/>
              </w:rPr>
              <w:t>(E)</w:t>
            </w:r>
          </w:p>
        </w:tc>
        <w:tc>
          <w:tcPr>
            <w:tcW w:w="840" w:type="dxa"/>
            <w:vAlign w:val="bottom"/>
            <w:tcBorders>
              <w:bottom w:val="single" w:sz="8" w:color="auto"/>
            </w:tcBorders>
          </w:tcPr>
          <w:p>
            <w:pPr>
              <w:jc w:val="center"/>
              <w:ind w:right="14"/>
              <w:spacing w:after="0"/>
              <w:rPr>
                <w:sz w:val="20"/>
                <w:szCs w:val="20"/>
                <w:color w:val="auto"/>
              </w:rPr>
            </w:pPr>
            <w:r>
              <w:rPr>
                <w:rFonts w:ascii="Arial" w:cs="Arial" w:eastAsia="Arial" w:hAnsi="Arial"/>
                <w:sz w:val="12"/>
                <w:szCs w:val="12"/>
                <w:b w:val="1"/>
                <w:bCs w:val="1"/>
                <w:color w:val="auto"/>
              </w:rPr>
              <w:t>(F)</w:t>
            </w:r>
          </w:p>
        </w:tc>
        <w:tc>
          <w:tcPr>
            <w:tcW w:w="980" w:type="dxa"/>
            <w:vAlign w:val="bottom"/>
            <w:tcBorders>
              <w:bottom w:val="single" w:sz="8" w:color="auto"/>
            </w:tcBorders>
          </w:tcPr>
          <w:p>
            <w:pPr>
              <w:jc w:val="center"/>
              <w:ind w:right="15"/>
              <w:spacing w:after="0"/>
              <w:rPr>
                <w:sz w:val="20"/>
                <w:szCs w:val="20"/>
                <w:color w:val="auto"/>
              </w:rPr>
            </w:pPr>
            <w:r>
              <w:rPr>
                <w:rFonts w:ascii="Arial" w:cs="Arial" w:eastAsia="Arial" w:hAnsi="Arial"/>
                <w:sz w:val="12"/>
                <w:szCs w:val="12"/>
                <w:b w:val="1"/>
                <w:bCs w:val="1"/>
                <w:color w:val="auto"/>
              </w:rPr>
              <w:t>(G)</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7"/>
              </w:rPr>
              <w:t>(I)</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(J)</w:t>
            </w: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Measures</w:t>
            </w:r>
          </w:p>
        </w:tc>
        <w:tc>
          <w:tcPr>
            <w:tcW w:w="0" w:type="dxa"/>
            <w:vAlign w:val="bottom"/>
          </w:tcPr>
          <w:p>
            <w:pPr>
              <w:spacing w:after="0"/>
              <w:rPr>
                <w:sz w:val="1"/>
                <w:szCs w:val="1"/>
                <w:color w:val="auto"/>
              </w:rPr>
            </w:pPr>
          </w:p>
        </w:tc>
      </w:tr>
      <w:tr>
        <w:trPr>
          <w:trHeight w:val="133"/>
        </w:trPr>
        <w:tc>
          <w:tcPr>
            <w:tcW w:w="1080" w:type="dxa"/>
            <w:vAlign w:val="bottom"/>
          </w:tcPr>
          <w:p>
            <w:pPr>
              <w:ind w:left="20"/>
              <w:spacing w:after="0" w:line="133" w:lineRule="exact"/>
              <w:rPr>
                <w:sz w:val="20"/>
                <w:szCs w:val="20"/>
                <w:color w:val="auto"/>
              </w:rPr>
            </w:pPr>
            <w:r>
              <w:rPr>
                <w:rFonts w:ascii="Arial" w:cs="Arial" w:eastAsia="Arial" w:hAnsi="Arial"/>
                <w:sz w:val="14"/>
                <w:szCs w:val="14"/>
                <w:color w:val="auto"/>
              </w:rPr>
              <w:t>Cost of sales -</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80" w:type="dxa"/>
            <w:vAlign w:val="bottom"/>
          </w:tcPr>
          <w:p>
            <w:pPr>
              <w:ind w:left="20"/>
              <w:spacing w:after="0" w:line="127" w:lineRule="exact"/>
              <w:rPr>
                <w:sz w:val="20"/>
                <w:szCs w:val="20"/>
                <w:color w:val="auto"/>
              </w:rPr>
            </w:pPr>
            <w:r>
              <w:rPr>
                <w:rFonts w:ascii="Arial" w:cs="Arial" w:eastAsia="Arial" w:hAnsi="Arial"/>
                <w:sz w:val="14"/>
                <w:szCs w:val="14"/>
                <w:color w:val="auto"/>
              </w:rPr>
              <w:t>exclusive of</w:t>
            </w:r>
          </w:p>
        </w:tc>
        <w:tc>
          <w:tcPr>
            <w:tcW w:w="620" w:type="dxa"/>
            <w:vAlign w:val="bottom"/>
            <w:vMerge w:val="restart"/>
          </w:tcPr>
          <w:p>
            <w:pPr>
              <w:jc w:val="right"/>
              <w:ind w:right="94"/>
              <w:spacing w:after="0"/>
              <w:rPr>
                <w:sz w:val="20"/>
                <w:szCs w:val="20"/>
                <w:color w:val="auto"/>
              </w:rPr>
            </w:pPr>
            <w:r>
              <w:rPr>
                <w:rFonts w:ascii="Arial" w:cs="Arial" w:eastAsia="Arial" w:hAnsi="Arial"/>
                <w:sz w:val="14"/>
                <w:szCs w:val="14"/>
                <w:color w:val="auto"/>
              </w:rPr>
              <w:t>$323.5</w:t>
            </w: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color w:val="auto"/>
              </w:rPr>
              <w:t>($2.4)</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5"/>
              <w:spacing w:after="0"/>
              <w:rPr>
                <w:sz w:val="20"/>
                <w:szCs w:val="20"/>
                <w:color w:val="auto"/>
              </w:rPr>
            </w:pPr>
            <w:r>
              <w:rPr>
                <w:rFonts w:ascii="Arial" w:cs="Arial" w:eastAsia="Arial" w:hAnsi="Arial"/>
                <w:sz w:val="14"/>
                <w:szCs w:val="14"/>
                <w:color w:val="auto"/>
              </w:rPr>
              <w:t>$10.2</w:t>
            </w:r>
          </w:p>
        </w:tc>
        <w:tc>
          <w:tcPr>
            <w:tcW w:w="980" w:type="dxa"/>
            <w:vAlign w:val="bottom"/>
            <w:vMerge w:val="restart"/>
          </w:tcPr>
          <w:p>
            <w:pPr>
              <w:jc w:val="right"/>
              <w:ind w:right="94"/>
              <w:spacing w:after="0"/>
              <w:rPr>
                <w:sz w:val="20"/>
                <w:szCs w:val="20"/>
                <w:color w:val="auto"/>
              </w:rPr>
            </w:pPr>
            <w:r>
              <w:rPr>
                <w:rFonts w:ascii="Arial" w:cs="Arial" w:eastAsia="Arial" w:hAnsi="Arial"/>
                <w:sz w:val="14"/>
                <w:szCs w:val="14"/>
                <w:color w:val="auto"/>
              </w:rPr>
              <w:t>($1.3)</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$329.9</w:t>
            </w:r>
          </w:p>
        </w:tc>
        <w:tc>
          <w:tcPr>
            <w:tcW w:w="0" w:type="dxa"/>
            <w:vAlign w:val="bottom"/>
          </w:tcPr>
          <w:p>
            <w:pPr>
              <w:spacing w:after="0"/>
              <w:rPr>
                <w:sz w:val="1"/>
                <w:szCs w:val="1"/>
                <w:color w:val="auto"/>
              </w:rPr>
            </w:pPr>
          </w:p>
        </w:tc>
      </w:tr>
      <w:tr>
        <w:trPr>
          <w:trHeight w:val="167"/>
        </w:trPr>
        <w:tc>
          <w:tcPr>
            <w:tcW w:w="108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
              <w:spacing w:after="0" w:line="139" w:lineRule="exact"/>
              <w:rPr>
                <w:sz w:val="20"/>
                <w:szCs w:val="20"/>
                <w:color w:val="auto"/>
              </w:rPr>
            </w:pPr>
            <w:r>
              <w:rPr>
                <w:rFonts w:ascii="Arial" w:cs="Arial" w:eastAsia="Arial" w:hAnsi="Arial"/>
                <w:sz w:val="14"/>
                <w:szCs w:val="14"/>
                <w:color w:val="auto"/>
              </w:rPr>
              <w:t>Product</w:t>
            </w:r>
          </w:p>
        </w:tc>
        <w:tc>
          <w:tcPr>
            <w:tcW w:w="620" w:type="dxa"/>
            <w:vAlign w:val="bottom"/>
            <w:vMerge w:val="restart"/>
          </w:tcPr>
          <w:p>
            <w:pPr>
              <w:jc w:val="right"/>
              <w:ind w:right="94"/>
              <w:spacing w:after="0"/>
              <w:rPr>
                <w:sz w:val="20"/>
                <w:szCs w:val="20"/>
                <w:color w:val="auto"/>
              </w:rPr>
            </w:pPr>
            <w:r>
              <w:rPr>
                <w:rFonts w:ascii="Arial" w:cs="Arial" w:eastAsia="Arial" w:hAnsi="Arial"/>
                <w:sz w:val="14"/>
                <w:szCs w:val="14"/>
                <w:color w:val="auto"/>
              </w:rPr>
              <w:t>15.8</w:t>
            </w: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color w:val="auto"/>
              </w:rPr>
              <w:t>(15.8)</w:t>
            </w:r>
          </w:p>
        </w:tc>
        <w:tc>
          <w:tcPr>
            <w:tcW w:w="84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5"/>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080" w:type="dxa"/>
            <w:vAlign w:val="bottom"/>
          </w:tcPr>
          <w:p>
            <w:pPr>
              <w:ind w:left="20"/>
              <w:spacing w:after="0"/>
              <w:rPr>
                <w:sz w:val="20"/>
                <w:szCs w:val="20"/>
                <w:color w:val="auto"/>
              </w:rPr>
            </w:pPr>
            <w:r>
              <w:rPr>
                <w:rFonts w:ascii="Arial" w:cs="Arial" w:eastAsia="Arial" w:hAnsi="Arial"/>
                <w:sz w:val="14"/>
                <w:szCs w:val="14"/>
                <w:color w:val="auto"/>
              </w:rPr>
              <w:t>remediation</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
              <w:spacing w:after="0" w:line="139" w:lineRule="exact"/>
              <w:rPr>
                <w:sz w:val="20"/>
                <w:szCs w:val="20"/>
                <w:color w:val="auto"/>
              </w:rPr>
            </w:pPr>
            <w:r>
              <w:rPr>
                <w:rFonts w:ascii="Arial" w:cs="Arial" w:eastAsia="Arial" w:hAnsi="Arial"/>
                <w:sz w:val="14"/>
                <w:szCs w:val="14"/>
                <w:color w:val="auto"/>
              </w:rPr>
              <w:t>Gross profit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68.7 %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0.1 %</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69.6 %</w:t>
            </w:r>
          </w:p>
        </w:tc>
        <w:tc>
          <w:tcPr>
            <w:tcW w:w="0" w:type="dxa"/>
            <w:vAlign w:val="bottom"/>
          </w:tcPr>
          <w:p>
            <w:pPr>
              <w:spacing w:after="0"/>
              <w:rPr>
                <w:sz w:val="1"/>
                <w:szCs w:val="1"/>
                <w:color w:val="auto"/>
              </w:rPr>
            </w:pPr>
          </w:p>
        </w:tc>
      </w:tr>
      <w:tr>
        <w:trPr>
          <w:trHeight w:val="167"/>
        </w:trPr>
        <w:tc>
          <w:tcPr>
            <w:tcW w:w="1080" w:type="dxa"/>
            <w:vAlign w:val="bottom"/>
          </w:tcPr>
          <w:p>
            <w:pPr>
              <w:ind w:left="20"/>
              <w:spacing w:after="0"/>
              <w:rPr>
                <w:sz w:val="20"/>
                <w:szCs w:val="20"/>
                <w:color w:val="auto"/>
              </w:rPr>
            </w:pPr>
            <w:r>
              <w:rPr>
                <w:rFonts w:ascii="Arial" w:cs="Arial" w:eastAsia="Arial" w:hAnsi="Arial"/>
                <w:sz w:val="14"/>
                <w:szCs w:val="14"/>
                <w:color w:val="auto"/>
              </w:rPr>
              <w:t>percent</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
              <w:spacing w:after="0" w:line="139" w:lineRule="exact"/>
              <w:rPr>
                <w:sz w:val="20"/>
                <w:szCs w:val="20"/>
                <w:color w:val="auto"/>
              </w:rPr>
            </w:pPr>
            <w:r>
              <w:rPr>
                <w:rFonts w:ascii="Arial" w:cs="Arial" w:eastAsia="Arial" w:hAnsi="Arial"/>
                <w:sz w:val="14"/>
                <w:szCs w:val="14"/>
                <w:color w:val="auto"/>
              </w:rPr>
              <w:t>Selling, general</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80" w:type="dxa"/>
            <w:vAlign w:val="bottom"/>
          </w:tcPr>
          <w:p>
            <w:pPr>
              <w:ind w:left="20"/>
              <w:spacing w:after="0" w:line="127" w:lineRule="exact"/>
              <w:rPr>
                <w:sz w:val="20"/>
                <w:szCs w:val="20"/>
                <w:color w:val="auto"/>
              </w:rPr>
            </w:pPr>
            <w:r>
              <w:rPr>
                <w:rFonts w:ascii="Arial" w:cs="Arial" w:eastAsia="Arial" w:hAnsi="Arial"/>
                <w:sz w:val="14"/>
                <w:szCs w:val="14"/>
                <w:color w:val="auto"/>
              </w:rPr>
              <w:t>and</w:t>
            </w:r>
          </w:p>
        </w:tc>
        <w:tc>
          <w:tcPr>
            <w:tcW w:w="620" w:type="dxa"/>
            <w:vAlign w:val="bottom"/>
            <w:vMerge w:val="restart"/>
          </w:tcPr>
          <w:p>
            <w:pPr>
              <w:jc w:val="right"/>
              <w:ind w:right="94"/>
              <w:spacing w:after="0"/>
              <w:rPr>
                <w:sz w:val="20"/>
                <w:szCs w:val="20"/>
                <w:color w:val="auto"/>
              </w:rPr>
            </w:pPr>
            <w:r>
              <w:rPr>
                <w:rFonts w:ascii="Arial" w:cs="Arial" w:eastAsia="Arial" w:hAnsi="Arial"/>
                <w:sz w:val="14"/>
                <w:szCs w:val="14"/>
                <w:color w:val="auto"/>
              </w:rPr>
              <w:t>506.5</w:t>
            </w: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color w:val="auto"/>
              </w:rPr>
              <w:t>(0.5)</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(1.1)</w:t>
            </w:r>
          </w:p>
        </w:tc>
        <w:tc>
          <w:tcPr>
            <w:tcW w:w="980" w:type="dxa"/>
            <w:vAlign w:val="bottom"/>
            <w:vMerge w:val="restart"/>
          </w:tcPr>
          <w:p>
            <w:pPr>
              <w:jc w:val="right"/>
              <w:ind w:right="115"/>
              <w:spacing w:after="0"/>
              <w:rPr>
                <w:sz w:val="20"/>
                <w:szCs w:val="20"/>
                <w:color w:val="auto"/>
              </w:rPr>
            </w:pPr>
            <w:r>
              <w:rPr>
                <w:rFonts w:ascii="Arial" w:cs="Arial" w:eastAsia="Arial" w:hAnsi="Arial"/>
                <w:sz w:val="14"/>
                <w:szCs w:val="14"/>
                <w:color w:val="auto"/>
              </w:rPr>
              <w:t>(57.6)</w:t>
            </w:r>
          </w:p>
        </w:tc>
        <w:tc>
          <w:tcPr>
            <w:tcW w:w="980" w:type="dxa"/>
            <w:vAlign w:val="bottom"/>
            <w:vMerge w:val="restart"/>
          </w:tcPr>
          <w:p>
            <w:pPr>
              <w:jc w:val="right"/>
              <w:ind w:right="94"/>
              <w:spacing w:after="0"/>
              <w:rPr>
                <w:sz w:val="20"/>
                <w:szCs w:val="20"/>
                <w:color w:val="auto"/>
              </w:rPr>
            </w:pPr>
            <w:r>
              <w:rPr>
                <w:rFonts w:ascii="Arial" w:cs="Arial" w:eastAsia="Arial" w:hAnsi="Arial"/>
                <w:sz w:val="14"/>
                <w:szCs w:val="14"/>
                <w:color w:val="auto"/>
              </w:rPr>
              <w:t>(25.6)</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421.6</w:t>
            </w:r>
          </w:p>
        </w:tc>
        <w:tc>
          <w:tcPr>
            <w:tcW w:w="0" w:type="dxa"/>
            <w:vAlign w:val="bottom"/>
          </w:tcPr>
          <w:p>
            <w:pPr>
              <w:spacing w:after="0"/>
              <w:rPr>
                <w:sz w:val="1"/>
                <w:szCs w:val="1"/>
                <w:color w:val="auto"/>
              </w:rPr>
            </w:pPr>
          </w:p>
        </w:tc>
      </w:tr>
      <w:tr>
        <w:trPr>
          <w:trHeight w:val="167"/>
        </w:trPr>
        <w:tc>
          <w:tcPr>
            <w:tcW w:w="1080" w:type="dxa"/>
            <w:vAlign w:val="bottom"/>
          </w:tcPr>
          <w:p>
            <w:pPr>
              <w:ind w:left="20"/>
              <w:spacing w:after="0"/>
              <w:rPr>
                <w:sz w:val="20"/>
                <w:szCs w:val="20"/>
                <w:color w:val="auto"/>
              </w:rPr>
            </w:pPr>
            <w:r>
              <w:rPr>
                <w:rFonts w:ascii="Arial" w:cs="Arial" w:eastAsia="Arial" w:hAnsi="Arial"/>
                <w:sz w:val="14"/>
                <w:szCs w:val="14"/>
                <w:color w:val="auto"/>
              </w:rPr>
              <w:t>administrative</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
              <w:spacing w:after="0" w:line="139" w:lineRule="exact"/>
              <w:rPr>
                <w:sz w:val="20"/>
                <w:szCs w:val="20"/>
                <w:color w:val="auto"/>
              </w:rPr>
            </w:pPr>
            <w:r>
              <w:rPr>
                <w:rFonts w:ascii="Arial" w:cs="Arial" w:eastAsia="Arial" w:hAnsi="Arial"/>
                <w:sz w:val="14"/>
                <w:szCs w:val="14"/>
                <w:color w:val="auto"/>
              </w:rPr>
              <w:t>Selling, general</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80" w:type="dxa"/>
            <w:vAlign w:val="bottom"/>
          </w:tcPr>
          <w:p>
            <w:pPr>
              <w:ind w:left="20"/>
              <w:spacing w:after="0" w:line="127" w:lineRule="exact"/>
              <w:rPr>
                <w:sz w:val="20"/>
                <w:szCs w:val="20"/>
                <w:color w:val="auto"/>
              </w:rPr>
            </w:pPr>
            <w:r>
              <w:rPr>
                <w:rFonts w:ascii="Arial" w:cs="Arial" w:eastAsia="Arial" w:hAnsi="Arial"/>
                <w:sz w:val="14"/>
                <w:szCs w:val="14"/>
                <w:color w:val="auto"/>
              </w:rPr>
              <w:t>and</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80" w:type="dxa"/>
            <w:vAlign w:val="bottom"/>
          </w:tcPr>
          <w:p>
            <w:pPr>
              <w:ind w:left="20"/>
              <w:spacing w:after="0" w:line="127" w:lineRule="exact"/>
              <w:rPr>
                <w:sz w:val="20"/>
                <w:szCs w:val="20"/>
                <w:color w:val="auto"/>
              </w:rPr>
            </w:pPr>
            <w:r>
              <w:rPr>
                <w:rFonts w:ascii="Arial" w:cs="Arial" w:eastAsia="Arial" w:hAnsi="Arial"/>
                <w:sz w:val="14"/>
                <w:szCs w:val="14"/>
                <w:color w:val="auto"/>
                <w:w w:val="98"/>
              </w:rPr>
              <w:t>administrative as</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80" w:type="dxa"/>
            <w:vAlign w:val="bottom"/>
          </w:tcPr>
          <w:p>
            <w:pPr>
              <w:ind w:left="20"/>
              <w:spacing w:after="0" w:line="127" w:lineRule="exact"/>
              <w:rPr>
                <w:sz w:val="20"/>
                <w:szCs w:val="20"/>
                <w:color w:val="auto"/>
              </w:rPr>
            </w:pPr>
            <w:r>
              <w:rPr>
                <w:rFonts w:ascii="Arial" w:cs="Arial" w:eastAsia="Arial" w:hAnsi="Arial"/>
                <w:sz w:val="14"/>
                <w:szCs w:val="14"/>
                <w:color w:val="auto"/>
              </w:rPr>
              <w:t>a percent of net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46.7 %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38.9 %</w:t>
            </w:r>
          </w:p>
        </w:tc>
        <w:tc>
          <w:tcPr>
            <w:tcW w:w="0" w:type="dxa"/>
            <w:vAlign w:val="bottom"/>
          </w:tcPr>
          <w:p>
            <w:pPr>
              <w:spacing w:after="0"/>
              <w:rPr>
                <w:sz w:val="1"/>
                <w:szCs w:val="1"/>
                <w:color w:val="auto"/>
              </w:rPr>
            </w:pPr>
          </w:p>
        </w:tc>
      </w:tr>
      <w:tr>
        <w:trPr>
          <w:trHeight w:val="167"/>
        </w:trPr>
        <w:tc>
          <w:tcPr>
            <w:tcW w:w="1080" w:type="dxa"/>
            <w:vAlign w:val="bottom"/>
          </w:tcPr>
          <w:p>
            <w:pPr>
              <w:ind w:left="20"/>
              <w:spacing w:after="0"/>
              <w:rPr>
                <w:sz w:val="20"/>
                <w:szCs w:val="20"/>
                <w:color w:val="auto"/>
              </w:rPr>
            </w:pPr>
            <w:r>
              <w:rPr>
                <w:rFonts w:ascii="Arial" w:cs="Arial" w:eastAsia="Arial" w:hAnsi="Arial"/>
                <w:sz w:val="14"/>
                <w:szCs w:val="14"/>
                <w:color w:val="auto"/>
              </w:rPr>
              <w:t>sales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
              <w:spacing w:after="0" w:line="139" w:lineRule="exact"/>
              <w:rPr>
                <w:sz w:val="20"/>
                <w:szCs w:val="20"/>
                <w:color w:val="auto"/>
              </w:rPr>
            </w:pPr>
            <w:r>
              <w:rPr>
                <w:rFonts w:ascii="Arial" w:cs="Arial" w:eastAsia="Arial" w:hAnsi="Arial"/>
                <w:sz w:val="14"/>
                <w:szCs w:val="14"/>
                <w:color w:val="auto"/>
              </w:rPr>
              <w:t>Research and</w:t>
            </w:r>
          </w:p>
        </w:tc>
        <w:tc>
          <w:tcPr>
            <w:tcW w:w="620" w:type="dxa"/>
            <w:vAlign w:val="bottom"/>
            <w:vMerge w:val="restart"/>
          </w:tcPr>
          <w:p>
            <w:pPr>
              <w:jc w:val="right"/>
              <w:ind w:right="94"/>
              <w:spacing w:after="0"/>
              <w:rPr>
                <w:sz w:val="20"/>
                <w:szCs w:val="20"/>
                <w:color w:val="auto"/>
              </w:rPr>
            </w:pPr>
            <w:r>
              <w:rPr>
                <w:rFonts w:ascii="Arial" w:cs="Arial" w:eastAsia="Arial" w:hAnsi="Arial"/>
                <w:sz w:val="14"/>
                <w:szCs w:val="14"/>
                <w:color w:val="auto"/>
              </w:rPr>
              <w:t>146.8</w:t>
            </w: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color w:val="auto"/>
              </w:rPr>
              <w:t>(0.2)</w:t>
            </w:r>
          </w:p>
        </w:tc>
        <w:tc>
          <w:tcPr>
            <w:tcW w:w="860" w:type="dxa"/>
            <w:vAlign w:val="bottom"/>
            <w:vMerge w:val="restart"/>
          </w:tcPr>
          <w:p>
            <w:pPr>
              <w:jc w:val="right"/>
              <w:ind w:right="93"/>
              <w:spacing w:after="0"/>
              <w:rPr>
                <w:sz w:val="20"/>
                <w:szCs w:val="20"/>
                <w:color w:val="auto"/>
              </w:rPr>
            </w:pPr>
            <w:r>
              <w:rPr>
                <w:rFonts w:ascii="Arial" w:cs="Arial" w:eastAsia="Arial" w:hAnsi="Arial"/>
                <w:sz w:val="14"/>
                <w:szCs w:val="14"/>
                <w:color w:val="auto"/>
              </w:rPr>
              <w:t>(3.6)</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34"/>
              <w:spacing w:after="0"/>
              <w:rPr>
                <w:sz w:val="20"/>
                <w:szCs w:val="20"/>
                <w:color w:val="auto"/>
              </w:rPr>
            </w:pPr>
            <w:r>
              <w:rPr>
                <w:rFonts w:ascii="Arial" w:cs="Arial" w:eastAsia="Arial" w:hAnsi="Arial"/>
                <w:sz w:val="14"/>
                <w:szCs w:val="14"/>
                <w:color w:val="auto"/>
              </w:rPr>
              <w:t>1.9</w:t>
            </w:r>
          </w:p>
        </w:tc>
        <w:tc>
          <w:tcPr>
            <w:tcW w:w="980" w:type="dxa"/>
            <w:vAlign w:val="bottom"/>
            <w:vMerge w:val="restart"/>
          </w:tcPr>
          <w:p>
            <w:pPr>
              <w:jc w:val="right"/>
              <w:ind w:right="155"/>
              <w:spacing w:after="0"/>
              <w:rPr>
                <w:sz w:val="20"/>
                <w:szCs w:val="20"/>
                <w:color w:val="auto"/>
              </w:rPr>
            </w:pPr>
            <w:r>
              <w:rPr>
                <w:rFonts w:ascii="Arial" w:cs="Arial" w:eastAsia="Arial" w:hAnsi="Arial"/>
                <w:sz w:val="14"/>
                <w:szCs w:val="14"/>
                <w:color w:val="auto"/>
              </w:rPr>
              <w:t>13.6</w:t>
            </w:r>
          </w:p>
        </w:tc>
        <w:tc>
          <w:tcPr>
            <w:tcW w:w="980" w:type="dxa"/>
            <w:vAlign w:val="bottom"/>
            <w:vMerge w:val="restart"/>
          </w:tcPr>
          <w:p>
            <w:pPr>
              <w:jc w:val="right"/>
              <w:ind w:right="94"/>
              <w:spacing w:after="0"/>
              <w:rPr>
                <w:sz w:val="20"/>
                <w:szCs w:val="20"/>
                <w:color w:val="auto"/>
              </w:rPr>
            </w:pPr>
            <w:r>
              <w:rPr>
                <w:rFonts w:ascii="Arial" w:cs="Arial" w:eastAsia="Arial" w:hAnsi="Arial"/>
                <w:sz w:val="14"/>
                <w:szCs w:val="14"/>
                <w:color w:val="auto"/>
              </w:rPr>
              <w:t>(5.6)</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152.9</w:t>
            </w:r>
          </w:p>
        </w:tc>
        <w:tc>
          <w:tcPr>
            <w:tcW w:w="0" w:type="dxa"/>
            <w:vAlign w:val="bottom"/>
          </w:tcPr>
          <w:p>
            <w:pPr>
              <w:spacing w:after="0"/>
              <w:rPr>
                <w:sz w:val="1"/>
                <w:szCs w:val="1"/>
                <w:color w:val="auto"/>
              </w:rPr>
            </w:pPr>
          </w:p>
        </w:tc>
      </w:tr>
      <w:tr>
        <w:trPr>
          <w:trHeight w:val="167"/>
        </w:trPr>
        <w:tc>
          <w:tcPr>
            <w:tcW w:w="1080" w:type="dxa"/>
            <w:vAlign w:val="bottom"/>
          </w:tcPr>
          <w:p>
            <w:pPr>
              <w:ind w:left="20"/>
              <w:spacing w:after="0"/>
              <w:rPr>
                <w:sz w:val="20"/>
                <w:szCs w:val="20"/>
                <w:color w:val="auto"/>
              </w:rPr>
            </w:pPr>
            <w:r>
              <w:rPr>
                <w:rFonts w:ascii="Arial" w:cs="Arial" w:eastAsia="Arial" w:hAnsi="Arial"/>
                <w:sz w:val="14"/>
                <w:szCs w:val="14"/>
                <w:color w:val="auto"/>
              </w:rPr>
              <w:t>development</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
              <w:spacing w:after="0" w:line="139" w:lineRule="exact"/>
              <w:rPr>
                <w:sz w:val="20"/>
                <w:szCs w:val="20"/>
                <w:color w:val="auto"/>
              </w:rPr>
            </w:pPr>
            <w:r>
              <w:rPr>
                <w:rFonts w:ascii="Arial" w:cs="Arial" w:eastAsia="Arial" w:hAnsi="Arial"/>
                <w:sz w:val="14"/>
                <w:szCs w:val="14"/>
                <w:color w:val="auto"/>
              </w:rPr>
              <w:t>Research and</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80" w:type="dxa"/>
            <w:vAlign w:val="bottom"/>
          </w:tcPr>
          <w:p>
            <w:pPr>
              <w:ind w:left="20"/>
              <w:spacing w:after="0" w:line="127" w:lineRule="exact"/>
              <w:rPr>
                <w:sz w:val="20"/>
                <w:szCs w:val="20"/>
                <w:color w:val="auto"/>
              </w:rPr>
            </w:pPr>
            <w:r>
              <w:rPr>
                <w:rFonts w:ascii="Arial" w:cs="Arial" w:eastAsia="Arial" w:hAnsi="Arial"/>
                <w:sz w:val="14"/>
                <w:szCs w:val="14"/>
                <w:color w:val="auto"/>
              </w:rPr>
              <w:t>development as</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80" w:type="dxa"/>
            <w:vAlign w:val="bottom"/>
          </w:tcPr>
          <w:p>
            <w:pPr>
              <w:ind w:left="20"/>
              <w:spacing w:after="0" w:line="127" w:lineRule="exact"/>
              <w:rPr>
                <w:sz w:val="20"/>
                <w:szCs w:val="20"/>
                <w:color w:val="auto"/>
              </w:rPr>
            </w:pPr>
            <w:r>
              <w:rPr>
                <w:rFonts w:ascii="Arial" w:cs="Arial" w:eastAsia="Arial" w:hAnsi="Arial"/>
                <w:sz w:val="14"/>
                <w:szCs w:val="14"/>
                <w:color w:val="auto"/>
              </w:rPr>
              <w:t>a percent of net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13.5 %</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0.2 %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14.1 %</w:t>
            </w:r>
          </w:p>
        </w:tc>
        <w:tc>
          <w:tcPr>
            <w:tcW w:w="0" w:type="dxa"/>
            <w:vAlign w:val="bottom"/>
          </w:tcPr>
          <w:p>
            <w:pPr>
              <w:spacing w:after="0"/>
              <w:rPr>
                <w:sz w:val="1"/>
                <w:szCs w:val="1"/>
                <w:color w:val="auto"/>
              </w:rPr>
            </w:pPr>
          </w:p>
        </w:tc>
      </w:tr>
      <w:tr>
        <w:trPr>
          <w:trHeight w:val="167"/>
        </w:trPr>
        <w:tc>
          <w:tcPr>
            <w:tcW w:w="1080" w:type="dxa"/>
            <w:vAlign w:val="bottom"/>
          </w:tcPr>
          <w:p>
            <w:pPr>
              <w:ind w:left="20"/>
              <w:spacing w:after="0"/>
              <w:rPr>
                <w:sz w:val="20"/>
                <w:szCs w:val="20"/>
                <w:color w:val="auto"/>
              </w:rPr>
            </w:pPr>
            <w:r>
              <w:rPr>
                <w:rFonts w:ascii="Arial" w:cs="Arial" w:eastAsia="Arial" w:hAnsi="Arial"/>
                <w:sz w:val="14"/>
                <w:szCs w:val="14"/>
                <w:color w:val="auto"/>
              </w:rPr>
              <w:t>sales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
              <w:spacing w:after="0" w:line="139" w:lineRule="exact"/>
              <w:rPr>
                <w:sz w:val="20"/>
                <w:szCs w:val="20"/>
                <w:color w:val="auto"/>
              </w:rPr>
            </w:pPr>
            <w:r>
              <w:rPr>
                <w:rFonts w:ascii="Arial" w:cs="Arial" w:eastAsia="Arial" w:hAnsi="Arial"/>
                <w:sz w:val="14"/>
                <w:szCs w:val="14"/>
                <w:color w:val="auto"/>
              </w:rPr>
              <w:t>Litigation</w:t>
            </w:r>
          </w:p>
        </w:tc>
        <w:tc>
          <w:tcPr>
            <w:tcW w:w="620" w:type="dxa"/>
            <w:vAlign w:val="bottom"/>
            <w:vMerge w:val="restart"/>
          </w:tcPr>
          <w:p>
            <w:pPr>
              <w:jc w:val="right"/>
              <w:ind w:right="74"/>
              <w:spacing w:after="0"/>
              <w:rPr>
                <w:sz w:val="20"/>
                <w:szCs w:val="20"/>
                <w:color w:val="auto"/>
              </w:rPr>
            </w:pPr>
            <w:r>
              <w:rPr>
                <w:rFonts w:ascii="Arial" w:cs="Arial" w:eastAsia="Arial" w:hAnsi="Arial"/>
                <w:sz w:val="14"/>
                <w:szCs w:val="14"/>
                <w:color w:val="auto"/>
              </w:rPr>
              <w:t>(0.6)</w:t>
            </w: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5"/>
              <w:spacing w:after="0"/>
              <w:rPr>
                <w:sz w:val="20"/>
                <w:szCs w:val="20"/>
                <w:color w:val="auto"/>
              </w:rPr>
            </w:pPr>
            <w:r>
              <w:rPr>
                <w:rFonts w:ascii="Arial" w:cs="Arial" w:eastAsia="Arial" w:hAnsi="Arial"/>
                <w:sz w:val="14"/>
                <w:szCs w:val="14"/>
                <w:color w:val="auto"/>
              </w:rPr>
              <w:t>0.6</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080" w:type="dxa"/>
            <w:vAlign w:val="bottom"/>
          </w:tcPr>
          <w:p>
            <w:pPr>
              <w:ind w:left="20"/>
              <w:spacing w:after="0"/>
              <w:rPr>
                <w:sz w:val="20"/>
                <w:szCs w:val="20"/>
                <w:color w:val="auto"/>
              </w:rPr>
            </w:pPr>
            <w:r>
              <w:rPr>
                <w:rFonts w:ascii="Arial" w:cs="Arial" w:eastAsia="Arial" w:hAnsi="Arial"/>
                <w:sz w:val="14"/>
                <w:szCs w:val="14"/>
                <w:color w:val="auto"/>
              </w:rPr>
              <w:t>provision, net</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
              <w:spacing w:after="0" w:line="139" w:lineRule="exact"/>
              <w:rPr>
                <w:sz w:val="20"/>
                <w:szCs w:val="20"/>
                <w:color w:val="auto"/>
              </w:rPr>
            </w:pPr>
            <w:r>
              <w:rPr>
                <w:rFonts w:ascii="Arial" w:cs="Arial" w:eastAsia="Arial" w:hAnsi="Arial"/>
                <w:sz w:val="14"/>
                <w:szCs w:val="14"/>
                <w:color w:val="auto"/>
              </w:rPr>
              <w:t>Other operating</w:t>
            </w:r>
          </w:p>
        </w:tc>
        <w:tc>
          <w:tcPr>
            <w:tcW w:w="620" w:type="dxa"/>
            <w:vAlign w:val="bottom"/>
            <w:vMerge w:val="restart"/>
          </w:tcPr>
          <w:p>
            <w:pPr>
              <w:jc w:val="right"/>
              <w:ind w:right="94"/>
              <w:spacing w:after="0"/>
              <w:rPr>
                <w:sz w:val="20"/>
                <w:szCs w:val="20"/>
                <w:color w:val="auto"/>
              </w:rPr>
            </w:pPr>
            <w:r>
              <w:rPr>
                <w:rFonts w:ascii="Arial" w:cs="Arial" w:eastAsia="Arial" w:hAnsi="Arial"/>
                <w:sz w:val="14"/>
                <w:szCs w:val="14"/>
                <w:color w:val="auto"/>
              </w:rPr>
              <w:t>261.0</w:t>
            </w:r>
          </w:p>
        </w:tc>
        <w:tc>
          <w:tcPr>
            <w:tcW w:w="820" w:type="dxa"/>
            <w:vAlign w:val="bottom"/>
            <w:vMerge w:val="restart"/>
          </w:tcPr>
          <w:p>
            <w:pPr>
              <w:jc w:val="right"/>
              <w:ind w:right="114"/>
              <w:spacing w:after="0"/>
              <w:rPr>
                <w:sz w:val="20"/>
                <w:szCs w:val="20"/>
                <w:color w:val="auto"/>
              </w:rPr>
            </w:pPr>
            <w:r>
              <w:rPr>
                <w:rFonts w:ascii="Arial" w:cs="Arial" w:eastAsia="Arial" w:hAnsi="Arial"/>
                <w:sz w:val="14"/>
                <w:szCs w:val="14"/>
                <w:color w:val="auto"/>
              </w:rPr>
              <w:t>(23.5)</w:t>
            </w:r>
          </w:p>
        </w:tc>
        <w:tc>
          <w:tcPr>
            <w:tcW w:w="920" w:type="dxa"/>
            <w:vAlign w:val="bottom"/>
            <w:vMerge w:val="restart"/>
          </w:tcPr>
          <w:p>
            <w:pPr>
              <w:jc w:val="right"/>
              <w:ind w:right="94"/>
              <w:spacing w:after="0"/>
              <w:rPr>
                <w:sz w:val="20"/>
                <w:szCs w:val="20"/>
                <w:color w:val="auto"/>
              </w:rPr>
            </w:pPr>
            <w:r>
              <w:rPr>
                <w:rFonts w:ascii="Arial" w:cs="Arial" w:eastAsia="Arial" w:hAnsi="Arial"/>
                <w:sz w:val="14"/>
                <w:szCs w:val="14"/>
                <w:color w:val="auto"/>
              </w:rPr>
              <w:t>(12.3)</w:t>
            </w: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color w:val="auto"/>
              </w:rPr>
              <w:t>(40.4)</w:t>
            </w:r>
          </w:p>
        </w:tc>
        <w:tc>
          <w:tcPr>
            <w:tcW w:w="860" w:type="dxa"/>
            <w:vAlign w:val="bottom"/>
            <w:vMerge w:val="restart"/>
          </w:tcPr>
          <w:p>
            <w:pPr>
              <w:jc w:val="right"/>
              <w:ind w:right="93"/>
              <w:spacing w:after="0"/>
              <w:rPr>
                <w:sz w:val="20"/>
                <w:szCs w:val="20"/>
                <w:color w:val="auto"/>
              </w:rPr>
            </w:pPr>
            <w:r>
              <w:rPr>
                <w:rFonts w:ascii="Arial" w:cs="Arial" w:eastAsia="Arial" w:hAnsi="Arial"/>
                <w:sz w:val="14"/>
                <w:szCs w:val="14"/>
                <w:color w:val="auto"/>
              </w:rPr>
              <w:t>(184.9)</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55"/>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080" w:type="dxa"/>
            <w:vAlign w:val="bottom"/>
          </w:tcPr>
          <w:p>
            <w:pPr>
              <w:ind w:left="20"/>
              <w:spacing w:after="0"/>
              <w:rPr>
                <w:sz w:val="20"/>
                <w:szCs w:val="20"/>
                <w:color w:val="auto"/>
              </w:rPr>
            </w:pPr>
            <w:r>
              <w:rPr>
                <w:rFonts w:ascii="Arial" w:cs="Arial" w:eastAsia="Arial" w:hAnsi="Arial"/>
                <w:sz w:val="14"/>
                <w:szCs w:val="14"/>
                <w:color w:val="auto"/>
              </w:rPr>
              <w:t>expenses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
              <w:spacing w:after="0" w:line="139" w:lineRule="exact"/>
              <w:rPr>
                <w:sz w:val="20"/>
                <w:szCs w:val="20"/>
                <w:color w:val="auto"/>
              </w:rPr>
            </w:pPr>
            <w:r>
              <w:rPr>
                <w:rFonts w:ascii="Arial" w:cs="Arial" w:eastAsia="Arial" w:hAnsi="Arial"/>
                <w:sz w:val="14"/>
                <w:szCs w:val="14"/>
                <w:color w:val="auto"/>
              </w:rPr>
              <w:t>Operating (loss)</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80" w:type="dxa"/>
            <w:vAlign w:val="bottom"/>
          </w:tcPr>
          <w:p>
            <w:pPr>
              <w:ind w:left="20"/>
              <w:spacing w:after="0" w:line="127" w:lineRule="exact"/>
              <w:rPr>
                <w:sz w:val="20"/>
                <w:szCs w:val="20"/>
                <w:color w:val="auto"/>
              </w:rPr>
            </w:pPr>
            <w:r>
              <w:rPr>
                <w:rFonts w:ascii="Arial" w:cs="Arial" w:eastAsia="Arial" w:hAnsi="Arial"/>
                <w:sz w:val="14"/>
                <w:szCs w:val="14"/>
                <w:color w:val="auto"/>
              </w:rPr>
              <w:t>income from</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80" w:type="dxa"/>
            <w:vAlign w:val="bottom"/>
          </w:tcPr>
          <w:p>
            <w:pPr>
              <w:ind w:left="20"/>
              <w:spacing w:after="0" w:line="127" w:lineRule="exact"/>
              <w:rPr>
                <w:sz w:val="20"/>
                <w:szCs w:val="20"/>
                <w:color w:val="auto"/>
              </w:rPr>
            </w:pPr>
            <w:r>
              <w:rPr>
                <w:rFonts w:ascii="Arial" w:cs="Arial" w:eastAsia="Arial" w:hAnsi="Arial"/>
                <w:sz w:val="14"/>
                <w:szCs w:val="14"/>
                <w:color w:val="auto"/>
              </w:rPr>
              <w:t>continuing</w:t>
            </w:r>
          </w:p>
        </w:tc>
        <w:tc>
          <w:tcPr>
            <w:tcW w:w="620" w:type="dxa"/>
            <w:vAlign w:val="bottom"/>
            <w:vMerge w:val="restart"/>
          </w:tcPr>
          <w:p>
            <w:pPr>
              <w:jc w:val="right"/>
              <w:ind w:right="74"/>
              <w:spacing w:after="0"/>
              <w:rPr>
                <w:sz w:val="20"/>
                <w:szCs w:val="20"/>
                <w:color w:val="auto"/>
              </w:rPr>
            </w:pPr>
            <w:r>
              <w:rPr>
                <w:rFonts w:ascii="Arial" w:cs="Arial" w:eastAsia="Arial" w:hAnsi="Arial"/>
                <w:sz w:val="14"/>
                <w:szCs w:val="14"/>
                <w:color w:val="auto"/>
              </w:rPr>
              <w:t>(168.9)</w:t>
            </w: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color w:val="auto"/>
              </w:rPr>
              <w:t>23.5</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12.3</w:t>
            </w: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color w:val="auto"/>
              </w:rPr>
              <w:t>43.5</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188.5</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15.8</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(0.7)</w:t>
            </w:r>
          </w:p>
        </w:tc>
        <w:tc>
          <w:tcPr>
            <w:tcW w:w="980" w:type="dxa"/>
            <w:vAlign w:val="bottom"/>
            <w:vMerge w:val="restart"/>
          </w:tcPr>
          <w:p>
            <w:pPr>
              <w:jc w:val="right"/>
              <w:ind w:right="155"/>
              <w:spacing w:after="0"/>
              <w:rPr>
                <w:sz w:val="20"/>
                <w:szCs w:val="20"/>
                <w:color w:val="auto"/>
              </w:rPr>
            </w:pPr>
            <w:r>
              <w:rPr>
                <w:rFonts w:ascii="Arial" w:cs="Arial" w:eastAsia="Arial" w:hAnsi="Arial"/>
                <w:sz w:val="14"/>
                <w:szCs w:val="14"/>
                <w:color w:val="auto"/>
              </w:rPr>
              <w:t>33.3</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32.6</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179.7</w:t>
            </w:r>
          </w:p>
        </w:tc>
        <w:tc>
          <w:tcPr>
            <w:tcW w:w="0" w:type="dxa"/>
            <w:vAlign w:val="bottom"/>
          </w:tcPr>
          <w:p>
            <w:pPr>
              <w:spacing w:after="0"/>
              <w:rPr>
                <w:sz w:val="1"/>
                <w:szCs w:val="1"/>
                <w:color w:val="auto"/>
              </w:rPr>
            </w:pPr>
          </w:p>
        </w:tc>
      </w:tr>
      <w:tr>
        <w:trPr>
          <w:trHeight w:val="167"/>
        </w:trPr>
        <w:tc>
          <w:tcPr>
            <w:tcW w:w="108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
              <w:spacing w:after="0" w:line="139" w:lineRule="exact"/>
              <w:rPr>
                <w:sz w:val="20"/>
                <w:szCs w:val="20"/>
                <w:color w:val="auto"/>
              </w:rPr>
            </w:pPr>
            <w:r>
              <w:rPr>
                <w:rFonts w:ascii="Arial" w:cs="Arial" w:eastAsia="Arial" w:hAnsi="Arial"/>
                <w:sz w:val="14"/>
                <w:szCs w:val="14"/>
                <w:color w:val="auto"/>
              </w:rPr>
              <w:t>Operating</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(15.6)%</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4.0 %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17.4 %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3.1 %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3.0 %</w:t>
            </w:r>
          </w:p>
        </w:tc>
        <w:tc>
          <w:tcPr>
            <w:tcW w:w="880" w:type="dxa"/>
            <w:vAlign w:val="bottom"/>
            <w:vMerge w:val="restart"/>
          </w:tcPr>
          <w:p>
            <w:pPr>
              <w:ind w:left="540"/>
              <w:spacing w:after="0"/>
              <w:rPr>
                <w:sz w:val="20"/>
                <w:szCs w:val="20"/>
                <w:color w:val="auto"/>
              </w:rPr>
            </w:pPr>
            <w:r>
              <w:rPr>
                <w:rFonts w:ascii="Arial" w:cs="Arial" w:eastAsia="Arial" w:hAnsi="Arial"/>
                <w:sz w:val="14"/>
                <w:szCs w:val="14"/>
                <w:color w:val="auto"/>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 %</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167"/>
        </w:trPr>
        <w:tc>
          <w:tcPr>
            <w:tcW w:w="1080" w:type="dxa"/>
            <w:vAlign w:val="bottom"/>
          </w:tcPr>
          <w:p>
            <w:pPr>
              <w:ind w:left="20"/>
              <w:spacing w:after="0"/>
              <w:rPr>
                <w:sz w:val="20"/>
                <w:szCs w:val="20"/>
                <w:color w:val="auto"/>
              </w:rPr>
            </w:pPr>
            <w:r>
              <w:rPr>
                <w:rFonts w:ascii="Arial" w:cs="Arial" w:eastAsia="Arial" w:hAnsi="Arial"/>
                <w:sz w:val="14"/>
                <w:szCs w:val="14"/>
                <w:color w:val="auto"/>
              </w:rPr>
              <w:t>margin percent</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
              <w:spacing w:after="0" w:line="139" w:lineRule="exact"/>
              <w:rPr>
                <w:sz w:val="20"/>
                <w:szCs w:val="20"/>
                <w:color w:val="auto"/>
              </w:rPr>
            </w:pPr>
            <w:r>
              <w:rPr>
                <w:rFonts w:ascii="Arial" w:cs="Arial" w:eastAsia="Arial" w:hAnsi="Arial"/>
                <w:sz w:val="14"/>
                <w:szCs w:val="14"/>
                <w:color w:val="auto"/>
              </w:rPr>
              <w:t>Income tax</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80" w:type="dxa"/>
            <w:vAlign w:val="bottom"/>
          </w:tcPr>
          <w:p>
            <w:pPr>
              <w:ind w:left="20"/>
              <w:spacing w:after="0" w:line="127" w:lineRule="exact"/>
              <w:rPr>
                <w:sz w:val="20"/>
                <w:szCs w:val="20"/>
                <w:color w:val="auto"/>
              </w:rPr>
            </w:pPr>
            <w:r>
              <w:rPr>
                <w:rFonts w:ascii="Arial" w:cs="Arial" w:eastAsia="Arial" w:hAnsi="Arial"/>
                <w:sz w:val="14"/>
                <w:szCs w:val="14"/>
                <w:color w:val="auto"/>
              </w:rPr>
              <w:t>(benefit)</w:t>
            </w:r>
          </w:p>
        </w:tc>
        <w:tc>
          <w:tcPr>
            <w:tcW w:w="620" w:type="dxa"/>
            <w:vAlign w:val="bottom"/>
            <w:vMerge w:val="restart"/>
          </w:tcPr>
          <w:p>
            <w:pPr>
              <w:jc w:val="right"/>
              <w:ind w:right="74"/>
              <w:spacing w:after="0"/>
              <w:rPr>
                <w:sz w:val="20"/>
                <w:szCs w:val="20"/>
                <w:color w:val="auto"/>
              </w:rPr>
            </w:pPr>
            <w:r>
              <w:rPr>
                <w:rFonts w:ascii="Arial" w:cs="Arial" w:eastAsia="Arial" w:hAnsi="Arial"/>
                <w:sz w:val="14"/>
                <w:szCs w:val="14"/>
                <w:color w:val="auto"/>
              </w:rPr>
              <w:t>(30.2)</w:t>
            </w: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color w:val="auto"/>
              </w:rPr>
              <w:t>3.5</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2.3</w:t>
            </w: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color w:val="auto"/>
              </w:rPr>
              <w:t>9.3</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23.7</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4.6</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(0.1)</w:t>
            </w:r>
          </w:p>
        </w:tc>
        <w:tc>
          <w:tcPr>
            <w:tcW w:w="980" w:type="dxa"/>
            <w:vAlign w:val="bottom"/>
            <w:vMerge w:val="restart"/>
          </w:tcPr>
          <w:p>
            <w:pPr>
              <w:jc w:val="right"/>
              <w:ind w:right="155"/>
              <w:spacing w:after="0"/>
              <w:rPr>
                <w:sz w:val="20"/>
                <w:szCs w:val="20"/>
                <w:color w:val="auto"/>
              </w:rPr>
            </w:pPr>
            <w:r>
              <w:rPr>
                <w:rFonts w:ascii="Arial" w:cs="Arial" w:eastAsia="Arial" w:hAnsi="Arial"/>
                <w:sz w:val="14"/>
                <w:szCs w:val="14"/>
                <w:color w:val="auto"/>
              </w:rPr>
              <w:t>5.6</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6.0</w:t>
            </w:r>
          </w:p>
        </w:tc>
        <w:tc>
          <w:tcPr>
            <w:tcW w:w="880" w:type="dxa"/>
            <w:vAlign w:val="bottom"/>
            <w:vMerge w:val="restart"/>
          </w:tcPr>
          <w:p>
            <w:pPr>
              <w:ind w:left="440"/>
              <w:spacing w:after="0"/>
              <w:rPr>
                <w:sz w:val="20"/>
                <w:szCs w:val="20"/>
                <w:color w:val="auto"/>
              </w:rPr>
            </w:pPr>
            <w:r>
              <w:rPr>
                <w:rFonts w:ascii="Arial" w:cs="Arial" w:eastAsia="Arial" w:hAnsi="Arial"/>
                <w:sz w:val="14"/>
                <w:szCs w:val="14"/>
                <w:color w:val="auto"/>
              </w:rPr>
              <w:t>(6.8)</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1.1</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67"/>
        </w:trPr>
        <w:tc>
          <w:tcPr>
            <w:tcW w:w="1080" w:type="dxa"/>
            <w:vAlign w:val="bottom"/>
          </w:tcPr>
          <w:p>
            <w:pPr>
              <w:ind w:left="20"/>
              <w:spacing w:after="0"/>
              <w:rPr>
                <w:sz w:val="20"/>
                <w:szCs w:val="20"/>
                <w:color w:val="auto"/>
              </w:rPr>
            </w:pPr>
            <w:r>
              <w:rPr>
                <w:rFonts w:ascii="Arial" w:cs="Arial" w:eastAsia="Arial" w:hAnsi="Arial"/>
                <w:sz w:val="14"/>
                <w:szCs w:val="14"/>
                <w:color w:val="auto"/>
              </w:rPr>
              <w:t>expense</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
              <w:spacing w:after="0" w:line="139" w:lineRule="exact"/>
              <w:rPr>
                <w:sz w:val="20"/>
                <w:szCs w:val="20"/>
                <w:color w:val="auto"/>
              </w:rPr>
            </w:pPr>
            <w:r>
              <w:rPr>
                <w:rFonts w:ascii="Arial" w:cs="Arial" w:eastAsia="Arial" w:hAnsi="Arial"/>
                <w:sz w:val="14"/>
                <w:szCs w:val="14"/>
                <w:color w:val="auto"/>
              </w:rPr>
              <w:t>Net (loss)</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80" w:type="dxa"/>
            <w:vAlign w:val="bottom"/>
          </w:tcPr>
          <w:p>
            <w:pPr>
              <w:ind w:left="20"/>
              <w:spacing w:after="0" w:line="127" w:lineRule="exact"/>
              <w:rPr>
                <w:sz w:val="20"/>
                <w:szCs w:val="20"/>
                <w:color w:val="auto"/>
              </w:rPr>
            </w:pPr>
            <w:r>
              <w:rPr>
                <w:rFonts w:ascii="Arial" w:cs="Arial" w:eastAsia="Arial" w:hAnsi="Arial"/>
                <w:sz w:val="14"/>
                <w:szCs w:val="14"/>
                <w:color w:val="auto"/>
              </w:rPr>
              <w:t>income from</w:t>
            </w: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80" w:type="dxa"/>
            <w:vAlign w:val="bottom"/>
          </w:tcPr>
          <w:p>
            <w:pPr>
              <w:ind w:left="20"/>
              <w:spacing w:after="0" w:line="127" w:lineRule="exact"/>
              <w:rPr>
                <w:sz w:val="20"/>
                <w:szCs w:val="20"/>
                <w:color w:val="auto"/>
              </w:rPr>
            </w:pPr>
            <w:r>
              <w:rPr>
                <w:rFonts w:ascii="Arial" w:cs="Arial" w:eastAsia="Arial" w:hAnsi="Arial"/>
                <w:sz w:val="14"/>
                <w:szCs w:val="14"/>
                <w:color w:val="auto"/>
              </w:rPr>
              <w:t>continuing</w:t>
            </w:r>
          </w:p>
        </w:tc>
        <w:tc>
          <w:tcPr>
            <w:tcW w:w="620" w:type="dxa"/>
            <w:vAlign w:val="bottom"/>
            <w:vMerge w:val="restart"/>
          </w:tcPr>
          <w:p>
            <w:pPr>
              <w:jc w:val="right"/>
              <w:ind w:right="74"/>
              <w:spacing w:after="0"/>
              <w:rPr>
                <w:sz w:val="20"/>
                <w:szCs w:val="20"/>
                <w:color w:val="auto"/>
              </w:rPr>
            </w:pPr>
            <w:r>
              <w:rPr>
                <w:rFonts w:ascii="Arial" w:cs="Arial" w:eastAsia="Arial" w:hAnsi="Arial"/>
                <w:sz w:val="14"/>
                <w:szCs w:val="14"/>
                <w:color w:val="auto"/>
              </w:rPr>
              <w:t>(155.5)</w:t>
            </w: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color w:val="auto"/>
              </w:rPr>
              <w:t>19.9</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10.0</w:t>
            </w: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color w:val="auto"/>
              </w:rPr>
              <w:t>34.2</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164.8</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11.2</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(0.6)</w:t>
            </w:r>
          </w:p>
        </w:tc>
        <w:tc>
          <w:tcPr>
            <w:tcW w:w="980" w:type="dxa"/>
            <w:vAlign w:val="bottom"/>
            <w:vMerge w:val="restart"/>
          </w:tcPr>
          <w:p>
            <w:pPr>
              <w:jc w:val="right"/>
              <w:ind w:right="155"/>
              <w:spacing w:after="0"/>
              <w:rPr>
                <w:sz w:val="20"/>
                <w:szCs w:val="20"/>
                <w:color w:val="auto"/>
              </w:rPr>
            </w:pPr>
            <w:r>
              <w:rPr>
                <w:rFonts w:ascii="Arial" w:cs="Arial" w:eastAsia="Arial" w:hAnsi="Arial"/>
                <w:sz w:val="14"/>
                <w:szCs w:val="14"/>
                <w:color w:val="auto"/>
              </w:rPr>
              <w:t>27.7</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26.6</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6.8</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5.3</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150.4</w:t>
            </w:r>
          </w:p>
        </w:tc>
        <w:tc>
          <w:tcPr>
            <w:tcW w:w="0" w:type="dxa"/>
            <w:vAlign w:val="bottom"/>
          </w:tcPr>
          <w:p>
            <w:pPr>
              <w:spacing w:after="0"/>
              <w:rPr>
                <w:sz w:val="1"/>
                <w:szCs w:val="1"/>
                <w:color w:val="auto"/>
              </w:rPr>
            </w:pPr>
          </w:p>
        </w:tc>
      </w:tr>
      <w:tr>
        <w:trPr>
          <w:trHeight w:val="167"/>
        </w:trPr>
        <w:tc>
          <w:tcPr>
            <w:tcW w:w="108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80" w:type="dxa"/>
            <w:vAlign w:val="bottom"/>
          </w:tcPr>
          <w:p>
            <w:pPr>
              <w:ind w:left="20"/>
              <w:spacing w:after="0" w:line="139" w:lineRule="exact"/>
              <w:rPr>
                <w:sz w:val="20"/>
                <w:szCs w:val="20"/>
                <w:color w:val="auto"/>
              </w:rPr>
            </w:pPr>
            <w:r>
              <w:rPr>
                <w:rFonts w:ascii="Arial" w:cs="Arial" w:eastAsia="Arial" w:hAnsi="Arial"/>
                <w:sz w:val="14"/>
                <w:szCs w:val="14"/>
                <w:color w:val="auto"/>
              </w:rPr>
              <w:t>Diluted EPS -</w:t>
            </w: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80" w:type="dxa"/>
            <w:vAlign w:val="bottom"/>
          </w:tcPr>
          <w:p>
            <w:pPr>
              <w:ind w:left="20"/>
              <w:spacing w:after="0" w:line="127" w:lineRule="exact"/>
              <w:rPr>
                <w:sz w:val="20"/>
                <w:szCs w:val="20"/>
                <w:color w:val="auto"/>
              </w:rPr>
            </w:pPr>
            <w:r>
              <w:rPr>
                <w:rFonts w:ascii="Arial" w:cs="Arial" w:eastAsia="Arial" w:hAnsi="Arial"/>
                <w:sz w:val="14"/>
                <w:szCs w:val="14"/>
                <w:color w:val="auto"/>
              </w:rPr>
              <w:t>Continuing</w:t>
            </w:r>
          </w:p>
        </w:tc>
        <w:tc>
          <w:tcPr>
            <w:tcW w:w="620" w:type="dxa"/>
            <w:vAlign w:val="bottom"/>
            <w:vMerge w:val="restart"/>
          </w:tcPr>
          <w:p>
            <w:pPr>
              <w:jc w:val="right"/>
              <w:ind w:right="74"/>
              <w:spacing w:after="0"/>
              <w:rPr>
                <w:sz w:val="20"/>
                <w:szCs w:val="20"/>
                <w:color w:val="auto"/>
              </w:rPr>
            </w:pPr>
            <w:r>
              <w:rPr>
                <w:rFonts w:ascii="Arial" w:cs="Arial" w:eastAsia="Arial" w:hAnsi="Arial"/>
                <w:sz w:val="14"/>
                <w:szCs w:val="14"/>
                <w:color w:val="auto"/>
              </w:rPr>
              <w:t>($3.22)</w:t>
            </w:r>
          </w:p>
        </w:tc>
        <w:tc>
          <w:tcPr>
            <w:tcW w:w="820" w:type="dxa"/>
            <w:vAlign w:val="bottom"/>
            <w:vMerge w:val="restart"/>
          </w:tcPr>
          <w:p>
            <w:pPr>
              <w:jc w:val="right"/>
              <w:ind w:right="154"/>
              <w:spacing w:after="0"/>
              <w:rPr>
                <w:sz w:val="20"/>
                <w:szCs w:val="20"/>
                <w:color w:val="auto"/>
              </w:rPr>
            </w:pPr>
            <w:r>
              <w:rPr>
                <w:rFonts w:ascii="Arial" w:cs="Arial" w:eastAsia="Arial" w:hAnsi="Arial"/>
                <w:sz w:val="14"/>
                <w:szCs w:val="14"/>
                <w:color w:val="auto"/>
              </w:rPr>
              <w:t>$0.41</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color w:val="auto"/>
              </w:rPr>
              <w:t>$0.20</w:t>
            </w:r>
          </w:p>
        </w:tc>
        <w:tc>
          <w:tcPr>
            <w:tcW w:w="900" w:type="dxa"/>
            <w:vAlign w:val="bottom"/>
            <w:vMerge w:val="restart"/>
          </w:tcPr>
          <w:p>
            <w:pPr>
              <w:jc w:val="right"/>
              <w:ind w:right="154"/>
              <w:spacing w:after="0"/>
              <w:rPr>
                <w:sz w:val="20"/>
                <w:szCs w:val="20"/>
                <w:color w:val="auto"/>
              </w:rPr>
            </w:pPr>
            <w:r>
              <w:rPr>
                <w:rFonts w:ascii="Arial" w:cs="Arial" w:eastAsia="Arial" w:hAnsi="Arial"/>
                <w:sz w:val="14"/>
                <w:szCs w:val="14"/>
                <w:color w:val="auto"/>
              </w:rPr>
              <w:t>$0.70</w:t>
            </w:r>
          </w:p>
        </w:tc>
        <w:tc>
          <w:tcPr>
            <w:tcW w:w="860" w:type="dxa"/>
            <w:vAlign w:val="bottom"/>
            <w:vMerge w:val="restart"/>
          </w:tcPr>
          <w:p>
            <w:pPr>
              <w:jc w:val="right"/>
              <w:ind w:right="133"/>
              <w:spacing w:after="0"/>
              <w:rPr>
                <w:sz w:val="20"/>
                <w:szCs w:val="20"/>
                <w:color w:val="auto"/>
              </w:rPr>
            </w:pPr>
            <w:r>
              <w:rPr>
                <w:rFonts w:ascii="Arial" w:cs="Arial" w:eastAsia="Arial" w:hAnsi="Arial"/>
                <w:sz w:val="14"/>
                <w:szCs w:val="14"/>
                <w:color w:val="auto"/>
              </w:rPr>
              <w:t>$3.38</w:t>
            </w:r>
          </w:p>
        </w:tc>
        <w:tc>
          <w:tcPr>
            <w:tcW w:w="880" w:type="dxa"/>
            <w:vAlign w:val="bottom"/>
            <w:vMerge w:val="restart"/>
          </w:tcPr>
          <w:p>
            <w:pPr>
              <w:jc w:val="right"/>
              <w:ind w:right="154"/>
              <w:spacing w:after="0"/>
              <w:rPr>
                <w:sz w:val="20"/>
                <w:szCs w:val="20"/>
                <w:color w:val="auto"/>
              </w:rPr>
            </w:pPr>
            <w:r>
              <w:rPr>
                <w:rFonts w:ascii="Arial" w:cs="Arial" w:eastAsia="Arial" w:hAnsi="Arial"/>
                <w:sz w:val="14"/>
                <w:szCs w:val="14"/>
                <w:color w:val="auto"/>
              </w:rPr>
              <w:t>$0.23</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($0.01)</w:t>
            </w:r>
          </w:p>
        </w:tc>
        <w:tc>
          <w:tcPr>
            <w:tcW w:w="980" w:type="dxa"/>
            <w:vAlign w:val="bottom"/>
            <w:vMerge w:val="restart"/>
          </w:tcPr>
          <w:p>
            <w:pPr>
              <w:jc w:val="right"/>
              <w:ind w:right="155"/>
              <w:spacing w:after="0"/>
              <w:rPr>
                <w:sz w:val="20"/>
                <w:szCs w:val="20"/>
                <w:color w:val="auto"/>
              </w:rPr>
            </w:pPr>
            <w:r>
              <w:rPr>
                <w:rFonts w:ascii="Arial" w:cs="Arial" w:eastAsia="Arial" w:hAnsi="Arial"/>
                <w:sz w:val="14"/>
                <w:szCs w:val="14"/>
                <w:color w:val="auto"/>
              </w:rPr>
              <w:t>$0.57</w:t>
            </w:r>
          </w:p>
        </w:tc>
        <w:tc>
          <w:tcPr>
            <w:tcW w:w="980" w:type="dxa"/>
            <w:vAlign w:val="bottom"/>
            <w:vMerge w:val="restart"/>
          </w:tcPr>
          <w:p>
            <w:pPr>
              <w:jc w:val="right"/>
              <w:ind w:right="134"/>
              <w:spacing w:after="0"/>
              <w:rPr>
                <w:sz w:val="20"/>
                <w:szCs w:val="20"/>
                <w:color w:val="auto"/>
              </w:rPr>
            </w:pPr>
            <w:r>
              <w:rPr>
                <w:rFonts w:ascii="Arial" w:cs="Arial" w:eastAsia="Arial" w:hAnsi="Arial"/>
                <w:sz w:val="14"/>
                <w:szCs w:val="14"/>
                <w:color w:val="auto"/>
              </w:rPr>
              <w:t>$0.54</w:t>
            </w:r>
          </w:p>
        </w:tc>
        <w:tc>
          <w:tcPr>
            <w:tcW w:w="880" w:type="dxa"/>
            <w:vAlign w:val="bottom"/>
            <w:vMerge w:val="restart"/>
          </w:tcPr>
          <w:p>
            <w:pPr>
              <w:jc w:val="right"/>
              <w:ind w:right="134"/>
              <w:spacing w:after="0"/>
              <w:rPr>
                <w:sz w:val="20"/>
                <w:szCs w:val="20"/>
                <w:color w:val="auto"/>
              </w:rPr>
            </w:pPr>
            <w:r>
              <w:rPr>
                <w:rFonts w:ascii="Arial" w:cs="Arial" w:eastAsia="Arial" w:hAnsi="Arial"/>
                <w:sz w:val="14"/>
                <w:szCs w:val="14"/>
                <w:color w:val="auto"/>
              </w:rPr>
              <w:t>$0.14</w:t>
            </w:r>
          </w:p>
        </w:tc>
        <w:tc>
          <w:tcPr>
            <w:tcW w:w="840" w:type="dxa"/>
            <w:vAlign w:val="bottom"/>
            <w:vMerge w:val="restart"/>
          </w:tcPr>
          <w:p>
            <w:pPr>
              <w:jc w:val="right"/>
              <w:ind w:right="94"/>
              <w:spacing w:after="0"/>
              <w:rPr>
                <w:sz w:val="20"/>
                <w:szCs w:val="20"/>
                <w:color w:val="auto"/>
              </w:rPr>
            </w:pPr>
            <w:r>
              <w:rPr>
                <w:rFonts w:ascii="Arial" w:cs="Arial" w:eastAsia="Arial" w:hAnsi="Arial"/>
                <w:sz w:val="14"/>
                <w:szCs w:val="14"/>
                <w:color w:val="auto"/>
              </w:rPr>
              <w:t>$0.11</w:t>
            </w:r>
          </w:p>
        </w:tc>
        <w:tc>
          <w:tcPr>
            <w:tcW w:w="640" w:type="dxa"/>
            <w:vAlign w:val="bottom"/>
            <w:vMerge w:val="restart"/>
          </w:tcPr>
          <w:p>
            <w:pPr>
              <w:jc w:val="right"/>
              <w:ind w:right="114"/>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1"/>
        </w:trPr>
        <w:tc>
          <w:tcPr>
            <w:tcW w:w="108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62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GAAP results for the twelve months ended December 31, 2019 include:</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60" w:type="dxa"/>
            <w:vAlign w:val="bottom"/>
          </w:tcPr>
          <w:p>
            <w:pPr>
              <w:spacing w:after="0"/>
              <w:rPr>
                <w:sz w:val="20"/>
                <w:szCs w:val="20"/>
                <w:color w:val="auto"/>
              </w:rPr>
            </w:pPr>
            <w:r>
              <w:rPr>
                <w:rFonts w:ascii="Arial" w:cs="Arial" w:eastAsia="Arial" w:hAnsi="Arial"/>
                <w:sz w:val="14"/>
                <w:szCs w:val="14"/>
                <w:color w:val="auto"/>
              </w:rPr>
              <w:t>(A)</w:t>
            </w:r>
          </w:p>
        </w:tc>
        <w:tc>
          <w:tcPr>
            <w:tcW w:w="10720" w:type="dxa"/>
            <w:vAlign w:val="bottom"/>
            <w:gridSpan w:val="2"/>
          </w:tcPr>
          <w:p>
            <w:pPr>
              <w:ind w:left="80"/>
              <w:spacing w:after="0"/>
              <w:rPr>
                <w:sz w:val="20"/>
                <w:szCs w:val="20"/>
                <w:color w:val="auto"/>
              </w:rPr>
            </w:pPr>
            <w:r>
              <w:rPr>
                <w:rFonts w:ascii="Arial" w:cs="Arial" w:eastAsia="Arial" w:hAnsi="Arial"/>
                <w:sz w:val="14"/>
                <w:szCs w:val="14"/>
                <w:color w:val="auto"/>
              </w:rPr>
              <w:t>Merger and integration expenses related to our legacy companies and recent acquisitions</w:t>
            </w:r>
          </w:p>
        </w:tc>
      </w:tr>
      <w:tr>
        <w:trPr>
          <w:trHeight w:val="178"/>
        </w:trPr>
        <w:tc>
          <w:tcPr>
            <w:tcW w:w="260" w:type="dxa"/>
            <w:vAlign w:val="bottom"/>
          </w:tcPr>
          <w:p>
            <w:pPr>
              <w:spacing w:after="0"/>
              <w:rPr>
                <w:sz w:val="20"/>
                <w:szCs w:val="20"/>
                <w:color w:val="auto"/>
              </w:rPr>
            </w:pPr>
            <w:r>
              <w:rPr>
                <w:rFonts w:ascii="Arial" w:cs="Arial" w:eastAsia="Arial" w:hAnsi="Arial"/>
                <w:sz w:val="14"/>
                <w:szCs w:val="14"/>
                <w:color w:val="auto"/>
              </w:rPr>
              <w:t>(B)</w:t>
            </w:r>
          </w:p>
        </w:tc>
        <w:tc>
          <w:tcPr>
            <w:tcW w:w="5220" w:type="dxa"/>
            <w:vAlign w:val="bottom"/>
          </w:tcPr>
          <w:p>
            <w:pPr>
              <w:ind w:left="80"/>
              <w:spacing w:after="0"/>
              <w:rPr>
                <w:sz w:val="20"/>
                <w:szCs w:val="20"/>
                <w:color w:val="auto"/>
              </w:rPr>
            </w:pPr>
            <w:r>
              <w:rPr>
                <w:rFonts w:ascii="Arial" w:cs="Arial" w:eastAsia="Arial" w:hAnsi="Arial"/>
                <w:sz w:val="14"/>
                <w:szCs w:val="14"/>
                <w:color w:val="auto"/>
              </w:rPr>
              <w:t>Restructuring expenses related to organizational changes</w:t>
            </w:r>
          </w:p>
        </w:tc>
        <w:tc>
          <w:tcPr>
            <w:tcW w:w="5500" w:type="dxa"/>
            <w:vAlign w:val="bottom"/>
          </w:tcPr>
          <w:p>
            <w:pPr>
              <w:spacing w:after="0"/>
              <w:rPr>
                <w:sz w:val="15"/>
                <w:szCs w:val="15"/>
                <w:color w:val="auto"/>
              </w:rPr>
            </w:pPr>
          </w:p>
        </w:tc>
      </w:tr>
      <w:tr>
        <w:trPr>
          <w:trHeight w:val="178"/>
        </w:trPr>
        <w:tc>
          <w:tcPr>
            <w:tcW w:w="260" w:type="dxa"/>
            <w:vAlign w:val="bottom"/>
          </w:tcPr>
          <w:p>
            <w:pPr>
              <w:spacing w:after="0"/>
              <w:rPr>
                <w:sz w:val="20"/>
                <w:szCs w:val="20"/>
                <w:color w:val="auto"/>
              </w:rPr>
            </w:pPr>
            <w:r>
              <w:rPr>
                <w:rFonts w:ascii="Arial" w:cs="Arial" w:eastAsia="Arial" w:hAnsi="Arial"/>
                <w:sz w:val="14"/>
                <w:szCs w:val="14"/>
                <w:color w:val="auto"/>
              </w:rPr>
              <w:t>(C)</w:t>
            </w:r>
          </w:p>
        </w:tc>
        <w:tc>
          <w:tcPr>
            <w:tcW w:w="5220" w:type="dxa"/>
            <w:vAlign w:val="bottom"/>
          </w:tcPr>
          <w:p>
            <w:pPr>
              <w:ind w:left="80"/>
              <w:spacing w:after="0"/>
              <w:rPr>
                <w:sz w:val="20"/>
                <w:szCs w:val="20"/>
                <w:color w:val="auto"/>
              </w:rPr>
            </w:pPr>
            <w:r>
              <w:rPr>
                <w:rFonts w:ascii="Arial" w:cs="Arial" w:eastAsia="Arial" w:hAnsi="Arial"/>
                <w:sz w:val="14"/>
                <w:szCs w:val="14"/>
                <w:color w:val="auto"/>
              </w:rPr>
              <w:t>Includes depreciation and amortization associated with purchase price accounting</w:t>
            </w:r>
          </w:p>
        </w:tc>
        <w:tc>
          <w:tcPr>
            <w:tcW w:w="5500" w:type="dxa"/>
            <w:vAlign w:val="bottom"/>
          </w:tcPr>
          <w:p>
            <w:pPr>
              <w:spacing w:after="0"/>
              <w:rPr>
                <w:sz w:val="15"/>
                <w:szCs w:val="15"/>
                <w:color w:val="auto"/>
              </w:rPr>
            </w:pPr>
          </w:p>
        </w:tc>
      </w:tr>
      <w:tr>
        <w:trPr>
          <w:trHeight w:val="139"/>
        </w:trPr>
        <w:tc>
          <w:tcPr>
            <w:tcW w:w="260" w:type="dxa"/>
            <w:vAlign w:val="bottom"/>
          </w:tcPr>
          <w:p>
            <w:pPr>
              <w:spacing w:after="0" w:line="139" w:lineRule="exact"/>
              <w:rPr>
                <w:sz w:val="20"/>
                <w:szCs w:val="20"/>
                <w:color w:val="auto"/>
              </w:rPr>
            </w:pPr>
            <w:r>
              <w:rPr>
                <w:rFonts w:ascii="Arial" w:cs="Arial" w:eastAsia="Arial" w:hAnsi="Arial"/>
                <w:sz w:val="14"/>
                <w:szCs w:val="14"/>
                <w:color w:val="auto"/>
              </w:rPr>
              <w:t>(D)</w:t>
            </w:r>
          </w:p>
        </w:tc>
        <w:tc>
          <w:tcPr>
            <w:tcW w:w="10720" w:type="dxa"/>
            <w:vAlign w:val="bottom"/>
            <w:gridSpan w:val="2"/>
          </w:tcPr>
          <w:p>
            <w:pPr>
              <w:ind w:left="80"/>
              <w:spacing w:after="0" w:line="139" w:lineRule="exact"/>
              <w:rPr>
                <w:sz w:val="20"/>
                <w:szCs w:val="20"/>
                <w:color w:val="auto"/>
              </w:rPr>
            </w:pPr>
            <w:r>
              <w:rPr>
                <w:rFonts w:ascii="Arial" w:cs="Arial" w:eastAsia="Arial" w:hAnsi="Arial"/>
                <w:sz w:val="14"/>
                <w:szCs w:val="14"/>
                <w:color w:val="auto"/>
                <w:w w:val="96"/>
              </w:rPr>
              <w:t>Impairment of Transcatheter Mitral Valve Replacement goodwill, intangible assets and other long-lived assets and Obstructive Sleep Apnea intangible assets and other long-lived</w:t>
            </w:r>
          </w:p>
        </w:tc>
      </w:tr>
      <w:tr>
        <w:trPr>
          <w:trHeight w:val="167"/>
        </w:trPr>
        <w:tc>
          <w:tcPr>
            <w:tcW w:w="260" w:type="dxa"/>
            <w:vAlign w:val="bottom"/>
          </w:tcPr>
          <w:p>
            <w:pPr>
              <w:spacing w:after="0"/>
              <w:rPr>
                <w:sz w:val="14"/>
                <w:szCs w:val="14"/>
                <w:color w:val="auto"/>
              </w:rPr>
            </w:pPr>
          </w:p>
        </w:tc>
        <w:tc>
          <w:tcPr>
            <w:tcW w:w="5220" w:type="dxa"/>
            <w:vAlign w:val="bottom"/>
          </w:tcPr>
          <w:p>
            <w:pPr>
              <w:ind w:left="80"/>
              <w:spacing w:after="0"/>
              <w:rPr>
                <w:sz w:val="20"/>
                <w:szCs w:val="20"/>
                <w:color w:val="auto"/>
              </w:rPr>
            </w:pPr>
            <w:r>
              <w:rPr>
                <w:rFonts w:ascii="Arial" w:cs="Arial" w:eastAsia="Arial" w:hAnsi="Arial"/>
                <w:sz w:val="14"/>
                <w:szCs w:val="14"/>
                <w:color w:val="auto"/>
              </w:rPr>
              <w:t>assets</w:t>
            </w:r>
          </w:p>
        </w:tc>
        <w:tc>
          <w:tcPr>
            <w:tcW w:w="5500" w:type="dxa"/>
            <w:vAlign w:val="bottom"/>
          </w:tcPr>
          <w:p>
            <w:pPr>
              <w:spacing w:after="0"/>
              <w:rPr>
                <w:sz w:val="14"/>
                <w:szCs w:val="14"/>
                <w:color w:val="auto"/>
              </w:rPr>
            </w:pPr>
          </w:p>
        </w:tc>
      </w:tr>
      <w:tr>
        <w:trPr>
          <w:trHeight w:val="178"/>
        </w:trPr>
        <w:tc>
          <w:tcPr>
            <w:tcW w:w="260" w:type="dxa"/>
            <w:vAlign w:val="bottom"/>
          </w:tcPr>
          <w:p>
            <w:pPr>
              <w:spacing w:after="0"/>
              <w:rPr>
                <w:sz w:val="20"/>
                <w:szCs w:val="20"/>
                <w:color w:val="auto"/>
              </w:rPr>
            </w:pPr>
            <w:r>
              <w:rPr>
                <w:rFonts w:ascii="Arial" w:cs="Arial" w:eastAsia="Arial" w:hAnsi="Arial"/>
                <w:sz w:val="14"/>
                <w:szCs w:val="14"/>
                <w:color w:val="auto"/>
              </w:rPr>
              <w:t>(E)</w:t>
            </w:r>
          </w:p>
        </w:tc>
        <w:tc>
          <w:tcPr>
            <w:tcW w:w="5220" w:type="dxa"/>
            <w:vAlign w:val="bottom"/>
          </w:tcPr>
          <w:p>
            <w:pPr>
              <w:ind w:left="80"/>
              <w:spacing w:after="0"/>
              <w:rPr>
                <w:sz w:val="20"/>
                <w:szCs w:val="20"/>
                <w:color w:val="auto"/>
              </w:rPr>
            </w:pPr>
            <w:r>
              <w:rPr>
                <w:rFonts w:ascii="Arial" w:cs="Arial" w:eastAsia="Arial" w:hAnsi="Arial"/>
                <w:sz w:val="14"/>
                <w:szCs w:val="14"/>
                <w:color w:val="auto"/>
              </w:rPr>
              <w:t>Costs related to the 3T Heater-Cooler remediation plan</w:t>
            </w:r>
          </w:p>
        </w:tc>
        <w:tc>
          <w:tcPr>
            <w:tcW w:w="5500" w:type="dxa"/>
            <w:vAlign w:val="bottom"/>
          </w:tcPr>
          <w:p>
            <w:pPr>
              <w:spacing w:after="0"/>
              <w:rPr>
                <w:sz w:val="15"/>
                <w:szCs w:val="15"/>
                <w:color w:val="auto"/>
              </w:rPr>
            </w:pPr>
          </w:p>
        </w:tc>
      </w:tr>
      <w:tr>
        <w:trPr>
          <w:trHeight w:val="178"/>
        </w:trPr>
        <w:tc>
          <w:tcPr>
            <w:tcW w:w="260" w:type="dxa"/>
            <w:vAlign w:val="bottom"/>
          </w:tcPr>
          <w:p>
            <w:pPr>
              <w:spacing w:after="0"/>
              <w:rPr>
                <w:sz w:val="20"/>
                <w:szCs w:val="20"/>
                <w:color w:val="auto"/>
              </w:rPr>
            </w:pPr>
            <w:r>
              <w:rPr>
                <w:rFonts w:ascii="Arial" w:cs="Arial" w:eastAsia="Arial" w:hAnsi="Arial"/>
                <w:sz w:val="14"/>
                <w:szCs w:val="14"/>
                <w:color w:val="auto"/>
              </w:rPr>
              <w:t>(F)</w:t>
            </w:r>
          </w:p>
        </w:tc>
        <w:tc>
          <w:tcPr>
            <w:tcW w:w="5220" w:type="dxa"/>
            <w:vAlign w:val="bottom"/>
          </w:tcPr>
          <w:p>
            <w:pPr>
              <w:ind w:left="80"/>
              <w:spacing w:after="0"/>
              <w:rPr>
                <w:sz w:val="20"/>
                <w:szCs w:val="20"/>
                <w:color w:val="auto"/>
              </w:rPr>
            </w:pPr>
            <w:r>
              <w:rPr>
                <w:rFonts w:ascii="Arial" w:cs="Arial" w:eastAsia="Arial" w:hAnsi="Arial"/>
                <w:sz w:val="14"/>
                <w:szCs w:val="14"/>
                <w:color w:val="auto"/>
              </w:rPr>
              <w:t>Costs related to acquisitions</w:t>
            </w:r>
          </w:p>
        </w:tc>
        <w:tc>
          <w:tcPr>
            <w:tcW w:w="5500" w:type="dxa"/>
            <w:vAlign w:val="bottom"/>
          </w:tcPr>
          <w:p>
            <w:pPr>
              <w:spacing w:after="0"/>
              <w:rPr>
                <w:sz w:val="15"/>
                <w:szCs w:val="15"/>
                <w:color w:val="auto"/>
              </w:rPr>
            </w:pPr>
          </w:p>
        </w:tc>
      </w:tr>
      <w:tr>
        <w:trPr>
          <w:trHeight w:val="139"/>
        </w:trPr>
        <w:tc>
          <w:tcPr>
            <w:tcW w:w="260" w:type="dxa"/>
            <w:vAlign w:val="bottom"/>
          </w:tcPr>
          <w:p>
            <w:pPr>
              <w:spacing w:after="0" w:line="139" w:lineRule="exact"/>
              <w:rPr>
                <w:sz w:val="20"/>
                <w:szCs w:val="20"/>
                <w:color w:val="auto"/>
              </w:rPr>
            </w:pPr>
            <w:r>
              <w:rPr>
                <w:rFonts w:ascii="Arial" w:cs="Arial" w:eastAsia="Arial" w:hAnsi="Arial"/>
                <w:sz w:val="14"/>
                <w:szCs w:val="14"/>
                <w:color w:val="auto"/>
              </w:rPr>
              <w:t>(G)</w:t>
            </w:r>
          </w:p>
        </w:tc>
        <w:tc>
          <w:tcPr>
            <w:tcW w:w="10720" w:type="dxa"/>
            <w:vAlign w:val="bottom"/>
            <w:gridSpan w:val="2"/>
          </w:tcPr>
          <w:p>
            <w:pPr>
              <w:ind w:left="80"/>
              <w:spacing w:after="0" w:line="139" w:lineRule="exact"/>
              <w:rPr>
                <w:sz w:val="20"/>
                <w:szCs w:val="20"/>
                <w:color w:val="auto"/>
              </w:rPr>
            </w:pPr>
            <w:r>
              <w:rPr>
                <w:rFonts w:ascii="Arial" w:cs="Arial" w:eastAsia="Arial" w:hAnsi="Arial"/>
                <w:sz w:val="14"/>
                <w:szCs w:val="14"/>
                <w:color w:val="auto"/>
                <w:w w:val="99"/>
              </w:rPr>
              <w:t>3T Heater-Cooler litigation provision, 3T insurance recovery, legal expenses primarily related to 3T Heater-Cooler defense, settlements and other matters, remeasurement of</w:t>
            </w:r>
          </w:p>
        </w:tc>
      </w:tr>
      <w:tr>
        <w:trPr>
          <w:trHeight w:val="167"/>
        </w:trPr>
        <w:tc>
          <w:tcPr>
            <w:tcW w:w="260" w:type="dxa"/>
            <w:vAlign w:val="bottom"/>
          </w:tcPr>
          <w:p>
            <w:pPr>
              <w:spacing w:after="0"/>
              <w:rPr>
                <w:sz w:val="14"/>
                <w:szCs w:val="14"/>
                <w:color w:val="auto"/>
              </w:rPr>
            </w:pPr>
          </w:p>
        </w:tc>
        <w:tc>
          <w:tcPr>
            <w:tcW w:w="5220" w:type="dxa"/>
            <w:vAlign w:val="bottom"/>
          </w:tcPr>
          <w:p>
            <w:pPr>
              <w:ind w:left="80"/>
              <w:spacing w:after="0"/>
              <w:rPr>
                <w:sz w:val="20"/>
                <w:szCs w:val="20"/>
                <w:color w:val="auto"/>
              </w:rPr>
            </w:pPr>
            <w:r>
              <w:rPr>
                <w:rFonts w:ascii="Arial" w:cs="Arial" w:eastAsia="Arial" w:hAnsi="Arial"/>
                <w:sz w:val="14"/>
                <w:szCs w:val="14"/>
                <w:color w:val="auto"/>
              </w:rPr>
              <w:t>contingent consideration related to acquisitions and AR reserves</w:t>
            </w:r>
          </w:p>
        </w:tc>
        <w:tc>
          <w:tcPr>
            <w:tcW w:w="5500" w:type="dxa"/>
            <w:vAlign w:val="bottom"/>
          </w:tcPr>
          <w:p>
            <w:pPr>
              <w:spacing w:after="0"/>
              <w:rPr>
                <w:sz w:val="14"/>
                <w:szCs w:val="14"/>
                <w:color w:val="auto"/>
              </w:rPr>
            </w:pPr>
          </w:p>
        </w:tc>
      </w:tr>
      <w:tr>
        <w:trPr>
          <w:trHeight w:val="178"/>
        </w:trPr>
        <w:tc>
          <w:tcPr>
            <w:tcW w:w="260" w:type="dxa"/>
            <w:vAlign w:val="bottom"/>
          </w:tcPr>
          <w:p>
            <w:pPr>
              <w:spacing w:after="0"/>
              <w:rPr>
                <w:sz w:val="20"/>
                <w:szCs w:val="20"/>
                <w:color w:val="auto"/>
              </w:rPr>
            </w:pPr>
            <w:r>
              <w:rPr>
                <w:rFonts w:ascii="Arial" w:cs="Arial" w:eastAsia="Arial" w:hAnsi="Arial"/>
                <w:sz w:val="14"/>
                <w:szCs w:val="14"/>
                <w:color w:val="auto"/>
              </w:rPr>
              <w:t>(H)</w:t>
            </w:r>
          </w:p>
        </w:tc>
        <w:tc>
          <w:tcPr>
            <w:tcW w:w="5220" w:type="dxa"/>
            <w:vAlign w:val="bottom"/>
          </w:tcPr>
          <w:p>
            <w:pPr>
              <w:ind w:left="80"/>
              <w:spacing w:after="0"/>
              <w:rPr>
                <w:sz w:val="20"/>
                <w:szCs w:val="20"/>
                <w:color w:val="auto"/>
              </w:rPr>
            </w:pPr>
            <w:r>
              <w:rPr>
                <w:rFonts w:ascii="Arial" w:cs="Arial" w:eastAsia="Arial" w:hAnsi="Arial"/>
                <w:sz w:val="14"/>
                <w:szCs w:val="14"/>
                <w:color w:val="auto"/>
              </w:rPr>
              <w:t>Non-cash expenses associated with stock-based compensation costs</w:t>
            </w:r>
          </w:p>
        </w:tc>
        <w:tc>
          <w:tcPr>
            <w:tcW w:w="5500" w:type="dxa"/>
            <w:vAlign w:val="bottom"/>
          </w:tcPr>
          <w:p>
            <w:pPr>
              <w:spacing w:after="0"/>
              <w:rPr>
                <w:sz w:val="15"/>
                <w:szCs w:val="15"/>
                <w:color w:val="auto"/>
              </w:rPr>
            </w:pPr>
          </w:p>
        </w:tc>
      </w:tr>
      <w:tr>
        <w:trPr>
          <w:trHeight w:val="178"/>
        </w:trPr>
        <w:tc>
          <w:tcPr>
            <w:tcW w:w="260" w:type="dxa"/>
            <w:vAlign w:val="bottom"/>
          </w:tcPr>
          <w:p>
            <w:pPr>
              <w:spacing w:after="0"/>
              <w:rPr>
                <w:sz w:val="20"/>
                <w:szCs w:val="20"/>
                <w:color w:val="auto"/>
              </w:rPr>
            </w:pPr>
            <w:r>
              <w:rPr>
                <w:rFonts w:ascii="Arial" w:cs="Arial" w:eastAsia="Arial" w:hAnsi="Arial"/>
                <w:sz w:val="14"/>
                <w:szCs w:val="14"/>
                <w:color w:val="auto"/>
              </w:rPr>
              <w:t>(I)</w:t>
            </w:r>
          </w:p>
        </w:tc>
        <w:tc>
          <w:tcPr>
            <w:tcW w:w="5220" w:type="dxa"/>
            <w:vAlign w:val="bottom"/>
          </w:tcPr>
          <w:p>
            <w:pPr>
              <w:ind w:left="80"/>
              <w:spacing w:after="0"/>
              <w:rPr>
                <w:sz w:val="20"/>
                <w:szCs w:val="20"/>
                <w:color w:val="auto"/>
              </w:rPr>
            </w:pPr>
            <w:r>
              <w:rPr>
                <w:rFonts w:ascii="Arial" w:cs="Arial" w:eastAsia="Arial" w:hAnsi="Arial"/>
                <w:sz w:val="14"/>
                <w:szCs w:val="14"/>
                <w:color w:val="auto"/>
                <w:w w:val="96"/>
              </w:rPr>
              <w:t>Primarily relates to discrete tax items and the tax impact of intercompany transactions</w:t>
            </w:r>
          </w:p>
        </w:tc>
        <w:tc>
          <w:tcPr>
            <w:tcW w:w="5500" w:type="dxa"/>
            <w:vAlign w:val="bottom"/>
          </w:tcPr>
          <w:p>
            <w:pPr>
              <w:spacing w:after="0"/>
              <w:rPr>
                <w:sz w:val="15"/>
                <w:szCs w:val="15"/>
                <w:color w:val="auto"/>
              </w:rPr>
            </w:pPr>
          </w:p>
        </w:tc>
      </w:tr>
      <w:tr>
        <w:trPr>
          <w:trHeight w:val="139"/>
        </w:trPr>
        <w:tc>
          <w:tcPr>
            <w:tcW w:w="260" w:type="dxa"/>
            <w:vAlign w:val="bottom"/>
          </w:tcPr>
          <w:p>
            <w:pPr>
              <w:spacing w:after="0" w:line="139" w:lineRule="exact"/>
              <w:rPr>
                <w:sz w:val="20"/>
                <w:szCs w:val="20"/>
                <w:color w:val="auto"/>
              </w:rPr>
            </w:pPr>
            <w:r>
              <w:rPr>
                <w:rFonts w:ascii="Arial" w:cs="Arial" w:eastAsia="Arial" w:hAnsi="Arial"/>
                <w:sz w:val="14"/>
                <w:szCs w:val="14"/>
                <w:color w:val="auto"/>
              </w:rPr>
              <w:t>(J)</w:t>
            </w:r>
          </w:p>
        </w:tc>
        <w:tc>
          <w:tcPr>
            <w:tcW w:w="10720" w:type="dxa"/>
            <w:vAlign w:val="bottom"/>
            <w:gridSpan w:val="2"/>
          </w:tcPr>
          <w:p>
            <w:pPr>
              <w:ind w:left="80"/>
              <w:spacing w:after="0" w:line="139" w:lineRule="exact"/>
              <w:rPr>
                <w:sz w:val="20"/>
                <w:szCs w:val="20"/>
                <w:color w:val="auto"/>
              </w:rPr>
            </w:pPr>
            <w:r>
              <w:rPr>
                <w:rFonts w:ascii="Arial" w:cs="Arial" w:eastAsia="Arial" w:hAnsi="Arial"/>
                <w:sz w:val="14"/>
                <w:szCs w:val="14"/>
                <w:color w:val="auto"/>
              </w:rPr>
              <w:t>Primarily relates to intellectual property migration, interest related to 3T Heater-Cooler litigation settlement and other non-recurring impacts to interest expense</w:t>
            </w:r>
          </w:p>
        </w:tc>
      </w:tr>
      <w:tr>
        <w:trPr>
          <w:trHeight w:val="276"/>
        </w:trPr>
        <w:tc>
          <w:tcPr>
            <w:tcW w:w="5480" w:type="dxa"/>
            <w:vAlign w:val="bottom"/>
            <w:gridSpan w:val="2"/>
          </w:tcPr>
          <w:p>
            <w:pPr>
              <w:spacing w:after="0"/>
              <w:rPr>
                <w:sz w:val="20"/>
                <w:szCs w:val="20"/>
                <w:color w:val="auto"/>
              </w:rPr>
            </w:pPr>
            <w:r>
              <w:rPr>
                <w:rFonts w:ascii="Arial" w:cs="Arial" w:eastAsia="Arial" w:hAnsi="Arial"/>
                <w:sz w:val="14"/>
                <w:szCs w:val="14"/>
                <w:color w:val="auto"/>
              </w:rPr>
              <w:t>* Numbers may not add precisely due to rounding.</w:t>
            </w:r>
          </w:p>
        </w:tc>
        <w:tc>
          <w:tcPr>
            <w:tcW w:w="5500" w:type="dxa"/>
            <w:vAlign w:val="bottom"/>
          </w:tcPr>
          <w:p>
            <w:pPr>
              <w:jc w:val="right"/>
              <w:ind w:right="5158"/>
              <w:spacing w:after="0"/>
              <w:rPr>
                <w:sz w:val="20"/>
                <w:szCs w:val="20"/>
                <w:color w:val="auto"/>
              </w:rPr>
            </w:pPr>
            <w:r>
              <w:rPr>
                <w:rFonts w:ascii="Arial" w:cs="Arial" w:eastAsia="Arial" w:hAnsi="Arial"/>
                <w:sz w:val="20"/>
                <w:szCs w:val="20"/>
                <w:color w:val="auto"/>
                <w:w w:val="98"/>
              </w:rPr>
              <w:t>19</w:t>
            </w:r>
          </w:p>
        </w:tc>
      </w:tr>
    </w:tbl>
    <w:p>
      <w:pPr>
        <w:sectPr>
          <w:pgSz w:w="11900" w:h="16838" w:orient="portrait"/>
          <w:cols w:equalWidth="0" w:num="1">
            <w:col w:w="11240"/>
          </w:cols>
          <w:pgMar w:left="320" w:top="849" w:right="339" w:bottom="1440" w:gutter="0" w:footer="0" w:header="0"/>
        </w:sectPr>
      </w:pPr>
    </w:p>
    <w:bookmarkStart w:id="22" w:name="page23"/>
    <w:bookmarkEnd w:id="22"/>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20"/>
                <w:szCs w:val="20"/>
                <w:color w:val="auto"/>
              </w:rPr>
            </w:pPr>
            <w:r>
              <w:rPr>
                <w:rFonts w:ascii="Arial" w:cs="Arial" w:eastAsia="Arial" w:hAnsi="Arial"/>
                <w:sz w:val="17"/>
                <w:szCs w:val="17"/>
                <w:b w:val="1"/>
                <w:bCs w:val="1"/>
                <w:color w:val="auto"/>
              </w:rPr>
              <w:t>LIVANOVA PLC AND SUBSIDIARIES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7"/>
                <w:szCs w:val="17"/>
                <w:b w:val="1"/>
                <w:bCs w:val="1"/>
                <w:color w:val="auto"/>
              </w:rPr>
              <w:t>CONDENSED CONSOLIDATED BALANCE SHEETS - UNAUDITED</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800" w:type="dxa"/>
            <w:vAlign w:val="bottom"/>
          </w:tcPr>
          <w:p>
            <w:pPr>
              <w:spacing w:after="0"/>
              <w:rPr>
                <w:sz w:val="20"/>
                <w:szCs w:val="20"/>
                <w:color w:val="auto"/>
              </w:rPr>
            </w:pPr>
            <w:r>
              <w:rPr>
                <w:rFonts w:ascii="Arial" w:cs="Arial" w:eastAsia="Arial" w:hAnsi="Arial"/>
                <w:sz w:val="17"/>
                <w:szCs w:val="17"/>
                <w:b w:val="1"/>
                <w:bCs w:val="1"/>
                <w:color w:val="auto"/>
              </w:rPr>
              <w:t>(U.S. dollars in millions)</w:t>
            </w:r>
          </w:p>
        </w:tc>
        <w:tc>
          <w:tcPr>
            <w:tcW w:w="2240" w:type="dxa"/>
            <w:vAlign w:val="bottom"/>
            <w:gridSpan w:val="2"/>
            <w:vMerge w:val="restart"/>
          </w:tcPr>
          <w:p>
            <w:pPr>
              <w:ind w:left="320"/>
              <w:spacing w:after="0"/>
              <w:rPr>
                <w:sz w:val="20"/>
                <w:szCs w:val="20"/>
                <w:color w:val="auto"/>
              </w:rPr>
            </w:pPr>
            <w:r>
              <w:rPr>
                <w:rFonts w:ascii="Arial" w:cs="Arial" w:eastAsia="Arial" w:hAnsi="Arial"/>
                <w:sz w:val="17"/>
                <w:szCs w:val="17"/>
                <w:b w:val="1"/>
                <w:bCs w:val="1"/>
                <w:color w:val="auto"/>
              </w:rPr>
              <w:t>December 31, 2020</w:t>
            </w:r>
          </w:p>
        </w:tc>
        <w:tc>
          <w:tcPr>
            <w:tcW w:w="2160" w:type="dxa"/>
            <w:vAlign w:val="bottom"/>
            <w:vMerge w:val="restart"/>
          </w:tcPr>
          <w:p>
            <w:pPr>
              <w:jc w:val="right"/>
              <w:ind w:right="235"/>
              <w:spacing w:after="0"/>
              <w:rPr>
                <w:sz w:val="20"/>
                <w:szCs w:val="20"/>
                <w:color w:val="auto"/>
              </w:rPr>
            </w:pPr>
            <w:r>
              <w:rPr>
                <w:rFonts w:ascii="Arial" w:cs="Arial" w:eastAsia="Arial" w:hAnsi="Arial"/>
                <w:sz w:val="17"/>
                <w:szCs w:val="17"/>
                <w:b w:val="1"/>
                <w:bCs w:val="1"/>
                <w:color w:val="auto"/>
              </w:rPr>
              <w:t>December 31, 2019</w:t>
            </w:r>
          </w:p>
        </w:tc>
        <w:tc>
          <w:tcPr>
            <w:tcW w:w="0" w:type="dxa"/>
            <w:vAlign w:val="bottom"/>
          </w:tcPr>
          <w:p>
            <w:pPr>
              <w:spacing w:after="0"/>
              <w:rPr>
                <w:sz w:val="1"/>
                <w:szCs w:val="1"/>
                <w:color w:val="auto"/>
              </w:rPr>
            </w:pPr>
          </w:p>
        </w:tc>
      </w:tr>
      <w:tr>
        <w:trPr>
          <w:trHeight w:val="205"/>
        </w:trPr>
        <w:tc>
          <w:tcPr>
            <w:tcW w:w="680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2240" w:type="dxa"/>
            <w:vAlign w:val="bottom"/>
            <w:gridSpan w:val="2"/>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800" w:type="dxa"/>
            <w:vAlign w:val="bottom"/>
            <w:vMerge w:val="continue"/>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800" w:type="dxa"/>
            <w:vAlign w:val="bottom"/>
          </w:tcPr>
          <w:p>
            <w:pPr>
              <w:spacing w:after="0"/>
              <w:rPr>
                <w:sz w:val="20"/>
                <w:szCs w:val="20"/>
                <w:color w:val="auto"/>
              </w:rPr>
            </w:pPr>
            <w:r>
              <w:rPr>
                <w:rFonts w:ascii="Arial" w:cs="Arial" w:eastAsia="Arial" w:hAnsi="Arial"/>
                <w:sz w:val="17"/>
                <w:szCs w:val="17"/>
                <w:i w:val="1"/>
                <w:iCs w:val="1"/>
                <w:color w:val="auto"/>
              </w:rPr>
              <w:t>Current Assets: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Cash and cash equivalents</w:t>
            </w:r>
          </w:p>
        </w:tc>
        <w:tc>
          <w:tcPr>
            <w:tcW w:w="2160" w:type="dxa"/>
            <w:vAlign w:val="bottom"/>
          </w:tcPr>
          <w:p>
            <w:pPr>
              <w:jc w:val="right"/>
              <w:spacing w:after="0"/>
              <w:rPr>
                <w:sz w:val="20"/>
                <w:szCs w:val="20"/>
                <w:color w:val="auto"/>
              </w:rPr>
            </w:pPr>
            <w:r>
              <w:rPr>
                <w:rFonts w:ascii="Arial" w:cs="Arial" w:eastAsia="Arial" w:hAnsi="Arial"/>
                <w:sz w:val="17"/>
                <w:szCs w:val="17"/>
                <w:color w:val="auto"/>
              </w:rPr>
              <w:t>$252.8</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$61.1</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Accounts receivable, net of allowance</w:t>
            </w:r>
          </w:p>
        </w:tc>
        <w:tc>
          <w:tcPr>
            <w:tcW w:w="2160" w:type="dxa"/>
            <w:vAlign w:val="bottom"/>
          </w:tcPr>
          <w:p>
            <w:pPr>
              <w:jc w:val="right"/>
              <w:spacing w:after="0"/>
              <w:rPr>
                <w:sz w:val="20"/>
                <w:szCs w:val="20"/>
                <w:color w:val="auto"/>
              </w:rPr>
            </w:pPr>
            <w:r>
              <w:rPr>
                <w:rFonts w:ascii="Arial" w:cs="Arial" w:eastAsia="Arial" w:hAnsi="Arial"/>
                <w:sz w:val="17"/>
                <w:szCs w:val="17"/>
                <w:color w:val="auto"/>
              </w:rPr>
              <w:t>184.4</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257.8</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Inventories</w:t>
            </w:r>
          </w:p>
        </w:tc>
        <w:tc>
          <w:tcPr>
            <w:tcW w:w="2160" w:type="dxa"/>
            <w:vAlign w:val="bottom"/>
          </w:tcPr>
          <w:p>
            <w:pPr>
              <w:jc w:val="right"/>
              <w:spacing w:after="0"/>
              <w:rPr>
                <w:sz w:val="20"/>
                <w:szCs w:val="20"/>
                <w:color w:val="auto"/>
              </w:rPr>
            </w:pPr>
            <w:r>
              <w:rPr>
                <w:rFonts w:ascii="Arial" w:cs="Arial" w:eastAsia="Arial" w:hAnsi="Arial"/>
                <w:sz w:val="17"/>
                <w:szCs w:val="17"/>
                <w:color w:val="auto"/>
              </w:rPr>
              <w:t>126.7</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164.2</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Prepaid and refundable taxes</w:t>
            </w:r>
          </w:p>
        </w:tc>
        <w:tc>
          <w:tcPr>
            <w:tcW w:w="2160" w:type="dxa"/>
            <w:vAlign w:val="bottom"/>
          </w:tcPr>
          <w:p>
            <w:pPr>
              <w:jc w:val="right"/>
              <w:spacing w:after="0"/>
              <w:rPr>
                <w:sz w:val="20"/>
                <w:szCs w:val="20"/>
                <w:color w:val="auto"/>
              </w:rPr>
            </w:pPr>
            <w:r>
              <w:rPr>
                <w:rFonts w:ascii="Arial" w:cs="Arial" w:eastAsia="Arial" w:hAnsi="Arial"/>
                <w:sz w:val="17"/>
                <w:szCs w:val="17"/>
                <w:color w:val="auto"/>
              </w:rPr>
              <w:t>60.2</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Assets held for sale</w:t>
            </w:r>
          </w:p>
        </w:tc>
        <w:tc>
          <w:tcPr>
            <w:tcW w:w="2160" w:type="dxa"/>
            <w:vAlign w:val="bottom"/>
          </w:tcPr>
          <w:p>
            <w:pPr>
              <w:jc w:val="right"/>
              <w:spacing w:after="0"/>
              <w:rPr>
                <w:sz w:val="20"/>
                <w:szCs w:val="20"/>
                <w:color w:val="auto"/>
              </w:rPr>
            </w:pPr>
            <w:r>
              <w:rPr>
                <w:rFonts w:ascii="Arial" w:cs="Arial" w:eastAsia="Arial" w:hAnsi="Arial"/>
                <w:sz w:val="17"/>
                <w:szCs w:val="17"/>
                <w:color w:val="auto"/>
              </w:rPr>
              <w:t>70.5</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6800" w:type="dxa"/>
            <w:vAlign w:val="bottom"/>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7"/>
                <w:szCs w:val="17"/>
                <w:color w:val="auto"/>
              </w:rPr>
              <w:t>Total Current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719.4</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549.4</w:t>
            </w:r>
          </w:p>
        </w:tc>
        <w:tc>
          <w:tcPr>
            <w:tcW w:w="0" w:type="dxa"/>
            <w:vAlign w:val="bottom"/>
          </w:tcPr>
          <w:p>
            <w:pPr>
              <w:spacing w:after="0"/>
              <w:rPr>
                <w:sz w:val="1"/>
                <w:szCs w:val="1"/>
                <w:color w:val="auto"/>
              </w:rPr>
            </w:pPr>
          </w:p>
        </w:tc>
      </w:tr>
      <w:tr>
        <w:trPr>
          <w:trHeight w:val="199"/>
        </w:trPr>
        <w:tc>
          <w:tcPr>
            <w:tcW w:w="6800" w:type="dxa"/>
            <w:vAlign w:val="bottom"/>
          </w:tcPr>
          <w:p>
            <w:pPr>
              <w:ind w:left="200"/>
              <w:spacing w:after="0"/>
              <w:rPr>
                <w:sz w:val="20"/>
                <w:szCs w:val="20"/>
                <w:color w:val="auto"/>
              </w:rPr>
            </w:pPr>
            <w:r>
              <w:rPr>
                <w:rFonts w:ascii="Arial" w:cs="Arial" w:eastAsia="Arial" w:hAnsi="Arial"/>
                <w:sz w:val="17"/>
                <w:szCs w:val="17"/>
                <w:color w:val="auto"/>
              </w:rPr>
              <w:t>Property, plant and equipment, net</w:t>
            </w:r>
          </w:p>
        </w:tc>
        <w:tc>
          <w:tcPr>
            <w:tcW w:w="2160" w:type="dxa"/>
            <w:vAlign w:val="bottom"/>
          </w:tcPr>
          <w:p>
            <w:pPr>
              <w:jc w:val="right"/>
              <w:spacing w:after="0"/>
              <w:rPr>
                <w:sz w:val="20"/>
                <w:szCs w:val="20"/>
                <w:color w:val="auto"/>
              </w:rPr>
            </w:pPr>
            <w:r>
              <w:rPr>
                <w:rFonts w:ascii="Arial" w:cs="Arial" w:eastAsia="Arial" w:hAnsi="Arial"/>
                <w:sz w:val="17"/>
                <w:szCs w:val="17"/>
                <w:color w:val="auto"/>
              </w:rPr>
              <w:t>163.8</w:t>
            </w:r>
          </w:p>
        </w:tc>
        <w:tc>
          <w:tcPr>
            <w:tcW w:w="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181.4</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Goodwill</w:t>
            </w:r>
          </w:p>
        </w:tc>
        <w:tc>
          <w:tcPr>
            <w:tcW w:w="2160" w:type="dxa"/>
            <w:vAlign w:val="bottom"/>
          </w:tcPr>
          <w:p>
            <w:pPr>
              <w:jc w:val="right"/>
              <w:spacing w:after="0"/>
              <w:rPr>
                <w:sz w:val="20"/>
                <w:szCs w:val="20"/>
                <w:color w:val="auto"/>
              </w:rPr>
            </w:pPr>
            <w:r>
              <w:rPr>
                <w:rFonts w:ascii="Arial" w:cs="Arial" w:eastAsia="Arial" w:hAnsi="Arial"/>
                <w:sz w:val="17"/>
                <w:szCs w:val="17"/>
                <w:color w:val="auto"/>
              </w:rPr>
              <w:t>922.3</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915.8</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Intangible assets, net</w:t>
            </w:r>
          </w:p>
        </w:tc>
        <w:tc>
          <w:tcPr>
            <w:tcW w:w="2160" w:type="dxa"/>
            <w:vAlign w:val="bottom"/>
          </w:tcPr>
          <w:p>
            <w:pPr>
              <w:jc w:val="right"/>
              <w:spacing w:after="0"/>
              <w:rPr>
                <w:sz w:val="20"/>
                <w:szCs w:val="20"/>
                <w:color w:val="auto"/>
              </w:rPr>
            </w:pPr>
            <w:r>
              <w:rPr>
                <w:rFonts w:ascii="Arial" w:cs="Arial" w:eastAsia="Arial" w:hAnsi="Arial"/>
                <w:sz w:val="17"/>
                <w:szCs w:val="17"/>
                <w:color w:val="auto"/>
              </w:rPr>
              <w:t>437.6</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607.5</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Operating lease assets</w:t>
            </w:r>
          </w:p>
        </w:tc>
        <w:tc>
          <w:tcPr>
            <w:tcW w:w="2160" w:type="dxa"/>
            <w:vAlign w:val="bottom"/>
          </w:tcPr>
          <w:p>
            <w:pPr>
              <w:jc w:val="right"/>
              <w:spacing w:after="0"/>
              <w:rPr>
                <w:sz w:val="20"/>
                <w:szCs w:val="20"/>
                <w:color w:val="auto"/>
              </w:rPr>
            </w:pPr>
            <w:r>
              <w:rPr>
                <w:rFonts w:ascii="Arial" w:cs="Arial" w:eastAsia="Arial" w:hAnsi="Arial"/>
                <w:sz w:val="17"/>
                <w:szCs w:val="17"/>
                <w:color w:val="auto"/>
              </w:rPr>
              <w:t>50.5</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54.4</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Investments</w:t>
            </w:r>
          </w:p>
        </w:tc>
        <w:tc>
          <w:tcPr>
            <w:tcW w:w="2160" w:type="dxa"/>
            <w:vAlign w:val="bottom"/>
          </w:tcPr>
          <w:p>
            <w:pPr>
              <w:jc w:val="right"/>
              <w:spacing w:after="0"/>
              <w:rPr>
                <w:sz w:val="20"/>
                <w:szCs w:val="20"/>
                <w:color w:val="auto"/>
              </w:rPr>
            </w:pPr>
            <w:r>
              <w:rPr>
                <w:rFonts w:ascii="Arial" w:cs="Arial" w:eastAsia="Arial" w:hAnsi="Arial"/>
                <w:sz w:val="17"/>
                <w:szCs w:val="17"/>
                <w:color w:val="auto"/>
              </w:rPr>
              <w:t>31.1</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Deferred tax assets</w:t>
            </w:r>
          </w:p>
        </w:tc>
        <w:tc>
          <w:tcPr>
            <w:tcW w:w="2160" w:type="dxa"/>
            <w:vAlign w:val="bottom"/>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68.7</w:t>
            </w:r>
          </w:p>
        </w:tc>
        <w:tc>
          <w:tcPr>
            <w:tcW w:w="0" w:type="dxa"/>
            <w:vAlign w:val="bottom"/>
          </w:tcPr>
          <w:p>
            <w:pPr>
              <w:spacing w:after="0"/>
              <w:rPr>
                <w:sz w:val="1"/>
                <w:szCs w:val="1"/>
                <w:color w:val="auto"/>
              </w:rPr>
            </w:pPr>
          </w:p>
        </w:tc>
      </w:tr>
      <w:tr>
        <w:trPr>
          <w:trHeight w:val="227"/>
        </w:trPr>
        <w:tc>
          <w:tcPr>
            <w:tcW w:w="6800" w:type="dxa"/>
            <w:vAlign w:val="bottom"/>
          </w:tcPr>
          <w:p>
            <w:pPr>
              <w:ind w:left="200"/>
              <w:spacing w:after="0"/>
              <w:rPr>
                <w:sz w:val="20"/>
                <w:szCs w:val="20"/>
                <w:color w:val="auto"/>
              </w:rPr>
            </w:pPr>
            <w:r>
              <w:rPr>
                <w:rFonts w:ascii="Arial" w:cs="Arial" w:eastAsia="Arial" w:hAnsi="Arial"/>
                <w:sz w:val="17"/>
                <w:szCs w:val="17"/>
                <w:color w:val="auto"/>
              </w:rPr>
              <w:t>Other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83.5</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7"/>
                <w:szCs w:val="17"/>
                <w:color w:val="auto"/>
              </w:rPr>
              <w:t>Total Assets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$2,411.4</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$2,411.8</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800" w:type="dxa"/>
            <w:vAlign w:val="bottom"/>
            <w:vMerge w:val="continue"/>
          </w:tcPr>
          <w:p>
            <w:pPr>
              <w:spacing w:after="0"/>
              <w:rPr>
                <w:sz w:val="23"/>
                <w:szCs w:val="23"/>
                <w:color w:val="auto"/>
              </w:rPr>
            </w:pPr>
          </w:p>
        </w:tc>
        <w:tc>
          <w:tcPr>
            <w:tcW w:w="2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6800" w:type="dxa"/>
            <w:vAlign w:val="bottom"/>
          </w:tcPr>
          <w:p>
            <w:pPr>
              <w:spacing w:after="0"/>
              <w:rPr>
                <w:sz w:val="20"/>
                <w:szCs w:val="20"/>
                <w:color w:val="auto"/>
              </w:rPr>
            </w:pPr>
            <w:r>
              <w:rPr>
                <w:rFonts w:ascii="Arial" w:cs="Arial" w:eastAsia="Arial" w:hAnsi="Arial"/>
                <w:sz w:val="17"/>
                <w:szCs w:val="17"/>
                <w:i w:val="1"/>
                <w:iCs w:val="1"/>
                <w:color w:val="auto"/>
              </w:rPr>
              <w:t>Current Liabilities: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Current debt obligations</w:t>
            </w:r>
          </w:p>
        </w:tc>
        <w:tc>
          <w:tcPr>
            <w:tcW w:w="2160" w:type="dxa"/>
            <w:vAlign w:val="bottom"/>
          </w:tcPr>
          <w:p>
            <w:pPr>
              <w:jc w:val="right"/>
              <w:spacing w:after="0"/>
              <w:rPr>
                <w:sz w:val="20"/>
                <w:szCs w:val="20"/>
                <w:color w:val="auto"/>
              </w:rPr>
            </w:pPr>
            <w:r>
              <w:rPr>
                <w:rFonts w:ascii="Arial" w:cs="Arial" w:eastAsia="Arial" w:hAnsi="Arial"/>
                <w:sz w:val="17"/>
                <w:szCs w:val="17"/>
                <w:color w:val="auto"/>
              </w:rPr>
              <w:t>$13.3</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$77.4</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Accounts payable</w:t>
            </w:r>
          </w:p>
        </w:tc>
        <w:tc>
          <w:tcPr>
            <w:tcW w:w="2160" w:type="dxa"/>
            <w:vAlign w:val="bottom"/>
          </w:tcPr>
          <w:p>
            <w:pPr>
              <w:jc w:val="right"/>
              <w:spacing w:after="0"/>
              <w:rPr>
                <w:sz w:val="20"/>
                <w:szCs w:val="20"/>
                <w:color w:val="auto"/>
              </w:rPr>
            </w:pPr>
            <w:r>
              <w:rPr>
                <w:rFonts w:ascii="Arial" w:cs="Arial" w:eastAsia="Arial" w:hAnsi="Arial"/>
                <w:sz w:val="17"/>
                <w:szCs w:val="17"/>
                <w:color w:val="auto"/>
              </w:rPr>
              <w:t>73.7</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85.9</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Accrued liabilities and other</w:t>
            </w:r>
          </w:p>
        </w:tc>
        <w:tc>
          <w:tcPr>
            <w:tcW w:w="2160" w:type="dxa"/>
            <w:vAlign w:val="bottom"/>
          </w:tcPr>
          <w:p>
            <w:pPr>
              <w:jc w:val="right"/>
              <w:spacing w:after="0"/>
              <w:rPr>
                <w:sz w:val="20"/>
                <w:szCs w:val="20"/>
                <w:color w:val="auto"/>
              </w:rPr>
            </w:pPr>
            <w:r>
              <w:rPr>
                <w:rFonts w:ascii="Arial" w:cs="Arial" w:eastAsia="Arial" w:hAnsi="Arial"/>
                <w:sz w:val="17"/>
                <w:szCs w:val="17"/>
                <w:color w:val="auto"/>
              </w:rPr>
              <w:t>95.4</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120.1</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Current litigation provision liability</w:t>
            </w:r>
          </w:p>
        </w:tc>
        <w:tc>
          <w:tcPr>
            <w:tcW w:w="2160" w:type="dxa"/>
            <w:vAlign w:val="bottom"/>
          </w:tcPr>
          <w:p>
            <w:pPr>
              <w:jc w:val="right"/>
              <w:spacing w:after="0"/>
              <w:rPr>
                <w:sz w:val="20"/>
                <w:szCs w:val="20"/>
                <w:color w:val="auto"/>
              </w:rPr>
            </w:pPr>
            <w:r>
              <w:rPr>
                <w:rFonts w:ascii="Arial" w:cs="Arial" w:eastAsia="Arial" w:hAnsi="Arial"/>
                <w:sz w:val="17"/>
                <w:szCs w:val="17"/>
                <w:color w:val="auto"/>
              </w:rPr>
              <w:t>28.6</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146.0</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Taxes payable</w:t>
            </w:r>
          </w:p>
        </w:tc>
        <w:tc>
          <w:tcPr>
            <w:tcW w:w="2160" w:type="dxa"/>
            <w:vAlign w:val="bottom"/>
          </w:tcPr>
          <w:p>
            <w:pPr>
              <w:jc w:val="right"/>
              <w:spacing w:after="0"/>
              <w:rPr>
                <w:sz w:val="20"/>
                <w:szCs w:val="20"/>
                <w:color w:val="auto"/>
              </w:rPr>
            </w:pPr>
            <w:r>
              <w:rPr>
                <w:rFonts w:ascii="Arial" w:cs="Arial" w:eastAsia="Arial" w:hAnsi="Arial"/>
                <w:sz w:val="17"/>
                <w:szCs w:val="17"/>
                <w:color w:val="auto"/>
              </w:rPr>
              <w:t>16.5</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Accrued employee compensation and related benefits</w:t>
            </w:r>
          </w:p>
        </w:tc>
        <w:tc>
          <w:tcPr>
            <w:tcW w:w="2160" w:type="dxa"/>
            <w:vAlign w:val="bottom"/>
          </w:tcPr>
          <w:p>
            <w:pPr>
              <w:jc w:val="right"/>
              <w:spacing w:after="0"/>
              <w:rPr>
                <w:sz w:val="20"/>
                <w:szCs w:val="20"/>
                <w:color w:val="auto"/>
              </w:rPr>
            </w:pPr>
            <w:r>
              <w:rPr>
                <w:rFonts w:ascii="Arial" w:cs="Arial" w:eastAsia="Arial" w:hAnsi="Arial"/>
                <w:sz w:val="17"/>
                <w:szCs w:val="17"/>
                <w:color w:val="auto"/>
              </w:rPr>
              <w:t>51.9</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70.4</w:t>
            </w:r>
          </w:p>
        </w:tc>
        <w:tc>
          <w:tcPr>
            <w:tcW w:w="0" w:type="dxa"/>
            <w:vAlign w:val="bottom"/>
          </w:tcPr>
          <w:p>
            <w:pPr>
              <w:spacing w:after="0"/>
              <w:rPr>
                <w:sz w:val="1"/>
                <w:szCs w:val="1"/>
                <w:color w:val="auto"/>
              </w:rPr>
            </w:pPr>
          </w:p>
        </w:tc>
      </w:tr>
      <w:tr>
        <w:trPr>
          <w:trHeight w:val="227"/>
        </w:trPr>
        <w:tc>
          <w:tcPr>
            <w:tcW w:w="6800" w:type="dxa"/>
            <w:vAlign w:val="bottom"/>
          </w:tcPr>
          <w:p>
            <w:pPr>
              <w:ind w:left="200"/>
              <w:spacing w:after="0"/>
              <w:rPr>
                <w:sz w:val="20"/>
                <w:szCs w:val="20"/>
                <w:color w:val="auto"/>
              </w:rPr>
            </w:pPr>
            <w:r>
              <w:rPr>
                <w:rFonts w:ascii="Arial" w:cs="Arial" w:eastAsia="Arial" w:hAnsi="Arial"/>
                <w:sz w:val="17"/>
                <w:szCs w:val="17"/>
                <w:color w:val="auto"/>
              </w:rPr>
              <w:t>Liabilities held for sale</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309.1</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512.6</w:t>
            </w:r>
          </w:p>
        </w:tc>
        <w:tc>
          <w:tcPr>
            <w:tcW w:w="0" w:type="dxa"/>
            <w:vAlign w:val="bottom"/>
          </w:tcPr>
          <w:p>
            <w:pPr>
              <w:spacing w:after="0"/>
              <w:rPr>
                <w:sz w:val="1"/>
                <w:szCs w:val="1"/>
                <w:color w:val="auto"/>
              </w:rPr>
            </w:pPr>
          </w:p>
        </w:tc>
      </w:tr>
      <w:tr>
        <w:trPr>
          <w:trHeight w:val="199"/>
        </w:trPr>
        <w:tc>
          <w:tcPr>
            <w:tcW w:w="6800" w:type="dxa"/>
            <w:vAlign w:val="bottom"/>
          </w:tcPr>
          <w:p>
            <w:pPr>
              <w:ind w:left="200"/>
              <w:spacing w:after="0"/>
              <w:rPr>
                <w:sz w:val="20"/>
                <w:szCs w:val="20"/>
                <w:color w:val="auto"/>
              </w:rPr>
            </w:pPr>
            <w:r>
              <w:rPr>
                <w:rFonts w:ascii="Arial" w:cs="Arial" w:eastAsia="Arial" w:hAnsi="Arial"/>
                <w:sz w:val="17"/>
                <w:szCs w:val="17"/>
                <w:color w:val="auto"/>
              </w:rPr>
              <w:t>Long-term debt obligations</w:t>
            </w:r>
          </w:p>
        </w:tc>
        <w:tc>
          <w:tcPr>
            <w:tcW w:w="2160" w:type="dxa"/>
            <w:vAlign w:val="bottom"/>
          </w:tcPr>
          <w:p>
            <w:pPr>
              <w:jc w:val="right"/>
              <w:spacing w:after="0"/>
              <w:rPr>
                <w:sz w:val="20"/>
                <w:szCs w:val="20"/>
                <w:color w:val="auto"/>
              </w:rPr>
            </w:pPr>
            <w:r>
              <w:rPr>
                <w:rFonts w:ascii="Arial" w:cs="Arial" w:eastAsia="Arial" w:hAnsi="Arial"/>
                <w:sz w:val="17"/>
                <w:szCs w:val="17"/>
                <w:color w:val="auto"/>
              </w:rPr>
              <w:t>642.3</w:t>
            </w:r>
          </w:p>
        </w:tc>
        <w:tc>
          <w:tcPr>
            <w:tcW w:w="8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260.3</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Contingent consideration</w:t>
            </w:r>
          </w:p>
        </w:tc>
        <w:tc>
          <w:tcPr>
            <w:tcW w:w="2160" w:type="dxa"/>
            <w:vAlign w:val="bottom"/>
          </w:tcPr>
          <w:p>
            <w:pPr>
              <w:jc w:val="right"/>
              <w:spacing w:after="0"/>
              <w:rPr>
                <w:sz w:val="20"/>
                <w:szCs w:val="20"/>
                <w:color w:val="auto"/>
              </w:rPr>
            </w:pPr>
            <w:r>
              <w:rPr>
                <w:rFonts w:ascii="Arial" w:cs="Arial" w:eastAsia="Arial" w:hAnsi="Arial"/>
                <w:sz w:val="17"/>
                <w:szCs w:val="17"/>
                <w:color w:val="auto"/>
              </w:rPr>
              <w:t>89.9</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114.4</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Litigation provision liability</w:t>
            </w:r>
          </w:p>
        </w:tc>
        <w:tc>
          <w:tcPr>
            <w:tcW w:w="2160" w:type="dxa"/>
            <w:vAlign w:val="bottom"/>
          </w:tcPr>
          <w:p>
            <w:pPr>
              <w:jc w:val="right"/>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Deferred tax liabilities</w:t>
            </w:r>
          </w:p>
        </w:tc>
        <w:tc>
          <w:tcPr>
            <w:tcW w:w="2160" w:type="dxa"/>
            <w:vAlign w:val="bottom"/>
          </w:tcPr>
          <w:p>
            <w:pPr>
              <w:jc w:val="right"/>
              <w:spacing w:after="0"/>
              <w:rPr>
                <w:sz w:val="20"/>
                <w:szCs w:val="20"/>
                <w:color w:val="auto"/>
              </w:rPr>
            </w:pPr>
            <w:r>
              <w:rPr>
                <w:rFonts w:ascii="Arial" w:cs="Arial" w:eastAsia="Arial" w:hAnsi="Arial"/>
                <w:sz w:val="17"/>
                <w:szCs w:val="17"/>
                <w:color w:val="auto"/>
              </w:rPr>
              <w:t>8.9</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32.2</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Long-term operating lease liabilities</w:t>
            </w:r>
          </w:p>
        </w:tc>
        <w:tc>
          <w:tcPr>
            <w:tcW w:w="2160" w:type="dxa"/>
            <w:vAlign w:val="bottom"/>
          </w:tcPr>
          <w:p>
            <w:pPr>
              <w:jc w:val="right"/>
              <w:spacing w:after="0"/>
              <w:rPr>
                <w:sz w:val="20"/>
                <w:szCs w:val="20"/>
                <w:color w:val="auto"/>
              </w:rPr>
            </w:pPr>
            <w:r>
              <w:rPr>
                <w:rFonts w:ascii="Arial" w:cs="Arial" w:eastAsia="Arial" w:hAnsi="Arial"/>
                <w:sz w:val="17"/>
                <w:szCs w:val="17"/>
                <w:color w:val="auto"/>
              </w:rPr>
              <w:t>42.2</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46.0</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Long-term employee compensation and related benefits</w:t>
            </w:r>
          </w:p>
        </w:tc>
        <w:tc>
          <w:tcPr>
            <w:tcW w:w="2160" w:type="dxa"/>
            <w:vAlign w:val="bottom"/>
          </w:tcPr>
          <w:p>
            <w:pPr>
              <w:jc w:val="right"/>
              <w:spacing w:after="0"/>
              <w:rPr>
                <w:sz w:val="20"/>
                <w:szCs w:val="20"/>
                <w:color w:val="auto"/>
              </w:rPr>
            </w:pPr>
            <w:r>
              <w:rPr>
                <w:rFonts w:ascii="Arial" w:cs="Arial" w:eastAsia="Arial" w:hAnsi="Arial"/>
                <w:sz w:val="17"/>
                <w:szCs w:val="17"/>
                <w:color w:val="auto"/>
              </w:rPr>
              <w:t>20.6</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Arial" w:cs="Arial" w:eastAsia="Arial" w:hAnsi="Arial"/>
                <w:sz w:val="17"/>
                <w:szCs w:val="17"/>
                <w:color w:val="auto"/>
              </w:rPr>
              <w:t>Long-term derivative liabilities</w:t>
            </w:r>
          </w:p>
        </w:tc>
        <w:tc>
          <w:tcPr>
            <w:tcW w:w="2160" w:type="dxa"/>
            <w:vAlign w:val="bottom"/>
          </w:tcPr>
          <w:p>
            <w:pPr>
              <w:jc w:val="right"/>
              <w:spacing w:after="0"/>
              <w:rPr>
                <w:sz w:val="20"/>
                <w:szCs w:val="20"/>
                <w:color w:val="auto"/>
              </w:rPr>
            </w:pPr>
            <w:r>
              <w:rPr>
                <w:rFonts w:ascii="Arial" w:cs="Arial" w:eastAsia="Arial" w:hAnsi="Arial"/>
                <w:sz w:val="17"/>
                <w:szCs w:val="17"/>
                <w:color w:val="auto"/>
              </w:rPr>
              <w:t>121.9</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27"/>
        </w:trPr>
        <w:tc>
          <w:tcPr>
            <w:tcW w:w="6800" w:type="dxa"/>
            <w:vAlign w:val="bottom"/>
          </w:tcPr>
          <w:p>
            <w:pPr>
              <w:ind w:left="200"/>
              <w:spacing w:after="0"/>
              <w:rPr>
                <w:sz w:val="20"/>
                <w:szCs w:val="20"/>
                <w:color w:val="auto"/>
              </w:rPr>
            </w:pPr>
            <w:r>
              <w:rPr>
                <w:rFonts w:ascii="Arial" w:cs="Arial" w:eastAsia="Arial" w:hAnsi="Arial"/>
                <w:sz w:val="17"/>
                <w:szCs w:val="17"/>
                <w:color w:val="auto"/>
              </w:rPr>
              <w:t>Other long-term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8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7"/>
                <w:szCs w:val="17"/>
                <w:color w:val="auto"/>
              </w:rPr>
              <w:t>Total Liabilities</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1,292.5</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1,028.1</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7"/>
                <w:szCs w:val="17"/>
                <w:color w:val="auto"/>
              </w:rPr>
              <w:t>Total Stockholders’ Equity</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1,118.8</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1,383.7</w:t>
            </w:r>
          </w:p>
        </w:tc>
        <w:tc>
          <w:tcPr>
            <w:tcW w:w="0" w:type="dxa"/>
            <w:vAlign w:val="bottom"/>
          </w:tcPr>
          <w:p>
            <w:pPr>
              <w:spacing w:after="0"/>
              <w:rPr>
                <w:sz w:val="1"/>
                <w:szCs w:val="1"/>
                <w:color w:val="auto"/>
              </w:rPr>
            </w:pPr>
          </w:p>
        </w:tc>
      </w:tr>
      <w:tr>
        <w:trPr>
          <w:trHeight w:val="209"/>
        </w:trPr>
        <w:tc>
          <w:tcPr>
            <w:tcW w:w="680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$2,411.4</w:t>
            </w:r>
          </w:p>
        </w:tc>
        <w:tc>
          <w:tcPr>
            <w:tcW w:w="80" w:type="dxa"/>
            <w:vAlign w:val="bottom"/>
          </w:tcPr>
          <w:p>
            <w:pPr>
              <w:spacing w:after="0"/>
              <w:rPr>
                <w:sz w:val="18"/>
                <w:szCs w:val="18"/>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$2,411.8</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 Numbers may not add precisely due to rounding.</w:t>
      </w: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00"/>
          </w:cols>
          <w:pgMar w:left="360" w:top="144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8"/>
        </w:trPr>
        <w:tc>
          <w:tcPr>
            <w:tcW w:w="7540" w:type="dxa"/>
            <w:vAlign w:val="bottom"/>
          </w:tcPr>
          <w:p>
            <w:pPr>
              <w:spacing w:after="0"/>
              <w:rPr>
                <w:sz w:val="20"/>
                <w:szCs w:val="20"/>
                <w:color w:val="auto"/>
              </w:rPr>
            </w:pPr>
            <w:r>
              <w:rPr>
                <w:rFonts w:ascii="Arial" w:cs="Arial" w:eastAsia="Arial" w:hAnsi="Arial"/>
                <w:sz w:val="14"/>
                <w:szCs w:val="14"/>
                <w:b w:val="1"/>
                <w:bCs w:val="1"/>
                <w:color w:val="auto"/>
              </w:rPr>
              <w:t>LIVANOVA PLC AND SUBSIDIARIES</w:t>
            </w: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540" w:type="dxa"/>
            <w:vAlign w:val="bottom"/>
          </w:tcPr>
          <w:p>
            <w:pPr>
              <w:spacing w:after="0"/>
              <w:rPr>
                <w:sz w:val="20"/>
                <w:szCs w:val="20"/>
                <w:color w:val="auto"/>
              </w:rPr>
            </w:pPr>
            <w:r>
              <w:rPr>
                <w:rFonts w:ascii="Arial" w:cs="Arial" w:eastAsia="Arial" w:hAnsi="Arial"/>
                <w:sz w:val="14"/>
                <w:szCs w:val="14"/>
                <w:b w:val="1"/>
                <w:bCs w:val="1"/>
                <w:color w:val="auto"/>
              </w:rPr>
              <w:t>CONDENSED CONSOLIDATED STATEMENTS OF CASH FLOWS - UNAUDITED</w:t>
            </w: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540" w:type="dxa"/>
            <w:vAlign w:val="bottom"/>
          </w:tcPr>
          <w:p>
            <w:pPr>
              <w:spacing w:after="0"/>
              <w:rPr>
                <w:sz w:val="20"/>
                <w:szCs w:val="20"/>
                <w:color w:val="auto"/>
              </w:rPr>
            </w:pPr>
            <w:r>
              <w:rPr>
                <w:rFonts w:ascii="Arial" w:cs="Arial" w:eastAsia="Arial" w:hAnsi="Arial"/>
                <w:sz w:val="14"/>
                <w:szCs w:val="14"/>
                <w:b w:val="1"/>
                <w:bCs w:val="1"/>
                <w:color w:val="auto"/>
              </w:rPr>
              <w:t>(U.S. dollars in millions)</w:t>
            </w:r>
          </w:p>
        </w:tc>
        <w:tc>
          <w:tcPr>
            <w:tcW w:w="368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Twelve Months Ended December 31,</w:t>
            </w:r>
          </w:p>
        </w:tc>
        <w:tc>
          <w:tcPr>
            <w:tcW w:w="0" w:type="dxa"/>
            <w:vAlign w:val="bottom"/>
          </w:tcPr>
          <w:p>
            <w:pPr>
              <w:spacing w:after="0"/>
              <w:rPr>
                <w:sz w:val="1"/>
                <w:szCs w:val="1"/>
                <w:color w:val="auto"/>
              </w:rPr>
            </w:pPr>
          </w:p>
        </w:tc>
      </w:tr>
      <w:tr>
        <w:trPr>
          <w:trHeight w:val="171"/>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Operating Activities:</w:t>
            </w:r>
          </w:p>
        </w:tc>
        <w:tc>
          <w:tcPr>
            <w:tcW w:w="17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7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0"/>
        </w:trPr>
        <w:tc>
          <w:tcPr>
            <w:tcW w:w="754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54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780" w:type="dxa"/>
            <w:vAlign w:val="bottom"/>
          </w:tcPr>
          <w:p>
            <w:pPr>
              <w:jc w:val="right"/>
              <w:spacing w:after="0"/>
              <w:rPr>
                <w:sz w:val="20"/>
                <w:szCs w:val="20"/>
                <w:color w:val="auto"/>
              </w:rPr>
            </w:pPr>
            <w:r>
              <w:rPr>
                <w:rFonts w:ascii="Arial" w:cs="Arial" w:eastAsia="Arial" w:hAnsi="Arial"/>
                <w:sz w:val="14"/>
                <w:szCs w:val="14"/>
                <w:color w:val="auto"/>
              </w:rPr>
              <w:t>($345.0)</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($155.2)</w:t>
            </w:r>
          </w:p>
        </w:tc>
        <w:tc>
          <w:tcPr>
            <w:tcW w:w="0" w:type="dxa"/>
            <w:vAlign w:val="bottom"/>
          </w:tcPr>
          <w:p>
            <w:pPr>
              <w:spacing w:after="0"/>
              <w:rPr>
                <w:sz w:val="1"/>
                <w:szCs w:val="1"/>
                <w:color w:val="auto"/>
              </w:rPr>
            </w:pPr>
          </w:p>
        </w:tc>
      </w:tr>
      <w:tr>
        <w:trPr>
          <w:trHeight w:val="178"/>
        </w:trPr>
        <w:tc>
          <w:tcPr>
            <w:tcW w:w="7540" w:type="dxa"/>
            <w:vAlign w:val="bottom"/>
          </w:tcPr>
          <w:p>
            <w:pPr>
              <w:ind w:left="120"/>
              <w:spacing w:after="0"/>
              <w:rPr>
                <w:sz w:val="20"/>
                <w:szCs w:val="20"/>
                <w:color w:val="auto"/>
              </w:rPr>
            </w:pPr>
            <w:r>
              <w:rPr>
                <w:rFonts w:ascii="Arial" w:cs="Arial" w:eastAsia="Arial" w:hAnsi="Arial"/>
                <w:sz w:val="14"/>
                <w:szCs w:val="14"/>
                <w:color w:val="auto"/>
              </w:rPr>
              <w:t>Non-cash items included in net loss:</w:t>
            </w: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Impairment of disposal group</w:t>
            </w:r>
          </w:p>
        </w:tc>
        <w:tc>
          <w:tcPr>
            <w:tcW w:w="1780" w:type="dxa"/>
            <w:vAlign w:val="bottom"/>
          </w:tcPr>
          <w:p>
            <w:pPr>
              <w:jc w:val="right"/>
              <w:spacing w:after="0"/>
              <w:rPr>
                <w:sz w:val="20"/>
                <w:szCs w:val="20"/>
                <w:color w:val="auto"/>
              </w:rPr>
            </w:pPr>
            <w:r>
              <w:rPr>
                <w:rFonts w:ascii="Arial" w:cs="Arial" w:eastAsia="Arial" w:hAnsi="Arial"/>
                <w:sz w:val="14"/>
                <w:szCs w:val="14"/>
                <w:color w:val="auto"/>
              </w:rPr>
              <w:t>180.2</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Amortization</w:t>
            </w:r>
          </w:p>
        </w:tc>
        <w:tc>
          <w:tcPr>
            <w:tcW w:w="1780" w:type="dxa"/>
            <w:vAlign w:val="bottom"/>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Deferred tax expense (benefit)</w:t>
            </w:r>
          </w:p>
        </w:tc>
        <w:tc>
          <w:tcPr>
            <w:tcW w:w="1780" w:type="dxa"/>
            <w:vAlign w:val="bottom"/>
          </w:tcPr>
          <w:p>
            <w:pPr>
              <w:jc w:val="right"/>
              <w:spacing w:after="0"/>
              <w:rPr>
                <w:sz w:val="20"/>
                <w:szCs w:val="20"/>
                <w:color w:val="auto"/>
              </w:rPr>
            </w:pPr>
            <w:r>
              <w:rPr>
                <w:rFonts w:ascii="Arial" w:cs="Arial" w:eastAsia="Arial" w:hAnsi="Arial"/>
                <w:sz w:val="14"/>
                <w:szCs w:val="14"/>
                <w:color w:val="auto"/>
              </w:rPr>
              <w:t>37.3</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1780" w:type="dxa"/>
            <w:vAlign w:val="bottom"/>
          </w:tcPr>
          <w:p>
            <w:pPr>
              <w:jc w:val="right"/>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Depreciation</w:t>
            </w:r>
          </w:p>
        </w:tc>
        <w:tc>
          <w:tcPr>
            <w:tcW w:w="1780" w:type="dxa"/>
            <w:vAlign w:val="bottom"/>
          </w:tcPr>
          <w:p>
            <w:pPr>
              <w:jc w:val="right"/>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Remeasurement of derivative instruments</w:t>
            </w:r>
          </w:p>
        </w:tc>
        <w:tc>
          <w:tcPr>
            <w:tcW w:w="178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Impairment of goodwill</w:t>
            </w:r>
          </w:p>
        </w:tc>
        <w:tc>
          <w:tcPr>
            <w:tcW w:w="178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Remeasurement of contingent consideration to fair value</w:t>
            </w:r>
          </w:p>
        </w:tc>
        <w:tc>
          <w:tcPr>
            <w:tcW w:w="1780" w:type="dxa"/>
            <w:vAlign w:val="bottom"/>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Amortization of operating lease assets</w:t>
            </w:r>
          </w:p>
        </w:tc>
        <w:tc>
          <w:tcPr>
            <w:tcW w:w="178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Amortization of debt issuance costs</w:t>
            </w:r>
          </w:p>
        </w:tc>
        <w:tc>
          <w:tcPr>
            <w:tcW w:w="178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Impairment of long-lived assets</w:t>
            </w:r>
          </w:p>
        </w:tc>
        <w:tc>
          <w:tcPr>
            <w:tcW w:w="178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Amortization of income taxes payable on inter-company transfers of property</w:t>
            </w:r>
          </w:p>
        </w:tc>
        <w:tc>
          <w:tcPr>
            <w:tcW w:w="17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6"/>
        </w:trPr>
        <w:tc>
          <w:tcPr>
            <w:tcW w:w="7540" w:type="dxa"/>
            <w:vAlign w:val="bottom"/>
          </w:tcPr>
          <w:p>
            <w:pPr>
              <w:ind w:left="100"/>
              <w:spacing w:after="0"/>
              <w:rPr>
                <w:sz w:val="20"/>
                <w:szCs w:val="20"/>
                <w:color w:val="auto"/>
              </w:rPr>
            </w:pPr>
            <w:r>
              <w:rPr>
                <w:rFonts w:ascii="Arial" w:cs="Arial" w:eastAsia="Arial" w:hAnsi="Arial"/>
                <w:sz w:val="14"/>
                <w:szCs w:val="14"/>
                <w:color w:val="auto"/>
              </w:rPr>
              <w:t>Other</w:t>
            </w:r>
          </w:p>
        </w:tc>
        <w:tc>
          <w:tcPr>
            <w:tcW w:w="17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0"/>
        </w:trPr>
        <w:tc>
          <w:tcPr>
            <w:tcW w:w="7540" w:type="dxa"/>
            <w:vAlign w:val="bottom"/>
          </w:tcPr>
          <w:p>
            <w:pPr>
              <w:spacing w:after="0"/>
              <w:rPr>
                <w:sz w:val="20"/>
                <w:szCs w:val="20"/>
                <w:color w:val="auto"/>
              </w:rPr>
            </w:pPr>
            <w:r>
              <w:rPr>
                <w:rFonts w:ascii="Arial" w:cs="Arial" w:eastAsia="Arial" w:hAnsi="Arial"/>
                <w:sz w:val="14"/>
                <w:szCs w:val="14"/>
                <w:b w:val="1"/>
                <w:bCs w:val="1"/>
                <w:color w:val="auto"/>
              </w:rPr>
              <w:t>Changes in operating assets and liabilities:</w:t>
            </w:r>
          </w:p>
        </w:tc>
        <w:tc>
          <w:tcPr>
            <w:tcW w:w="1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Accounts receivable, net</w:t>
            </w:r>
          </w:p>
        </w:tc>
        <w:tc>
          <w:tcPr>
            <w:tcW w:w="178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Inventories</w:t>
            </w:r>
          </w:p>
        </w:tc>
        <w:tc>
          <w:tcPr>
            <w:tcW w:w="17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Other current and non-current assets</w:t>
            </w:r>
          </w:p>
        </w:tc>
        <w:tc>
          <w:tcPr>
            <w:tcW w:w="1780" w:type="dxa"/>
            <w:vAlign w:val="bottom"/>
          </w:tcPr>
          <w:p>
            <w:pPr>
              <w:jc w:val="right"/>
              <w:spacing w:after="0"/>
              <w:rPr>
                <w:sz w:val="20"/>
                <w:szCs w:val="20"/>
                <w:color w:val="auto"/>
              </w:rPr>
            </w:pPr>
            <w:r>
              <w:rPr>
                <w:rFonts w:ascii="Arial" w:cs="Arial" w:eastAsia="Arial" w:hAnsi="Arial"/>
                <w:sz w:val="14"/>
                <w:szCs w:val="14"/>
                <w:color w:val="auto"/>
              </w:rPr>
              <w:t>(39.6)</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Accounts payable and accrued current and non-current liabilities</w:t>
            </w:r>
          </w:p>
        </w:tc>
        <w:tc>
          <w:tcPr>
            <w:tcW w:w="178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Taxes payable</w:t>
            </w:r>
          </w:p>
        </w:tc>
        <w:tc>
          <w:tcPr>
            <w:tcW w:w="178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77"/>
        </w:trPr>
        <w:tc>
          <w:tcPr>
            <w:tcW w:w="7540" w:type="dxa"/>
            <w:vAlign w:val="bottom"/>
          </w:tcPr>
          <w:p>
            <w:pPr>
              <w:ind w:left="100"/>
              <w:spacing w:after="0"/>
              <w:rPr>
                <w:sz w:val="20"/>
                <w:szCs w:val="20"/>
                <w:color w:val="auto"/>
              </w:rPr>
            </w:pPr>
            <w:r>
              <w:rPr>
                <w:rFonts w:ascii="Arial" w:cs="Arial" w:eastAsia="Arial" w:hAnsi="Arial"/>
                <w:sz w:val="14"/>
                <w:szCs w:val="14"/>
                <w:color w:val="auto"/>
              </w:rPr>
              <w:t>Litigation provision liability, net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w:t>
            </w: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71"/>
        </w:trPr>
        <w:tc>
          <w:tcPr>
            <w:tcW w:w="7540" w:type="dxa"/>
            <w:vAlign w:val="bottom"/>
          </w:tcPr>
          <w:p>
            <w:pPr>
              <w:ind w:left="200"/>
              <w:spacing w:after="0"/>
              <w:rPr>
                <w:sz w:val="20"/>
                <w:szCs w:val="20"/>
                <w:color w:val="auto"/>
              </w:rPr>
            </w:pPr>
            <w:r>
              <w:rPr>
                <w:rFonts w:ascii="Arial" w:cs="Arial" w:eastAsia="Arial" w:hAnsi="Arial"/>
                <w:sz w:val="14"/>
                <w:szCs w:val="14"/>
                <w:b w:val="1"/>
                <w:bCs w:val="1"/>
                <w:color w:val="auto"/>
              </w:rPr>
              <w:t>Net cash used in operating activities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60"/>
        </w:trPr>
        <w:tc>
          <w:tcPr>
            <w:tcW w:w="7540" w:type="dxa"/>
            <w:vAlign w:val="bottom"/>
          </w:tcPr>
          <w:p>
            <w:pPr>
              <w:spacing w:after="0" w:line="159" w:lineRule="exact"/>
              <w:rPr>
                <w:sz w:val="20"/>
                <w:szCs w:val="20"/>
                <w:color w:val="auto"/>
              </w:rPr>
            </w:pPr>
            <w:r>
              <w:rPr>
                <w:rFonts w:ascii="Arial" w:cs="Arial" w:eastAsia="Arial" w:hAnsi="Arial"/>
                <w:sz w:val="14"/>
                <w:szCs w:val="14"/>
                <w:b w:val="1"/>
                <w:bCs w:val="1"/>
                <w:color w:val="auto"/>
              </w:rPr>
              <w:t>Investing Activities:</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Purchases of property, plant and equipment</w:t>
            </w:r>
          </w:p>
        </w:tc>
        <w:tc>
          <w:tcPr>
            <w:tcW w:w="1780" w:type="dxa"/>
            <w:vAlign w:val="bottom"/>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Purchases of investments</w:t>
            </w:r>
          </w:p>
        </w:tc>
        <w:tc>
          <w:tcPr>
            <w:tcW w:w="178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Loans to investees</w:t>
            </w:r>
          </w:p>
        </w:tc>
        <w:tc>
          <w:tcPr>
            <w:tcW w:w="178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Acquisitions, net of cash acquired</w:t>
            </w:r>
          </w:p>
        </w:tc>
        <w:tc>
          <w:tcPr>
            <w:tcW w:w="17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Proceeds from asset sales</w:t>
            </w:r>
          </w:p>
        </w:tc>
        <w:tc>
          <w:tcPr>
            <w:tcW w:w="17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Purchases of intangible assets</w:t>
            </w:r>
          </w:p>
        </w:tc>
        <w:tc>
          <w:tcPr>
            <w:tcW w:w="1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7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77"/>
        </w:trPr>
        <w:tc>
          <w:tcPr>
            <w:tcW w:w="7540" w:type="dxa"/>
            <w:vAlign w:val="bottom"/>
          </w:tcPr>
          <w:p>
            <w:pPr>
              <w:ind w:left="100"/>
              <w:spacing w:after="0"/>
              <w:rPr>
                <w:sz w:val="20"/>
                <w:szCs w:val="20"/>
                <w:color w:val="auto"/>
              </w:rPr>
            </w:pPr>
            <w:r>
              <w:rPr>
                <w:rFonts w:ascii="Arial" w:cs="Arial" w:eastAsia="Arial" w:hAnsi="Arial"/>
                <w:sz w:val="14"/>
                <w:szCs w:val="14"/>
                <w:color w:val="auto"/>
              </w:rPr>
              <w:t>Other</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7540" w:type="dxa"/>
            <w:vAlign w:val="bottom"/>
          </w:tcPr>
          <w:p>
            <w:pPr>
              <w:ind w:left="200"/>
              <w:spacing w:after="0"/>
              <w:rPr>
                <w:sz w:val="20"/>
                <w:szCs w:val="20"/>
                <w:color w:val="auto"/>
              </w:rPr>
            </w:pPr>
            <w:r>
              <w:rPr>
                <w:rFonts w:ascii="Arial" w:cs="Arial" w:eastAsia="Arial" w:hAnsi="Arial"/>
                <w:sz w:val="14"/>
                <w:szCs w:val="14"/>
                <w:b w:val="1"/>
                <w:bCs w:val="1"/>
                <w:color w:val="auto"/>
              </w:rPr>
              <w:t>Net cash used in investing activities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60"/>
        </w:trPr>
        <w:tc>
          <w:tcPr>
            <w:tcW w:w="7540" w:type="dxa"/>
            <w:vAlign w:val="bottom"/>
          </w:tcPr>
          <w:p>
            <w:pPr>
              <w:spacing w:after="0" w:line="159" w:lineRule="exact"/>
              <w:rPr>
                <w:sz w:val="20"/>
                <w:szCs w:val="20"/>
                <w:color w:val="auto"/>
              </w:rPr>
            </w:pPr>
            <w:r>
              <w:rPr>
                <w:rFonts w:ascii="Arial" w:cs="Arial" w:eastAsia="Arial" w:hAnsi="Arial"/>
                <w:sz w:val="14"/>
                <w:szCs w:val="14"/>
                <w:b w:val="1"/>
                <w:bCs w:val="1"/>
                <w:color w:val="auto"/>
              </w:rPr>
              <w:t>Financing Activities:</w:t>
            </w: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7540" w:type="dxa"/>
            <w:vAlign w:val="bottom"/>
          </w:tcPr>
          <w:p>
            <w:pPr>
              <w:ind w:left="120"/>
              <w:spacing w:after="0"/>
              <w:rPr>
                <w:sz w:val="20"/>
                <w:szCs w:val="20"/>
                <w:color w:val="auto"/>
              </w:rPr>
            </w:pPr>
            <w:r>
              <w:rPr>
                <w:rFonts w:ascii="Arial" w:cs="Arial" w:eastAsia="Arial" w:hAnsi="Arial"/>
                <w:sz w:val="14"/>
                <w:szCs w:val="14"/>
                <w:color w:val="auto"/>
              </w:rPr>
              <w:t>Proceeds from long-term debt obligations</w:t>
            </w:r>
          </w:p>
        </w:tc>
        <w:tc>
          <w:tcPr>
            <w:tcW w:w="1780" w:type="dxa"/>
            <w:vAlign w:val="bottom"/>
          </w:tcPr>
          <w:p>
            <w:pPr>
              <w:jc w:val="right"/>
              <w:spacing w:after="0"/>
              <w:rPr>
                <w:sz w:val="20"/>
                <w:szCs w:val="20"/>
                <w:color w:val="auto"/>
              </w:rPr>
            </w:pPr>
            <w:r>
              <w:rPr>
                <w:rFonts w:ascii="Arial" w:cs="Arial" w:eastAsia="Arial" w:hAnsi="Arial"/>
                <w:sz w:val="14"/>
                <w:szCs w:val="14"/>
                <w:color w:val="auto"/>
              </w:rPr>
              <w:t>886.9</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197.2</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Repayment of long-term debt obligations</w:t>
            </w:r>
          </w:p>
        </w:tc>
        <w:tc>
          <w:tcPr>
            <w:tcW w:w="1780" w:type="dxa"/>
            <w:vAlign w:val="bottom"/>
          </w:tcPr>
          <w:p>
            <w:pPr>
              <w:jc w:val="right"/>
              <w:spacing w:after="0"/>
              <w:rPr>
                <w:sz w:val="20"/>
                <w:szCs w:val="20"/>
                <w:color w:val="auto"/>
              </w:rPr>
            </w:pPr>
            <w:r>
              <w:rPr>
                <w:rFonts w:ascii="Arial" w:cs="Arial" w:eastAsia="Arial" w:hAnsi="Arial"/>
                <w:sz w:val="14"/>
                <w:szCs w:val="14"/>
                <w:color w:val="auto"/>
              </w:rPr>
              <w:t>(482.1)</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Proceeds from short-term borrowing (maturities greater than 90 days)</w:t>
            </w:r>
          </w:p>
        </w:tc>
        <w:tc>
          <w:tcPr>
            <w:tcW w:w="1780" w:type="dxa"/>
            <w:vAlign w:val="bottom"/>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Repayment of short-term borrowing (maturities greater than 90 days)</w:t>
            </w:r>
          </w:p>
        </w:tc>
        <w:tc>
          <w:tcPr>
            <w:tcW w:w="1780" w:type="dxa"/>
            <w:vAlign w:val="bottom"/>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Purchase of capped call</w:t>
            </w:r>
          </w:p>
        </w:tc>
        <w:tc>
          <w:tcPr>
            <w:tcW w:w="1780" w:type="dxa"/>
            <w:vAlign w:val="bottom"/>
          </w:tcPr>
          <w:p>
            <w:pPr>
              <w:jc w:val="right"/>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Debt issuance costs</w:t>
            </w:r>
          </w:p>
        </w:tc>
        <w:tc>
          <w:tcPr>
            <w:tcW w:w="1780" w:type="dxa"/>
            <w:vAlign w:val="bottom"/>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Payment of contingent consideration</w:t>
            </w:r>
          </w:p>
        </w:tc>
        <w:tc>
          <w:tcPr>
            <w:tcW w:w="178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Closing adjustment payment for sale of CRM business</w:t>
            </w:r>
          </w:p>
        </w:tc>
        <w:tc>
          <w:tcPr>
            <w:tcW w:w="178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Shares repurchased from employees for minimum tax withholding</w:t>
            </w:r>
          </w:p>
        </w:tc>
        <w:tc>
          <w:tcPr>
            <w:tcW w:w="178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Proceeds from share issuances under ESPP</w:t>
            </w:r>
          </w:p>
        </w:tc>
        <w:tc>
          <w:tcPr>
            <w:tcW w:w="178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78"/>
        </w:trPr>
        <w:tc>
          <w:tcPr>
            <w:tcW w:w="7540" w:type="dxa"/>
            <w:vAlign w:val="bottom"/>
          </w:tcPr>
          <w:p>
            <w:pPr>
              <w:ind w:left="100"/>
              <w:spacing w:after="0"/>
              <w:rPr>
                <w:sz w:val="20"/>
                <w:szCs w:val="20"/>
                <w:color w:val="auto"/>
              </w:rPr>
            </w:pPr>
            <w:r>
              <w:rPr>
                <w:rFonts w:ascii="Arial" w:cs="Arial" w:eastAsia="Arial" w:hAnsi="Arial"/>
                <w:sz w:val="14"/>
                <w:szCs w:val="14"/>
                <w:color w:val="auto"/>
              </w:rPr>
              <w:t>Change in short-term borrowing, net</w:t>
            </w:r>
          </w:p>
        </w:tc>
        <w:tc>
          <w:tcPr>
            <w:tcW w:w="178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7"/>
        </w:trPr>
        <w:tc>
          <w:tcPr>
            <w:tcW w:w="7540" w:type="dxa"/>
            <w:vAlign w:val="bottom"/>
          </w:tcPr>
          <w:p>
            <w:pPr>
              <w:ind w:left="100"/>
              <w:spacing w:after="0"/>
              <w:rPr>
                <w:sz w:val="20"/>
                <w:szCs w:val="20"/>
                <w:color w:val="auto"/>
              </w:rPr>
            </w:pPr>
            <w:r>
              <w:rPr>
                <w:rFonts w:ascii="Arial" w:cs="Arial" w:eastAsia="Arial" w:hAnsi="Arial"/>
                <w:sz w:val="14"/>
                <w:szCs w:val="14"/>
                <w:color w:val="auto"/>
              </w:rPr>
              <w:t>Other</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1"/>
        </w:trPr>
        <w:tc>
          <w:tcPr>
            <w:tcW w:w="7540" w:type="dxa"/>
            <w:vAlign w:val="bottom"/>
          </w:tcPr>
          <w:p>
            <w:pPr>
              <w:ind w:left="200"/>
              <w:spacing w:after="0"/>
              <w:rPr>
                <w:sz w:val="20"/>
                <w:szCs w:val="20"/>
                <w:color w:val="auto"/>
              </w:rPr>
            </w:pPr>
            <w:r>
              <w:rPr>
                <w:rFonts w:ascii="Arial" w:cs="Arial" w:eastAsia="Arial" w:hAnsi="Arial"/>
                <w:sz w:val="14"/>
                <w:szCs w:val="14"/>
                <w:b w:val="1"/>
                <w:bCs w:val="1"/>
                <w:color w:val="auto"/>
              </w:rPr>
              <w:t>Net cash provided by financing activities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310.8</w:t>
            </w:r>
          </w:p>
        </w:tc>
        <w:tc>
          <w:tcPr>
            <w:tcW w:w="12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170"/>
        </w:trPr>
        <w:tc>
          <w:tcPr>
            <w:tcW w:w="754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78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9"/>
        </w:trPr>
        <w:tc>
          <w:tcPr>
            <w:tcW w:w="7540" w:type="dxa"/>
            <w:vAlign w:val="bottom"/>
          </w:tcPr>
          <w:p>
            <w:pPr>
              <w:ind w:left="300"/>
              <w:spacing w:after="0"/>
              <w:rPr>
                <w:sz w:val="20"/>
                <w:szCs w:val="20"/>
                <w:color w:val="auto"/>
              </w:rPr>
            </w:pPr>
            <w:r>
              <w:rPr>
                <w:rFonts w:ascii="Arial" w:cs="Arial" w:eastAsia="Arial" w:hAnsi="Arial"/>
                <w:sz w:val="14"/>
                <w:szCs w:val="14"/>
                <w:b w:val="1"/>
                <w:bCs w:val="1"/>
                <w:color w:val="auto"/>
              </w:rPr>
              <w:t>Net increase in cash and cash equivalents</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191.7</w:t>
            </w:r>
          </w:p>
        </w:tc>
        <w:tc>
          <w:tcPr>
            <w:tcW w:w="120" w:type="dxa"/>
            <w:vAlign w:val="bottom"/>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71"/>
        </w:trPr>
        <w:tc>
          <w:tcPr>
            <w:tcW w:w="754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71"/>
        </w:trPr>
        <w:tc>
          <w:tcPr>
            <w:tcW w:w="754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$252.8</w:t>
            </w:r>
          </w:p>
        </w:tc>
        <w:tc>
          <w:tcPr>
            <w:tcW w:w="120" w:type="dxa"/>
            <w:vAlign w:val="bottom"/>
          </w:tcPr>
          <w:p>
            <w:pPr>
              <w:spacing w:after="0"/>
              <w:rPr>
                <w:sz w:val="14"/>
                <w:szCs w:val="14"/>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4783455</wp:posOffset>
            </wp:positionH>
            <wp:positionV relativeFrom="paragraph">
              <wp:posOffset>-129540</wp:posOffset>
            </wp:positionV>
            <wp:extent cx="23450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505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Numbers may not add precisely due to rounding.</w:t>
      </w:r>
    </w:p>
    <w:p>
      <w:pPr>
        <w:sectPr>
          <w:pgSz w:w="11900" w:h="16838" w:orient="portrait"/>
          <w:cols w:equalWidth="0" w:num="1">
            <w:col w:w="11220"/>
          </w:cols>
          <w:pgMar w:left="340" w:top="712" w:right="339" w:bottom="1440" w:gutter="0" w:footer="0" w:header="0"/>
        </w:sectPr>
      </w:pPr>
    </w:p>
    <w:bookmarkStart w:id="24" w:name="page25"/>
    <w:bookmarkEnd w:id="24"/>
    <w:p>
      <w:pPr>
        <w:ind w:right="40"/>
        <w:spacing w:after="0" w:line="355" w:lineRule="auto"/>
        <w:rPr>
          <w:sz w:val="20"/>
          <w:szCs w:val="20"/>
          <w:color w:val="auto"/>
        </w:rPr>
      </w:pPr>
      <w:r>
        <w:rPr>
          <w:rFonts w:ascii="Arial" w:cs="Arial" w:eastAsia="Arial" w:hAnsi="Arial"/>
          <w:sz w:val="19"/>
          <w:szCs w:val="19"/>
          <w:color w:val="auto"/>
        </w:rPr>
        <w:t>The following table presents the reconciliation of GAAP diluted weighted average shares outstanding, used in the computation of GAAP diluted net loss per common share from continuing operations, to adjusted diluted weighted average shares outstanding, used in the computation of adjusted diluted earnings per common share from continuing operations (in millions of shares):</w:t>
      </w:r>
    </w:p>
    <w:p>
      <w:pPr>
        <w:sectPr>
          <w:pgSz w:w="11900" w:h="16838" w:orient="portrait"/>
          <w:cols w:equalWidth="0" w:num="1">
            <w:col w:w="11220"/>
          </w:cols>
          <w:pgMar w:left="320" w:top="1398" w:right="35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ind w:left="20" w:right="140"/>
        <w:spacing w:after="0" w:line="242" w:lineRule="auto"/>
        <w:rPr>
          <w:sz w:val="20"/>
          <w:szCs w:val="20"/>
          <w:color w:val="auto"/>
        </w:rPr>
      </w:pPr>
      <w:r>
        <w:rPr>
          <w:rFonts w:ascii="Arial" w:cs="Arial" w:eastAsia="Arial" w:hAnsi="Arial"/>
          <w:sz w:val="17"/>
          <w:szCs w:val="17"/>
          <w:color w:val="auto"/>
        </w:rPr>
        <w:t>GAAP diluted weighted average shares outstanding</w:t>
      </w:r>
    </w:p>
    <w:p>
      <w:pPr>
        <w:spacing w:after="0" w:line="1" w:lineRule="exact"/>
        <w:rPr>
          <w:sz w:val="20"/>
          <w:szCs w:val="20"/>
          <w:color w:val="auto"/>
        </w:rPr>
      </w:pPr>
    </w:p>
    <w:p>
      <w:pPr>
        <w:ind w:left="20"/>
        <w:spacing w:after="0" w:line="234" w:lineRule="auto"/>
        <w:rPr>
          <w:sz w:val="20"/>
          <w:szCs w:val="20"/>
          <w:color w:val="auto"/>
        </w:rPr>
      </w:pPr>
      <w:r>
        <w:rPr>
          <w:rFonts w:ascii="Arial" w:cs="Arial" w:eastAsia="Arial" w:hAnsi="Arial"/>
          <w:sz w:val="17"/>
          <w:szCs w:val="17"/>
          <w:color w:val="auto"/>
        </w:rPr>
        <w:t>Add effects of stock-based compensation instruments</w:t>
      </w:r>
    </w:p>
    <w:p>
      <w:pPr>
        <w:spacing w:after="0" w:line="1" w:lineRule="exact"/>
        <w:rPr>
          <w:sz w:val="20"/>
          <w:szCs w:val="20"/>
          <w:color w:val="auto"/>
        </w:rPr>
      </w:pPr>
    </w:p>
    <w:p>
      <w:pPr>
        <w:ind w:left="20" w:right="500"/>
        <w:spacing w:after="0" w:line="239" w:lineRule="auto"/>
        <w:rPr>
          <w:sz w:val="20"/>
          <w:szCs w:val="20"/>
          <w:color w:val="auto"/>
        </w:rPr>
      </w:pPr>
      <w:r>
        <w:rPr>
          <w:rFonts w:ascii="Arial" w:cs="Arial" w:eastAsia="Arial" w:hAnsi="Arial"/>
          <w:sz w:val="17"/>
          <w:szCs w:val="17"/>
          <w:color w:val="auto"/>
        </w:rPr>
        <w:t xml:space="preserve">Adjusted diluted weighted average shares outstanding </w:t>
      </w:r>
      <w:r>
        <w:rPr>
          <w:rFonts w:ascii="Arial" w:cs="Arial" w:eastAsia="Arial" w:hAnsi="Arial"/>
          <w:sz w:val="22"/>
          <w:szCs w:val="22"/>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7"/>
                <w:szCs w:val="17"/>
                <w:b w:val="1"/>
                <w:bCs w:val="1"/>
                <w:color w:val="auto"/>
              </w:rPr>
              <w:t>Three Months Ended December 31,</w:t>
            </w:r>
          </w:p>
        </w:tc>
        <w:tc>
          <w:tcPr>
            <w:tcW w:w="4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7"/>
                <w:szCs w:val="17"/>
                <w:b w:val="1"/>
                <w:bCs w:val="1"/>
                <w:color w:val="auto"/>
              </w:rPr>
              <w:t>Twelve Months Ended December 31,</w:t>
            </w:r>
          </w:p>
        </w:tc>
        <w:tc>
          <w:tcPr>
            <w:tcW w:w="460" w:type="dxa"/>
            <w:vAlign w:val="bottom"/>
            <w:tcBorders>
              <w:bottom w:val="single" w:sz="8" w:color="auto"/>
            </w:tcBorders>
          </w:tcPr>
          <w:p>
            <w:pPr>
              <w:spacing w:after="0"/>
              <w:rPr>
                <w:sz w:val="19"/>
                <w:szCs w:val="19"/>
                <w:color w:val="auto"/>
              </w:rPr>
            </w:pPr>
          </w:p>
        </w:tc>
      </w:tr>
      <w:tr>
        <w:trPr>
          <w:trHeight w:val="209"/>
        </w:trPr>
        <w:tc>
          <w:tcPr>
            <w:tcW w:w="1320" w:type="dxa"/>
            <w:vAlign w:val="bottom"/>
          </w:tcPr>
          <w:p>
            <w:pPr>
              <w:jc w:val="right"/>
              <w:ind w:right="95"/>
              <w:spacing w:after="0"/>
              <w:rPr>
                <w:sz w:val="20"/>
                <w:szCs w:val="20"/>
                <w:color w:val="auto"/>
              </w:rPr>
            </w:pPr>
            <w:r>
              <w:rPr>
                <w:rFonts w:ascii="Arial" w:cs="Arial" w:eastAsia="Arial" w:hAnsi="Arial"/>
                <w:sz w:val="17"/>
                <w:szCs w:val="17"/>
                <w:b w:val="1"/>
                <w:bCs w:val="1"/>
                <w:color w:val="auto"/>
              </w:rPr>
              <w:t>2020</w:t>
            </w:r>
          </w:p>
        </w:tc>
        <w:tc>
          <w:tcPr>
            <w:tcW w:w="2120" w:type="dxa"/>
            <w:vAlign w:val="bottom"/>
            <w:gridSpan w:val="3"/>
          </w:tcPr>
          <w:p>
            <w:pPr>
              <w:jc w:val="right"/>
              <w:ind w:right="300"/>
              <w:spacing w:after="0"/>
              <w:rPr>
                <w:sz w:val="20"/>
                <w:szCs w:val="20"/>
                <w:color w:val="auto"/>
              </w:rPr>
            </w:pPr>
            <w:r>
              <w:rPr>
                <w:rFonts w:ascii="Arial" w:cs="Arial" w:eastAsia="Arial" w:hAnsi="Arial"/>
                <w:sz w:val="17"/>
                <w:szCs w:val="17"/>
                <w:b w:val="1"/>
                <w:bCs w:val="1"/>
                <w:color w:val="auto"/>
              </w:rPr>
              <w:t>2019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b w:val="1"/>
                <w:bCs w:val="1"/>
                <w:color w:val="auto"/>
              </w:rPr>
              <w:t>2020</w:t>
            </w:r>
          </w:p>
        </w:tc>
        <w:tc>
          <w:tcPr>
            <w:tcW w:w="214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rPr>
              <w:t>2019</w:t>
            </w:r>
          </w:p>
        </w:tc>
        <w:tc>
          <w:tcPr>
            <w:tcW w:w="460" w:type="dxa"/>
            <w:vAlign w:val="bottom"/>
          </w:tcPr>
          <w:p>
            <w:pPr>
              <w:spacing w:after="0"/>
              <w:rPr>
                <w:sz w:val="18"/>
                <w:szCs w:val="18"/>
                <w:color w:val="auto"/>
              </w:rPr>
            </w:pPr>
          </w:p>
        </w:tc>
      </w:tr>
      <w:tr>
        <w:trPr>
          <w:trHeight w:val="365"/>
        </w:trPr>
        <w:tc>
          <w:tcPr>
            <w:tcW w:w="13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48.4</w:t>
            </w:r>
          </w:p>
        </w:tc>
        <w:tc>
          <w:tcPr>
            <w:tcW w:w="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48.6</w:t>
            </w:r>
          </w:p>
        </w:tc>
        <w:tc>
          <w:tcPr>
            <w:tcW w:w="1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48.3</w:t>
            </w:r>
          </w:p>
        </w:tc>
      </w:tr>
      <w:tr>
        <w:trPr>
          <w:trHeight w:val="379"/>
        </w:trPr>
        <w:tc>
          <w:tcPr>
            <w:tcW w:w="1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r>
      <w:tr>
        <w:trPr>
          <w:trHeight w:val="337"/>
        </w:trPr>
        <w:tc>
          <w:tcPr>
            <w:tcW w:w="1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w:t>
            </w:r>
          </w:p>
        </w:tc>
        <w:tc>
          <w:tcPr>
            <w:tcW w:w="1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c>
          <w:tcPr>
            <w:tcW w:w="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ectPr>
          <w:pgSz w:w="11900" w:h="16838" w:orient="portrait"/>
          <w:cols w:equalWidth="0" w:num="2">
            <w:col w:w="3120" w:space="160"/>
            <w:col w:w="7940"/>
          </w:cols>
          <w:pgMar w:left="320" w:top="1398" w:right="359" w:bottom="1440" w:gutter="0" w:footer="0" w:header="0"/>
          <w:type w:val="continuous"/>
        </w:sectPr>
      </w:pPr>
    </w:p>
    <w:p>
      <w:pPr>
        <w:ind w:left="440" w:right="660" w:hanging="421"/>
        <w:spacing w:after="0" w:line="249"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Adjusted diluted weighted average shares outstanding is a non-GAAP measure and includes the effects of stock-based compensation instruments, as reconciled in the above table.</w:t>
      </w:r>
    </w:p>
    <w:p>
      <w:pPr>
        <w:spacing w:after="0" w:line="1" w:lineRule="exact"/>
        <w:rPr>
          <w:sz w:val="20"/>
          <w:szCs w:val="20"/>
          <w:color w:val="auto"/>
        </w:rPr>
      </w:pPr>
    </w:p>
    <w:p>
      <w:pPr>
        <w:ind w:left="440" w:hanging="421"/>
        <w:spacing w:after="0"/>
        <w:tabs>
          <w:tab w:leader="none" w:pos="4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22</w:t>
      </w:r>
    </w:p>
    <w:sectPr>
      <w:pgSz w:w="11900" w:h="16838" w:orient="portrait"/>
      <w:cols w:equalWidth="0" w:num="1">
        <w:col w:w="11220"/>
      </w:cols>
      <w:pgMar w:left="320" w:top="139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04"/>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lowerRoman"/>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upperLetter"/>
      <w:start w:val="1"/>
    </w:lvl>
  </w:abstractNum>
  <w:abstractNum w:abstractNumId="14">
    <w:nsid w:val="6B68079A"/>
    <w:multiLevelType w:val="hybridMultilevel"/>
    <w:lvl w:ilvl="0">
      <w:lvlJc w:val="left"/>
      <w:lvlText w:val="(%1)"/>
      <w:numFmt w:val="upp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2021-02-24T05:22:24Z</dcterms:created>
  <dcterms:modified xsi:type="dcterms:W3CDTF">2021-02-24T05:22:24Z</dcterms:modified>
</cp:coreProperties>
</file>