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197.xml.htm"/>
      <w:bookmarkStart w:id="1" w:name="kswkform4_17895901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Liddy Anne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5220 VALIANT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LIVANOVA PLC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GLOUCESTER</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GL3 4FE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LivaNova PLC</w:t>
              </w:r>
            </w:hyperlink>
            <w:r>
              <w:rPr/>
              <w:t xml:space="preserve"> [ </w:t>
            </w:r>
            <w:r>
              <w:rPr>
                <w:rFonts w:ascii="Times;serif" w:hAnsi="Times;serif"/>
                <w:color w:val="0000FF"/>
                <w:sz w:val="24"/>
                <w:shd w:fill="FFFFFF" w:val="clear"/>
              </w:rPr>
              <w:t>LIVN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61"/>
        <w:gridCol w:w="74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6,291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6,291</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15, 2026, reporting person was granted 6,291 restricted stock units (RSUs) of LivaNova PLC (the Company) pursuant to the Second Amended and Restated LivaNova PLC 2022 Incentive Award Plan (the Second A&amp;R 2022 Plan) and the award agreement. The RSUs vest 20% on March 30, 2027 (pro-rated for service from the grant date to such vesting date), 40% on March 30, 2028, and 40% on March 30, 2029. The RSUs are subject to forfeiture prior to vesting in accordance with the terms of the Second A&amp;R 2022 Plan and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ordinary share of the Company in accordance with the Second A&amp;R 2022 Plan and the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1422" TargetMode="External"/><Relationship Id="rId5" Type="http://schemas.openxmlformats.org/officeDocument/2006/relationships/hyperlink" Target="http://www.sec.gov/cgi-bin/browse-edgar?action=getcompany&amp;CIK=0001639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3707</Characters>
  <CharactersWithSpaces>4330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