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184785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3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127000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64"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Date of Report (Date of earliest event reported): March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332105</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546735</wp:posOffset>
            </wp:positionV>
            <wp:extent cx="147510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193675</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3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England and Wales</w:t>
            </w:r>
          </w:p>
        </w:tc>
        <w:tc>
          <w:tcPr>
            <w:tcW w:w="3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270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98-1268150</w:t>
            </w:r>
          </w:p>
        </w:tc>
      </w:tr>
      <w:tr>
        <w:trPr>
          <w:trHeight w:val="203"/>
        </w:trPr>
        <w:tc>
          <w:tcPr>
            <w:tcW w:w="3140" w:type="dxa"/>
            <w:vAlign w:val="bottom"/>
          </w:tcPr>
          <w:p>
            <w:pPr>
              <w:jc w:val="center"/>
              <w:ind w:right="1110"/>
              <w:spacing w:after="0" w:line="202" w:lineRule="exact"/>
              <w:rPr>
                <w:sz w:val="20"/>
                <w:szCs w:val="20"/>
                <w:color w:val="auto"/>
              </w:rPr>
            </w:pPr>
            <w:r>
              <w:rPr>
                <w:rFonts w:ascii="Arial" w:cs="Arial" w:eastAsia="Arial" w:hAnsi="Arial"/>
                <w:sz w:val="18"/>
                <w:szCs w:val="18"/>
                <w:color w:val="auto"/>
                <w:w w:val="90"/>
              </w:rPr>
              <w:t>(State or Other Jurisdiction</w:t>
            </w:r>
          </w:p>
        </w:tc>
        <w:tc>
          <w:tcPr>
            <w:tcW w:w="354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3"/>
              </w:rPr>
              <w:t>(Commission</w:t>
            </w:r>
          </w:p>
        </w:tc>
        <w:tc>
          <w:tcPr>
            <w:tcW w:w="2700" w:type="dxa"/>
            <w:vAlign w:val="bottom"/>
          </w:tcPr>
          <w:p>
            <w:pPr>
              <w:jc w:val="center"/>
              <w:ind w:left="127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right="1050"/>
              <w:spacing w:after="0"/>
              <w:rPr>
                <w:sz w:val="20"/>
                <w:szCs w:val="20"/>
                <w:color w:val="auto"/>
              </w:rPr>
            </w:pPr>
            <w:r>
              <w:rPr>
                <w:rFonts w:ascii="Arial" w:cs="Arial" w:eastAsia="Arial" w:hAnsi="Arial"/>
                <w:sz w:val="18"/>
                <w:szCs w:val="18"/>
                <w:color w:val="auto"/>
                <w:w w:val="94"/>
              </w:rPr>
              <w:t>of Incorporation)</w:t>
            </w:r>
          </w:p>
        </w:tc>
        <w:tc>
          <w:tcPr>
            <w:tcW w:w="354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2700" w:type="dxa"/>
            <w:vAlign w:val="bottom"/>
          </w:tcPr>
          <w:p>
            <w:pPr>
              <w:jc w:val="center"/>
              <w:ind w:left="1270"/>
              <w:spacing w:after="0"/>
              <w:rPr>
                <w:sz w:val="20"/>
                <w:szCs w:val="20"/>
                <w:color w:val="auto"/>
              </w:rPr>
            </w:pPr>
            <w:r>
              <w:rPr>
                <w:rFonts w:ascii="Arial" w:cs="Arial" w:eastAsia="Arial" w:hAnsi="Arial"/>
                <w:sz w:val="18"/>
                <w:szCs w:val="18"/>
                <w:color w:val="auto"/>
                <w:w w:val="95"/>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188595</wp:posOffset>
            </wp:positionV>
            <wp:extent cx="18097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20 Eastbourne Terrace</w:t>
      </w:r>
    </w:p>
    <w:p>
      <w:pPr>
        <w:spacing w:after="0" w:line="1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London, W2 6LG</w:t>
      </w:r>
    </w:p>
    <w:p>
      <w:pPr>
        <w:jc w:val="center"/>
        <w:ind w:right="-659"/>
        <w:spacing w:after="0" w:line="234" w:lineRule="auto"/>
        <w:rPr>
          <w:sz w:val="20"/>
          <w:szCs w:val="20"/>
          <w:color w:val="auto"/>
        </w:rPr>
      </w:pPr>
      <w:r>
        <w:rPr>
          <w:rFonts w:ascii="Arial" w:cs="Arial" w:eastAsia="Arial" w:hAnsi="Arial"/>
          <w:sz w:val="18"/>
          <w:szCs w:val="18"/>
          <w:b w:val="1"/>
          <w:bCs w:val="1"/>
          <w:color w:val="auto"/>
        </w:rPr>
        <w:t>United Kingdom</w:t>
      </w:r>
    </w:p>
    <w:p>
      <w:pPr>
        <w:spacing w:after="0" w:line="1"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(Address of Principal Executive Offices)</w:t>
      </w:r>
    </w:p>
    <w:p>
      <w:pPr>
        <w:spacing w:after="0" w:line="178"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+44 20 33250660</w:t>
      </w:r>
    </w:p>
    <w:p>
      <w:pPr>
        <w:spacing w:after="0" w:line="16"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64770</wp:posOffset>
            </wp:positionV>
            <wp:extent cx="18097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firstLine="648"/>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625"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8.01 </w:t>
      </w:r>
      <w:r>
        <w:rPr>
          <w:rFonts w:ascii="Arial" w:cs="Arial" w:eastAsia="Arial" w:hAnsi="Arial"/>
          <w:sz w:val="18"/>
          <w:szCs w:val="18"/>
          <w:b w:val="1"/>
          <w:bCs w:val="1"/>
          <w:u w:val="single" w:color="auto"/>
          <w:color w:val="auto"/>
        </w:rPr>
        <w:t>Other Events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respect of its consolidated financial statements as of and for the year ended December 31, 2016, LivaNova PLC (the "Company") has recognized a liability in the amount of $33.5 million for a product remediation plan related to its 3T Heater Cooler device. The remediation plan developed by the Company consists primarily of a modification of the 3T Heater Cooler design to include internal sealing and the addition of a vacuum system to new and existing devices. These changes are intended to address regulatory actions and further reduce the risk of possible dispersion of aerosols from the 3T Heater Cooler device in hospital operating rooms. The deployment of this solution for commercially distributed devices will commence upon final validation and verification of the design changes and approval or clearance by regulatory authorities worldwide.</w:t>
      </w:r>
    </w:p>
    <w:p>
      <w:pPr>
        <w:spacing w:after="0" w:line="246" w:lineRule="exact"/>
        <w:rPr>
          <w:sz w:val="20"/>
          <w:szCs w:val="20"/>
          <w:color w:val="auto"/>
        </w:rPr>
      </w:pPr>
    </w:p>
    <w:p>
      <w:pPr>
        <w:ind w:right="60"/>
        <w:spacing w:after="0" w:line="395" w:lineRule="auto"/>
        <w:rPr>
          <w:sz w:val="20"/>
          <w:szCs w:val="20"/>
          <w:color w:val="auto"/>
        </w:rPr>
      </w:pPr>
      <w:r>
        <w:rPr>
          <w:rFonts w:ascii="Arial" w:cs="Arial" w:eastAsia="Arial" w:hAnsi="Arial"/>
          <w:sz w:val="16"/>
          <w:szCs w:val="16"/>
          <w:color w:val="auto"/>
        </w:rPr>
        <w:t xml:space="preserve">As part of this plan, the Company also intends to implement a no-charge deep disinfection service for 3T Heater Cooler users who have reported confirmed </w:t>
      </w:r>
      <w:r>
        <w:rPr>
          <w:rFonts w:ascii="Arial" w:cs="Arial" w:eastAsia="Arial" w:hAnsi="Arial"/>
          <w:sz w:val="16"/>
          <w:szCs w:val="16"/>
          <w:i w:val="1"/>
          <w:iCs w:val="1"/>
          <w:color w:val="auto"/>
        </w:rPr>
        <w:t xml:space="preserve">M. chimaera </w:t>
      </w:r>
      <w:r>
        <w:rPr>
          <w:rFonts w:ascii="Arial" w:cs="Arial" w:eastAsia="Arial" w:hAnsi="Arial"/>
          <w:sz w:val="16"/>
          <w:szCs w:val="16"/>
          <w:color w:val="auto"/>
        </w:rPr>
        <w:t>mycobacterium contamination. The Company anticipates expanding the deep disinfection service globally as regulatory approvals are received.</w:t>
      </w:r>
    </w:p>
    <w:p>
      <w:pPr>
        <w:spacing w:after="0" w:line="164" w:lineRule="exact"/>
        <w:rPr>
          <w:sz w:val="20"/>
          <w:szCs w:val="20"/>
          <w:color w:val="auto"/>
        </w:rPr>
      </w:pPr>
    </w:p>
    <w:p>
      <w:pPr>
        <w:ind w:right="160"/>
        <w:spacing w:after="0" w:line="306" w:lineRule="auto"/>
        <w:rPr>
          <w:sz w:val="20"/>
          <w:szCs w:val="20"/>
          <w:color w:val="auto"/>
        </w:rPr>
      </w:pPr>
      <w:r>
        <w:rPr>
          <w:rFonts w:ascii="Arial" w:cs="Arial" w:eastAsia="Arial" w:hAnsi="Arial"/>
          <w:sz w:val="18"/>
          <w:szCs w:val="18"/>
          <w:color w:val="auto"/>
        </w:rPr>
        <w:t>Finally, in the fourth quarter of 2016 the Company initiated a program to loan existing 3T Heater Cooler users a new 3T Heater Cooler device at no charge pending regulatory approval and implementation of the vacuum system addition and deep disinfection service worldwide. This loaner program began in the United States and is being made available progressively on a global basis, prioritizing and allocating devices to 3T Heater Cooler users based on pre-established criteria.</w:t>
      </w:r>
    </w:p>
    <w:p>
      <w:pPr>
        <w:spacing w:after="0" w:line="146" w:lineRule="exact"/>
        <w:rPr>
          <w:sz w:val="20"/>
          <w:szCs w:val="20"/>
          <w:color w:val="auto"/>
        </w:rPr>
      </w:pPr>
    </w:p>
    <w:p>
      <w:pPr>
        <w:ind w:right="20"/>
        <w:spacing w:after="0" w:line="311" w:lineRule="auto"/>
        <w:rPr>
          <w:sz w:val="20"/>
          <w:szCs w:val="20"/>
          <w:color w:val="auto"/>
        </w:rPr>
      </w:pPr>
      <w:r>
        <w:rPr>
          <w:rFonts w:ascii="Arial" w:cs="Arial" w:eastAsia="Arial" w:hAnsi="Arial"/>
          <w:sz w:val="18"/>
          <w:szCs w:val="18"/>
          <w:color w:val="auto"/>
        </w:rPr>
        <w:t>In addition to $4.0 million of costs incurred during the twelve month period ended December 31, 2016, the Company also recognized a $33.5 million liability at December 31, 2016. These costs all relate to the execution of the remediation plan, including (i) finalization and implementation of the design change, (ii) provision of deep disinfection services, and (iii) the provision of loaner 3T Heater Cooler devices.</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4700" w:type="dxa"/>
            <w:vAlign w:val="bottom"/>
            <w:gridSpan w:val="2"/>
          </w:tcPr>
          <w:p>
            <w:pPr>
              <w:ind w:left="2100"/>
              <w:spacing w:after="0"/>
              <w:rPr>
                <w:sz w:val="20"/>
                <w:szCs w:val="20"/>
                <w:color w:val="auto"/>
              </w:rPr>
            </w:pPr>
            <w:r>
              <w:rPr>
                <w:rFonts w:ascii="Arial" w:cs="Arial" w:eastAsia="Arial" w:hAnsi="Arial"/>
                <w:sz w:val="18"/>
                <w:szCs w:val="18"/>
                <w:color w:val="auto"/>
              </w:rPr>
              <w:t>LivaNova PLC</w:t>
            </w:r>
          </w:p>
        </w:tc>
      </w:tr>
      <w:tr>
        <w:trPr>
          <w:trHeight w:val="608"/>
        </w:trPr>
        <w:tc>
          <w:tcPr>
            <w:tcW w:w="3640" w:type="dxa"/>
            <w:vAlign w:val="bottom"/>
          </w:tcPr>
          <w:p>
            <w:pPr>
              <w:spacing w:after="0"/>
              <w:rPr>
                <w:sz w:val="20"/>
                <w:szCs w:val="20"/>
                <w:color w:val="auto"/>
              </w:rPr>
            </w:pPr>
            <w:r>
              <w:rPr>
                <w:rFonts w:ascii="Arial" w:cs="Arial" w:eastAsia="Arial" w:hAnsi="Arial"/>
                <w:sz w:val="18"/>
                <w:szCs w:val="18"/>
                <w:color w:val="auto"/>
              </w:rPr>
              <w:t>Date: March 1, 2017</w:t>
            </w:r>
          </w:p>
        </w:tc>
        <w:tc>
          <w:tcPr>
            <w:tcW w:w="4700" w:type="dxa"/>
            <w:vAlign w:val="bottom"/>
            <w:gridSpan w:val="2"/>
          </w:tcPr>
          <w:p>
            <w:pPr>
              <w:ind w:left="2100"/>
              <w:spacing w:after="0"/>
              <w:rPr>
                <w:sz w:val="20"/>
                <w:szCs w:val="20"/>
                <w:color w:val="auto"/>
              </w:rPr>
            </w:pPr>
            <w:r>
              <w:rPr>
                <w:rFonts w:ascii="Arial" w:cs="Arial" w:eastAsia="Arial" w:hAnsi="Arial"/>
                <w:sz w:val="18"/>
                <w:szCs w:val="18"/>
                <w:color w:val="auto"/>
              </w:rPr>
              <w:t>By:/s/ Catherine Moroz</w:t>
            </w:r>
          </w:p>
        </w:tc>
      </w:tr>
      <w:tr>
        <w:trPr>
          <w:trHeight w:val="209"/>
        </w:trPr>
        <w:tc>
          <w:tcPr>
            <w:tcW w:w="3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Catherine Moroz</w:t>
            </w:r>
          </w:p>
        </w:tc>
      </w:tr>
      <w:tr>
        <w:trPr>
          <w:trHeight w:val="230"/>
        </w:trPr>
        <w:tc>
          <w:tcPr>
            <w:tcW w:w="3640" w:type="dxa"/>
            <w:vAlign w:val="bottom"/>
          </w:tcPr>
          <w:p>
            <w:pPr>
              <w:spacing w:after="0"/>
              <w:rPr>
                <w:sz w:val="20"/>
                <w:szCs w:val="20"/>
                <w:color w:val="auto"/>
              </w:rPr>
            </w:pPr>
          </w:p>
        </w:tc>
        <w:tc>
          <w:tcPr>
            <w:tcW w:w="4700" w:type="dxa"/>
            <w:vAlign w:val="bottom"/>
            <w:gridSpan w:val="2"/>
          </w:tcPr>
          <w:p>
            <w:pPr>
              <w:ind w:left="2340"/>
              <w:spacing w:after="0"/>
              <w:rPr>
                <w:sz w:val="20"/>
                <w:szCs w:val="20"/>
                <w:color w:val="auto"/>
              </w:rPr>
            </w:pPr>
            <w:r>
              <w:rPr>
                <w:rFonts w:ascii="Arial" w:cs="Arial" w:eastAsia="Arial" w:hAnsi="Arial"/>
                <w:sz w:val="18"/>
                <w:szCs w:val="18"/>
                <w:color w:val="auto"/>
              </w:rPr>
              <w:t>Title:  Company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3</w:t>
      </w:r>
    </w:p>
    <w:sectPr>
      <w:pgSz w:w="11900" w:h="16838" w:orient="portrait"/>
      <w:cols w:equalWidth="0" w:num="1">
        <w:col w:w="11000"/>
      </w:cols>
      <w:pgMar w:left="240" w:top="12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2019-12-08T03:00:57Z</dcterms:created>
  <dcterms:modified xsi:type="dcterms:W3CDTF">2019-12-08T03:00:57Z</dcterms:modified>
</cp:coreProperties>
</file>