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right="4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-230505</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18"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-669290</wp:posOffset>
            </wp:positionV>
            <wp:extent cx="124460" cy="124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5277485</wp:posOffset>
            </wp:positionH>
            <wp:positionV relativeFrom="paragraph">
              <wp:posOffset>-633095</wp:posOffset>
            </wp:positionV>
            <wp:extent cx="58420" cy="646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643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-633095</wp:posOffset>
            </wp:positionV>
            <wp:extent cx="58420" cy="646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643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753745</wp:posOffset>
            </wp:positionV>
            <wp:extent cx="6991985" cy="5434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1985" cy="5434965"/>
                    </a:xfrm>
                    <a:prstGeom prst="rect">
                      <a:avLst/>
                    </a:prstGeom>
                    <a:noFill/>
                  </pic:spPr>
                </pic:pic>
              </a:graphicData>
            </a:graphic>
          </wp:anchor>
        </w:drawing>
      </w:r>
    </w:p>
    <w:p>
      <w:pPr>
        <w:spacing w:after="0" w:line="1262" w:lineRule="exact"/>
        <w:rPr>
          <w:sz w:val="24"/>
          <w:szCs w:val="24"/>
          <w:color w:val="auto"/>
        </w:rPr>
      </w:pPr>
    </w:p>
    <w:p>
      <w:pPr>
        <w:sectPr>
          <w:pgSz w:w="11900" w:h="16838" w:orient="portrait"/>
          <w:cols w:equalWidth="0" w:num="2">
            <w:col w:w="2320" w:space="220"/>
            <w:col w:w="854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Poletti Franco</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7" w:right="600" w:firstLine="7"/>
        <w:spacing w:after="0" w:line="26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3"/>
        <w:spacing w:after="0"/>
        <w:tabs>
          <w:tab w:leader="none" w:pos="207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3"/>
        <w:spacing w:after="0"/>
        <w:tabs>
          <w:tab w:leader="none" w:pos="20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33"/>
        <w:spacing w:after="0"/>
        <w:rPr>
          <w:sz w:val="20"/>
          <w:szCs w:val="20"/>
          <w:color w:val="auto"/>
        </w:rPr>
      </w:pPr>
      <w:r>
        <w:rPr>
          <w:rFonts w:ascii="Times New Roman" w:cs="Times New Roman" w:eastAsia="Times New Roman" w:hAnsi="Times New Roman"/>
          <w:sz w:val="17"/>
          <w:szCs w:val="17"/>
          <w:color w:val="0000FF"/>
        </w:rPr>
        <w:t>President, Cardiopulmonary</w:t>
      </w:r>
    </w:p>
    <w:p>
      <w:pPr>
        <w:spacing w:after="0" w:line="320" w:lineRule="exact"/>
        <w:rPr>
          <w:sz w:val="24"/>
          <w:szCs w:val="24"/>
          <w:color w:val="auto"/>
        </w:rPr>
      </w:pPr>
    </w:p>
    <w:p>
      <w:pPr>
        <w:sectPr>
          <w:pgSz w:w="11900" w:h="16838" w:orient="portrait"/>
          <w:cols w:equalWidth="0" w:num="3">
            <w:col w:w="3180" w:space="720"/>
            <w:col w:w="3107" w:space="720"/>
            <w:col w:w="3353"/>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right"/>
              <w:ind w:right="136"/>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X0</w:t>
            </w:r>
          </w:p>
        </w:tc>
        <w:tc>
          <w:tcPr>
            <w:tcW w:w="98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W2 6LA</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36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12/15/2025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9"/>
              <w:spacing w:after="0"/>
              <w:rPr>
                <w:sz w:val="20"/>
                <w:szCs w:val="20"/>
                <w:color w:val="auto"/>
              </w:rPr>
            </w:pPr>
            <w:r>
              <w:rPr>
                <w:rFonts w:ascii="Times New Roman" w:cs="Times New Roman" w:eastAsia="Times New Roman" w:hAnsi="Times New Roman"/>
                <w:sz w:val="17"/>
                <w:szCs w:val="17"/>
                <w:color w:val="0000FF"/>
              </w:rPr>
              <w:t>967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101"/>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9,266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12/15/2025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line="314" w:lineRule="exact"/>
              <w:rPr>
                <w:sz w:val="20"/>
                <w:szCs w:val="20"/>
                <w:color w:val="auto"/>
              </w:rPr>
            </w:pPr>
            <w:r>
              <w:rPr>
                <w:rFonts w:ascii="Times New Roman" w:cs="Times New Roman" w:eastAsia="Times New Roman" w:hAnsi="Times New Roman"/>
                <w:sz w:val="33"/>
                <w:szCs w:val="33"/>
                <w:color w:val="0000FF"/>
                <w:vertAlign w:val="subscript"/>
              </w:rPr>
              <w:t>416</w:t>
            </w:r>
            <w:r>
              <w:rPr>
                <w:rFonts w:ascii="Times New Roman" w:cs="Times New Roman" w:eastAsia="Times New Roman" w:hAnsi="Times New Roman"/>
                <w:sz w:val="11"/>
                <w:szCs w:val="11"/>
                <w:color w:val="008000"/>
              </w:rPr>
              <w:t>(2)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63.06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8,850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219</w:t>
            </w:r>
          </w:p>
        </w:tc>
        <w:tc>
          <w:tcPr>
            <w:tcW w:w="280" w:type="dxa"/>
            <w:vAlign w:val="bottom"/>
          </w:tcPr>
          <w:p>
            <w:pPr>
              <w:spacing w:after="0"/>
              <w:rPr>
                <w:sz w:val="21"/>
                <w:szCs w:val="21"/>
                <w:color w:val="auto"/>
              </w:rPr>
            </w:pPr>
          </w:p>
        </w:tc>
        <w:tc>
          <w:tcPr>
            <w:tcW w:w="680" w:type="dxa"/>
            <w:vAlign w:val="bottom"/>
            <w:vMerge w:val="restart"/>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967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12/15/2025</w:t>
            </w: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6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967</w:t>
            </w:r>
          </w:p>
        </w:tc>
        <w:tc>
          <w:tcPr>
            <w:tcW w:w="7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-2116455</wp:posOffset>
            </wp:positionV>
            <wp:extent cx="29210" cy="2121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215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6" w:lineRule="exact"/>
        <w:rPr>
          <w:rFonts w:ascii="Times New Roman" w:cs="Times New Roman" w:eastAsia="Times New Roman" w:hAnsi="Times New Roman"/>
          <w:sz w:val="13"/>
          <w:szCs w:val="13"/>
          <w:color w:val="008000"/>
        </w:rPr>
      </w:pPr>
    </w:p>
    <w:p>
      <w:pPr>
        <w:ind w:left="180" w:hanging="136"/>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6" w:lineRule="exact"/>
        <w:rPr>
          <w:rFonts w:ascii="Times New Roman" w:cs="Times New Roman" w:eastAsia="Times New Roman" w:hAnsi="Times New Roman"/>
          <w:sz w:val="13"/>
          <w:szCs w:val="13"/>
          <w:color w:val="008000"/>
        </w:rPr>
      </w:pPr>
    </w:p>
    <w:p>
      <w:pPr>
        <w:ind w:left="40" w:right="18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Amended and Restated LivaNova PLC 2022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220" w:firstLine="4"/>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15, 2023, reporting person was granted RSUs subject to a two-year vesting schedule, the final vesting for which occurred on December 15, 2025. The RSUs were subject to forfeiture prior to vesting in accordance with the terms of the Plan and the award agreement.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6"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12/17/2025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-19050</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-85725</wp:posOffset>
            </wp:positionV>
            <wp:extent cx="4908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85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0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1281"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2025-12-17T15:13:26Z</dcterms:created>
  <dcterms:modified xsi:type="dcterms:W3CDTF">2025-12-17T15:13:26Z</dcterms:modified>
</cp:coreProperties>
</file>