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947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Shinmar Pritpal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18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10/19/2015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18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5 MERCHANT SQUARE</w:t>
            </w:r>
          </w:p>
        </w:tc>
        <w:tc>
          <w:tcPr>
            <w:tcW w:w="12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NORTH WHARF ROAD</w:t>
            </w:r>
          </w:p>
        </w:tc>
        <w:tc>
          <w:tcPr>
            <w:tcW w:w="120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0000FF"/>
              </w:rPr>
              <w:t>LONDON</w:t>
            </w:r>
          </w:p>
        </w:tc>
        <w:tc>
          <w:tcPr>
            <w:tcW w:w="1100" w:type="dxa"/>
            <w:vAlign w:val="bottom"/>
          </w:tcPr>
          <w:p>
            <w:pPr>
              <w:ind w:left="180"/>
              <w:spacing w:after="0"/>
              <w:rPr>
                <w:sz w:val="20"/>
                <w:szCs w:val="20"/>
                <w:color w:val="auto"/>
              </w:rPr>
            </w:pPr>
            <w:r>
              <w:rPr>
                <w:rFonts w:ascii="Arial" w:cs="Arial" w:eastAsia="Arial" w:hAnsi="Arial"/>
                <w:sz w:val="18"/>
                <w:szCs w:val="18"/>
                <w:color w:val="0000FF"/>
              </w:rPr>
              <w:t>X0</w:t>
            </w:r>
          </w:p>
        </w:tc>
        <w:tc>
          <w:tcPr>
            <w:tcW w:w="1200" w:type="dxa"/>
            <w:vAlign w:val="bottom"/>
          </w:tcPr>
          <w:p>
            <w:pPr>
              <w:ind w:left="160"/>
              <w:spacing w:after="0"/>
              <w:rPr>
                <w:sz w:val="20"/>
                <w:szCs w:val="20"/>
                <w:color w:val="auto"/>
              </w:rPr>
            </w:pPr>
            <w:r>
              <w:rPr>
                <w:rFonts w:ascii="Arial" w:cs="Arial" w:eastAsia="Arial" w:hAnsi="Arial"/>
                <w:sz w:val="18"/>
                <w:szCs w:val="18"/>
                <w:color w:val="0000FF"/>
              </w:rPr>
              <w:t>W2 1AY</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86"/>
        <w:spacing w:after="0"/>
        <w:rPr>
          <w:sz w:val="20"/>
          <w:szCs w:val="20"/>
          <w:color w:val="auto"/>
        </w:rPr>
      </w:pPr>
      <w:r>
        <w:rPr>
          <w:rFonts w:ascii="Arial" w:cs="Arial" w:eastAsia="Arial" w:hAnsi="Arial"/>
          <w:sz w:val="18"/>
          <w:szCs w:val="18"/>
          <w:color w:val="0000FF"/>
        </w:rPr>
        <w:t>SR VP Global Market Access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5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3560" w:type="dxa"/>
            <w:vAlign w:val="bottom"/>
          </w:tcPr>
          <w:p>
            <w:pPr>
              <w:jc w:val="right"/>
              <w:ind w:right="732"/>
              <w:spacing w:after="0"/>
              <w:rPr>
                <w:sz w:val="20"/>
                <w:szCs w:val="20"/>
                <w:color w:val="auto"/>
              </w:rPr>
            </w:pPr>
            <w:r>
              <w:rPr>
                <w:rFonts w:ascii="Arial" w:cs="Arial" w:eastAsia="Arial" w:hAnsi="Arial"/>
                <w:sz w:val="18"/>
                <w:szCs w:val="18"/>
                <w:color w:val="0000FF"/>
              </w:rPr>
              <w:t>488</w:t>
            </w:r>
          </w:p>
        </w:tc>
        <w:tc>
          <w:tcPr>
            <w:tcW w:w="4320" w:type="dxa"/>
            <w:vAlign w:val="bottom"/>
          </w:tcPr>
          <w:p>
            <w:pPr>
              <w:ind w:left="680"/>
              <w:spacing w:after="0"/>
              <w:rPr>
                <w:sz w:val="20"/>
                <w:szCs w:val="20"/>
                <w:color w:val="auto"/>
              </w:rPr>
            </w:pPr>
            <w:r>
              <w:rPr>
                <w:rFonts w:ascii="Arial" w:cs="Arial" w:eastAsia="Arial" w:hAnsi="Arial"/>
                <w:sz w:val="18"/>
                <w:szCs w:val="18"/>
                <w:color w:val="0000FF"/>
              </w:rPr>
              <w:t>D</w:t>
            </w:r>
          </w:p>
        </w:tc>
        <w:tc>
          <w:tcPr>
            <w:tcW w:w="20" w:type="dxa"/>
            <w:vAlign w:val="bottom"/>
          </w:tcPr>
          <w:p>
            <w:pPr>
              <w:spacing w:after="0"/>
              <w:rPr>
                <w:sz w:val="19"/>
                <w:szCs w:val="19"/>
                <w:color w:val="auto"/>
              </w:rPr>
            </w:pPr>
          </w:p>
        </w:tc>
      </w:tr>
      <w:tr>
        <w:trPr>
          <w:trHeight w:val="63"/>
        </w:trPr>
        <w:tc>
          <w:tcPr>
            <w:tcW w:w="20" w:type="dxa"/>
            <w:vAlign w:val="bottom"/>
          </w:tcPr>
          <w:p>
            <w:pPr>
              <w:spacing w:after="0"/>
              <w:rPr>
                <w:sz w:val="5"/>
                <w:szCs w:val="5"/>
                <w:color w:val="auto"/>
              </w:rPr>
            </w:pPr>
          </w:p>
        </w:tc>
        <w:tc>
          <w:tcPr>
            <w:tcW w:w="350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43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331"/>
        </w:trPr>
        <w:tc>
          <w:tcPr>
            <w:tcW w:w="20" w:type="dxa"/>
            <w:vAlign w:val="bottom"/>
          </w:tcPr>
          <w:p>
            <w:pPr>
              <w:spacing w:after="0"/>
              <w:rPr>
                <w:sz w:val="24"/>
                <w:szCs w:val="24"/>
                <w:color w:val="auto"/>
              </w:rPr>
            </w:pPr>
          </w:p>
        </w:tc>
        <w:tc>
          <w:tcPr>
            <w:tcW w:w="35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560" w:type="dxa"/>
            <w:vAlign w:val="bottom"/>
            <w:tcBorders>
              <w:bottom w:val="single" w:sz="8" w:color="2C2C2C"/>
            </w:tcBorders>
          </w:tcPr>
          <w:p>
            <w:pPr>
              <w:jc w:val="right"/>
              <w:ind w:right="612"/>
              <w:spacing w:after="0"/>
              <w:rPr>
                <w:sz w:val="20"/>
                <w:szCs w:val="20"/>
                <w:color w:val="auto"/>
              </w:rPr>
            </w:pPr>
            <w:r>
              <w:rPr>
                <w:rFonts w:ascii="Arial" w:cs="Arial" w:eastAsia="Arial" w:hAnsi="Arial"/>
                <w:sz w:val="18"/>
                <w:szCs w:val="18"/>
                <w:color w:val="0000FF"/>
              </w:rPr>
              <w:t>1,474</w:t>
            </w:r>
            <w:r>
              <w:rPr>
                <w:rFonts w:ascii="Arial" w:cs="Arial" w:eastAsia="Arial" w:hAnsi="Arial"/>
                <w:sz w:val="22"/>
                <w:szCs w:val="22"/>
                <w:color w:val="008000"/>
                <w:vertAlign w:val="superscript"/>
              </w:rPr>
              <w:t>(1)</w:t>
            </w:r>
          </w:p>
        </w:tc>
        <w:tc>
          <w:tcPr>
            <w:tcW w:w="4320" w:type="dxa"/>
            <w:vAlign w:val="bottom"/>
            <w:tcBorders>
              <w:bottom w:val="single" w:sz="8" w:color="2C2C2C"/>
            </w:tcBorders>
          </w:tcPr>
          <w:p>
            <w:pPr>
              <w:ind w:left="680"/>
              <w:spacing w:after="0"/>
              <w:rPr>
                <w:sz w:val="20"/>
                <w:szCs w:val="20"/>
                <w:color w:val="auto"/>
              </w:rPr>
            </w:pPr>
            <w:r>
              <w:rPr>
                <w:rFonts w:ascii="Arial" w:cs="Arial" w:eastAsia="Arial" w:hAnsi="Arial"/>
                <w:sz w:val="18"/>
                <w:szCs w:val="18"/>
                <w:color w:val="0000FF"/>
              </w:rPr>
              <w:t>D</w:t>
            </w:r>
          </w:p>
        </w:tc>
        <w:tc>
          <w:tcPr>
            <w:tcW w:w="20" w:type="dxa"/>
            <w:vAlign w:val="bottom"/>
          </w:tcPr>
          <w:p>
            <w:pPr>
              <w:spacing w:after="0"/>
              <w:rPr>
                <w:sz w:val="24"/>
                <w:szCs w:val="24"/>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35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560" w:type="dxa"/>
            <w:vAlign w:val="bottom"/>
            <w:tcBorders>
              <w:bottom w:val="single" w:sz="8" w:color="2C2C2C"/>
            </w:tcBorders>
          </w:tcPr>
          <w:p>
            <w:pPr>
              <w:jc w:val="right"/>
              <w:ind w:right="612"/>
              <w:spacing w:after="0"/>
              <w:rPr>
                <w:sz w:val="20"/>
                <w:szCs w:val="20"/>
                <w:color w:val="auto"/>
              </w:rPr>
            </w:pPr>
            <w:r>
              <w:rPr>
                <w:rFonts w:ascii="Arial" w:cs="Arial" w:eastAsia="Arial" w:hAnsi="Arial"/>
                <w:sz w:val="18"/>
                <w:szCs w:val="18"/>
                <w:color w:val="0000FF"/>
              </w:rPr>
              <w:t>1,474</w:t>
            </w:r>
            <w:r>
              <w:rPr>
                <w:rFonts w:ascii="Arial" w:cs="Arial" w:eastAsia="Arial" w:hAnsi="Arial"/>
                <w:sz w:val="22"/>
                <w:szCs w:val="22"/>
                <w:color w:val="008000"/>
                <w:vertAlign w:val="superscript"/>
              </w:rPr>
              <w:t>(2)</w:t>
            </w:r>
          </w:p>
        </w:tc>
        <w:tc>
          <w:tcPr>
            <w:tcW w:w="4320" w:type="dxa"/>
            <w:vAlign w:val="bottom"/>
            <w:tcBorders>
              <w:bottom w:val="single" w:sz="8" w:color="2C2C2C"/>
            </w:tcBorders>
          </w:tcPr>
          <w:p>
            <w:pPr>
              <w:ind w:left="680"/>
              <w:spacing w:after="0"/>
              <w:rPr>
                <w:sz w:val="20"/>
                <w:szCs w:val="20"/>
                <w:color w:val="auto"/>
              </w:rPr>
            </w:pPr>
            <w:r>
              <w:rPr>
                <w:rFonts w:ascii="Arial" w:cs="Arial" w:eastAsia="Arial" w:hAnsi="Arial"/>
                <w:sz w:val="18"/>
                <w:szCs w:val="18"/>
                <w:color w:val="0000FF"/>
              </w:rPr>
              <w:t>D</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500" w:type="dxa"/>
            <w:vAlign w:val="bottom"/>
            <w:tcBorders>
              <w:top w:val="single" w:sz="8" w:color="808080"/>
            </w:tcBorders>
            <w:shd w:val="clear" w:color="auto" w:fill="2C2C2C"/>
          </w:tcPr>
          <w:p>
            <w:pPr>
              <w:spacing w:after="0" w:line="20" w:lineRule="exact"/>
              <w:rPr>
                <w:sz w:val="1"/>
                <w:szCs w:val="1"/>
                <w:color w:val="auto"/>
              </w:rPr>
            </w:pPr>
          </w:p>
        </w:tc>
        <w:tc>
          <w:tcPr>
            <w:tcW w:w="3560" w:type="dxa"/>
            <w:vAlign w:val="bottom"/>
            <w:tcBorders>
              <w:top w:val="single" w:sz="8" w:color="808080"/>
            </w:tcBorders>
            <w:shd w:val="clear" w:color="auto" w:fill="2C2C2C"/>
          </w:tcPr>
          <w:p>
            <w:pPr>
              <w:spacing w:after="0" w:line="20" w:lineRule="exact"/>
              <w:rPr>
                <w:sz w:val="1"/>
                <w:szCs w:val="1"/>
                <w:color w:val="auto"/>
              </w:rPr>
            </w:pPr>
          </w:p>
        </w:tc>
        <w:tc>
          <w:tcPr>
            <w:tcW w:w="43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Option to purchase common stock</w:t>
            </w:r>
          </w:p>
        </w:tc>
        <w:tc>
          <w:tcPr>
            <w:tcW w:w="880" w:type="dxa"/>
            <w:vAlign w:val="bottom"/>
          </w:tcPr>
          <w:p>
            <w:pPr>
              <w:jc w:val="right"/>
              <w:ind w:right="314"/>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10/19/2020</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right"/>
              <w:ind w:right="27"/>
              <w:spacing w:after="0"/>
              <w:rPr>
                <w:sz w:val="20"/>
                <w:szCs w:val="20"/>
                <w:color w:val="auto"/>
              </w:rPr>
            </w:pPr>
            <w:r>
              <w:rPr>
                <w:rFonts w:ascii="Arial" w:cs="Arial" w:eastAsia="Arial" w:hAnsi="Arial"/>
                <w:sz w:val="18"/>
                <w:szCs w:val="18"/>
                <w:color w:val="0000FF"/>
              </w:rPr>
              <w:t>10,411</w:t>
            </w:r>
          </w:p>
        </w:tc>
        <w:tc>
          <w:tcPr>
            <w:tcW w:w="880" w:type="dxa"/>
            <w:vAlign w:val="bottom"/>
          </w:tcPr>
          <w:p>
            <w:pPr>
              <w:ind w:left="240"/>
              <w:spacing w:after="0"/>
              <w:rPr>
                <w:sz w:val="20"/>
                <w:szCs w:val="20"/>
                <w:color w:val="auto"/>
              </w:rPr>
            </w:pPr>
            <w:r>
              <w:rPr>
                <w:rFonts w:ascii="Arial" w:cs="Arial" w:eastAsia="Arial" w:hAnsi="Arial"/>
                <w:sz w:val="18"/>
                <w:szCs w:val="18"/>
                <w:color w:val="0000FF"/>
              </w:rPr>
              <w:t>69.39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Option to purchase common stock</w:t>
            </w:r>
          </w:p>
        </w:tc>
        <w:tc>
          <w:tcPr>
            <w:tcW w:w="880" w:type="dxa"/>
            <w:vAlign w:val="bottom"/>
          </w:tcPr>
          <w:p>
            <w:pPr>
              <w:jc w:val="right"/>
              <w:ind w:right="74"/>
              <w:spacing w:after="0"/>
              <w:rPr>
                <w:sz w:val="20"/>
                <w:szCs w:val="20"/>
                <w:color w:val="auto"/>
              </w:rPr>
            </w:pPr>
            <w:r>
              <w:rPr>
                <w:rFonts w:ascii="Arial" w:cs="Arial" w:eastAsia="Arial" w:hAnsi="Arial"/>
                <w:sz w:val="14"/>
                <w:szCs w:val="14"/>
                <w:color w:val="0000FF"/>
              </w:rPr>
              <w:t>10/19/2015</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10/19/2018</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right"/>
              <w:ind w:right="67"/>
              <w:spacing w:after="0"/>
              <w:rPr>
                <w:sz w:val="20"/>
                <w:szCs w:val="20"/>
                <w:color w:val="auto"/>
              </w:rPr>
            </w:pPr>
            <w:r>
              <w:rPr>
                <w:rFonts w:ascii="Arial" w:cs="Arial" w:eastAsia="Arial" w:hAnsi="Arial"/>
                <w:sz w:val="18"/>
                <w:szCs w:val="18"/>
                <w:color w:val="0000FF"/>
              </w:rPr>
              <w:t>5,121</w:t>
            </w:r>
          </w:p>
        </w:tc>
        <w:tc>
          <w:tcPr>
            <w:tcW w:w="880" w:type="dxa"/>
            <w:vAlign w:val="bottom"/>
          </w:tcPr>
          <w:p>
            <w:pPr>
              <w:ind w:left="240"/>
              <w:spacing w:after="0"/>
              <w:rPr>
                <w:sz w:val="20"/>
                <w:szCs w:val="20"/>
                <w:color w:val="auto"/>
              </w:rPr>
            </w:pPr>
            <w:r>
              <w:rPr>
                <w:rFonts w:ascii="Arial" w:cs="Arial" w:eastAsia="Arial" w:hAnsi="Arial"/>
                <w:sz w:val="18"/>
                <w:szCs w:val="18"/>
                <w:color w:val="0000FF"/>
              </w:rPr>
              <w:t>51.34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Reporting Person was granted restricted stock units ("RSUs"), all of such RSUs shall vest and all forfeiture restrictions thereon to lapse on February 26, 2016.</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Reporting Person was granted restricted stock units ("RSUs"), all of such RSUs shall vest and all forfeiture restrictions thereon to lapse on February 27, 2017.</w:t>
      </w:r>
    </w:p>
    <w:p>
      <w:pPr>
        <w:spacing w:after="0" w:line="41" w:lineRule="exact"/>
        <w:rPr>
          <w:rFonts w:ascii="Arial" w:cs="Arial" w:eastAsia="Arial" w:hAnsi="Arial"/>
          <w:sz w:val="14"/>
          <w:szCs w:val="14"/>
          <w:color w:val="008000"/>
        </w:rPr>
      </w:pPr>
    </w:p>
    <w:p>
      <w:pPr>
        <w:ind w:left="40" w:right="22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Reporting Person was granted an award of stock appreciation rights ("SARs"). Subject to the terms and conditions of the SAR Agreement, the SARs shall vest in equal installments of 50% on each of the first two anniversaries of the grant date, October 19, 2015. Payment of such amount shall be in cash, shares (based on their Fair Market Value as of the date the SAR is exercised) or a combination of both, as determined by the Administrator.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80" w:type="dxa"/>
            <w:vAlign w:val="bottom"/>
          </w:tcPr>
          <w:p>
            <w:pPr>
              <w:spacing w:after="0"/>
              <w:rPr>
                <w:sz w:val="20"/>
                <w:szCs w:val="20"/>
                <w:color w:val="auto"/>
              </w:rPr>
            </w:pPr>
            <w:r>
              <w:rPr>
                <w:rFonts w:ascii="Arial" w:cs="Arial" w:eastAsia="Arial" w:hAnsi="Arial"/>
                <w:sz w:val="18"/>
                <w:szCs w:val="18"/>
                <w:color w:val="0000FF"/>
                <w:w w:val="89"/>
              </w:rPr>
              <w:t>Taylor Pollock, as POA</w:t>
            </w:r>
          </w:p>
        </w:tc>
        <w:tc>
          <w:tcPr>
            <w:tcW w:w="4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10/22/2015</w:t>
            </w:r>
          </w:p>
        </w:tc>
      </w:tr>
      <w:tr>
        <w:trPr>
          <w:trHeight w:val="20"/>
        </w:trPr>
        <w:tc>
          <w:tcPr>
            <w:tcW w:w="1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56011" TargetMode="External"/><Relationship Id="rId12"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2019-12-09T05:30:05Z</dcterms:created>
  <dcterms:modified xsi:type="dcterms:W3CDTF">2019-12-09T05:30:05Z</dcterms:modified>
</cp:coreProperties>
</file>