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u w:val="single" w:color="auto"/>
          <w:color w:val="auto"/>
        </w:rPr>
        <w:t>LIVANOVA PLC</w:t>
      </w:r>
    </w:p>
    <w:p>
      <w:pPr>
        <w:spacing w:after="0" w:line="2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G5509L101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December 31, 2015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95" w:lineRule="exact"/>
        <w:rPr>
          <w:sz w:val="24"/>
          <w:szCs w:val="24"/>
          <w:color w:val="auto"/>
        </w:rPr>
      </w:pPr>
    </w:p>
    <w:p>
      <w:pPr>
        <w:jc w:val="both"/>
        <w:ind w:left="4740" w:right="4760" w:firstLine="2"/>
        <w:spacing w:after="0" w:line="266" w:lineRule="auto"/>
        <w:tabs>
          <w:tab w:leader="none" w:pos="5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 ] Rule 13d-1(c) [ ] Rule 13d-1(d)</w:t>
      </w:r>
    </w:p>
    <w:p>
      <w:pPr>
        <w:spacing w:after="0" w:line="20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686498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468" w:right="839" w:bottom="1440" w:gutter="0" w:footer="0" w:header="0"/>
        </w:sectPr>
      </w:pPr>
    </w:p>
    <w:bookmarkStart w:id="1" w:name="page2"/>
    <w:bookmarkEnd w:id="1"/>
    <w:p>
      <w:pPr>
        <w:spacing w:after="0"/>
        <w:tabs>
          <w:tab w:leader="none" w:pos="9480" w:val="left"/>
        </w:tabs>
        <w:rPr>
          <w:sz w:val="20"/>
          <w:szCs w:val="20"/>
          <w:color w:val="auto"/>
        </w:rPr>
      </w:pPr>
      <w:r>
        <w:rPr>
          <w:rFonts w:ascii="Times New Roman" w:cs="Times New Roman" w:eastAsia="Times New Roman" w:hAnsi="Times New Roman"/>
          <w:sz w:val="18"/>
          <w:szCs w:val="18"/>
          <w:b w:val="1"/>
          <w:bCs w:val="1"/>
          <w:color w:val="auto"/>
        </w:rPr>
        <w:t>CUSIP NO. G5509L101</w:t>
      </w:r>
      <w:r>
        <w:rPr>
          <w:sz w:val="20"/>
          <w:szCs w:val="20"/>
          <w:color w:val="auto"/>
        </w:rPr>
        <w:tab/>
      </w:r>
      <w:r>
        <w:rPr>
          <w:rFonts w:ascii="Times New Roman" w:cs="Times New Roman" w:eastAsia="Times New Roman" w:hAnsi="Times New Roman"/>
          <w:sz w:val="17"/>
          <w:szCs w:val="17"/>
          <w:b w:val="1"/>
          <w:bCs w:val="1"/>
          <w:color w:val="auto"/>
        </w:rPr>
        <w:t>Page 2 of 6 Pages</w:t>
      </w:r>
    </w:p>
    <w:p>
      <w:pPr>
        <w:spacing w:after="0" w:line="200" w:lineRule="exact"/>
        <w:rPr>
          <w:sz w:val="20"/>
          <w:szCs w:val="20"/>
          <w:color w:val="auto"/>
        </w:rPr>
      </w:pPr>
    </w:p>
    <w:p>
      <w:pPr>
        <w:spacing w:after="0" w:line="299" w:lineRule="exact"/>
        <w:rPr>
          <w:sz w:val="20"/>
          <w:szCs w:val="20"/>
          <w:color w:val="auto"/>
        </w:rPr>
      </w:pPr>
    </w:p>
    <w:p>
      <w:pPr>
        <w:ind w:right="7700" w:firstLine="8"/>
        <w:spacing w:after="0" w:line="564" w:lineRule="auto"/>
        <w:tabs>
          <w:tab w:leader="none" w:pos="105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 Paulson &amp; Co. Inc.</w:t>
      </w:r>
    </w:p>
    <w:p>
      <w:pPr>
        <w:spacing w:after="0" w:line="188" w:lineRule="exact"/>
        <w:rPr>
          <w:rFonts w:ascii="Times New Roman" w:cs="Times New Roman" w:eastAsia="Times New Roman" w:hAnsi="Times New Roman"/>
          <w:sz w:val="18"/>
          <w:szCs w:val="18"/>
          <w:b w:val="1"/>
          <w:bCs w:val="1"/>
          <w:color w:val="auto"/>
        </w:rPr>
      </w:pPr>
    </w:p>
    <w:p>
      <w:pPr>
        <w:ind w:left="1060" w:hanging="1052"/>
        <w:spacing w:after="0"/>
        <w:tabs>
          <w:tab w:leader="none" w:pos="10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4540" w:hanging="209"/>
        <w:spacing w:after="0"/>
        <w:tabs>
          <w:tab w:leader="none" w:pos="4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4540" w:hanging="219"/>
        <w:spacing w:after="0"/>
        <w:tabs>
          <w:tab w:leader="none" w:pos="4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33"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52" w:lineRule="exact"/>
        <w:rPr>
          <w:rFonts w:ascii="Times New Roman" w:cs="Times New Roman" w:eastAsia="Times New Roman" w:hAnsi="Times New Roman"/>
          <w:sz w:val="18"/>
          <w:szCs w:val="18"/>
          <w:b w:val="1"/>
          <w:bCs w:val="1"/>
          <w:color w:val="auto"/>
        </w:rPr>
      </w:pPr>
    </w:p>
    <w:p>
      <w:pPr>
        <w:ind w:left="1060" w:hanging="1052"/>
        <w:spacing w:after="0"/>
        <w:tabs>
          <w:tab w:leader="none" w:pos="10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4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State of Delaware</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20" w:type="dxa"/>
            <w:vAlign w:val="bottom"/>
          </w:tcPr>
          <w:p>
            <w:pPr>
              <w:spacing w:after="0"/>
              <w:rPr>
                <w:sz w:val="24"/>
                <w:szCs w:val="24"/>
                <w:color w:val="auto"/>
              </w:rPr>
            </w:pPr>
          </w:p>
        </w:tc>
        <w:tc>
          <w:tcPr>
            <w:tcW w:w="11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w:t>
            </w:r>
          </w:p>
        </w:tc>
        <w:tc>
          <w:tcPr>
            <w:tcW w:w="4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tcPr>
          <w:p>
            <w:pPr>
              <w:spacing w:after="0"/>
              <w:rPr>
                <w:sz w:val="18"/>
                <w:szCs w:val="18"/>
                <w:color w:val="auto"/>
              </w:rPr>
            </w:pPr>
          </w:p>
        </w:tc>
        <w:tc>
          <w:tcPr>
            <w:tcW w:w="400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3,561,584 (see Note 1 to Item 4 below)</w:t>
            </w:r>
          </w:p>
        </w:tc>
        <w:tc>
          <w:tcPr>
            <w:tcW w:w="0" w:type="dxa"/>
            <w:vAlign w:val="bottom"/>
          </w:tcPr>
          <w:p>
            <w:pPr>
              <w:spacing w:after="0"/>
              <w:rPr>
                <w:sz w:val="1"/>
                <w:szCs w:val="1"/>
                <w:color w:val="auto"/>
              </w:rPr>
            </w:pPr>
          </w:p>
        </w:tc>
      </w:tr>
      <w:tr>
        <w:trPr>
          <w:trHeight w:val="216"/>
        </w:trPr>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Shares</w:t>
            </w:r>
          </w:p>
        </w:tc>
        <w:tc>
          <w:tcPr>
            <w:tcW w:w="11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1180" w:type="dxa"/>
            <w:vAlign w:val="bottom"/>
            <w:vMerge w:val="continue"/>
          </w:tcPr>
          <w:p>
            <w:pPr>
              <w:spacing w:after="0"/>
              <w:rPr>
                <w:sz w:val="18"/>
                <w:szCs w:val="18"/>
                <w:color w:val="auto"/>
              </w:rPr>
            </w:pPr>
          </w:p>
        </w:tc>
        <w:tc>
          <w:tcPr>
            <w:tcW w:w="4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Owned By</w:t>
            </w:r>
          </w:p>
        </w:tc>
        <w:tc>
          <w:tcPr>
            <w:tcW w:w="1180" w:type="dxa"/>
            <w:vAlign w:val="bottom"/>
          </w:tcPr>
          <w:p>
            <w:pPr>
              <w:spacing w:after="0"/>
              <w:rPr>
                <w:sz w:val="18"/>
                <w:szCs w:val="18"/>
                <w:color w:val="auto"/>
              </w:rPr>
            </w:pPr>
          </w:p>
        </w:tc>
        <w:tc>
          <w:tcPr>
            <w:tcW w:w="4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Each</w:t>
            </w:r>
          </w:p>
        </w:tc>
        <w:tc>
          <w:tcPr>
            <w:tcW w:w="11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7.</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Reporting</w:t>
            </w:r>
          </w:p>
        </w:tc>
        <w:tc>
          <w:tcPr>
            <w:tcW w:w="1180" w:type="dxa"/>
            <w:vAlign w:val="bottom"/>
            <w:vMerge w:val="continue"/>
          </w:tcPr>
          <w:p>
            <w:pPr>
              <w:spacing w:after="0"/>
              <w:rPr>
                <w:sz w:val="18"/>
                <w:szCs w:val="18"/>
                <w:color w:val="auto"/>
              </w:rPr>
            </w:pPr>
          </w:p>
        </w:tc>
        <w:tc>
          <w:tcPr>
            <w:tcW w:w="4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Person</w:t>
            </w:r>
          </w:p>
        </w:tc>
        <w:tc>
          <w:tcPr>
            <w:tcW w:w="1180" w:type="dxa"/>
            <w:vAlign w:val="bottom"/>
          </w:tcPr>
          <w:p>
            <w:pPr>
              <w:spacing w:after="0"/>
              <w:rPr>
                <w:sz w:val="18"/>
                <w:szCs w:val="18"/>
                <w:color w:val="auto"/>
              </w:rPr>
            </w:pPr>
          </w:p>
        </w:tc>
        <w:tc>
          <w:tcPr>
            <w:tcW w:w="400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3,561,584 (see Note 1 to Item 4 below)</w:t>
            </w:r>
          </w:p>
        </w:tc>
        <w:tc>
          <w:tcPr>
            <w:tcW w:w="0" w:type="dxa"/>
            <w:vAlign w:val="bottom"/>
          </w:tcPr>
          <w:p>
            <w:pPr>
              <w:spacing w:after="0"/>
              <w:rPr>
                <w:sz w:val="1"/>
                <w:szCs w:val="1"/>
                <w:color w:val="auto"/>
              </w:rPr>
            </w:pPr>
          </w:p>
        </w:tc>
      </w:tr>
      <w:tr>
        <w:trPr>
          <w:trHeight w:val="234"/>
        </w:trPr>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With</w:t>
            </w:r>
          </w:p>
        </w:tc>
        <w:tc>
          <w:tcPr>
            <w:tcW w:w="11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8.</w:t>
            </w:r>
          </w:p>
        </w:tc>
        <w:tc>
          <w:tcPr>
            <w:tcW w:w="40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4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600" w:right="5060" w:hanging="2592"/>
        <w:spacing w:after="0" w:line="530" w:lineRule="auto"/>
        <w:tabs>
          <w:tab w:leader="none" w:pos="9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3,561,584 (see Note 1 to Item 4 below)</w:t>
      </w:r>
    </w:p>
    <w:p>
      <w:pPr>
        <w:spacing w:after="0" w:line="4" w:lineRule="exact"/>
        <w:rPr>
          <w:rFonts w:ascii="Times New Roman" w:cs="Times New Roman" w:eastAsia="Times New Roman" w:hAnsi="Times New Roman"/>
          <w:sz w:val="18"/>
          <w:szCs w:val="18"/>
          <w:b w:val="1"/>
          <w:bCs w:val="1"/>
          <w:color w:val="auto"/>
        </w:rPr>
      </w:pPr>
    </w:p>
    <w:p>
      <w:pPr>
        <w:ind w:left="2600" w:right="3260" w:hanging="2592"/>
        <w:spacing w:after="0" w:line="530" w:lineRule="auto"/>
        <w:tabs>
          <w:tab w:leader="none" w:pos="9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spacing w:after="0" w:line="4"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00" w:lineRule="exact"/>
        <w:rPr>
          <w:sz w:val="20"/>
          <w:szCs w:val="20"/>
          <w:color w:val="auto"/>
        </w:rPr>
      </w:pPr>
    </w:p>
    <w:p>
      <w:pPr>
        <w:spacing w:after="0" w:line="29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7.29%</w:t>
      </w:r>
    </w:p>
    <w:p>
      <w:pPr>
        <w:spacing w:after="0" w:line="252" w:lineRule="exact"/>
        <w:rPr>
          <w:sz w:val="20"/>
          <w:szCs w:val="20"/>
          <w:color w:val="auto"/>
        </w:rPr>
      </w:pPr>
    </w:p>
    <w:p>
      <w:pPr>
        <w:ind w:left="960" w:hanging="952"/>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890270</wp:posOffset>
            </wp:positionV>
            <wp:extent cx="686498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09"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G5509L101</w:t>
            </w:r>
          </w:p>
        </w:tc>
        <w:tc>
          <w:tcPr>
            <w:tcW w:w="304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8"/>
              </w:rPr>
              <w:t>Page 3 of 6 Pages</w:t>
            </w:r>
          </w:p>
        </w:tc>
      </w:tr>
      <w:tr>
        <w:trPr>
          <w:trHeight w:val="91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LivaNova PLC</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c>
          <w:tcPr>
            <w:tcW w:w="304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 Merchant Square, North Warf Road</w:t>
            </w:r>
          </w:p>
        </w:tc>
        <w:tc>
          <w:tcPr>
            <w:tcW w:w="304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London, United Kingdom W2 1AY</w:t>
            </w:r>
          </w:p>
        </w:tc>
        <w:tc>
          <w:tcPr>
            <w:tcW w:w="304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Paulson &amp; Co. Inc.</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1251 Avenue of the Americas, New York, NY 10020</w:t>
            </w:r>
          </w:p>
        </w:tc>
        <w:tc>
          <w:tcPr>
            <w:tcW w:w="3040" w:type="dxa"/>
            <w:vAlign w:val="bottom"/>
          </w:tcPr>
          <w:p>
            <w:pPr>
              <w:spacing w:after="0"/>
              <w:rPr>
                <w:sz w:val="24"/>
                <w:szCs w:val="24"/>
                <w:color w:val="auto"/>
              </w:rPr>
            </w:pP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Delaware corporation</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30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G5509L101</w:t>
            </w:r>
          </w:p>
        </w:tc>
        <w:tc>
          <w:tcPr>
            <w:tcW w:w="3040" w:type="dxa"/>
            <w:vAlign w:val="bottom"/>
          </w:tcPr>
          <w:p>
            <w:pPr>
              <w:spacing w:after="0"/>
              <w:rPr>
                <w:sz w:val="24"/>
                <w:szCs w:val="24"/>
                <w:color w:val="auto"/>
              </w:rPr>
            </w:pPr>
          </w:p>
        </w:tc>
      </w:tr>
      <w:tr>
        <w:trPr>
          <w:trHeight w:val="659"/>
        </w:trPr>
        <w:tc>
          <w:tcPr>
            <w:tcW w:w="1140" w:type="dxa"/>
            <w:vAlign w:val="bottom"/>
            <w:tcBorders>
              <w:bottom w:val="single" w:sz="8" w:color="808080"/>
            </w:tcBorders>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509"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G5509L101</w:t>
            </w:r>
          </w:p>
        </w:tc>
        <w:tc>
          <w:tcPr>
            <w:tcW w:w="8940" w:type="dxa"/>
            <w:vAlign w:val="bottom"/>
          </w:tcPr>
          <w:p>
            <w:pPr>
              <w:ind w:left="7620"/>
              <w:spacing w:after="0"/>
              <w:rPr>
                <w:sz w:val="20"/>
                <w:szCs w:val="20"/>
                <w:color w:val="auto"/>
              </w:rPr>
            </w:pPr>
            <w:r>
              <w:rPr>
                <w:rFonts w:ascii="Times New Roman" w:cs="Times New Roman" w:eastAsia="Times New Roman" w:hAnsi="Times New Roman"/>
                <w:sz w:val="18"/>
                <w:szCs w:val="18"/>
                <w:b w:val="1"/>
                <w:bCs w:val="1"/>
                <w:color w:val="auto"/>
                <w:w w:val="98"/>
              </w:rPr>
              <w:t>Page 4 of 6 Pages</w:t>
            </w:r>
          </w:p>
        </w:tc>
      </w:tr>
      <w:tr>
        <w:trPr>
          <w:trHeight w:val="70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tc>
      </w:tr>
      <w:tr>
        <w:trPr>
          <w:trHeight w:val="414"/>
        </w:trPr>
        <w:tc>
          <w:tcPr>
            <w:tcW w:w="102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Paulson &amp; Co. Inc. is an investment adviser registered under Section 203 of the Investment Advisers Act</w:t>
            </w:r>
          </w:p>
        </w:tc>
      </w:tr>
      <w:tr>
        <w:trPr>
          <w:trHeight w:val="234"/>
        </w:trPr>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1940.</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4(a).</w:t>
            </w:r>
          </w:p>
        </w:tc>
        <w:tc>
          <w:tcPr>
            <w:tcW w:w="9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Amount Beneficially Owned: 3,561,584 (see Note 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4(b).</w:t>
            </w:r>
          </w:p>
        </w:tc>
        <w:tc>
          <w:tcPr>
            <w:tcW w:w="9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Percent of Class: 7.29%</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4(c).</w:t>
            </w:r>
          </w:p>
        </w:tc>
        <w:tc>
          <w:tcPr>
            <w:tcW w:w="9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r>
      <w:tr>
        <w:trPr>
          <w:trHeight w:val="414"/>
        </w:trPr>
        <w:tc>
          <w:tcPr>
            <w:tcW w:w="102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vote or direct the vote: 3,561,584 (see Note 1)</w:t>
            </w:r>
          </w:p>
        </w:tc>
      </w:tr>
      <w:tr>
        <w:trPr>
          <w:trHeight w:val="216"/>
        </w:trPr>
        <w:tc>
          <w:tcPr>
            <w:tcW w:w="102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vote or to direct the vote: 0</w:t>
            </w:r>
          </w:p>
        </w:tc>
      </w:tr>
      <w:tr>
        <w:trPr>
          <w:trHeight w:val="216"/>
        </w:trPr>
        <w:tc>
          <w:tcPr>
            <w:tcW w:w="102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(iii)</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dispose or to direct the disposition of: 3,561,584 (see Note 1)</w:t>
            </w:r>
          </w:p>
        </w:tc>
      </w:tr>
      <w:tr>
        <w:trPr>
          <w:trHeight w:val="234"/>
        </w:trPr>
        <w:tc>
          <w:tcPr>
            <w:tcW w:w="102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(iv)</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0</w:t>
            </w: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Note 1: Paulson &amp; Co. Inc. (“Paulson”), an investment advisor that is registered under the Investment Advisors Act of 1940, and its affiliates furnish investment advice to and manage onshore and offshore investment funds and separate managed accounts (such investment funds and accounts, the “Funds”). In its role as investment advisor, or manager, Paulson possesses voting and/or investment power over the securities of the Issuer described in this schedule that are owned by the Funds. All securities reported in this schedule are owned by the Funds. Paulson disclaims beneficial ownership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537845</wp:posOffset>
            </wp:positionV>
            <wp:extent cx="68649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09"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G5509L101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5 of 6 Pages</w:t>
      </w:r>
    </w:p>
    <w:p>
      <w:pPr>
        <w:spacing w:after="0" w:line="1156" w:lineRule="exact"/>
        <w:rPr>
          <w:sz w:val="20"/>
          <w:szCs w:val="20"/>
          <w:color w:val="auto"/>
        </w:rPr>
      </w:pPr>
    </w:p>
    <w:p>
      <w:pPr>
        <w:sectPr>
          <w:pgSz w:w="11900" w:h="16838" w:orient="portrait"/>
          <w:cols w:equalWidth="0" w:num="3">
            <w:col w:w="900" w:space="100"/>
            <w:col w:w="7780" w:space="720"/>
            <w:col w:w="1320"/>
          </w:cols>
          <w:pgMar w:left="240" w:top="509" w:right="839" w:bottom="1440" w:gutter="0" w:footer="0" w:header="0"/>
        </w:sectPr>
      </w:pPr>
    </w:p>
    <w:p>
      <w:pPr>
        <w:spacing w:after="0" w:line="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20"/>
          </w:cols>
          <w:pgMar w:left="240" w:top="509" w:right="8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800" w:space="720"/>
            <w:col w:w="9300"/>
          </w:cols>
          <w:pgMar w:left="240" w:top="509" w:right="839" w:bottom="1440" w:gutter="0" w:footer="0" w:header="0"/>
          <w:type w:val="continuous"/>
        </w:sectPr>
      </w:pPr>
    </w:p>
    <w:p>
      <w:pPr>
        <w:spacing w:after="0" w:line="41" w:lineRule="exact"/>
        <w:rPr>
          <w:sz w:val="20"/>
          <w:szCs w:val="20"/>
          <w:color w:val="auto"/>
        </w:rPr>
      </w:pPr>
    </w:p>
    <w:p>
      <w:pPr>
        <w:ind w:left="1520" w:right="300"/>
        <w:spacing w:after="0" w:line="282" w:lineRule="auto"/>
        <w:rPr>
          <w:sz w:val="20"/>
          <w:szCs w:val="20"/>
          <w:color w:val="auto"/>
        </w:rPr>
      </w:pPr>
      <w:r>
        <w:rPr>
          <w:rFonts w:ascii="Times New Roman" w:cs="Times New Roman" w:eastAsia="Times New Roman" w:hAnsi="Times New Roman"/>
          <w:sz w:val="18"/>
          <w:szCs w:val="18"/>
          <w:color w:val="auto"/>
        </w:rPr>
        <w:t>All securities reported in this schedule are owned by Paulson’s advisory clients, none of which to Paulson’s knowledge owns more than 5% of the class. Paulson itself disclaims beneficial ownership of all such securities.</w:t>
      </w:r>
    </w:p>
    <w:p>
      <w:pPr>
        <w:sectPr>
          <w:pgSz w:w="11900" w:h="16838" w:orient="portrait"/>
          <w:cols w:equalWidth="0" w:num="1">
            <w:col w:w="10820"/>
          </w:cols>
          <w:pgMar w:left="240" w:top="509" w:right="8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ectPr>
          <w:pgSz w:w="11900" w:h="16838" w:orient="portrait"/>
          <w:cols w:equalWidth="0" w:num="2">
            <w:col w:w="800" w:space="720"/>
            <w:col w:w="9300"/>
          </w:cols>
          <w:pgMar w:left="240" w:top="509" w:right="8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20"/>
          </w:cols>
          <w:pgMar w:left="240" w:top="509" w:right="8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800" w:space="720"/>
            <w:col w:w="9300"/>
          </w:cols>
          <w:pgMar w:left="240" w:top="509" w:right="839" w:bottom="1440" w:gutter="0" w:footer="0" w:header="0"/>
          <w:type w:val="continuous"/>
        </w:sectPr>
      </w:pPr>
    </w:p>
    <w:p>
      <w:pPr>
        <w:spacing w:after="0" w:line="4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20"/>
          </w:cols>
          <w:pgMar w:left="240" w:top="509" w:right="8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800" w:space="720"/>
            <w:col w:w="9300"/>
          </w:cols>
          <w:pgMar w:left="240" w:top="509" w:right="839" w:bottom="1440" w:gutter="0" w:footer="0" w:header="0"/>
          <w:type w:val="continuous"/>
        </w:sectPr>
      </w:pPr>
    </w:p>
    <w:p>
      <w:pPr>
        <w:spacing w:after="0" w:line="4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20"/>
          </w:cols>
          <w:pgMar w:left="240" w:top="509" w:right="8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ectPr>
          <w:pgSz w:w="11900" w:h="16838" w:orient="portrait"/>
          <w:cols w:equalWidth="0" w:num="2">
            <w:col w:w="800" w:space="720"/>
            <w:col w:w="9300"/>
          </w:cols>
          <w:pgMar w:left="240" w:top="509" w:right="839" w:bottom="1440" w:gutter="0" w:footer="0" w:header="0"/>
          <w:type w:val="continuous"/>
        </w:sectPr>
      </w:pPr>
    </w:p>
    <w:p>
      <w:pPr>
        <w:spacing w:after="0" w:line="5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w:t>
      </w:r>
    </w:p>
    <w:p>
      <w:pPr>
        <w:sectPr>
          <w:pgSz w:w="11900" w:h="16838" w:orient="portrait"/>
          <w:cols w:equalWidth="0" w:num="1">
            <w:col w:w="10820"/>
          </w:cols>
          <w:pgMar w:left="240" w:top="509" w:right="839" w:bottom="1440" w:gutter="0" w:footer="0" w:header="0"/>
          <w:type w:val="continuous"/>
        </w:sectPr>
      </w:pPr>
    </w:p>
    <w:p>
      <w:pPr>
        <w:spacing w:after="0" w:line="27" w:lineRule="exact"/>
        <w:rPr>
          <w:sz w:val="20"/>
          <w:szCs w:val="20"/>
          <w:color w:val="auto"/>
        </w:rPr>
      </w:pPr>
    </w:p>
    <w:p>
      <w:pPr>
        <w:ind w:left="1520" w:right="180"/>
        <w:spacing w:after="0" w:line="255" w:lineRule="auto"/>
        <w:rPr>
          <w:sz w:val="20"/>
          <w:szCs w:val="20"/>
          <w:color w:val="auto"/>
        </w:rPr>
      </w:pPr>
      <w:r>
        <w:rPr>
          <w:rFonts w:ascii="Times New Roman" w:cs="Times New Roman" w:eastAsia="Times New Roman" w:hAnsi="Times New Roman"/>
          <w:sz w:val="18"/>
          <w:szCs w:val="18"/>
          <w:color w:val="auto"/>
        </w:rPr>
        <w:t>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8649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509" w:right="839" w:bottom="1440" w:gutter="0" w:footer="0" w:header="0"/>
          <w:type w:val="continuous"/>
        </w:sectPr>
      </w:pPr>
    </w:p>
    <w:bookmarkStart w:id="5" w:name="page6"/>
    <w:bookmarkEnd w:id="5"/>
    <w:p>
      <w:pPr>
        <w:spacing w:after="0"/>
        <w:tabs>
          <w:tab w:leader="none" w:pos="9480" w:val="left"/>
        </w:tabs>
        <w:rPr>
          <w:sz w:val="20"/>
          <w:szCs w:val="20"/>
          <w:color w:val="auto"/>
        </w:rPr>
      </w:pPr>
      <w:r>
        <w:rPr>
          <w:rFonts w:ascii="Times New Roman" w:cs="Times New Roman" w:eastAsia="Times New Roman" w:hAnsi="Times New Roman"/>
          <w:sz w:val="18"/>
          <w:szCs w:val="18"/>
          <w:b w:val="1"/>
          <w:bCs w:val="1"/>
          <w:color w:val="auto"/>
        </w:rPr>
        <w:t>CUSIP NO. G5509L101</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2016</w:t>
            </w:r>
          </w:p>
        </w:tc>
        <w:tc>
          <w:tcPr>
            <w:tcW w:w="492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PAULSON &amp; CO. INC.</w:t>
            </w:r>
          </w:p>
        </w:tc>
      </w:tr>
      <w:tr>
        <w:trPr>
          <w:trHeight w:val="392"/>
        </w:trPr>
        <w:tc>
          <w:tcPr>
            <w:tcW w:w="3400" w:type="dxa"/>
            <w:vAlign w:val="bottom"/>
          </w:tcPr>
          <w:p>
            <w:pPr>
              <w:spacing w:after="0"/>
              <w:rPr>
                <w:sz w:val="24"/>
                <w:szCs w:val="24"/>
                <w:color w:val="auto"/>
              </w:rPr>
            </w:pPr>
          </w:p>
        </w:tc>
        <w:tc>
          <w:tcPr>
            <w:tcW w:w="23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Stuart L. Merzer</w:t>
            </w:r>
          </w:p>
        </w:tc>
      </w:tr>
      <w:tr>
        <w:trPr>
          <w:trHeight w:val="20"/>
        </w:trPr>
        <w:tc>
          <w:tcPr>
            <w:tcW w:w="3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8"/>
        </w:trPr>
        <w:tc>
          <w:tcPr>
            <w:tcW w:w="3400" w:type="dxa"/>
            <w:vAlign w:val="bottom"/>
          </w:tcPr>
          <w:p>
            <w:pPr>
              <w:spacing w:after="0"/>
              <w:rPr>
                <w:sz w:val="18"/>
                <w:szCs w:val="18"/>
                <w:color w:val="auto"/>
              </w:rPr>
            </w:pPr>
          </w:p>
        </w:tc>
        <w:tc>
          <w:tcPr>
            <w:tcW w:w="492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Stuart L. Merzer</w:t>
            </w:r>
          </w:p>
        </w:tc>
      </w:tr>
      <w:tr>
        <w:trPr>
          <w:trHeight w:val="234"/>
        </w:trPr>
        <w:tc>
          <w:tcPr>
            <w:tcW w:w="3400" w:type="dxa"/>
            <w:vAlign w:val="bottom"/>
          </w:tcPr>
          <w:p>
            <w:pPr>
              <w:spacing w:after="0"/>
              <w:rPr>
                <w:sz w:val="20"/>
                <w:szCs w:val="20"/>
                <w:color w:val="auto"/>
              </w:rPr>
            </w:pPr>
          </w:p>
        </w:tc>
        <w:tc>
          <w:tcPr>
            <w:tcW w:w="492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w w:val="99"/>
              </w:rPr>
              <w:t>General Counsel &amp; Chief Compliance Officer</w:t>
            </w:r>
          </w:p>
        </w:tc>
      </w:tr>
    </w:tbl>
    <w:p>
      <w:pPr>
        <w:spacing w:after="0" w:line="1" w:lineRule="exact"/>
        <w:rPr>
          <w:sz w:val="20"/>
          <w:szCs w:val="20"/>
          <w:color w:val="auto"/>
        </w:rPr>
      </w:pPr>
    </w:p>
    <w:sectPr>
      <w:pgSz w:w="11900" w:h="16838" w:orient="portrait"/>
      <w:cols w:equalWidth="0" w:num="1">
        <w:col w:w="10820"/>
      </w:cols>
      <w:pgMar w:left="240" w:top="509"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2019-12-16T16:30:32Z</dcterms:created>
  <dcterms:modified xsi:type="dcterms:W3CDTF">2019-12-16T16:30:32Z</dcterms:modified>
</cp:coreProperties>
</file>