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621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Bianchi Francesco</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08/05/2016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tcPr>
          <w:p>
            <w:pPr>
              <w:spacing w:after="0"/>
              <w:rPr>
                <w:sz w:val="20"/>
                <w:szCs w:val="20"/>
                <w:color w:val="auto"/>
              </w:rPr>
            </w:pPr>
            <w:r>
              <w:rPr>
                <w:rFonts w:ascii="Arial" w:cs="Arial" w:eastAsia="Arial" w:hAnsi="Arial"/>
                <w:sz w:val="18"/>
                <w:szCs w:val="18"/>
                <w:color w:val="0000FF"/>
                <w:w w:val="90"/>
              </w:rPr>
              <w:t>X0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9"/>
          </w:tcPr>
          <w:p>
            <w:pPr>
              <w:ind w:left="6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5"/>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9"/>
          </w:tcPr>
          <w:p>
            <w:pPr>
              <w:ind w:left="8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3"/>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1"/>
                <w:szCs w:val="21"/>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4"/>
                <w:szCs w:val="14"/>
                <w:color w:val="0000FF"/>
              </w:rPr>
              <w:t>08/05/2016</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color w:val="0000FF"/>
              </w:rPr>
              <w:t>A</w:t>
            </w:r>
          </w:p>
        </w:tc>
        <w:tc>
          <w:tcPr>
            <w:tcW w:w="600" w:type="dxa"/>
            <w:vAlign w:val="bottom"/>
          </w:tcPr>
          <w:p>
            <w:pPr>
              <w:ind w:left="200"/>
              <w:spacing w:after="0"/>
              <w:rPr>
                <w:sz w:val="20"/>
                <w:szCs w:val="20"/>
                <w:color w:val="auto"/>
              </w:rPr>
            </w:pPr>
            <w:r>
              <w:rPr>
                <w:rFonts w:ascii="Arial" w:cs="Arial" w:eastAsia="Arial" w:hAnsi="Arial"/>
                <w:sz w:val="14"/>
                <w:szCs w:val="14"/>
                <w:color w:val="0000FF"/>
              </w:rPr>
              <w:t>3,327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tcPr>
          <w:p>
            <w:pPr>
              <w:jc w:val="right"/>
              <w:ind w:right="28"/>
              <w:spacing w:after="0"/>
              <w:rPr>
                <w:sz w:val="20"/>
                <w:szCs w:val="20"/>
                <w:color w:val="auto"/>
              </w:rPr>
            </w:pPr>
            <w:r>
              <w:rPr>
                <w:rFonts w:ascii="Arial" w:cs="Arial" w:eastAsia="Arial" w:hAnsi="Arial"/>
                <w:sz w:val="18"/>
                <w:szCs w:val="18"/>
                <w:color w:val="0000FF"/>
                <w:w w:val="93"/>
              </w:rPr>
              <w:t>3,327</w:t>
            </w:r>
          </w:p>
        </w:tc>
        <w:tc>
          <w:tcPr>
            <w:tcW w:w="40" w:type="dxa"/>
            <w:vAlign w:val="bottom"/>
          </w:tcPr>
          <w:p>
            <w:pPr>
              <w:spacing w:after="0"/>
              <w:rPr>
                <w:sz w:val="21"/>
                <w:szCs w:val="21"/>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rPr>
                <w:sz w:val="20"/>
                <w:szCs w:val="20"/>
                <w:color w:val="auto"/>
              </w:rPr>
            </w:pPr>
            <w:r>
              <w:rPr>
                <w:rFonts w:ascii="Arial" w:cs="Arial" w:eastAsia="Arial" w:hAnsi="Arial"/>
                <w:sz w:val="14"/>
                <w:szCs w:val="14"/>
                <w:color w:val="0000FF"/>
                <w:w w:val="96"/>
              </w:rPr>
              <w:t>3,327</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w w:val="96"/>
              </w:rPr>
              <w:t>stock units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August 5, 2017. The RSUs are subject to forfeiture prior to vesting in accordance with the terms of the LivaNova PLC 2015 Incentive Award Plan.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0000FF"/>
                <w:w w:val="89"/>
              </w:rPr>
              <w:t>/s/ Taylor Pollock as POA</w:t>
            </w: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08/09/2016</w:t>
            </w: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2019-12-09T01:56:31Z</dcterms:created>
  <dcterms:modified xsi:type="dcterms:W3CDTF">2019-12-09T01:56:31Z</dcterms:modified>
</cp:coreProperties>
</file>