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419100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419"/>
        <w:spacing w:after="0"/>
        <w:rPr>
          <w:sz w:val="20"/>
          <w:szCs w:val="20"/>
          <w:color w:val="auto"/>
        </w:rPr>
      </w:pPr>
      <w:r>
        <w:rPr>
          <w:rFonts w:ascii="Arial" w:cs="Arial" w:eastAsia="Arial" w:hAnsi="Arial"/>
          <w:sz w:val="21"/>
          <w:szCs w:val="21"/>
          <w:b w:val="1"/>
          <w:bCs w:val="1"/>
          <w:color w:val="auto"/>
        </w:rPr>
        <w:t>SECURITIES AND EXCHANGE COMMISSION</w:t>
      </w:r>
    </w:p>
    <w:p>
      <w:pPr>
        <w:spacing w:after="0" w:line="15"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FORM SD</w:t>
      </w:r>
    </w:p>
    <w:p>
      <w:pPr>
        <w:spacing w:after="0" w:line="28"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270510</wp:posOffset>
            </wp:positionV>
            <wp:extent cx="2400935"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0093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4880"/>
        <w:spacing w:after="0"/>
        <w:rPr>
          <w:sz w:val="20"/>
          <w:szCs w:val="20"/>
          <w:color w:val="auto"/>
        </w:rPr>
      </w:pPr>
      <w:r>
        <w:rPr>
          <w:rFonts w:ascii="Arial" w:cs="Arial" w:eastAsia="Arial" w:hAnsi="Arial"/>
          <w:sz w:val="29"/>
          <w:szCs w:val="29"/>
          <w:b w:val="1"/>
          <w:bCs w:val="1"/>
          <w:color w:val="auto"/>
        </w:rPr>
        <w:t>LivaNova PLC</w:t>
      </w:r>
    </w:p>
    <w:p>
      <w:pPr>
        <w:sectPr>
          <w:pgSz w:w="11900" w:h="16838" w:orient="portrait"/>
          <w:cols w:equalWidth="0" w:num="1">
            <w:col w:w="10960"/>
          </w:cols>
          <w:pgMar w:left="240" w:top="1382" w:right="6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920"/>
        <w:spacing w:after="0"/>
        <w:rPr>
          <w:sz w:val="20"/>
          <w:szCs w:val="20"/>
          <w:color w:val="auto"/>
        </w:rPr>
      </w:pPr>
      <w:r>
        <w:rPr>
          <w:rFonts w:ascii="Arial" w:cs="Arial" w:eastAsia="Arial" w:hAnsi="Arial"/>
          <w:sz w:val="19"/>
          <w:szCs w:val="19"/>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2140"/>
        <w:spacing w:after="0"/>
        <w:rPr>
          <w:sz w:val="20"/>
          <w:szCs w:val="20"/>
          <w:color w:val="auto"/>
        </w:rPr>
      </w:pPr>
      <w:r>
        <w:rPr>
          <w:rFonts w:ascii="Arial" w:cs="Arial" w:eastAsia="Arial" w:hAnsi="Arial"/>
          <w:sz w:val="19"/>
          <w:szCs w:val="19"/>
          <w:b w:val="1"/>
          <w:bCs w:val="1"/>
          <w:color w:val="auto"/>
        </w:rPr>
        <w:t>001-37599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98-1268150</w:t>
      </w:r>
    </w:p>
    <w:p>
      <w:pPr>
        <w:spacing w:after="0" w:line="62" w:lineRule="exact"/>
        <w:rPr>
          <w:sz w:val="24"/>
          <w:szCs w:val="24"/>
          <w:color w:val="auto"/>
        </w:rPr>
      </w:pPr>
    </w:p>
    <w:p>
      <w:pPr>
        <w:sectPr>
          <w:pgSz w:w="11900" w:h="16838" w:orient="portrait"/>
          <w:cols w:equalWidth="0" w:num="3">
            <w:col w:w="4600" w:space="720"/>
            <w:col w:w="3060" w:space="720"/>
            <w:col w:w="1860"/>
          </w:cols>
          <w:pgMar w:left="240" w:top="1382" w:right="69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1" w:lineRule="exact"/>
        <w:rPr>
          <w:sz w:val="24"/>
          <w:szCs w:val="24"/>
          <w:color w:val="auto"/>
        </w:rPr>
      </w:pPr>
    </w:p>
    <w:p>
      <w:pPr>
        <w:sectPr>
          <w:pgSz w:w="11900" w:h="16838" w:orient="portrait"/>
          <w:cols w:equalWidth="0" w:num="3">
            <w:col w:w="4060" w:space="720"/>
            <w:col w:w="2840" w:space="720"/>
            <w:col w:w="2620"/>
          </w:cols>
          <w:pgMar w:left="240" w:top="1382" w:right="699" w:bottom="1440" w:gutter="0" w:footer="0" w:header="0"/>
          <w:type w:val="continuous"/>
        </w:sectPr>
      </w:pPr>
    </w:p>
    <w:p>
      <w:pPr>
        <w:ind w:left="760"/>
        <w:spacing w:after="0"/>
        <w:rPr>
          <w:sz w:val="20"/>
          <w:szCs w:val="20"/>
          <w:color w:val="auto"/>
        </w:rPr>
      </w:pPr>
      <w:r>
        <w:rPr>
          <w:rFonts w:ascii="Arial" w:cs="Arial" w:eastAsia="Arial" w:hAnsi="Arial"/>
          <w:sz w:val="18"/>
          <w:szCs w:val="18"/>
          <w:color w:val="auto"/>
        </w:rPr>
        <w:t>incorporation or organization)</w:t>
      </w:r>
    </w:p>
    <w:p>
      <w:pPr>
        <w:spacing w:after="0" w:line="238"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20 Eastbourne Terrace</w:t>
      </w:r>
    </w:p>
    <w:p>
      <w:pPr>
        <w:jc w:val="center"/>
        <w:ind w:right="-459"/>
        <w:spacing w:after="0" w:line="218" w:lineRule="auto"/>
        <w:rPr>
          <w:sz w:val="20"/>
          <w:szCs w:val="20"/>
          <w:color w:val="auto"/>
        </w:rPr>
      </w:pPr>
      <w:r>
        <w:rPr>
          <w:rFonts w:ascii="Arial" w:cs="Arial" w:eastAsia="Arial" w:hAnsi="Arial"/>
          <w:sz w:val="22"/>
          <w:szCs w:val="22"/>
          <w:b w:val="1"/>
          <w:bCs w:val="1"/>
          <w:color w:val="auto"/>
        </w:rPr>
        <w:t>London, United Kingdom</w:t>
      </w:r>
    </w:p>
    <w:p>
      <w:pPr>
        <w:jc w:val="center"/>
        <w:ind w:right="-459"/>
        <w:spacing w:after="0" w:line="210" w:lineRule="auto"/>
        <w:rPr>
          <w:sz w:val="20"/>
          <w:szCs w:val="20"/>
          <w:color w:val="auto"/>
        </w:rPr>
      </w:pPr>
      <w:r>
        <w:rPr>
          <w:rFonts w:ascii="Arial" w:cs="Arial" w:eastAsia="Arial" w:hAnsi="Arial"/>
          <w:sz w:val="22"/>
          <w:szCs w:val="22"/>
          <w:b w:val="1"/>
          <w:bCs w:val="1"/>
          <w:color w:val="auto"/>
        </w:rPr>
        <w:t>W2 6LG</w:t>
      </w:r>
    </w:p>
    <w:p>
      <w:pPr>
        <w:ind w:left="382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0960"/>
          </w:cols>
          <w:pgMar w:left="240" w:top="1382" w:right="69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Catherine Moroz</w:t>
      </w:r>
    </w:p>
    <w:p>
      <w:pPr>
        <w:spacing w:after="0" w:line="28"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Company Secretary</w:t>
      </w:r>
    </w:p>
    <w:p>
      <w:pPr>
        <w:spacing w:after="0" w:line="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+44 (0)203 786 5277</w:t>
      </w:r>
    </w:p>
    <w:p>
      <w:pPr>
        <w:spacing w:after="0" w:line="195" w:lineRule="exact"/>
        <w:rPr>
          <w:sz w:val="24"/>
          <w:szCs w:val="24"/>
          <w:color w:val="auto"/>
        </w:rPr>
      </w:pPr>
    </w:p>
    <w:p>
      <w:pPr>
        <w:ind w:left="1900"/>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347" w:lineRule="exact"/>
        <w:rPr>
          <w:sz w:val="24"/>
          <w:szCs w:val="24"/>
          <w:color w:val="auto"/>
        </w:rPr>
      </w:pPr>
    </w:p>
    <w:p>
      <w:pPr>
        <w:ind w:right="4600"/>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3"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Rule 13p-1 under the Securities Exchange Act (17 CFR 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60"/>
          </w:cols>
          <w:pgMar w:left="240" w:top="1382" w:right="6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INFORMATION TO BE INCLUDED IN THE REPORT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1—Conflict Minerals Disclosure</w:t>
      </w:r>
    </w:p>
    <w:p>
      <w:pPr>
        <w:spacing w:after="0" w:line="200" w:lineRule="exact"/>
        <w:rPr>
          <w:sz w:val="20"/>
          <w:szCs w:val="20"/>
          <w:color w:val="auto"/>
        </w:rPr>
      </w:pPr>
    </w:p>
    <w:p>
      <w:pPr>
        <w:spacing w:after="0" w:line="38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Conflict Minerals Disclosure and Report</w:t>
      </w:r>
    </w:p>
    <w:p>
      <w:pPr>
        <w:spacing w:after="0" w:line="200" w:lineRule="exact"/>
        <w:rPr>
          <w:sz w:val="20"/>
          <w:szCs w:val="20"/>
          <w:color w:val="auto"/>
        </w:rPr>
      </w:pPr>
    </w:p>
    <w:p>
      <w:pPr>
        <w:spacing w:after="0" w:line="323"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LivaNova PLC, a public limited company incorporated under the laws of England and Wales (“LivaNova”) was formed for the purpose of facilitating the business combination of Cyberonics, Inc., a Delaware corporation (“Cyberonics”), and Sorin S.p.A., a joint stock company organized under the laws of Italy (“Sorin”). Cyberonics was considered the accounting acquirer and LivaNova PLC (“LivaNova”, “registrant”, “we”, “us”, or “our”) became the successor organization to Cyberonics. This report combines the reporting requirements for legacy Cyberonics and now also includes reporting requirements for those products previously manufactured and distributed by legacy Sorin S.p.A. LivaNova is filing this Specialized Disclosure report on Form SD (this “Form SD”) for LivaNova’s Neuromodulation, Cardiac Rhythm Management, and Cardiac Surgery supply chain operations for the year ended December 31, 2017. This Form SD is presented in compliance with Rule 13p-1 under the Securities Exchange Act of 1934, as amended, for the reporting period from January 1, 2017 to December 31, 2017.</w:t>
      </w:r>
    </w:p>
    <w:p>
      <w:pPr>
        <w:spacing w:after="0" w:line="11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21"/>
          <w:szCs w:val="21"/>
          <w:color w:val="auto"/>
        </w:rPr>
        <w:t xml:space="preserve">A copy of our Conflict Minerals Report is filed as a part of this Form SD. In accordance with Rule 12b-12 (17 CFR 240.12b-12), a copy of this Form SD may be found on our website at </w:t>
      </w:r>
      <w:r>
        <w:rPr>
          <w:rFonts w:ascii="Arial" w:cs="Arial" w:eastAsia="Arial" w:hAnsi="Arial"/>
          <w:sz w:val="21"/>
          <w:szCs w:val="21"/>
          <w:u w:val="single" w:color="auto"/>
          <w:color w:val="auto"/>
        </w:rPr>
        <w:t>http://www.livanova.com/investor-relations/sec-filings</w:t>
      </w:r>
      <w:r>
        <w:rPr>
          <w:rFonts w:ascii="Arial" w:cs="Arial" w:eastAsia="Arial" w:hAnsi="Arial"/>
          <w:sz w:val="21"/>
          <w:szCs w:val="21"/>
          <w:color w:val="auto"/>
        </w:rPr>
        <w:t>.</w:t>
      </w:r>
    </w:p>
    <w:p>
      <w:pPr>
        <w:spacing w:after="0" w:line="171"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1.02</w:t>
      </w:r>
      <w:r>
        <w:rPr>
          <w:sz w:val="20"/>
          <w:szCs w:val="20"/>
          <w:color w:val="auto"/>
        </w:rPr>
        <w:tab/>
      </w:r>
      <w:r>
        <w:rPr>
          <w:rFonts w:ascii="Arial" w:cs="Arial" w:eastAsia="Arial" w:hAnsi="Arial"/>
          <w:sz w:val="19"/>
          <w:szCs w:val="19"/>
          <w:b w:val="1"/>
          <w:bCs w:val="1"/>
          <w:color w:val="auto"/>
        </w:rPr>
        <w:t>Exhibits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LivaNova has filed, as an exhibit to this Form SD, the Conflict Minerals Report required by Item 1.01.</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2—Exhibits</w:t>
      </w:r>
    </w:p>
    <w:p>
      <w:pPr>
        <w:spacing w:after="0" w:line="200" w:lineRule="exact"/>
        <w:rPr>
          <w:sz w:val="20"/>
          <w:szCs w:val="20"/>
          <w:color w:val="auto"/>
        </w:rPr>
      </w:pPr>
    </w:p>
    <w:p>
      <w:pPr>
        <w:spacing w:after="0" w:line="38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2.01</w:t>
      </w:r>
      <w:r>
        <w:rPr>
          <w:sz w:val="20"/>
          <w:szCs w:val="20"/>
          <w:color w:val="auto"/>
        </w:rPr>
        <w:tab/>
      </w:r>
      <w:r>
        <w:rPr>
          <w:rFonts w:ascii="Arial" w:cs="Arial" w:eastAsia="Arial" w:hAnsi="Arial"/>
          <w:sz w:val="19"/>
          <w:szCs w:val="19"/>
          <w:b w:val="1"/>
          <w:bCs w:val="1"/>
          <w:color w:val="auto"/>
        </w:rPr>
        <w:t>Exhibits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 is filed as part of this report.</w:t>
      </w:r>
    </w:p>
    <w:p>
      <w:pPr>
        <w:spacing w:after="0" w:line="233"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u w:val="single" w:color="auto"/>
          <w:color w:val="auto"/>
        </w:rPr>
        <w:t>Exhibit</w:t>
      </w:r>
      <w:r>
        <w:rPr>
          <w:sz w:val="20"/>
          <w:szCs w:val="20"/>
          <w:color w:val="auto"/>
        </w:rPr>
        <w:tab/>
      </w:r>
      <w:r>
        <w:rPr>
          <w:rFonts w:ascii="Arial" w:cs="Arial" w:eastAsia="Arial" w:hAnsi="Arial"/>
          <w:sz w:val="22"/>
          <w:szCs w:val="22"/>
          <w:u w:val="single" w:color="auto"/>
          <w:color w:val="auto"/>
        </w:rPr>
        <w:t>Description</w:t>
      </w:r>
    </w:p>
    <w:p>
      <w:pPr>
        <w:spacing w:after="0" w:line="341"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Conflict Minerals Report as required by Items 1.01 and 1.02 of this Form.</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82"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18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2"/>
          <w:szCs w:val="22"/>
          <w:color w:val="auto"/>
        </w:rPr>
        <w:t>Date: May 31, 2018</w:t>
      </w:r>
      <w:r>
        <w:rPr>
          <w:sz w:val="20"/>
          <w:szCs w:val="20"/>
          <w:color w:val="auto"/>
        </w:rPr>
        <w:tab/>
      </w:r>
      <w:r>
        <w:rPr>
          <w:rFonts w:ascii="Arial" w:cs="Arial" w:eastAsia="Arial" w:hAnsi="Arial"/>
          <w:sz w:val="19"/>
          <w:szCs w:val="19"/>
          <w:color w:val="auto"/>
        </w:rPr>
        <w:t>By:</w:t>
      </w:r>
      <w:r>
        <w:rPr>
          <w:rFonts w:ascii="Arial" w:cs="Arial" w:eastAsia="Arial" w:hAnsi="Arial"/>
          <w:sz w:val="19"/>
          <w:szCs w:val="19"/>
          <w:u w:val="single" w:color="auto"/>
          <w:color w:val="auto"/>
        </w:rPr>
        <w:t>/s/ Catherine Moroz</w:t>
      </w:r>
    </w:p>
    <w:p>
      <w:pPr>
        <w:spacing w:after="0" w:line="4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Name: Catherine Moroz</w:t>
      </w:r>
    </w:p>
    <w:p>
      <w:pPr>
        <w:spacing w:after="0" w:line="4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85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PLC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83" w:lineRule="exact"/>
        <w:rPr>
          <w:sz w:val="20"/>
          <w:szCs w:val="20"/>
          <w:color w:val="auto"/>
        </w:rPr>
      </w:pPr>
    </w:p>
    <w:p>
      <w:pPr>
        <w:ind w:right="60" w:firstLine="648"/>
        <w:spacing w:after="0" w:line="285" w:lineRule="auto"/>
        <w:rPr>
          <w:sz w:val="20"/>
          <w:szCs w:val="20"/>
          <w:color w:val="auto"/>
        </w:rPr>
      </w:pPr>
      <w:r>
        <w:rPr>
          <w:rFonts w:ascii="Arial" w:cs="Arial" w:eastAsia="Arial" w:hAnsi="Arial"/>
          <w:sz w:val="18"/>
          <w:szCs w:val="18"/>
          <w:color w:val="auto"/>
        </w:rPr>
        <w:t>This Conflict Minerals Report of LivaNova PLC (this “Report”) has been prepared for the reporting period from January 1, 2017 to December 31, 2017 pursuant to Rule 13p-1 under the Securities Exchange Act of 1934 (the “Rule”). The Rule was adopted by the Securities and Exchange Commission (“SEC”) to implement disclosure and reporting requirements pursuant to Section 1502 of the Dodd-Frank Wall Street Reform and Consumer Protection Act (the “Act”). The Act defines conflict minerals as cassiterite (tin), columbite-tanlite (tantalum), gold, wolframite (tungsten), (together, “3TG”) or their derivatives (“Conflict Minerals”). The “Covered Countries” for the purposes of the Rule are the Democratic Republic of the Congo, the Republic of the Congo, the Central African Republic, South Sudan, Uganda, Rwanda, Burundi, Tanzania, Zambia and Angola. The Rule imposes certain reporting requirements on SEC registrants who manufacture or contract to manufacture products that include Conflict Minerals, if such Conflict Minerals are necessary to the functionality or production of the products.</w:t>
      </w:r>
    </w:p>
    <w:p>
      <w:pPr>
        <w:spacing w:after="0" w:line="150"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Company Overview</w:t>
      </w:r>
    </w:p>
    <w:p>
      <w:pPr>
        <w:spacing w:after="0" w:line="40" w:lineRule="exact"/>
        <w:rPr>
          <w:sz w:val="20"/>
          <w:szCs w:val="20"/>
          <w:color w:val="auto"/>
        </w:rPr>
      </w:pPr>
    </w:p>
    <w:p>
      <w:pPr>
        <w:ind w:right="560" w:firstLine="648"/>
        <w:spacing w:after="0" w:line="309" w:lineRule="auto"/>
        <w:rPr>
          <w:sz w:val="20"/>
          <w:szCs w:val="20"/>
          <w:color w:val="auto"/>
        </w:rPr>
      </w:pPr>
      <w:r>
        <w:rPr>
          <w:rFonts w:ascii="Arial" w:cs="Arial" w:eastAsia="Arial" w:hAnsi="Arial"/>
          <w:sz w:val="18"/>
          <w:szCs w:val="18"/>
          <w:color w:val="auto"/>
        </w:rPr>
        <w:t>This Report has been prepared by the management of LivaNova PLC (“LivaNova,” “we,” “us,” “registrant,” or “our”). It does not include the activities of variable interest entities that are not required to be consolidated.</w:t>
      </w:r>
    </w:p>
    <w:p>
      <w:pPr>
        <w:spacing w:after="0" w:line="129"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As described in Item 1.01 of the Form SD, LivaNova PLC, a public limited company incorporated under the laws of England and Wales (“LivaNova”) was formed for the purpose of facilitating the business combination of Cyberonics, Inc., a Delaware corporation (“Cyberonics”), and Sorin S.p.A., a joint stock company organized under the laws of Italy (“Sorin”). Cyberonics was considered the accounting acquirer and LivaNova PLC (“LivaNova”, “registrant”, “we”, “us”, or “our”) became the successor organization to Cyberonics. This report combines the reporting requirements for legacy Cyberonics and legacy Sorin S.p.A. This Conflict Minerals Report, reports the results for LivaNova Neuromodulation, Cardiac Rhythm Management, and Cardiac Surgery supply chain operations for the year ended December 31, 2017.</w:t>
      </w:r>
    </w:p>
    <w:p>
      <w:pPr>
        <w:spacing w:after="0" w:line="149" w:lineRule="exact"/>
        <w:rPr>
          <w:sz w:val="20"/>
          <w:szCs w:val="20"/>
          <w:color w:val="auto"/>
        </w:rPr>
      </w:pPr>
    </w:p>
    <w:p>
      <w:pPr>
        <w:ind w:right="40" w:firstLine="648"/>
        <w:spacing w:after="0" w:line="377" w:lineRule="auto"/>
        <w:rPr>
          <w:sz w:val="20"/>
          <w:szCs w:val="20"/>
          <w:color w:val="auto"/>
        </w:rPr>
      </w:pPr>
      <w:r>
        <w:rPr>
          <w:rFonts w:ascii="Arial" w:cs="Arial" w:eastAsia="Arial" w:hAnsi="Arial"/>
          <w:sz w:val="16"/>
          <w:szCs w:val="16"/>
          <w:color w:val="auto"/>
        </w:rPr>
        <w:t>At LivaNova, we understand the importance of bringing both clinical and economic value to our customers. We are a strong, market-leading medical technology and services company, offering a diverse product portfolio and global reach. In fiscal year 2017, LivaNova operated as three business franchises:</w:t>
      </w:r>
    </w:p>
    <w:p>
      <w:pPr>
        <w:spacing w:after="0" w:line="80" w:lineRule="exact"/>
        <w:rPr>
          <w:sz w:val="20"/>
          <w:szCs w:val="20"/>
          <w:color w:val="auto"/>
        </w:rPr>
      </w:pPr>
    </w:p>
    <w:p>
      <w:pPr>
        <w:ind w:left="660" w:right="40" w:hanging="328"/>
        <w:spacing w:after="0" w:line="2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Cardiac Surgery: </w:t>
      </w:r>
      <w:r>
        <w:rPr>
          <w:rFonts w:ascii="Arial" w:cs="Arial" w:eastAsia="Arial" w:hAnsi="Arial"/>
          <w:sz w:val="18"/>
          <w:szCs w:val="18"/>
          <w:color w:val="auto"/>
        </w:rPr>
        <w:t>Our Cardiac Surgery Business Franchise is engaged in the development, production and sale of cardiac surgery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oxygenators, heart-lung machines, perfusion tubing systems, cannulae and other accessories used for extracorporeal circulation, systems for autologous blood transfusion and blood washing, as well as a complete line of surgical tissue and mechanical heart valve replacements and repair products.</w:t>
      </w:r>
    </w:p>
    <w:p>
      <w:pPr>
        <w:spacing w:after="0" w:line="140" w:lineRule="exact"/>
        <w:rPr>
          <w:rFonts w:ascii="Arial" w:cs="Arial" w:eastAsia="Arial" w:hAnsi="Arial"/>
          <w:sz w:val="18"/>
          <w:szCs w:val="18"/>
          <w:color w:val="auto"/>
        </w:rPr>
      </w:pPr>
    </w:p>
    <w:p>
      <w:pPr>
        <w:ind w:left="660" w:right="580" w:hanging="328"/>
        <w:spacing w:after="0" w:line="313"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Neuromodulation: </w:t>
      </w:r>
      <w:r>
        <w:rPr>
          <w:rFonts w:ascii="Arial" w:cs="Arial" w:eastAsia="Arial" w:hAnsi="Arial"/>
          <w:sz w:val="18"/>
          <w:szCs w:val="18"/>
          <w:color w:val="auto"/>
        </w:rPr>
        <w:t>Our Neuromodulation Business Franchise designs, develops and markets neuromodulation-based medical devices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epilepsy and depression.</w:t>
      </w:r>
    </w:p>
    <w:p>
      <w:pPr>
        <w:spacing w:after="0" w:line="125" w:lineRule="exact"/>
        <w:rPr>
          <w:rFonts w:ascii="Arial" w:cs="Arial" w:eastAsia="Arial" w:hAnsi="Arial"/>
          <w:sz w:val="18"/>
          <w:szCs w:val="18"/>
          <w:b w:val="1"/>
          <w:bCs w:val="1"/>
          <w:color w:val="auto"/>
        </w:rPr>
      </w:pPr>
    </w:p>
    <w:p>
      <w:pPr>
        <w:jc w:val="both"/>
        <w:ind w:left="660" w:right="120"/>
        <w:spacing w:after="0" w:line="312" w:lineRule="auto"/>
        <w:rPr>
          <w:rFonts w:ascii="Arial" w:cs="Arial" w:eastAsia="Arial" w:hAnsi="Arial"/>
          <w:sz w:val="18"/>
          <w:szCs w:val="18"/>
          <w:b w:val="1"/>
          <w:bCs w:val="1"/>
          <w:color w:val="auto"/>
        </w:rPr>
      </w:pPr>
      <w:r>
        <w:rPr>
          <w:rFonts w:ascii="Arial" w:cs="Arial" w:eastAsia="Arial" w:hAnsi="Arial"/>
          <w:sz w:val="17"/>
          <w:szCs w:val="17"/>
          <w:color w:val="auto"/>
        </w:rPr>
        <w:t>Our seminal neuromodulation product, the VNS Therapy® System, is an implantable device authorized for the treatment of drug-resistant epilepsy and treatment-resistant depression (“TRD”). The VNS Therapy System consists of an implantable pulse generator and connective lead that work to stimulate the vagus nerve; surgical equipment to assist with the implant procedure; equipment and instruction manuals enabling a treating physician to set parameters for a patient’s pulse generator; and for epilepsy, magnets to manually</w:t>
      </w:r>
    </w:p>
    <w:p>
      <w:pPr>
        <w:sectPr>
          <w:pgSz w:w="11900" w:h="16838" w:orient="portrait"/>
          <w:cols w:equalWidth="0" w:num="1">
            <w:col w:w="11420"/>
          </w:cols>
          <w:pgMar w:left="240" w:top="378" w:right="239" w:bottom="1440" w:gutter="0" w:footer="0" w:header="0"/>
        </w:sectPr>
      </w:pPr>
    </w:p>
    <w:bookmarkStart w:id="4" w:name="page5"/>
    <w:bookmarkEnd w:id="4"/>
    <w:p>
      <w:pPr>
        <w:jc w:val="both"/>
        <w:ind w:left="660" w:right="120"/>
        <w:spacing w:after="0" w:line="347" w:lineRule="auto"/>
        <w:rPr>
          <w:sz w:val="20"/>
          <w:szCs w:val="20"/>
          <w:color w:val="auto"/>
        </w:rPr>
      </w:pPr>
      <w:r>
        <w:rPr>
          <w:rFonts w:ascii="Arial" w:cs="Arial" w:eastAsia="Arial" w:hAnsi="Arial"/>
          <w:sz w:val="16"/>
          <w:szCs w:val="16"/>
          <w:color w:val="auto"/>
        </w:rPr>
        <w:t>suspend or induce nerve stimulation. The VNS Therapy pulse generator and lead are surgically implanted in a subcutaneous pocket in the upper left chest area, generally during an out-patient procedure; the lead (which does not need to be removed to replace a generator with a depleted battery) is connected to the pulse generator and tunneled under the skin to the vagus nerve in the lower left side of the patient’s neck.</w:t>
      </w:r>
    </w:p>
    <w:p>
      <w:pPr>
        <w:spacing w:after="0" w:line="103" w:lineRule="exact"/>
        <w:rPr>
          <w:sz w:val="20"/>
          <w:szCs w:val="20"/>
          <w:color w:val="auto"/>
        </w:rPr>
      </w:pPr>
    </w:p>
    <w:p>
      <w:pPr>
        <w:ind w:left="660" w:right="40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Cardiac Rhythm Management: </w:t>
      </w:r>
      <w:r>
        <w:rPr>
          <w:rFonts w:ascii="Arial" w:cs="Arial" w:eastAsia="Arial" w:hAnsi="Arial"/>
          <w:sz w:val="18"/>
          <w:szCs w:val="18"/>
          <w:color w:val="auto"/>
        </w:rPr>
        <w:t>Until we divested it in the second quarter of 2018, the Cardiac Rhythm Management Business Franchise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manufactured, and marketed goods for the diagnosis, treatment, and management of heart rhythm disorders and heart failure. These products included implantable devices, leads and delivery systems and information systems for the management of patients with cardiac rhythm management devices.</w:t>
      </w:r>
    </w:p>
    <w:p>
      <w:pPr>
        <w:spacing w:after="0" w:line="36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broad and complex product range may contain conflict minerals within the following components: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Tantalum, used in capacitors;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Tin, used in electrical components, printed circuit board assembly (PCBA), hardware, and equipment;</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Tungsten, used in coatings, alloys, heating elements and electrodes;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Gold, used in circuit boards, electrodes and electronic components.</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Additional information on LivaNova is available at </w:t>
      </w:r>
      <w:r>
        <w:rPr>
          <w:rFonts w:ascii="Arial" w:cs="Arial" w:eastAsia="Arial" w:hAnsi="Arial"/>
          <w:sz w:val="18"/>
          <w:szCs w:val="18"/>
          <w:u w:val="single" w:color="auto"/>
          <w:color w:val="auto"/>
        </w:rPr>
        <w:t>www.livanova.com</w:t>
      </w:r>
      <w:r>
        <w:rPr>
          <w:rFonts w:ascii="Arial" w:cs="Arial" w:eastAsia="Arial" w:hAnsi="Arial"/>
          <w:sz w:val="18"/>
          <w:szCs w:val="18"/>
          <w:color w:val="auto"/>
        </w:rPr>
        <w:t>.</w:t>
      </w:r>
    </w:p>
    <w:p>
      <w:pPr>
        <w:spacing w:after="0" w:line="208"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General Policy and Team</w:t>
      </w:r>
    </w:p>
    <w:p>
      <w:pPr>
        <w:spacing w:after="0" w:line="283" w:lineRule="exact"/>
        <w:rPr>
          <w:sz w:val="20"/>
          <w:szCs w:val="20"/>
          <w:color w:val="auto"/>
        </w:rPr>
      </w:pPr>
    </w:p>
    <w:p>
      <w:pPr>
        <w:ind w:firstLine="648"/>
        <w:spacing w:after="0" w:line="325" w:lineRule="auto"/>
        <w:rPr>
          <w:sz w:val="20"/>
          <w:szCs w:val="20"/>
          <w:color w:val="auto"/>
        </w:rPr>
      </w:pPr>
      <w:r>
        <w:rPr>
          <w:rFonts w:ascii="Arial" w:cs="Arial" w:eastAsia="Arial" w:hAnsi="Arial"/>
          <w:sz w:val="16"/>
          <w:szCs w:val="16"/>
          <w:color w:val="auto"/>
        </w:rPr>
        <w:t>We strive to conduct our activities in a manner that reflects our mission and Code of Business Conduct and Ethics – which includes being a good corporate citizen, dealing fairly in business, behaving ethically, supporting a safe and healthy workplace, doing business in an environmentally responsible manner, and complying with applicable law. We are committed to ensuring that our supply chain reflects our values and beliefs, including adherence to principles of responsible sourcing for materials for our products. As part of our commitment, LivaNova supports the goals and objectives of Section 1502 of the Dodd Frank Act that requires public companies to determine the sourcing of conflict minerals used in their products. We expect our suppliers to support our efforts to comply with the Dodd Frank Act and to proactively identify and work towards eliminating the use of any minerals that fund or benefit armed groups from within our supply chain. In addition, we expect our suppliers to conduct business operations in an ethical manner and to comply with our Code of Conduct and all applicable laws related to environmental responsibility, workplace health and safety, and human resources.</w:t>
      </w:r>
    </w:p>
    <w:p>
      <w:pPr>
        <w:spacing w:after="0" w:line="168" w:lineRule="exact"/>
        <w:rPr>
          <w:sz w:val="20"/>
          <w:szCs w:val="20"/>
          <w:color w:val="auto"/>
        </w:rPr>
      </w:pPr>
    </w:p>
    <w:p>
      <w:pPr>
        <w:ind w:right="600" w:firstLine="648"/>
        <w:spacing w:after="0" w:line="309" w:lineRule="auto"/>
        <w:rPr>
          <w:sz w:val="20"/>
          <w:szCs w:val="20"/>
          <w:color w:val="auto"/>
        </w:rPr>
      </w:pPr>
      <w:r>
        <w:rPr>
          <w:rFonts w:ascii="Arial" w:cs="Arial" w:eastAsia="Arial" w:hAnsi="Arial"/>
          <w:sz w:val="18"/>
          <w:szCs w:val="18"/>
          <w:color w:val="auto"/>
        </w:rPr>
        <w:t>We have established a cross-functional team to implement our conflict mineral compliance strategy and policy. This team has executive level involvement and access to various subject matter experts from such areas as sourcing, procurement, legal and finance.</w:t>
      </w:r>
    </w:p>
    <w:p>
      <w:pPr>
        <w:spacing w:after="0" w:line="368"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w:t>
      </w:r>
    </w:p>
    <w:p>
      <w:pPr>
        <w:spacing w:after="0" w:line="283" w:lineRule="exact"/>
        <w:rPr>
          <w:sz w:val="20"/>
          <w:szCs w:val="20"/>
          <w:color w:val="auto"/>
        </w:rPr>
      </w:pPr>
    </w:p>
    <w:p>
      <w:pPr>
        <w:ind w:right="160" w:firstLine="648"/>
        <w:spacing w:after="0" w:line="319" w:lineRule="auto"/>
        <w:rPr>
          <w:sz w:val="20"/>
          <w:szCs w:val="20"/>
          <w:color w:val="auto"/>
        </w:rPr>
      </w:pPr>
      <w:r>
        <w:rPr>
          <w:rFonts w:ascii="Arial" w:cs="Arial" w:eastAsia="Arial" w:hAnsi="Arial"/>
          <w:sz w:val="17"/>
          <w:szCs w:val="17"/>
          <w:color w:val="auto"/>
        </w:rPr>
        <w:t>In beginning our analysis in conjunction with our partners at Assent Compliance, we first determined which of our products contained 3TGs necessary to the functionality or production of such products. We then conducted a good faith reasonable country of origin inquiry (“RCOI”) with respect to 3TGs contained in our products by assessing our supply chain in accordance with the OECD Guidance (as defined below).</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82" w:right="239" w:bottom="1440" w:gutter="0" w:footer="0" w:header="0"/>
        </w:sectPr>
      </w:pPr>
    </w:p>
    <w:bookmarkStart w:id="5" w:name="page6"/>
    <w:bookmarkEnd w:id="5"/>
    <w:p>
      <w:pPr>
        <w:jc w:val="both"/>
        <w:ind w:right="620" w:firstLine="648"/>
        <w:spacing w:after="0" w:line="295" w:lineRule="auto"/>
        <w:rPr>
          <w:sz w:val="20"/>
          <w:szCs w:val="20"/>
          <w:color w:val="auto"/>
        </w:rPr>
      </w:pPr>
      <w:r>
        <w:rPr>
          <w:rFonts w:ascii="Arial" w:cs="Arial" w:eastAsia="Arial" w:hAnsi="Arial"/>
          <w:sz w:val="18"/>
          <w:szCs w:val="18"/>
          <w:color w:val="auto"/>
        </w:rPr>
        <w:t>The RCOI was designed to determine whether any 3TGs contained in our products originated in the Covered Countries. We do not purchase minerals directly from mines, smelters or refiners and therefore must rely on our direct suppliers to provide information on the origin of the minerals contained in components and materials supplied to us or products manufactured for us.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began our supplier scoping process by:</w:t>
      </w:r>
    </w:p>
    <w:p>
      <w:pPr>
        <w:spacing w:after="0" w:line="239"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Determining which of our manufactured products contain one or more of the 3TGs;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Identifying our suppliers that manufactured or contracted to manufacture products containing 3TGs in 2017; and</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Identified suppliers that provide product or service that are deemed out of scope (provide material that does not ship with or does not impact functionality of the final product).</w:t>
      </w:r>
    </w:p>
    <w:p>
      <w:pPr>
        <w:spacing w:after="0" w:line="170"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supply chain survey, and the conflict minerals program as a whole, has been developed and implemented in cooperation with Assent Compliance.</w:t>
      </w:r>
    </w:p>
    <w:p>
      <w:pPr>
        <w:spacing w:after="0" w:line="197" w:lineRule="exact"/>
        <w:rPr>
          <w:sz w:val="20"/>
          <w:szCs w:val="20"/>
          <w:color w:val="auto"/>
        </w:rPr>
      </w:pPr>
    </w:p>
    <w:p>
      <w:pPr>
        <w:ind w:firstLine="648"/>
        <w:spacing w:after="0" w:line="365" w:lineRule="auto"/>
        <w:rPr>
          <w:sz w:val="20"/>
          <w:szCs w:val="20"/>
          <w:color w:val="auto"/>
        </w:rPr>
      </w:pPr>
      <w:r>
        <w:rPr>
          <w:rFonts w:ascii="Arial" w:cs="Arial" w:eastAsia="Arial" w:hAnsi="Arial"/>
          <w:sz w:val="16"/>
          <w:szCs w:val="16"/>
          <w:color w:val="auto"/>
        </w:rPr>
        <w:t>Our primary means of determining country of origin information for the necessary 3TGs was by conducting a supply chain survey with direct suppliers using the Conflict Minerals Reporting Template, or CMRT, developed by the Responsible Business Alliance – RBA GeSI. The CMRT was developed to facilitate disclosure and communication of information regarding smelters and refiners that provide material to a company’s supply chain. It includes questions regarding a direct supplier’s conflict minerals policy, engagement with its direct suppliers, and a listing of the smelters and refiners that the direct supplier and its suppliers source from. In addition, the CMRT contains questions about the origin of conflict minerals included in the direct supplier’s products, as well as supplier due diligence. Written instructions and recorded training illustrating the use of the tool are available on RBA’s website as well as provided by Assent Compliance. The CMRT version 5.0 or higher was the industry standard template used for conflict minerals data collection for 2017.</w:t>
      </w:r>
    </w:p>
    <w:p>
      <w:pPr>
        <w:spacing w:after="0" w:line="108" w:lineRule="exact"/>
        <w:rPr>
          <w:sz w:val="20"/>
          <w:szCs w:val="20"/>
          <w:color w:val="auto"/>
        </w:rPr>
      </w:pPr>
    </w:p>
    <w:p>
      <w:pPr>
        <w:ind w:right="280" w:firstLine="648"/>
        <w:spacing w:after="0" w:line="290" w:lineRule="auto"/>
        <w:rPr>
          <w:sz w:val="20"/>
          <w:szCs w:val="20"/>
          <w:color w:val="auto"/>
        </w:rPr>
      </w:pPr>
      <w:r>
        <w:rPr>
          <w:rFonts w:ascii="Arial" w:cs="Arial" w:eastAsia="Arial" w:hAnsi="Arial"/>
          <w:sz w:val="18"/>
          <w:szCs w:val="18"/>
          <w:color w:val="auto"/>
        </w:rPr>
        <w:t>We surveyed 419 suppliers based on the scoping process noted above. Responses were tracked and supplier statuses reported regularly by Assent Compliance to LivaNova. As of May 20, 2018, we had received responses from 263 of the suppliers surveyed. Assent Compliance reached out to our suppliers a minimum of three times and then sent at least two escalated campaigns to those suppliers who had still not responded. In addition, LivaNova reached out to the non-responsive suppliers multiple times requesting they fulfill the request.</w:t>
      </w:r>
    </w:p>
    <w:p>
      <w:pPr>
        <w:spacing w:after="0" w:line="215" w:lineRule="exact"/>
        <w:rPr>
          <w:sz w:val="20"/>
          <w:szCs w:val="20"/>
          <w:color w:val="auto"/>
        </w:rPr>
      </w:pPr>
    </w:p>
    <w:p>
      <w:pPr>
        <w:ind w:right="480" w:firstLine="648"/>
        <w:spacing w:after="0" w:line="309" w:lineRule="auto"/>
        <w:rPr>
          <w:sz w:val="20"/>
          <w:szCs w:val="20"/>
          <w:color w:val="auto"/>
        </w:rPr>
      </w:pPr>
      <w:r>
        <w:rPr>
          <w:rFonts w:ascii="Arial" w:cs="Arial" w:eastAsia="Arial" w:hAnsi="Arial"/>
          <w:sz w:val="18"/>
          <w:szCs w:val="18"/>
          <w:color w:val="auto"/>
        </w:rPr>
        <w:t>During the survey, Assent Compliance assessed the supplier list and received information from suppliers in the following groups that could be deemed as out of scope:</w:t>
      </w:r>
    </w:p>
    <w:p>
      <w:pPr>
        <w:spacing w:after="0" w:line="196"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Service providers/suppliers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Indirect materials suppliers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Inactive suppliers (minimum 5 years since last purchase)</w:t>
      </w:r>
    </w:p>
    <w:p>
      <w:pPr>
        <w:spacing w:after="0" w:line="279" w:lineRule="exact"/>
        <w:rPr>
          <w:sz w:val="20"/>
          <w:szCs w:val="20"/>
          <w:color w:val="auto"/>
        </w:rPr>
      </w:pPr>
    </w:p>
    <w:p>
      <w:pPr>
        <w:ind w:right="220" w:firstLine="648"/>
        <w:spacing w:after="0" w:line="377" w:lineRule="auto"/>
        <w:rPr>
          <w:sz w:val="20"/>
          <w:szCs w:val="20"/>
          <w:color w:val="auto"/>
        </w:rPr>
      </w:pPr>
      <w:r>
        <w:rPr>
          <w:rFonts w:ascii="Arial" w:cs="Arial" w:eastAsia="Arial" w:hAnsi="Arial"/>
          <w:sz w:val="16"/>
          <w:szCs w:val="16"/>
          <w:color w:val="auto"/>
        </w:rPr>
        <w:t>Once Assent received confirmation from LivaNova on these designations, the suppliers were classified as Out of Scope in the Assent Compliance Manager (“ACM”), which is the software tool used to manage the conflict minerals program. Through this process 4 suppliers were deemed out of scope.</w:t>
      </w:r>
    </w:p>
    <w:p>
      <w:pPr>
        <w:spacing w:after="0" w:line="151" w:lineRule="exact"/>
        <w:rPr>
          <w:sz w:val="20"/>
          <w:szCs w:val="20"/>
          <w:color w:val="auto"/>
        </w:rPr>
      </w:pPr>
    </w:p>
    <w:p>
      <w:pPr>
        <w:jc w:val="both"/>
        <w:ind w:right="400" w:firstLine="648"/>
        <w:spacing w:after="0" w:line="295" w:lineRule="auto"/>
        <w:rPr>
          <w:sz w:val="20"/>
          <w:szCs w:val="20"/>
          <w:color w:val="auto"/>
        </w:rPr>
      </w:pPr>
      <w:r>
        <w:rPr>
          <w:rFonts w:ascii="Arial" w:cs="Arial" w:eastAsia="Arial" w:hAnsi="Arial"/>
          <w:sz w:val="18"/>
          <w:szCs w:val="18"/>
          <w:color w:val="auto"/>
        </w:rPr>
        <w:t>Our program continues to include automated data validation on all submitted CMRTs. The goal of data validation is to increase the accuracy of submissions, identify submissions not including smelter lists and identify any contradictory answers in the CMRT. All submitted forms are accepted and classified as valid or invalid so that</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382" w:right="279" w:bottom="1440" w:gutter="0" w:footer="0" w:header="0"/>
        </w:sectPr>
      </w:pPr>
    </w:p>
    <w:bookmarkStart w:id="6" w:name="page7"/>
    <w:bookmarkEnd w:id="6"/>
    <w:p>
      <w:pPr>
        <w:ind w:right="100"/>
        <w:spacing w:after="0" w:line="236" w:lineRule="auto"/>
        <w:rPr>
          <w:sz w:val="20"/>
          <w:szCs w:val="20"/>
          <w:color w:val="auto"/>
        </w:rPr>
      </w:pPr>
      <w:r>
        <w:rPr>
          <w:rFonts w:ascii="Arial" w:cs="Arial" w:eastAsia="Arial" w:hAnsi="Arial"/>
          <w:sz w:val="18"/>
          <w:szCs w:val="18"/>
          <w:color w:val="auto"/>
        </w:rPr>
        <w:t>data is still retained. Suppliers were contacted in regards to invalid forms and were encouraged to resubmit a valid form. As of the 20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May 2018, we still had 14 invalid supplier submissions that were not yet corrected.</w:t>
      </w:r>
    </w:p>
    <w:p>
      <w:pPr>
        <w:spacing w:after="0" w:line="256" w:lineRule="exact"/>
        <w:rPr>
          <w:sz w:val="20"/>
          <w:szCs w:val="20"/>
          <w:color w:val="auto"/>
        </w:rPr>
      </w:pPr>
    </w:p>
    <w:p>
      <w:pPr>
        <w:ind w:right="200" w:firstLine="648"/>
        <w:spacing w:after="0" w:line="347" w:lineRule="auto"/>
        <w:rPr>
          <w:sz w:val="20"/>
          <w:szCs w:val="20"/>
          <w:color w:val="auto"/>
        </w:rPr>
      </w:pPr>
      <w:r>
        <w:rPr>
          <w:rFonts w:ascii="Arial" w:cs="Arial" w:eastAsia="Arial" w:hAnsi="Arial"/>
          <w:sz w:val="16"/>
          <w:szCs w:val="16"/>
          <w:color w:val="auto"/>
        </w:rPr>
        <w:t>There were some suppliers who were unable to provide smelter or refiner lists and suppliers who could not provide full smelter lists. Accordingly, before conducting an in-depth examination of the smelter information itself, it is important to note that since LivaNova was unable to obtain full smelter information from all in-scope suppliers, LivaNova is unable to confidently state the countries of origin for all 3TGs contained in our products.</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 Design of Due Diligence</w:t>
      </w:r>
    </w:p>
    <w:p>
      <w:pPr>
        <w:spacing w:after="0" w:line="283"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color w:val="auto"/>
        </w:rPr>
        <w:t>LivaNova designed its due diligence process to be in conformity, in all material respects, with the due diligence framework of the Organization of Economic Co-operation and Development Due Diligence Guidance for Responsible Supply Chains of Minerals from Conflict-Affected and High-Risk Areas, Second Edition and related Supplements on Tin, Tantalum and Tungsten and on Gold (collectively the “OECD Guidance”). LivaNova’s due diligence process is based on multi-industry initiatives with the smelters and refiners who provide conflict minerals within global supply chains.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4.1.1 Establish Strong Company Management and Control Systems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Conflict Minerals Policy</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LivaNova has adopted a Conflict Minerals Policy, which is provided in section 2 of this report.</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Internal Team and Training</w:t>
      </w:r>
    </w:p>
    <w:p>
      <w:pPr>
        <w:spacing w:after="0" w:line="283" w:lineRule="exact"/>
        <w:rPr>
          <w:sz w:val="20"/>
          <w:szCs w:val="20"/>
          <w:color w:val="auto"/>
        </w:rPr>
      </w:pPr>
    </w:p>
    <w:p>
      <w:pPr>
        <w:ind w:right="140" w:firstLine="648"/>
        <w:spacing w:after="0" w:line="309" w:lineRule="auto"/>
        <w:rPr>
          <w:sz w:val="20"/>
          <w:szCs w:val="20"/>
          <w:color w:val="auto"/>
        </w:rPr>
      </w:pPr>
      <w:r>
        <w:rPr>
          <w:rFonts w:ascii="Arial" w:cs="Arial" w:eastAsia="Arial" w:hAnsi="Arial"/>
          <w:sz w:val="17"/>
          <w:szCs w:val="17"/>
          <w:color w:val="auto"/>
        </w:rPr>
        <w:t>LivaNova has established a management team relating to conflict minerals. Our management team is overseen by the Senior Vice President Global Operations and a team of subject matter experts from relevant functions such as, supply chain, operations, finance and legal. The team of subject matter experts is responsible for implementing our conflict minerals compliance strategy and is led by the VP of Global Supply Chain, who acts as the Conflict Minerals Program Manager. Some members of this team have attended external workshops involving this subject matter and have used this information to train those internally responsible for assisting with component review and data collection.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Control Systems</w:t>
      </w:r>
    </w:p>
    <w:p>
      <w:pPr>
        <w:spacing w:after="0" w:line="283" w:lineRule="exact"/>
        <w:rPr>
          <w:sz w:val="20"/>
          <w:szCs w:val="20"/>
          <w:color w:val="auto"/>
        </w:rPr>
      </w:pPr>
    </w:p>
    <w:p>
      <w:pPr>
        <w:ind w:right="80" w:firstLine="648"/>
        <w:spacing w:after="0" w:line="288" w:lineRule="auto"/>
        <w:rPr>
          <w:sz w:val="20"/>
          <w:szCs w:val="20"/>
          <w:color w:val="auto"/>
        </w:rPr>
      </w:pPr>
      <w:r>
        <w:rPr>
          <w:rFonts w:ascii="Arial" w:cs="Arial" w:eastAsia="Arial" w:hAnsi="Arial"/>
          <w:sz w:val="18"/>
          <w:szCs w:val="18"/>
          <w:color w:val="auto"/>
        </w:rPr>
        <w:t>The Company expects its suppliers to have policies and procedures in place to ensure that any 3TGs used in the production of the products sold to LivaNova are DRC conflict-free. This means that the products must not contain 3TGs that directly or indirectly finance or benefit armed groups in the Covered Countries. Other controls include, but are not limited to, our Code of Business Conduct and Ethics which outlines certain expected behaviors for all employees. In addition, we rely on our direct suppliers to provide information on the origin of the 3TGs contained in components and materials supplied to us, including sources of 3TGs that are supplied to them from lower tier suppliers.</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368" w:right="27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b w:val="1"/>
          <w:bCs w:val="1"/>
          <w:color w:val="auto"/>
        </w:rPr>
        <w:t>Supplier Engagement</w:t>
      </w:r>
    </w:p>
    <w:p>
      <w:pPr>
        <w:spacing w:after="0" w:line="283" w:lineRule="exact"/>
        <w:rPr>
          <w:sz w:val="20"/>
          <w:szCs w:val="20"/>
          <w:color w:val="auto"/>
        </w:rPr>
      </w:pPr>
    </w:p>
    <w:p>
      <w:pPr>
        <w:ind w:right="100" w:firstLine="648"/>
        <w:spacing w:after="0" w:line="295" w:lineRule="auto"/>
        <w:rPr>
          <w:sz w:val="20"/>
          <w:szCs w:val="20"/>
          <w:color w:val="auto"/>
        </w:rPr>
      </w:pPr>
      <w:r>
        <w:rPr>
          <w:rFonts w:ascii="Arial" w:cs="Arial" w:eastAsia="Arial" w:hAnsi="Arial"/>
          <w:sz w:val="18"/>
          <w:szCs w:val="18"/>
          <w:color w:val="auto"/>
        </w:rPr>
        <w:t>As we do not have a direct relationship with 3TGs smelters and refiners, we are engaged and actively cooperate with other manufacturers in our industry and other sectors. We rely primarily on our direct suppliers to provide information on the origin of the 3TGs contained in components and materials supplied to us, including sources of 3TGs that are supplied to them from lower tier suppliers.</w:t>
      </w:r>
    </w:p>
    <w:p>
      <w:pPr>
        <w:spacing w:after="0" w:line="209" w:lineRule="exact"/>
        <w:rPr>
          <w:sz w:val="20"/>
          <w:szCs w:val="20"/>
          <w:color w:val="auto"/>
        </w:rPr>
      </w:pPr>
    </w:p>
    <w:p>
      <w:pPr>
        <w:ind w:right="320" w:firstLine="648"/>
        <w:spacing w:after="0" w:line="290" w:lineRule="auto"/>
        <w:rPr>
          <w:sz w:val="20"/>
          <w:szCs w:val="20"/>
          <w:color w:val="auto"/>
        </w:rPr>
      </w:pPr>
      <w:r>
        <w:rPr>
          <w:rFonts w:ascii="Arial" w:cs="Arial" w:eastAsia="Arial" w:hAnsi="Arial"/>
          <w:sz w:val="18"/>
          <w:szCs w:val="18"/>
          <w:color w:val="auto"/>
        </w:rPr>
        <w:t>We have leveraged the existing communications within the Company, specifically through our procurement personnel, to encourage supplier interactions with Assent Compliance as well for them to understand the need for completion of the surveys. Feedback from this process has allowed us to enhance the training, focus it and adapt it to each user’s needs. It has also allowed for our supplier communications to be more focused and ensure expectations are clear.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Grievance Mechanism</w:t>
      </w:r>
    </w:p>
    <w:p>
      <w:pPr>
        <w:spacing w:after="0" w:line="283" w:lineRule="exact"/>
        <w:rPr>
          <w:sz w:val="20"/>
          <w:szCs w:val="20"/>
          <w:color w:val="auto"/>
        </w:rPr>
      </w:pPr>
    </w:p>
    <w:p>
      <w:pPr>
        <w:ind w:right="40" w:firstLine="648"/>
        <w:spacing w:after="0" w:line="309" w:lineRule="auto"/>
        <w:rPr>
          <w:sz w:val="20"/>
          <w:szCs w:val="20"/>
          <w:color w:val="auto"/>
        </w:rPr>
      </w:pPr>
      <w:r>
        <w:rPr>
          <w:rFonts w:ascii="Arial" w:cs="Arial" w:eastAsia="Arial" w:hAnsi="Arial"/>
          <w:sz w:val="18"/>
          <w:szCs w:val="18"/>
          <w:color w:val="auto"/>
        </w:rPr>
        <w:t>We have longstanding grievance mechanisms whereby employees and suppliers can report violations of the Company’s policies, including our Code of Business Conduct and Ethics policy.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Records Maintenance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retained all relevant documentation from our RCOI and due diligence process.</w:t>
      </w:r>
    </w:p>
    <w:p>
      <w:pPr>
        <w:spacing w:after="0" w:line="27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Identify and Assess Risk in Our Supply Chain</w:t>
      </w:r>
    </w:p>
    <w:p>
      <w:pPr>
        <w:spacing w:after="0" w:line="283" w:lineRule="exact"/>
        <w:rPr>
          <w:sz w:val="20"/>
          <w:szCs w:val="20"/>
          <w:color w:val="auto"/>
        </w:rPr>
      </w:pPr>
    </w:p>
    <w:p>
      <w:pPr>
        <w:ind w:right="540" w:firstLine="648"/>
        <w:spacing w:after="0" w:line="309" w:lineRule="auto"/>
        <w:rPr>
          <w:sz w:val="20"/>
          <w:szCs w:val="20"/>
          <w:color w:val="auto"/>
        </w:rPr>
      </w:pPr>
      <w:r>
        <w:rPr>
          <w:rFonts w:ascii="Arial" w:cs="Arial" w:eastAsia="Arial" w:hAnsi="Arial"/>
          <w:sz w:val="18"/>
          <w:szCs w:val="18"/>
          <w:color w:val="auto"/>
        </w:rPr>
        <w:t>Because of our size, the complexity of our products, and the depth, breadth, and constant evolution of our supply chain, it is difficult for us to identify actors upstream from our direct suppliers.</w:t>
      </w:r>
    </w:p>
    <w:p>
      <w:pPr>
        <w:spacing w:after="0" w:line="196" w:lineRule="exact"/>
        <w:rPr>
          <w:sz w:val="20"/>
          <w:szCs w:val="20"/>
          <w:color w:val="auto"/>
        </w:rPr>
      </w:pPr>
    </w:p>
    <w:p>
      <w:pPr>
        <w:ind w:right="40" w:firstLine="648"/>
        <w:spacing w:after="0" w:line="287" w:lineRule="auto"/>
        <w:rPr>
          <w:sz w:val="20"/>
          <w:szCs w:val="20"/>
          <w:color w:val="auto"/>
        </w:rPr>
      </w:pPr>
      <w:r>
        <w:rPr>
          <w:rFonts w:ascii="Arial" w:cs="Arial" w:eastAsia="Arial" w:hAnsi="Arial"/>
          <w:sz w:val="18"/>
          <w:szCs w:val="18"/>
          <w:color w:val="auto"/>
        </w:rPr>
        <w:t>As a result of a thorough review of the bill of materials (BOMs) of the products we distributed in 2017 for which we manufactured or contracted out manufacturing, we identified 419 direct suppliers to the company that may provide materials which contain any of the 3TGs. Out of those 419 suppliers, we initially deemed 4 as out of scope based upon the criteria listed above. We then based our RCOI on the remaining 415 suppliers. We rely on suppliers whose materials or components contain 3TGs to provide us with information about the source of 3TGs contained in those materials or components. Our direct suppliers similarly rely upon information provided by their suppliers. Many of the largest suppliers either are SEC registrants and subject to the Rule or are suppliers to other SEC registrants that are subject to the Rule.</w:t>
      </w:r>
    </w:p>
    <w:p>
      <w:pPr>
        <w:spacing w:after="0" w:line="217" w:lineRule="exact"/>
        <w:rPr>
          <w:sz w:val="20"/>
          <w:szCs w:val="20"/>
          <w:color w:val="auto"/>
        </w:rPr>
      </w:pPr>
    </w:p>
    <w:p>
      <w:pPr>
        <w:ind w:firstLine="648"/>
        <w:spacing w:after="0" w:line="288" w:lineRule="auto"/>
        <w:rPr>
          <w:sz w:val="20"/>
          <w:szCs w:val="20"/>
          <w:color w:val="auto"/>
        </w:rPr>
      </w:pPr>
      <w:r>
        <w:rPr>
          <w:rFonts w:ascii="Arial" w:cs="Arial" w:eastAsia="Arial" w:hAnsi="Arial"/>
          <w:sz w:val="18"/>
          <w:szCs w:val="18"/>
          <w:color w:val="auto"/>
        </w:rPr>
        <w:t>In accordance with OECD Guidelines, it is important to understand risk levels associated with 3TGs in the supply chain. Smelter(s) or refiner(s) (“SORs”) that are not certified as DRC-Conflict Free by third party sources such as the Responsible Minerals Initiative – RMI pose a potential risk. Where a smelter is not identified as Conflict Free, it is assigned a risk rating of High, Medium or Low. This rating is based on various factors, including the SOR’s geographic location, including proximity to the Covered Countries, the SOR’s Responsible Minerals Assurance Process – RMAP audit status, and any known or plausible evidence of unethical or conflicting sourcing.</w:t>
      </w:r>
    </w:p>
    <w:p>
      <w:pPr>
        <w:spacing w:after="0" w:line="217" w:lineRule="exact"/>
        <w:rPr>
          <w:sz w:val="20"/>
          <w:szCs w:val="20"/>
          <w:color w:val="auto"/>
        </w:rPr>
      </w:pPr>
    </w:p>
    <w:p>
      <w:pPr>
        <w:jc w:val="both"/>
        <w:ind w:right="120" w:firstLine="648"/>
        <w:spacing w:after="0" w:line="295" w:lineRule="auto"/>
        <w:rPr>
          <w:sz w:val="20"/>
          <w:szCs w:val="20"/>
          <w:color w:val="auto"/>
        </w:rPr>
      </w:pPr>
      <w:r>
        <w:rPr>
          <w:rFonts w:ascii="Arial" w:cs="Arial" w:eastAsia="Arial" w:hAnsi="Arial"/>
          <w:sz w:val="18"/>
          <w:szCs w:val="18"/>
          <w:color w:val="auto"/>
        </w:rPr>
        <w:t>We calculate supplier risk based on the chances that a supplier provides 3TGs that may originate from Non-Conflict Free sources. The value of this risk is calculated based on the risk ratings of the smelters declared by that supplier on their CMRT. Based on the above criteria, the following facilities have been identified as being of highest concern to the supply chain:</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378" w:right="279" w:bottom="1440" w:gutter="0" w:footer="0" w:header="0"/>
        </w:sectPr>
      </w:pPr>
    </w:p>
    <w:bookmarkStart w:id="8" w:name="page9"/>
    <w:bookmarkEnd w:id="8"/>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Tony Goetz NV - CID002587</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Kaloti Precious Metals - CID002563</w:t>
      </w:r>
    </w:p>
    <w:p>
      <w:pPr>
        <w:spacing w:after="0" w:line="22"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Universal Precious Metals Refining Zambia - CID002854</w:t>
      </w:r>
    </w:p>
    <w:p>
      <w:pPr>
        <w:spacing w:after="0" w:line="22"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Fidelity Printers and Refiners - CID002515</w:t>
      </w:r>
    </w:p>
    <w:p>
      <w:pPr>
        <w:spacing w:after="0" w:line="22"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Sudan Gold Refinery - CID002567</w:t>
      </w:r>
    </w:p>
    <w:p>
      <w:pPr>
        <w:spacing w:after="0" w:line="22"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African Gold Refinery Limited (AGR) - CID003185</w:t>
      </w:r>
    </w:p>
    <w:p>
      <w:pPr>
        <w:spacing w:after="0" w:line="26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8"/>
          <w:szCs w:val="18"/>
          <w:color w:val="auto"/>
        </w:rPr>
        <w:t>When these facilities were reported on a CMRT by one of the suppliers surveyed, risk mitigation activities are initiated. Through our third-party vendor, Assent Compliance, submissions that include any of the above facilities immediately produce a receipt instructing the supplier to take their own risk mitigation actions, including submission of a product specific CMRT to better identify the connection to products that they supply to the Company, and escalating up to removal of these high-risk smelters from their supply chain.</w:t>
      </w:r>
    </w:p>
    <w:p>
      <w:pPr>
        <w:spacing w:after="0" w:line="148" w:lineRule="exact"/>
        <w:rPr>
          <w:sz w:val="20"/>
          <w:szCs w:val="20"/>
          <w:color w:val="auto"/>
        </w:rPr>
      </w:pPr>
    </w:p>
    <w:p>
      <w:pPr>
        <w:ind w:right="360" w:firstLine="648"/>
        <w:spacing w:after="0" w:line="309" w:lineRule="auto"/>
        <w:rPr>
          <w:sz w:val="20"/>
          <w:szCs w:val="20"/>
          <w:color w:val="auto"/>
        </w:rPr>
      </w:pPr>
      <w:r>
        <w:rPr>
          <w:rFonts w:ascii="Arial" w:cs="Arial" w:eastAsia="Arial" w:hAnsi="Arial"/>
          <w:sz w:val="18"/>
          <w:szCs w:val="18"/>
          <w:color w:val="auto"/>
        </w:rPr>
        <w:t>As per the OECD Due Diligence Guidance, risk mitigation will depend on the supplier’s specific context. Suppliers are given clear performance objectives within reasonable timeframes with the ultimate goal of progressive elimination of these risks from the supply chain.</w:t>
      </w:r>
    </w:p>
    <w:p>
      <w:pPr>
        <w:spacing w:after="0" w:line="129" w:lineRule="exact"/>
        <w:rPr>
          <w:sz w:val="20"/>
          <w:szCs w:val="20"/>
          <w:color w:val="auto"/>
        </w:rPr>
      </w:pPr>
    </w:p>
    <w:p>
      <w:pPr>
        <w:ind w:right="460" w:firstLine="648"/>
        <w:spacing w:after="0" w:line="295" w:lineRule="auto"/>
        <w:rPr>
          <w:sz w:val="20"/>
          <w:szCs w:val="20"/>
          <w:color w:val="auto"/>
        </w:rPr>
      </w:pPr>
      <w:r>
        <w:rPr>
          <w:rFonts w:ascii="Arial" w:cs="Arial" w:eastAsia="Arial" w:hAnsi="Arial"/>
          <w:sz w:val="18"/>
          <w:szCs w:val="18"/>
          <w:color w:val="auto"/>
        </w:rPr>
        <w:t>Additionally, suppliers are evaluated on program strength (further assisting in identifying risk in the supply chain). Evaluating and tracking the strength of the program can assist in making key risk mitigation decisions as the program progresses. The criteria used to evaluate the strength of the supplier’s program are:</w:t>
      </w:r>
    </w:p>
    <w:p>
      <w:pPr>
        <w:spacing w:after="0" w:line="142"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you have a policy in place that includes DRC conflict-free sourcing?</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18"/>
          <w:szCs w:val="18"/>
          <w:color w:val="auto"/>
        </w:rPr>
        <w:t>Have you implemented due diligence measures for conflict-free sourcing?</w:t>
      </w:r>
    </w:p>
    <w:p>
      <w:pPr>
        <w:spacing w:after="0" w:line="26" w:lineRule="exact"/>
        <w:rPr>
          <w:rFonts w:ascii="Arial" w:cs="Arial" w:eastAsia="Arial" w:hAnsi="Arial"/>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you review due diligence information received from your suppliers against your company’s expectations?</w:t>
      </w:r>
    </w:p>
    <w:p>
      <w:pPr>
        <w:spacing w:after="0" w:line="36"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you verify due diligence information received from your suppliers?</w:t>
      </w:r>
    </w:p>
    <w:p>
      <w:pPr>
        <w:spacing w:after="0" w:line="279" w:lineRule="exact"/>
        <w:rPr>
          <w:sz w:val="20"/>
          <w:szCs w:val="20"/>
          <w:color w:val="auto"/>
        </w:rPr>
      </w:pPr>
    </w:p>
    <w:p>
      <w:pPr>
        <w:ind w:right="180" w:firstLine="648"/>
        <w:spacing w:after="0" w:line="309" w:lineRule="auto"/>
        <w:rPr>
          <w:sz w:val="20"/>
          <w:szCs w:val="20"/>
          <w:color w:val="auto"/>
        </w:rPr>
      </w:pPr>
      <w:r>
        <w:rPr>
          <w:rFonts w:ascii="Arial" w:cs="Arial" w:eastAsia="Arial" w:hAnsi="Arial"/>
          <w:sz w:val="18"/>
          <w:szCs w:val="18"/>
          <w:color w:val="auto"/>
        </w:rPr>
        <w:t>When suppliers answer yes, they are deemed to have a strong program. When suppliers do not meet those criteria, they are deemed to have a weak program.</w:t>
      </w:r>
    </w:p>
    <w:p>
      <w:pPr>
        <w:spacing w:after="0" w:line="196" w:lineRule="exact"/>
        <w:rPr>
          <w:sz w:val="20"/>
          <w:szCs w:val="20"/>
          <w:color w:val="auto"/>
        </w:rPr>
      </w:pPr>
    </w:p>
    <w:p>
      <w:pPr>
        <w:jc w:val="both"/>
        <w:ind w:right="60" w:firstLine="648"/>
        <w:spacing w:after="0" w:line="295" w:lineRule="auto"/>
        <w:rPr>
          <w:sz w:val="20"/>
          <w:szCs w:val="20"/>
          <w:color w:val="auto"/>
        </w:rPr>
      </w:pPr>
      <w:r>
        <w:rPr>
          <w:rFonts w:ascii="Arial" w:cs="Arial" w:eastAsia="Arial" w:hAnsi="Arial"/>
          <w:sz w:val="18"/>
          <w:szCs w:val="18"/>
          <w:color w:val="auto"/>
        </w:rPr>
        <w:t>The SORs listed by suppliers in their CMRTs were matched against a database of verified SORs. Verified SORs were matched against available lists of processors that have been certified by internationally-recognized industry validation schemes, such as the RMI’s Responsible Minerals Assurance Process – RMAP.</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cases where suppliers and products were associated with certified SORs they were categorized by the Company as “DRC Conflict Free.”</w:t>
      </w:r>
    </w:p>
    <w:p>
      <w:pPr>
        <w:spacing w:after="0" w:line="279" w:lineRule="exact"/>
        <w:rPr>
          <w:sz w:val="20"/>
          <w:szCs w:val="20"/>
          <w:color w:val="auto"/>
        </w:rPr>
      </w:pPr>
    </w:p>
    <w:p>
      <w:pPr>
        <w:ind w:right="320" w:firstLine="648"/>
        <w:spacing w:after="0" w:line="295" w:lineRule="auto"/>
        <w:rPr>
          <w:sz w:val="20"/>
          <w:szCs w:val="20"/>
          <w:color w:val="auto"/>
        </w:rPr>
      </w:pPr>
      <w:r>
        <w:rPr>
          <w:rFonts w:ascii="Arial" w:cs="Arial" w:eastAsia="Arial" w:hAnsi="Arial"/>
          <w:sz w:val="18"/>
          <w:szCs w:val="18"/>
          <w:color w:val="auto"/>
        </w:rPr>
        <w:t>If the SOR was not certified by an internationally-recognized organization, research was conducted to gain more information about the SOR’s sourcing practices, including countries of origin and transfer, and whether there were any internal due diligence procedures in place or other processes the SOR had taken to track the chain-of-custody on the source of its mineral ores.</w:t>
      </w:r>
    </w:p>
    <w:p>
      <w:pPr>
        <w:spacing w:after="0" w:line="209" w:lineRule="exact"/>
        <w:rPr>
          <w:sz w:val="20"/>
          <w:szCs w:val="20"/>
          <w:color w:val="auto"/>
        </w:rPr>
      </w:pPr>
    </w:p>
    <w:p>
      <w:pPr>
        <w:ind w:firstLine="648"/>
        <w:spacing w:after="0" w:line="288" w:lineRule="auto"/>
        <w:rPr>
          <w:sz w:val="20"/>
          <w:szCs w:val="20"/>
          <w:color w:val="auto"/>
        </w:rPr>
      </w:pPr>
      <w:r>
        <w:rPr>
          <w:rFonts w:ascii="Arial" w:cs="Arial" w:eastAsia="Arial" w:hAnsi="Arial"/>
          <w:sz w:val="18"/>
          <w:szCs w:val="18"/>
          <w:color w:val="auto"/>
        </w:rPr>
        <w:t>Tracing materials back to their mine of origin is a complex aspect of responsible sourcing in our supply chain. We have determined that seeking information about 3TG SORs in our supply chain represents the most reasonable effort we can make to determine the mines or locations of origin of the 3TGs in our supply chain. This was done by adopting methodology outlined by the RMI’s joint industry programs and outreach initiatives and requiring our suppliers to conform with the same standards to meet the OECD Guidelines, and report to us using the CMRT. Through this industry joint effort, we made reasonable determination of the mines or locations of origin of</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82" w:right="259" w:bottom="1440" w:gutter="0" w:footer="0" w:header="0"/>
        </w:sectPr>
      </w:pPr>
    </w:p>
    <w:bookmarkStart w:id="9" w:name="page10"/>
    <w:bookmarkEnd w:id="9"/>
    <w:p>
      <w:pPr>
        <w:ind w:right="160"/>
        <w:spacing w:after="0" w:line="309" w:lineRule="auto"/>
        <w:rPr>
          <w:sz w:val="20"/>
          <w:szCs w:val="20"/>
          <w:color w:val="auto"/>
        </w:rPr>
      </w:pPr>
      <w:r>
        <w:rPr>
          <w:rFonts w:ascii="Arial" w:cs="Arial" w:eastAsia="Arial" w:hAnsi="Arial"/>
          <w:sz w:val="18"/>
          <w:szCs w:val="18"/>
          <w:color w:val="auto"/>
        </w:rPr>
        <w:t>the 3TGs in our supply chain. We also requested that all of our suppliers support the initiative by following the sourcing initiative and working to align their declared sources with the “Known” and “Conflict Free” lists of sourced metals.</w:t>
      </w:r>
    </w:p>
    <w:p>
      <w:pPr>
        <w:spacing w:after="0" w:line="19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6"/>
          <w:szCs w:val="16"/>
          <w:b w:val="1"/>
          <w:bCs w:val="1"/>
          <w:color w:val="auto"/>
        </w:rPr>
        <w:t>Design and Implement a Strategy to Respond to Risks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designing and implementing our strategy to respond to the supply chain risks that we identified, LivaNova analyzed various industry approaches.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LivaNova has established a risk management plan through which the conflict minerals program is implemented, managed and monitored.</w:t>
      </w:r>
    </w:p>
    <w:p>
      <w:pPr>
        <w:spacing w:after="0" w:line="279" w:lineRule="exact"/>
        <w:rPr>
          <w:sz w:val="20"/>
          <w:szCs w:val="20"/>
          <w:color w:val="auto"/>
        </w:rPr>
      </w:pPr>
    </w:p>
    <w:p>
      <w:pPr>
        <w:ind w:left="80" w:firstLine="567"/>
        <w:spacing w:after="0" w:line="337" w:lineRule="auto"/>
        <w:rPr>
          <w:sz w:val="20"/>
          <w:szCs w:val="20"/>
          <w:color w:val="auto"/>
        </w:rPr>
      </w:pPr>
      <w:r>
        <w:rPr>
          <w:rFonts w:ascii="Arial" w:cs="Arial" w:eastAsia="Arial" w:hAnsi="Arial"/>
          <w:sz w:val="16"/>
          <w:szCs w:val="16"/>
          <w:color w:val="auto"/>
        </w:rPr>
        <w:t>As part of our risk management plan, to ensure suppliers understand our expectations, we have provided both video, online training courses and documented instructions through Assent Compliance. We answered all questions or requests for clarification from suppliers, assistance completing the CMRT and one-on-one email or phone discussions with supplier personnel. We then provided each supplier a copy of the CMRT to complete for purposes of conflict minerals tracking. Furthermore, we reviewed responses to the reporting CMRT with specific suppliers where we needed clarification.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4.1.4 Carry out Independent Third Party Audit of Supply Chain Due Diligence at Identified Points in the Supply Chain</w:t>
      </w:r>
    </w:p>
    <w:p>
      <w:pPr>
        <w:spacing w:after="0" w:line="283" w:lineRule="exact"/>
        <w:rPr>
          <w:sz w:val="20"/>
          <w:szCs w:val="20"/>
          <w:color w:val="auto"/>
        </w:rPr>
      </w:pPr>
    </w:p>
    <w:p>
      <w:pPr>
        <w:ind w:left="80" w:right="300" w:firstLine="648"/>
        <w:spacing w:after="0" w:line="319" w:lineRule="auto"/>
        <w:rPr>
          <w:sz w:val="20"/>
          <w:szCs w:val="20"/>
          <w:color w:val="auto"/>
        </w:rPr>
      </w:pPr>
      <w:r>
        <w:rPr>
          <w:rFonts w:ascii="Arial" w:cs="Arial" w:eastAsia="Arial" w:hAnsi="Arial"/>
          <w:sz w:val="17"/>
          <w:szCs w:val="17"/>
          <w:color w:val="auto"/>
        </w:rPr>
        <w:t>LivaNova does not have a direct relationship with SORs of 3TGs and as a result, LivaNova does not perform direct audits of these entities in its supply chain. LivaNova relies on the efforts of the industry associations that administer independent third-party SOR audit programs and encourages suppliers with more direct relationships with SORs to participate in comparable due diligence validation activities.</w:t>
      </w:r>
    </w:p>
    <w:p>
      <w:pPr>
        <w:spacing w:after="0" w:line="1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4.1.5</w:t>
      </w:r>
      <w:r>
        <w:rPr>
          <w:sz w:val="20"/>
          <w:szCs w:val="20"/>
          <w:color w:val="auto"/>
        </w:rPr>
        <w:tab/>
      </w:r>
      <w:r>
        <w:rPr>
          <w:rFonts w:ascii="Arial" w:cs="Arial" w:eastAsia="Arial" w:hAnsi="Arial"/>
          <w:sz w:val="16"/>
          <w:szCs w:val="16"/>
          <w:b w:val="1"/>
          <w:bCs w:val="1"/>
          <w:color w:val="auto"/>
        </w:rPr>
        <w:t>Report on Supply Chain Due Diligence</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Conflict Minerals Report is being filed with the SEC as an exhibit to our specialized disclosure report on Form SD and is available on our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website at </w:t>
      </w:r>
      <w:r>
        <w:rPr>
          <w:rFonts w:ascii="Arial" w:cs="Arial" w:eastAsia="Arial" w:hAnsi="Arial"/>
          <w:sz w:val="19"/>
          <w:szCs w:val="19"/>
          <w:u w:val="single" w:color="auto"/>
          <w:color w:val="auto"/>
        </w:rPr>
        <w:t>http://www.livanova.com/investor-relations/sec-filings</w:t>
      </w:r>
      <w:r>
        <w:rPr>
          <w:rFonts w:ascii="Arial" w:cs="Arial" w:eastAsia="Arial" w:hAnsi="Arial"/>
          <w:sz w:val="18"/>
          <w:szCs w:val="18"/>
          <w:color w:val="auto"/>
        </w:rPr>
        <w:t>.</w:t>
      </w:r>
    </w:p>
    <w:p>
      <w:pPr>
        <w:spacing w:after="0" w:line="226"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Results</w:t>
      </w:r>
    </w:p>
    <w:p>
      <w:pPr>
        <w:spacing w:after="0" w:line="283" w:lineRule="exact"/>
        <w:rPr>
          <w:sz w:val="20"/>
          <w:szCs w:val="20"/>
          <w:color w:val="auto"/>
        </w:rPr>
      </w:pPr>
    </w:p>
    <w:p>
      <w:pPr>
        <w:ind w:right="20" w:firstLine="648"/>
        <w:spacing w:after="0" w:line="312" w:lineRule="auto"/>
        <w:rPr>
          <w:sz w:val="20"/>
          <w:szCs w:val="20"/>
          <w:color w:val="auto"/>
        </w:rPr>
      </w:pPr>
      <w:r>
        <w:rPr>
          <w:rFonts w:ascii="Arial" w:cs="Arial" w:eastAsia="Arial" w:hAnsi="Arial"/>
          <w:sz w:val="17"/>
          <w:szCs w:val="17"/>
          <w:color w:val="auto"/>
        </w:rPr>
        <w:t>During our due diligence efforts, members of Assent Compliance and/or members of the LivaNova supply chain team made at least three follow-up inquiries to each “non-responsive” supplier who did not respond to our initial survey, by phone or email. Assent Compliance reviewed the responses against criteria developed to determine which required further engagement with our suppliers. These criteria included incomplete responses as well as inconsistencies within the data reported in the CMRT. Assent Compliance worked directly with those suppliers to provide revised responses.</w:t>
      </w:r>
    </w:p>
    <w:p>
      <w:pPr>
        <w:spacing w:after="0" w:line="199" w:lineRule="exact"/>
        <w:rPr>
          <w:sz w:val="20"/>
          <w:szCs w:val="20"/>
          <w:color w:val="auto"/>
        </w:rPr>
      </w:pPr>
    </w:p>
    <w:p>
      <w:pPr>
        <w:jc w:val="both"/>
        <w:ind w:right="160" w:firstLine="648"/>
        <w:spacing w:after="0" w:line="290" w:lineRule="auto"/>
        <w:rPr>
          <w:sz w:val="20"/>
          <w:szCs w:val="20"/>
          <w:color w:val="auto"/>
        </w:rPr>
      </w:pPr>
      <w:r>
        <w:rPr>
          <w:rFonts w:ascii="Arial" w:cs="Arial" w:eastAsia="Arial" w:hAnsi="Arial"/>
          <w:sz w:val="18"/>
          <w:szCs w:val="18"/>
          <w:color w:val="auto"/>
        </w:rPr>
        <w:t>The large majority of the responses received provided data at the supplier company level or a division/segment level relative to the supplier, rather than at a level directly relating to a part number that the supplier supplies to us, or were otherwise unable to specify the SORs used for components supplied to us. We were therefore unable to determine whether any of the 3TGs that these suppliers reported was contained in components or parts supplied to us are actually in our supply chain.</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82" w:right="259" w:bottom="1440" w:gutter="0" w:footer="0" w:header="0"/>
        </w:sectPr>
      </w:pPr>
    </w:p>
    <w:bookmarkStart w:id="10" w:name="page11"/>
    <w:bookmarkEnd w:id="10"/>
    <w:p>
      <w:pPr>
        <w:ind w:firstLine="648"/>
        <w:spacing w:after="0" w:line="305" w:lineRule="auto"/>
        <w:rPr>
          <w:sz w:val="20"/>
          <w:szCs w:val="20"/>
          <w:color w:val="auto"/>
        </w:rPr>
      </w:pPr>
      <w:r>
        <w:rPr>
          <w:rFonts w:ascii="Arial" w:cs="Arial" w:eastAsia="Arial" w:hAnsi="Arial"/>
          <w:sz w:val="17"/>
          <w:szCs w:val="17"/>
          <w:color w:val="auto"/>
        </w:rPr>
        <w:t xml:space="preserve">As noted above, we received 263 responses from our in-scope suppliers as of May 20, 2018. Based on these responses, for all responses that indicated a SOR, our third party consultant compared the facilities listed to the list of SORs maintained by the RMI. If a supplier indicated that the facility was certified as “Conflict-Free,” Assent Compliance confirmed that the name was listed by RMI as a certified SOR. No violations were identified. As of May 20, 2018, we have validated 318 SORs and we are working to validate the additional SOR entries from the submitted CMRTs.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lists all legitimate smelters and refiners that the suppliers we surveyed reported as being in their supply chains. We have not listed in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any smelters or refiners that we have not been able to validate.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includes an aggregated list of the potential countries of origin from which the reported facilities collectively source conflict minerals, based upon information provided by suppliers and RMI.</w:t>
      </w:r>
    </w:p>
    <w:p>
      <w:pPr>
        <w:spacing w:after="0" w:line="206" w:lineRule="exact"/>
        <w:rPr>
          <w:sz w:val="20"/>
          <w:szCs w:val="20"/>
          <w:color w:val="auto"/>
        </w:rPr>
      </w:pPr>
    </w:p>
    <w:p>
      <w:pPr>
        <w:ind w:right="200" w:firstLine="648"/>
        <w:spacing w:after="0" w:line="309" w:lineRule="auto"/>
        <w:rPr>
          <w:sz w:val="20"/>
          <w:szCs w:val="20"/>
          <w:color w:val="auto"/>
        </w:rPr>
      </w:pPr>
      <w:r>
        <w:rPr>
          <w:rFonts w:ascii="Arial" w:cs="Arial" w:eastAsia="Arial" w:hAnsi="Arial"/>
          <w:sz w:val="18"/>
          <w:szCs w:val="18"/>
          <w:color w:val="auto"/>
        </w:rPr>
        <w:t>Based on the smelter lists provided by suppliers via the CMRTs and publicly available information, we have identified 257 SORs that are certified conflict free smelters by the RMI.</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Efforts to Determine Mine or Location of Origin</w:t>
      </w:r>
    </w:p>
    <w:p>
      <w:pPr>
        <w:spacing w:after="0" w:line="283" w:lineRule="exact"/>
        <w:rPr>
          <w:sz w:val="20"/>
          <w:szCs w:val="20"/>
          <w:color w:val="auto"/>
        </w:rPr>
      </w:pPr>
    </w:p>
    <w:p>
      <w:pPr>
        <w:ind w:firstLine="648"/>
        <w:spacing w:after="0" w:line="290" w:lineRule="auto"/>
        <w:rPr>
          <w:sz w:val="20"/>
          <w:szCs w:val="20"/>
          <w:color w:val="auto"/>
        </w:rPr>
      </w:pPr>
      <w:r>
        <w:rPr>
          <w:rFonts w:ascii="Arial" w:cs="Arial" w:eastAsia="Arial" w:hAnsi="Arial"/>
          <w:sz w:val="18"/>
          <w:szCs w:val="18"/>
          <w:color w:val="auto"/>
        </w:rPr>
        <w:t>By requesting our suppliers to complete the CMRT, and, as the program progresses, requiring full completion of all necessary smelter identification information which will enable the validation and disclosure of the SORs as well as the tracing of the 3TGs to their location of origin, we have determined that seeking information about 3TGs SORs in our supply chain represents the most reasonable effort we can make to determine the mines or locations of origin of the 3TGs in our supply chain.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Planned Process Improvements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take the following steps to improve our conflict minerals program:</w:t>
      </w:r>
    </w:p>
    <w:p>
      <w:pPr>
        <w:spacing w:after="0" w:line="279"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Track and add new suppliers as they enter our supply chain to the Company’s Conflict Minerals program.</w:t>
      </w:r>
    </w:p>
    <w:p>
      <w:pPr>
        <w:spacing w:after="0" w:line="279" w:lineRule="exact"/>
        <w:rPr>
          <w:rFonts w:ascii="Arial" w:cs="Arial" w:eastAsia="Arial" w:hAnsi="Arial"/>
          <w:sz w:val="18"/>
          <w:szCs w:val="18"/>
          <w:color w:val="auto"/>
        </w:rPr>
      </w:pPr>
    </w:p>
    <w:p>
      <w:pPr>
        <w:ind w:left="1300" w:right="80" w:hanging="320"/>
        <w:spacing w:after="0" w:line="30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with suppliers and direct them to training resources to attempt to increase the response rate and improve the content of the supplier survey responses.</w:t>
      </w:r>
    </w:p>
    <w:p>
      <w:pPr>
        <w:spacing w:after="0" w:line="196" w:lineRule="exact"/>
        <w:rPr>
          <w:rFonts w:ascii="Arial" w:cs="Arial" w:eastAsia="Arial" w:hAnsi="Arial"/>
          <w:sz w:val="18"/>
          <w:szCs w:val="18"/>
          <w:color w:val="auto"/>
        </w:rPr>
      </w:pPr>
    </w:p>
    <w:p>
      <w:pPr>
        <w:ind w:left="1300" w:right="640" w:hanging="320"/>
        <w:spacing w:after="0" w:line="377"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Engage any of our suppliers found to be supplying us with 3TG from sources in the DRC or any adjoining country that they cannot demonstrate are “DRC conflict free” to establish an alternative source of 3TG that they can demonstrate are “DRC conflict free”.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82" w:right="27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u w:val="single" w:color="auto"/>
          <w:color w:val="auto"/>
        </w:rPr>
        <w:t>Appendix A 2017 Smelter or Refiner (SOR) List</w:t>
      </w:r>
    </w:p>
    <w:p>
      <w:pPr>
        <w:spacing w:after="0" w:line="216" w:lineRule="exact"/>
        <w:rPr>
          <w:sz w:val="20"/>
          <w:szCs w:val="20"/>
          <w:color w:val="auto"/>
        </w:rPr>
      </w:pPr>
    </w:p>
    <w:p>
      <w:pPr>
        <w:ind w:right="340"/>
        <w:spacing w:after="0" w:line="309" w:lineRule="auto"/>
        <w:rPr>
          <w:sz w:val="20"/>
          <w:szCs w:val="20"/>
          <w:color w:val="auto"/>
        </w:rPr>
      </w:pPr>
      <w:r>
        <w:rPr>
          <w:rFonts w:ascii="Arial" w:cs="Arial" w:eastAsia="Arial" w:hAnsi="Arial"/>
          <w:sz w:val="18"/>
          <w:szCs w:val="18"/>
          <w:color w:val="auto"/>
        </w:rPr>
        <w:t>The following smelters and refiners were reported by our suppliers as being in their supply chains. Facilities that have been certified as conflict-free by an internationally-recognized validation scheme (RMI) for 3TGs smelters and refiners are identified below.</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Metal</w:t>
            </w:r>
          </w:p>
        </w:tc>
        <w:tc>
          <w:tcPr>
            <w:tcW w:w="50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Standard Smelter Name</w:t>
            </w:r>
          </w:p>
        </w:tc>
        <w:tc>
          <w:tcPr>
            <w:tcW w:w="206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w w:val="92"/>
              </w:rPr>
              <w:t>Smelter Facility Location</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Smelter ID</w:t>
            </w:r>
          </w:p>
        </w:tc>
        <w:tc>
          <w:tcPr>
            <w:tcW w:w="16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RMI Audit Status</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Abington Reldan Metals, LLC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CID002708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Advanced Chemical Company</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CID000015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Aida Chemical Industries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CID000019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Al Etihad Gold LLC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ARAB</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CID002560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502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EMIRATES</w:t>
            </w: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Allgemeine Gold-und Silberscheideanstalt A.G.</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CID000035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Almalyk Mining and Metallurgical Complex (AMMC)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UZBEKISTAN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CID000041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AngloGold Ashanti Córrego do Sítio Mineração</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CID000058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Argor-Heraeus S.A.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SWITZERLAND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CID000077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Asahi Pretec Corp.</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CID000082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Asahi Refining Canada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CANADA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CID000924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Asahi Refining USA Inc.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CID000920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Asaka Riken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CID000090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Atasay Kuyumculuk Sanayi Ve Ticaret A.S.</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TURKEY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CID000103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AU Traders and Refiners</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SOUTH AFRICA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CID002850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Aurubis AG</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CID000113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Bangalore Refinery</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CID002863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Active</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w w:val="95"/>
              </w:rPr>
              <w:t>Bangko Sentral ng Pilipinas (Central Bank of the Philippines)</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PHILIPPINES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CID000128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Boliden AB</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SWEDEN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CID000157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 Hafner GmbH + Co. KG</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CID000176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Caridad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MEXICO</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CID000180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CCR Refinery - Glencore Canada Corporation</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CANADA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CID000185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Cendres + Métaux S.A.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SWITZERLAND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CID000189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453"/>
        </w:trPr>
        <w:tc>
          <w:tcPr>
            <w:tcW w:w="1400" w:type="dxa"/>
            <w:vAlign w:val="bottom"/>
          </w:tcPr>
          <w:p>
            <w:pPr>
              <w:spacing w:after="0"/>
              <w:rPr>
                <w:sz w:val="24"/>
                <w:szCs w:val="24"/>
                <w:color w:val="auto"/>
              </w:rPr>
            </w:pPr>
          </w:p>
        </w:tc>
        <w:tc>
          <w:tcPr>
            <w:tcW w:w="5020" w:type="dxa"/>
            <w:vAlign w:val="bottom"/>
          </w:tcPr>
          <w:p>
            <w:pPr>
              <w:ind w:left="4260"/>
              <w:spacing w:after="0"/>
              <w:rPr>
                <w:sz w:val="20"/>
                <w:szCs w:val="20"/>
                <w:color w:val="auto"/>
              </w:rPr>
            </w:pPr>
            <w:r>
              <w:rPr>
                <w:rFonts w:ascii="Arial" w:cs="Arial" w:eastAsia="Arial" w:hAnsi="Arial"/>
                <w:sz w:val="18"/>
                <w:szCs w:val="18"/>
                <w:color w:val="auto"/>
              </w:rPr>
              <w:t>9</w:t>
            </w: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40"/>
          </w:cols>
          <w:pgMar w:left="240" w:top="850" w:right="2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Chimet S.p.A.</w:t>
            </w:r>
          </w:p>
        </w:tc>
        <w:tc>
          <w:tcPr>
            <w:tcW w:w="206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ITALY</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CID000233</w:t>
            </w:r>
          </w:p>
        </w:tc>
        <w:tc>
          <w:tcPr>
            <w:tcW w:w="16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Chugai Mining</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CID000264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Daejin Indus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CID000328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Daye Non-Ferrous Metals Mining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CID000343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Degussa Sonne / Mond Goldhandel GmbH</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CID002867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DODUCO Contacts and Refining GmbH</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CID000362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Dowa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CID000401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DSC (Do Sung Corporation)</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CID000359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Eco-System Recycling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CID000425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Elemetal Refining, LLC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CID001322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Emirates Gold DMCC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ARAB</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CID002561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502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EMIRATES</w:t>
            </w: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Fidelity Printers and Refiners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ZIMBABWE</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CID002515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GCC Gujrat Gold Centre Pvt.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CID002852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Geib Refining Corporation</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CID002459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Gold Refinery of Zijin Mining Group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CID002243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Great Wall Precious Metals Co., Ltd. of CBPM</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CID001909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Guangdong Jinding Gold Limited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CID002312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Guoda Safina High-Tech Environmental Refinery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CID000651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Hangzhou Fuchunjiang Smelting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CID000671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HeeSung</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CID000689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Heimerle + Meule GmbH</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CID000694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Heraeus Metals Hong Kong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CID000707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Heraeus Precious Metals GmbH &amp; Co. KG</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CID000711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Hunan Chenzhou Mining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CID000767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Hwasung CJ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CID000778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w w:val="96"/>
              </w:rPr>
              <w:t>Inner Mongolia Qiankun Gold and Silver Refinery Share Co.,</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CID000801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Ltd.</w:t>
            </w:r>
          </w:p>
        </w:tc>
        <w:tc>
          <w:tcPr>
            <w:tcW w:w="2060" w:type="dxa"/>
            <w:vAlign w:val="bottom"/>
            <w:tcBorders>
              <w:right w:val="single" w:sz="8" w:color="00000A"/>
            </w:tcBorders>
          </w:tcPr>
          <w:p>
            <w:pPr>
              <w:spacing w:after="0"/>
              <w:rPr>
                <w:sz w:val="20"/>
                <w:szCs w:val="20"/>
                <w:color w:val="auto"/>
              </w:rPr>
            </w:pP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Ishifuku Metal Industry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CID000807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Istanbul Gold Refinery</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TURKEY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CID000814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453"/>
        </w:trPr>
        <w:tc>
          <w:tcPr>
            <w:tcW w:w="1400" w:type="dxa"/>
            <w:vAlign w:val="bottom"/>
          </w:tcPr>
          <w:p>
            <w:pPr>
              <w:spacing w:after="0"/>
              <w:rPr>
                <w:sz w:val="24"/>
                <w:szCs w:val="24"/>
                <w:color w:val="auto"/>
              </w:rPr>
            </w:pPr>
          </w:p>
        </w:tc>
        <w:tc>
          <w:tcPr>
            <w:tcW w:w="5020" w:type="dxa"/>
            <w:vAlign w:val="bottom"/>
          </w:tcPr>
          <w:p>
            <w:pPr>
              <w:ind w:left="4220"/>
              <w:spacing w:after="0"/>
              <w:rPr>
                <w:sz w:val="20"/>
                <w:szCs w:val="20"/>
                <w:color w:val="auto"/>
              </w:rPr>
            </w:pPr>
            <w:r>
              <w:rPr>
                <w:rFonts w:ascii="Arial" w:cs="Arial" w:eastAsia="Arial" w:hAnsi="Arial"/>
                <w:sz w:val="18"/>
                <w:szCs w:val="18"/>
                <w:color w:val="auto"/>
              </w:rPr>
              <w:t>10</w:t>
            </w: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Italpreziosi</w:t>
            </w:r>
          </w:p>
        </w:tc>
        <w:tc>
          <w:tcPr>
            <w:tcW w:w="206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ITALY</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CID002765</w:t>
            </w:r>
          </w:p>
        </w:tc>
        <w:tc>
          <w:tcPr>
            <w:tcW w:w="16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Japan Mint</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CID000823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Jiangxi Copper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CID000855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JSC Ekaterinburg Non-Ferrous Metal Processing Plant</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RUSSIAN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CID000927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502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FEDERATION</w:t>
            </w: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JSC Uralelectromed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RUSSIAN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CID000929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502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FEDERATION</w:t>
            </w: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JX Nippon Mining &amp; Metals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CID000937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Kaloti Precious Metals</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ARAB</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CID002563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502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EMIRATES</w:t>
            </w: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Kazakhmys Smelting LLC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KAZAKHSTAN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CID000956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Kazzinc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KAZAKHSTAN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CID000957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Kennecott Utah Copper LLC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CID000969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KGHM Polska Miedz Spolka Akcyjna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POLAND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CID002511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Active</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Kojima Chemicals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CID000981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Korea Zinc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CID002605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Kyrgyzaltyn JSC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KYRGYZSTAN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CID001029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Kyshtym Copper-Electrolytic Plant ZAO</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RUSSIAN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CID002865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502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FEDERATION</w:t>
            </w: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L'azurde Company For Jewelry</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SAUDI ARABIA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CID001032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Lingbao Gold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CID001056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Lingbao Jinyuan Tonghui Refinery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CID001058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L'Orfebre S.A.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ANDORRA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CID002762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Active</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LS-NIKKO Copper Inc.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CID001078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Luoyang Zijin Yinhui Gold Refinery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CID001093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Marsam Metals</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CID002606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Materion</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CID001113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Matsuda Sangyo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CID001119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Metalor Technologies (Hong Kong)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CID001149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Metalor Technologies (Singapore) Pte.,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SINGAPORE</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CID001152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Metalor Technologies (Suzhou)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CID001147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Metalor Technologies S.A.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SWITZERLAND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CID001153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453"/>
        </w:trPr>
        <w:tc>
          <w:tcPr>
            <w:tcW w:w="1400" w:type="dxa"/>
            <w:vAlign w:val="bottom"/>
          </w:tcPr>
          <w:p>
            <w:pPr>
              <w:spacing w:after="0"/>
              <w:rPr>
                <w:sz w:val="24"/>
                <w:szCs w:val="24"/>
                <w:color w:val="auto"/>
              </w:rPr>
            </w:pPr>
          </w:p>
        </w:tc>
        <w:tc>
          <w:tcPr>
            <w:tcW w:w="5020" w:type="dxa"/>
            <w:vAlign w:val="bottom"/>
          </w:tcPr>
          <w:p>
            <w:pPr>
              <w:ind w:left="4220"/>
              <w:spacing w:after="0"/>
              <w:rPr>
                <w:sz w:val="20"/>
                <w:szCs w:val="20"/>
                <w:color w:val="auto"/>
              </w:rPr>
            </w:pPr>
            <w:r>
              <w:rPr>
                <w:rFonts w:ascii="Arial" w:cs="Arial" w:eastAsia="Arial" w:hAnsi="Arial"/>
                <w:sz w:val="18"/>
                <w:szCs w:val="18"/>
                <w:color w:val="auto"/>
              </w:rPr>
              <w:t>11</w:t>
            </w: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Metalor USA Refining Corporation</w:t>
            </w:r>
          </w:p>
        </w:tc>
        <w:tc>
          <w:tcPr>
            <w:tcW w:w="206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CID001157</w:t>
            </w:r>
          </w:p>
        </w:tc>
        <w:tc>
          <w:tcPr>
            <w:tcW w:w="16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Metalúrgica Met-Mex Peñoles S.A. De C.V.</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MEXICO</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CID001161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Mitsubishi Materials Corporation</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CID001188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Mitsui Mining and Smelting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CID001193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MMTC-PAMP India Pvt.,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CID002509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Modeltech Sdn Bhd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MALAYSIA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CID002857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Active</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Morris and Watson</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NEW ZEALAND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CID002282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Morris and Watson Gold Coast</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AUSTRALIA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CID002866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Moscow Special Alloys Processing Plant</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RUSSIAN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CID001204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502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FEDERATION</w:t>
            </w: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Nadir Metal Rafineri San. Ve Tic. A.Ş.</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TURKEY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CID001220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Navoi Mining and Metallurgical Combinat</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UZBEKISTAN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CID001236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Nihon Material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CID001259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w w:val="91"/>
              </w:rPr>
              <w:t>Ögussa Österreichische Gold- und Silber-Scheideanstalt GmbH</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AUSTRIA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CID002779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Ohura Precious Metal Industry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CID001325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w w:val="96"/>
              </w:rPr>
              <w:t>OJSC "The Gulidov Krasnoyarsk Non-Ferrous Metals Plant"</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RUSSIAN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CID001326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(OJSC Krastsvetmet)</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FEDERATION</w:t>
            </w: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OJSC Novosibirsk Refinery</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RUSSIAN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CID000493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502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FEDERATION</w:t>
            </w: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PAMP S.A.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SWITZERLAND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CID001352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Pease &amp; Curren</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CID002872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Penglai Penggang Gold Industry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CID001362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Planta Recuperadora de Metales SpA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CHILE</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CID002919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Prioksky Plant of Non-Ferrous Metals</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RUSSIAN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CID001386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502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FEDERATION</w:t>
            </w: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PT Aneka Tambang (Persero) Tbk</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CID001397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PX Précinox S.A.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SWITZERLAND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CID001498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Rand Refinery (Pty)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SOUTH AFRICA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CID001512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Refinery of Seemine Gold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CID000522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Remondis Argentia B.V.</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NETHERLANDS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CID002582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Active</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Republic Metals Corporation</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CID002510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Royal Canadian Mint</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CANADA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CID001534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453"/>
        </w:trPr>
        <w:tc>
          <w:tcPr>
            <w:tcW w:w="1400" w:type="dxa"/>
            <w:vAlign w:val="bottom"/>
          </w:tcPr>
          <w:p>
            <w:pPr>
              <w:spacing w:after="0"/>
              <w:rPr>
                <w:sz w:val="24"/>
                <w:szCs w:val="24"/>
                <w:color w:val="auto"/>
              </w:rPr>
            </w:pPr>
          </w:p>
        </w:tc>
        <w:tc>
          <w:tcPr>
            <w:tcW w:w="5020" w:type="dxa"/>
            <w:vAlign w:val="bottom"/>
          </w:tcPr>
          <w:p>
            <w:pPr>
              <w:ind w:left="4220"/>
              <w:spacing w:after="0"/>
              <w:rPr>
                <w:sz w:val="20"/>
                <w:szCs w:val="20"/>
                <w:color w:val="auto"/>
              </w:rPr>
            </w:pPr>
            <w:r>
              <w:rPr>
                <w:rFonts w:ascii="Arial" w:cs="Arial" w:eastAsia="Arial" w:hAnsi="Arial"/>
                <w:sz w:val="18"/>
                <w:szCs w:val="18"/>
                <w:color w:val="auto"/>
              </w:rPr>
              <w:t>12</w:t>
            </w: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SAAMP</w:t>
            </w:r>
          </w:p>
        </w:tc>
        <w:tc>
          <w:tcPr>
            <w:tcW w:w="206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FRANCE</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CID002761</w:t>
            </w:r>
          </w:p>
        </w:tc>
        <w:tc>
          <w:tcPr>
            <w:tcW w:w="16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Sabin Metal Corp.</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CID001546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Safimet S.p.A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Italy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CID002973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SAFINA A.S.</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CZECH REPUBLIC</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CID002290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Active</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Sai Refinery</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CID002853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Samduck Precious Metals</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CID001555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SAMWON Metals Corp.</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CID001562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SAXONIA Edelmetalle GmbH</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CID002777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Schone Edelmetaal B.V.</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NETHERLANDS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CID001573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SEMPSA Joyería Platería S.A.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SPAIN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CID001585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Shandong Tiancheng Biological Gold Industrial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CID001619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Shandong Zhaojin Gold &amp; Silver Refinery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CID001622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Sichuan Tianze Precious Metals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CID001736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Singway Technology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TAIWAN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CID002516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SOE Shyolkovsky Factory of Secondary Precious Metals</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RUSSIAN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CID001756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502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FEDERATION</w:t>
            </w: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Solar Applied Materials Technology Corp.</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TAIWAN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CID001761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State Research Institute Center for Physical Sciences and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LITHUANIA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CID003153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Technology</w:t>
            </w:r>
          </w:p>
        </w:tc>
        <w:tc>
          <w:tcPr>
            <w:tcW w:w="2060" w:type="dxa"/>
            <w:vAlign w:val="bottom"/>
            <w:tcBorders>
              <w:right w:val="single" w:sz="8" w:color="00000A"/>
            </w:tcBorders>
          </w:tcPr>
          <w:p>
            <w:pPr>
              <w:spacing w:after="0"/>
              <w:rPr>
                <w:sz w:val="20"/>
                <w:szCs w:val="20"/>
                <w:color w:val="auto"/>
              </w:rPr>
            </w:pP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Sudan Gold Refinery</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SUDAN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CID002567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Sumitomo Metal Mining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CID001798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SungEel HiTech</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CID002918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T.C.A S.p.A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ITALY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CID002580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Tanaka Kikinzoku Kogyo K.K.</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CID001875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The Refinery of Shandong Gold Mining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CID001916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Tokuriki Honten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CID001938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Tongling Nonferrous Metals Group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CID001947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Tony Goetz NV</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BELGIUM</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CID002587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TOO Tau-Ken-Altyn</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KAZAKHSTAN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CID002615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Torecom</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CID001955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453"/>
        </w:trPr>
        <w:tc>
          <w:tcPr>
            <w:tcW w:w="1400" w:type="dxa"/>
            <w:vAlign w:val="bottom"/>
          </w:tcPr>
          <w:p>
            <w:pPr>
              <w:spacing w:after="0"/>
              <w:rPr>
                <w:sz w:val="24"/>
                <w:szCs w:val="24"/>
                <w:color w:val="auto"/>
              </w:rPr>
            </w:pPr>
          </w:p>
        </w:tc>
        <w:tc>
          <w:tcPr>
            <w:tcW w:w="5020" w:type="dxa"/>
            <w:vAlign w:val="bottom"/>
          </w:tcPr>
          <w:p>
            <w:pPr>
              <w:ind w:left="4220"/>
              <w:spacing w:after="0"/>
              <w:rPr>
                <w:sz w:val="20"/>
                <w:szCs w:val="20"/>
                <w:color w:val="auto"/>
              </w:rPr>
            </w:pPr>
            <w:r>
              <w:rPr>
                <w:rFonts w:ascii="Arial" w:cs="Arial" w:eastAsia="Arial" w:hAnsi="Arial"/>
                <w:sz w:val="18"/>
                <w:szCs w:val="18"/>
                <w:color w:val="auto"/>
              </w:rPr>
              <w:t>13</w:t>
            </w: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Umicore Brasil Ltda.</w:t>
            </w:r>
          </w:p>
        </w:tc>
        <w:tc>
          <w:tcPr>
            <w:tcW w:w="206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BRAZIL</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CID001977</w:t>
            </w:r>
          </w:p>
        </w:tc>
        <w:tc>
          <w:tcPr>
            <w:tcW w:w="16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Umicore Precious Metals Thailand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THAILAND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CID002314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Umicore S.A. Business Unit Precious Metals Refining</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BELGIUM</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CID001980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United Precious Metal Refining, Inc.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CID001993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Universal Precious Metals Refining Zambia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ZAMBIA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CID002854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Valcambi S.A.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SWITZERLAND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CID002003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Western Australian Mint trading as The Perth Mint</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AUSTRALIA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CID002030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WIELAND Edelmetalle GmbH</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CID002778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Yamamoto Precious Metal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CID002100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Yokohama Metal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CID002129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Yunnan Copper Industry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CID000197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Zhongyuan Gold Smelter of Zhongjin Gold Corporation</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CID002224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Asaka Riken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CID000092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Changsha South Tantalum Niobium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CID000211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D Block Metals, LLC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CID002504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Duoluoshan</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CID000410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Exotech Inc.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CID000456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F&amp;X Electro-Materials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CID000460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FIR Metals &amp; Resource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CID002505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Global Advanced Metals Aizu</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CID002558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Global Advanced Metals Boyertown</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CID002557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Guangdong Rising Rare Metals-EO Materials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CID000291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Guangdong Zhiyuan New Material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CID000616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H.C. Starck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THAILAND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CID002544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H.C. Starck Hermsdorf GmbH</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CID002547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H.C. Starck Inc.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CID002548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H.C. Starck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CID002549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H.C. Starck Smelting GmbH &amp; Co. KG</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CID002550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453"/>
        </w:trPr>
        <w:tc>
          <w:tcPr>
            <w:tcW w:w="1400" w:type="dxa"/>
            <w:vAlign w:val="bottom"/>
          </w:tcPr>
          <w:p>
            <w:pPr>
              <w:spacing w:after="0"/>
              <w:rPr>
                <w:sz w:val="24"/>
                <w:szCs w:val="24"/>
                <w:color w:val="auto"/>
              </w:rPr>
            </w:pPr>
          </w:p>
        </w:tc>
        <w:tc>
          <w:tcPr>
            <w:tcW w:w="5020" w:type="dxa"/>
            <w:vAlign w:val="bottom"/>
          </w:tcPr>
          <w:p>
            <w:pPr>
              <w:ind w:left="4220"/>
              <w:spacing w:after="0"/>
              <w:rPr>
                <w:sz w:val="20"/>
                <w:szCs w:val="20"/>
                <w:color w:val="auto"/>
              </w:rPr>
            </w:pPr>
            <w:r>
              <w:rPr>
                <w:rFonts w:ascii="Arial" w:cs="Arial" w:eastAsia="Arial" w:hAnsi="Arial"/>
                <w:sz w:val="18"/>
                <w:szCs w:val="18"/>
                <w:color w:val="auto"/>
              </w:rPr>
              <w:t>14</w:t>
            </w: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Borders>
              <w:top w:val="single" w:sz="8" w:color="00000A"/>
            </w:tcBorders>
          </w:tcPr>
          <w:p>
            <w:pPr>
              <w:ind w:left="20"/>
              <w:spacing w:after="0"/>
              <w:rPr>
                <w:sz w:val="20"/>
                <w:szCs w:val="20"/>
                <w:color w:val="auto"/>
              </w:rPr>
            </w:pPr>
            <w:r>
              <w:rPr>
                <w:rFonts w:ascii="Arial" w:cs="Arial" w:eastAsia="Arial" w:hAnsi="Arial"/>
                <w:sz w:val="18"/>
                <w:szCs w:val="18"/>
                <w:b w:val="1"/>
                <w:bCs w:val="1"/>
                <w:color w:val="auto"/>
              </w:rPr>
              <w:t>H.C. Starck Tantalum and Niobium GmbH</w:t>
            </w:r>
          </w:p>
        </w:tc>
        <w:tc>
          <w:tcPr>
            <w:tcW w:w="860" w:type="dxa"/>
            <w:vAlign w:val="bottom"/>
            <w:tcBorders>
              <w:top w:val="single" w:sz="8" w:color="00000A"/>
              <w:right w:val="single" w:sz="8" w:color="00000A"/>
            </w:tcBorders>
          </w:tcPr>
          <w:p>
            <w:pPr>
              <w:spacing w:after="0"/>
              <w:rPr>
                <w:sz w:val="22"/>
                <w:szCs w:val="22"/>
                <w:color w:val="auto"/>
              </w:rPr>
            </w:pPr>
          </w:p>
        </w:tc>
        <w:tc>
          <w:tcPr>
            <w:tcW w:w="206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GERMANY</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CID002545</w:t>
            </w:r>
          </w:p>
        </w:tc>
        <w:tc>
          <w:tcPr>
            <w:tcW w:w="16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w w:val="94"/>
              </w:rPr>
              <w:t>Hengyang King Xing Lifeng New Materials Co., Ltd.</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CID002492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Jiangxi Dinghai Tantalum &amp; Niobium Co., Ltd.</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CID002512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Jiangxi Tuohong New Raw Material</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CID002842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Jiujiang Janny New Material Co., Ltd.</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CID003191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JiuJiang JinXin Nonferrous Metals Co., Ltd.</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CID000914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Jiujiang Tanbre Co., Ltd.</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CID000917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Jiujiang Zhongao Tantalum &amp; Niobium Co., Ltd.</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CID002506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KEMET Blue Metals</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MEXICO</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CID002539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KEMET Blue Powder</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CID002568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King-Tan Tantalum Industry Ltd.</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CID000973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LSM Brasil S.A.</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CID001076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Metallurgical Products India Pvt., Ltd.</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CID001163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Mineracao Taboca S.A.</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CID001175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Mitsui Mining and Smelting Co., Ltd.</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CID001192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Ningxia Orient Tantalum Industry Co., Ltd.</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CID001277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NPM Silmet AS</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ESTONIA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CID001200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Power Resources Ltd.</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MACEDONIA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CID002847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QuantumClean</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CID001508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Resind Industria e Comercio Ltda.</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CID002707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RFH Tantalum Smeltry Co., Ltd.</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CID001522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Solikamsk Magnesium Works OAO</w:t>
            </w:r>
          </w:p>
        </w:tc>
        <w:tc>
          <w:tcPr>
            <w:tcW w:w="860" w:type="dxa"/>
            <w:vAlign w:val="bottom"/>
            <w:tcBorders>
              <w:right w:val="single" w:sz="8" w:color="00000A"/>
            </w:tcBorders>
          </w:tcPr>
          <w:p>
            <w:pPr>
              <w:spacing w:after="0"/>
              <w:rPr>
                <w:sz w:val="18"/>
                <w:szCs w:val="18"/>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RUSSIAN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CID001769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4160" w:type="dxa"/>
            <w:vAlign w:val="bottom"/>
          </w:tcPr>
          <w:p>
            <w:pPr>
              <w:spacing w:after="0"/>
              <w:rPr>
                <w:sz w:val="20"/>
                <w:szCs w:val="20"/>
                <w:color w:val="auto"/>
              </w:rPr>
            </w:pP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FEDERATION</w:t>
            </w: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Taki Chemicals</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CID001869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Telex Metals</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CID001891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Ulba Metallurgical Plant JSC</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KAZAKHSTAN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CID001969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XinXing HaoRong Electronic Material Co., Ltd.</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CID002508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Yichun Jin Yang Rare Metal Co., Ltd.</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CID002307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Alpha</w:t>
            </w:r>
          </w:p>
        </w:tc>
        <w:tc>
          <w:tcPr>
            <w:tcW w:w="86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CID000292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tcBorders>
          </w:tcPr>
          <w:p>
            <w:pPr>
              <w:spacing w:after="0"/>
              <w:rPr>
                <w:sz w:val="2"/>
                <w:szCs w:val="2"/>
                <w:color w:val="auto"/>
              </w:rPr>
            </w:pPr>
          </w:p>
        </w:tc>
        <w:tc>
          <w:tcPr>
            <w:tcW w:w="86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453"/>
        </w:trPr>
        <w:tc>
          <w:tcPr>
            <w:tcW w:w="14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860" w:type="dxa"/>
            <w:vAlign w:val="bottom"/>
          </w:tcPr>
          <w:p>
            <w:pPr>
              <w:jc w:val="right"/>
              <w:ind w:right="530"/>
              <w:spacing w:after="0"/>
              <w:rPr>
                <w:sz w:val="20"/>
                <w:szCs w:val="20"/>
                <w:color w:val="auto"/>
              </w:rPr>
            </w:pPr>
            <w:r>
              <w:rPr>
                <w:rFonts w:ascii="Arial" w:cs="Arial" w:eastAsia="Arial" w:hAnsi="Arial"/>
                <w:sz w:val="18"/>
                <w:szCs w:val="18"/>
                <w:color w:val="auto"/>
              </w:rPr>
              <w:t>15</w:t>
            </w: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An Vinh Joint Stock Mineral Processing Company</w:t>
            </w:r>
          </w:p>
        </w:tc>
        <w:tc>
          <w:tcPr>
            <w:tcW w:w="206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VIET NAM</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CID002703</w:t>
            </w:r>
          </w:p>
        </w:tc>
        <w:tc>
          <w:tcPr>
            <w:tcW w:w="16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Chenzhou Yunxiang Mining and Metallurgy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CID000228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Chifeng Dajingzi Tin Industry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CID003190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Active</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China Tin Group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CID001070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CNMC (Guangxi) PGMA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CID000278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CV Ayi Jaya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CID002570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CV Dua Sekawan</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CID002592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CV Gita Pesona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CID000306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CV Tiga Sekawan</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CID002593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CV United Smelting</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CID000315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CV Venus Inti Perkasa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CID002455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Dowa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CID000402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Electro-Mechanical Facility of the Cao Bang Minerals &amp;</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VIET NAM</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CID002572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Metallurgy Joint Stock Company</w:t>
            </w:r>
          </w:p>
        </w:tc>
        <w:tc>
          <w:tcPr>
            <w:tcW w:w="2060" w:type="dxa"/>
            <w:vAlign w:val="bottom"/>
            <w:tcBorders>
              <w:right w:val="single" w:sz="8" w:color="00000A"/>
            </w:tcBorders>
          </w:tcPr>
          <w:p>
            <w:pPr>
              <w:spacing w:after="0"/>
              <w:rPr>
                <w:sz w:val="20"/>
                <w:szCs w:val="20"/>
                <w:color w:val="auto"/>
              </w:rPr>
            </w:pP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EM Vinto</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BOLIVIA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CID000438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Estanho de Rondônia S.A.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CID000448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Fenix Metals</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POLAND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CID000468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Gejiu Fengming Metallurgy Chemical Plant</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CID002848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Gejiu Jinye Mineral Company</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CID002859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Gejiu Kai Meng Industry and Trade LLC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CID000942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Gejiu Non-Ferrous Metal Processing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CID000538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Gejiu Yunxin Nonferrous Electrolysis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CID001908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Gejiu Zili Mining And Metallurgy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CID000555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Guangdong Hanhe Non-ferrous Metal Limited Company</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CID003116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Guanyang Guida Nonferrous Metal Smelting Plant</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CID002849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HuiChang Hill Tin Industry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CID002844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Huichang Jinshunda Tin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CID000760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Jiangxi Ketai Advanced Material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CID000244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Jiangxi New Nanshan Technology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CID001231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453"/>
        </w:trPr>
        <w:tc>
          <w:tcPr>
            <w:tcW w:w="1400" w:type="dxa"/>
            <w:vAlign w:val="bottom"/>
          </w:tcPr>
          <w:p>
            <w:pPr>
              <w:spacing w:after="0"/>
              <w:rPr>
                <w:sz w:val="24"/>
                <w:szCs w:val="24"/>
                <w:color w:val="auto"/>
              </w:rPr>
            </w:pPr>
          </w:p>
        </w:tc>
        <w:tc>
          <w:tcPr>
            <w:tcW w:w="5020" w:type="dxa"/>
            <w:vAlign w:val="bottom"/>
          </w:tcPr>
          <w:p>
            <w:pPr>
              <w:ind w:left="4220"/>
              <w:spacing w:after="0"/>
              <w:rPr>
                <w:sz w:val="20"/>
                <w:szCs w:val="20"/>
                <w:color w:val="auto"/>
              </w:rPr>
            </w:pPr>
            <w:r>
              <w:rPr>
                <w:rFonts w:ascii="Arial" w:cs="Arial" w:eastAsia="Arial" w:hAnsi="Arial"/>
                <w:sz w:val="18"/>
                <w:szCs w:val="18"/>
                <w:color w:val="auto"/>
              </w:rPr>
              <w:t>16</w:t>
            </w: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Borders>
              <w:top w:val="single" w:sz="8" w:color="00000A"/>
            </w:tcBorders>
          </w:tcPr>
          <w:p>
            <w:pPr>
              <w:ind w:left="20"/>
              <w:spacing w:after="0"/>
              <w:rPr>
                <w:sz w:val="20"/>
                <w:szCs w:val="20"/>
                <w:color w:val="auto"/>
              </w:rPr>
            </w:pPr>
            <w:r>
              <w:rPr>
                <w:rFonts w:ascii="Arial" w:cs="Arial" w:eastAsia="Arial" w:hAnsi="Arial"/>
                <w:sz w:val="18"/>
                <w:szCs w:val="18"/>
                <w:b w:val="1"/>
                <w:bCs w:val="1"/>
                <w:color w:val="auto"/>
              </w:rPr>
              <w:t>Magnu's Minerais Metais e Ligas Ltda.</w:t>
            </w:r>
          </w:p>
        </w:tc>
        <w:tc>
          <w:tcPr>
            <w:tcW w:w="840" w:type="dxa"/>
            <w:vAlign w:val="bottom"/>
            <w:tcBorders>
              <w:top w:val="single" w:sz="8" w:color="00000A"/>
              <w:right w:val="single" w:sz="8" w:color="00000A"/>
            </w:tcBorders>
          </w:tcPr>
          <w:p>
            <w:pPr>
              <w:spacing w:after="0"/>
              <w:rPr>
                <w:sz w:val="22"/>
                <w:szCs w:val="22"/>
                <w:color w:val="auto"/>
              </w:rPr>
            </w:pPr>
          </w:p>
        </w:tc>
        <w:tc>
          <w:tcPr>
            <w:tcW w:w="206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BRAZIL</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CID002468</w:t>
            </w:r>
          </w:p>
        </w:tc>
        <w:tc>
          <w:tcPr>
            <w:tcW w:w="16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Malaysia Smelting Corporation (MSC)</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MALAYSIA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CID001105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Melt Metais e Ligas S.A.</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CID002500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Metallic Resources, Inc.</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CID001142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Metallo Belgium N.V.</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BELGIUM</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CID002773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Metallo Spain S.L.U.</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SPAIN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CID002774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Mineracao Taboca S.A.</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CID001173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Minsur</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PERU</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CID001182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Mitsubishi Materials Corporation</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CID001191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Modeltech Sdn Bhd</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MALAYSIA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CID002858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Active</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w w:val="91"/>
              </w:rPr>
              <w:t>Nghe Tinh Non-Ferrous Metals Joint Stock Company</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VIET NAM</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CID002573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O.M. Manufacturing (Thailand) Co., Ltd.</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THAILAND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CID001314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O.M. Manufacturing Philippines, Inc.</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PHILIPPINES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CID002517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Operaciones Metalurgical S.A.</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BOLIVIA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CID001337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Pongpipat Company Limited</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MYANMAR</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CID003208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PT Aries Kencana Sejahtera</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CID000309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PT Artha Cipta Langgeng</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CID001399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PT ATD Makmur Mandiri Jaya</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CID002503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PT Babel Inti Perkasa</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CID001402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PT Bangka Prima Tin</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CID002776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PT Bangka Serumpun</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CID003205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PT Bangka Tin Industry</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CID001419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PT Belitung Industri Sejahtera</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CID001421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PT Bukit Timah</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CID001428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PT DS Jaya Abadi</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CID001434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PT Eunindo Usaha Mandiri</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CID001438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PT Inti Stania Prima</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CID002530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PT Karimun Mining</w:t>
            </w:r>
          </w:p>
        </w:tc>
        <w:tc>
          <w:tcPr>
            <w:tcW w:w="84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CID001448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84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453"/>
        </w:trPr>
        <w:tc>
          <w:tcPr>
            <w:tcW w:w="14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17</w:t>
            </w: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PT Kijang Jaya Mandiri</w:t>
            </w:r>
          </w:p>
        </w:tc>
        <w:tc>
          <w:tcPr>
            <w:tcW w:w="206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CID002829</w:t>
            </w:r>
          </w:p>
        </w:tc>
        <w:tc>
          <w:tcPr>
            <w:tcW w:w="16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PT Lautan Harmonis Sejahtera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CID002870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PT Menara Cipta Mulia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CID002835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PT Mitra Stania Prima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CID001453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PT O.M. Indonesia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CID002757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PT Panca Mega Persada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CID001457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PT Premium Tin Indonesia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CID000313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PT Prima Timah Utama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CID001458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PT Refined Bangka Tin</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CID001460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PT Sariwiguna Binasentosa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CID001463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PT Stanindo Inti Perkasa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CID001468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PT Sukses Inti Makmur</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CID002816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PT Sumber Jaya Indah</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CID001471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PT Timah (Persero) Tbk Kundur</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CID001477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PT Timah (Persero) Tbk Mentok</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CID001482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PT Tinindo Inter Nusa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CID001490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PT Tommy Utama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INDONESIA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CID001493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Resind Industria e Comercio Ltda.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CID002706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Rui Da Hung</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TAIWAN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CID001539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Soft Metais Ltda.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CID001758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Super Ligas</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CID002756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Thaisarco</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THAILAND</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CID001898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Tuyen Quang Non-Ferrous Metals Joint Stock Company</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VIET NAM</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CID002574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White Solder Metalurgia e Mineração Ltda.</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CID002036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Yunnan Chengfeng Non-ferrous Metals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CID002158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Yunnan Tin Company Limited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CID002180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A.L.M.T. TUNGSTEN Corp.</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CID000004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ACL Metais Eireli</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BRAZIL</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CID002833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453"/>
        </w:trPr>
        <w:tc>
          <w:tcPr>
            <w:tcW w:w="1400" w:type="dxa"/>
            <w:vAlign w:val="bottom"/>
          </w:tcPr>
          <w:p>
            <w:pPr>
              <w:spacing w:after="0"/>
              <w:rPr>
                <w:sz w:val="24"/>
                <w:szCs w:val="24"/>
                <w:color w:val="auto"/>
              </w:rPr>
            </w:pPr>
          </w:p>
        </w:tc>
        <w:tc>
          <w:tcPr>
            <w:tcW w:w="5020" w:type="dxa"/>
            <w:vAlign w:val="bottom"/>
          </w:tcPr>
          <w:p>
            <w:pPr>
              <w:ind w:left="4220"/>
              <w:spacing w:after="0"/>
              <w:rPr>
                <w:sz w:val="20"/>
                <w:szCs w:val="20"/>
                <w:color w:val="auto"/>
              </w:rPr>
            </w:pPr>
            <w:r>
              <w:rPr>
                <w:rFonts w:ascii="Arial" w:cs="Arial" w:eastAsia="Arial" w:hAnsi="Arial"/>
                <w:sz w:val="18"/>
                <w:szCs w:val="18"/>
                <w:color w:val="auto"/>
              </w:rPr>
              <w:t>18</w:t>
            </w: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Asia Tungsten Products Vietnam Ltd.</w:t>
            </w:r>
          </w:p>
        </w:tc>
        <w:tc>
          <w:tcPr>
            <w:tcW w:w="206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VIET NAM</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CID002502</w:t>
            </w:r>
          </w:p>
        </w:tc>
        <w:tc>
          <w:tcPr>
            <w:tcW w:w="16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Chenzhou Diamond Tungsten Products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CID002513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Chongyi Zhangyuan Tungsten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CID000258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Fujian Jinxin Tungsten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CID000499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Ganzhou Haichuang Tungsten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CID002645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Active</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Ganzhou Huaxing Tungsten Products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CID000875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Ganzhou Jiangwu Ferrotungsten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CID002315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Ganzhou Seadragon W &amp; Mo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CID002494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Ganzhou Yatai Tungsten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CID002536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Global Tungsten &amp; Powders Corp.</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CID000568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Guangdong Xianglu Tungsten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CID000218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H.C. Starck Smelting GmbH &amp; Co.KG</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CID002542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H.C. Starck Tungsten GmbH</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GERMANY</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CID002541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Hunan Chenzhou Mining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CID000766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Hunan Chuangda Vanadium Tungsten Co., Ltd. Wuji</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CID002579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Hunan Chunchang Nonferrous Metals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CID000769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Hunan Litian Tungsten Industry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CID003182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Hydrometallurg, JSC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RUSSIAN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CID002649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502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FEDERATION</w:t>
            </w: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Japan New Metals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CID000825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Jiangwu H.C. Starck Tungsten Products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CID002551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Jiangxi Dayu Longxintai Tungsten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CID002647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Jiangxi Gan Bei Tungsten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CID002321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Jiangxi Minmetals Gao'an Non-ferrous Metals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CID002313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Not Enrolled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w w:val="92"/>
              </w:rPr>
              <w:t>Jiangxi Tonggu Non-ferrous Metallurgical &amp; Chemical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CID002318</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Jiangxi Xinsheng Tungsten Industry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CID002317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Jiangxi Xiushui Xianggan Nonferrous Metals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CID002535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Jiangxi Yaosheng Tungsten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CID002316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Kennametal Fallon</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CID000966</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453"/>
        </w:trPr>
        <w:tc>
          <w:tcPr>
            <w:tcW w:w="1400" w:type="dxa"/>
            <w:vAlign w:val="bottom"/>
          </w:tcPr>
          <w:p>
            <w:pPr>
              <w:spacing w:after="0"/>
              <w:rPr>
                <w:sz w:val="24"/>
                <w:szCs w:val="24"/>
                <w:color w:val="auto"/>
              </w:rPr>
            </w:pPr>
          </w:p>
        </w:tc>
        <w:tc>
          <w:tcPr>
            <w:tcW w:w="5020" w:type="dxa"/>
            <w:vAlign w:val="bottom"/>
          </w:tcPr>
          <w:p>
            <w:pPr>
              <w:ind w:left="4220"/>
              <w:spacing w:after="0"/>
              <w:rPr>
                <w:sz w:val="20"/>
                <w:szCs w:val="20"/>
                <w:color w:val="auto"/>
              </w:rPr>
            </w:pPr>
            <w:r>
              <w:rPr>
                <w:rFonts w:ascii="Arial" w:cs="Arial" w:eastAsia="Arial" w:hAnsi="Arial"/>
                <w:sz w:val="18"/>
                <w:szCs w:val="18"/>
                <w:color w:val="auto"/>
              </w:rPr>
              <w:t>19</w:t>
            </w: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Kennametal Huntsville</w:t>
            </w:r>
          </w:p>
        </w:tc>
        <w:tc>
          <w:tcPr>
            <w:tcW w:w="206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CID000105</w:t>
            </w:r>
          </w:p>
        </w:tc>
        <w:tc>
          <w:tcPr>
            <w:tcW w:w="16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Malipo Haiyu Tungsten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CID002319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Moliren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RUSSIAN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CID002845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502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FEDERATION</w:t>
            </w: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Niagara Refining LLC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CID002589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w w:val="93"/>
              </w:rPr>
              <w:t>Nui Phao H.C. Starck Tungsten Chemicals Manufacturing LLC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VIET NAM</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CID002543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Philippine Chuangxin Industrial Co., Inc.</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PHILIPPINES</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CID002827</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w w:val="95"/>
              </w:rPr>
              <w:t>South-East Nonferrous Metal Company Limited of Hengyang</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CID002815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City</w:t>
            </w:r>
          </w:p>
        </w:tc>
        <w:tc>
          <w:tcPr>
            <w:tcW w:w="2060" w:type="dxa"/>
            <w:vAlign w:val="bottom"/>
            <w:tcBorders>
              <w:right w:val="single" w:sz="8" w:color="00000A"/>
            </w:tcBorders>
          </w:tcPr>
          <w:p>
            <w:pPr>
              <w:spacing w:after="0"/>
              <w:rPr>
                <w:sz w:val="20"/>
                <w:szCs w:val="20"/>
                <w:color w:val="auto"/>
              </w:rPr>
            </w:pP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Tejing (Vietnam) Tungsten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VIET NAM</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CID001889</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Unecha Refractory metals plant</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RUSSIAN</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CID002724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5020" w:type="dxa"/>
            <w:vAlign w:val="bottom"/>
            <w:tcBorders>
              <w:right w:val="single" w:sz="8" w:color="00000A"/>
            </w:tcBorders>
          </w:tcPr>
          <w:p>
            <w:pPr>
              <w:spacing w:after="0"/>
              <w:rPr>
                <w:sz w:val="20"/>
                <w:szCs w:val="20"/>
                <w:color w:val="auto"/>
              </w:rPr>
            </w:pP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FEDERATION</w:t>
            </w: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Vietnam Youngsun Tungsten Industry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VIET NAM</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CID002011</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Wolfram Bergbau und Hütten AG</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AUSTRIA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CID002044</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Woltech Korea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KOREA, REPUBLIC OF</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CID002843</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Xiamen Tungsten (H.C.)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CID002320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Xiamen Tungsten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CID002082</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18"/>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w w:val="98"/>
              </w:rPr>
              <w:t>Xinfeng Huarui Tungsten &amp; Molybdenum New Material Co.,</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CID002830</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34"/>
        </w:trPr>
        <w:tc>
          <w:tcPr>
            <w:tcW w:w="1400" w:type="dxa"/>
            <w:vAlign w:val="bottom"/>
            <w:tcBorders>
              <w:left w:val="single" w:sz="8" w:color="00000A"/>
              <w:right w:val="single" w:sz="8" w:color="00000A"/>
            </w:tcBorders>
          </w:tcPr>
          <w:p>
            <w:pPr>
              <w:spacing w:after="0"/>
              <w:rPr>
                <w:sz w:val="20"/>
                <w:szCs w:val="20"/>
                <w:color w:val="auto"/>
              </w:rPr>
            </w:pP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Ltd.</w:t>
            </w:r>
          </w:p>
        </w:tc>
        <w:tc>
          <w:tcPr>
            <w:tcW w:w="2060" w:type="dxa"/>
            <w:vAlign w:val="bottom"/>
            <w:tcBorders>
              <w:right w:val="single" w:sz="8" w:color="00000A"/>
            </w:tcBorders>
          </w:tcPr>
          <w:p>
            <w:pPr>
              <w:spacing w:after="0"/>
              <w:rPr>
                <w:sz w:val="20"/>
                <w:szCs w:val="20"/>
                <w:color w:val="auto"/>
              </w:rPr>
            </w:pPr>
          </w:p>
        </w:tc>
        <w:tc>
          <w:tcPr>
            <w:tcW w:w="1360" w:type="dxa"/>
            <w:vAlign w:val="bottom"/>
            <w:tcBorders>
              <w:right w:val="single" w:sz="8" w:color="00000A"/>
            </w:tcBorders>
          </w:tcPr>
          <w:p>
            <w:pPr>
              <w:spacing w:after="0"/>
              <w:rPr>
                <w:sz w:val="20"/>
                <w:szCs w:val="20"/>
                <w:color w:val="auto"/>
              </w:rPr>
            </w:pPr>
          </w:p>
        </w:tc>
        <w:tc>
          <w:tcPr>
            <w:tcW w:w="160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Xinhai Rendan Shaoguan Tungsten Co., Ltd.</w:t>
            </w:r>
          </w:p>
        </w:tc>
        <w:tc>
          <w:tcPr>
            <w:tcW w:w="2060" w:type="dxa"/>
            <w:vAlign w:val="bottom"/>
            <w:tcBorders>
              <w:right w:val="single" w:sz="8" w:color="00000A"/>
            </w:tcBorders>
          </w:tcPr>
          <w:p>
            <w:pPr>
              <w:ind w:left="40"/>
              <w:spacing w:after="0"/>
              <w:rPr>
                <w:sz w:val="20"/>
                <w:szCs w:val="20"/>
                <w:color w:val="auto"/>
              </w:rPr>
            </w:pPr>
            <w:r>
              <w:rPr>
                <w:rFonts w:ascii="Arial" w:cs="Arial" w:eastAsia="Arial" w:hAnsi="Arial"/>
                <w:sz w:val="18"/>
                <w:szCs w:val="18"/>
                <w:b w:val="1"/>
                <w:bCs w:val="1"/>
                <w:color w:val="auto"/>
              </w:rPr>
              <w:t>CHINA</w:t>
            </w:r>
          </w:p>
        </w:tc>
        <w:tc>
          <w:tcPr>
            <w:tcW w:w="13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CID002095</w:t>
            </w:r>
          </w:p>
        </w:tc>
        <w:tc>
          <w:tcPr>
            <w:tcW w:w="16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Conformant</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20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r>
      <w:tr>
        <w:trPr>
          <w:trHeight w:val="453"/>
        </w:trPr>
        <w:tc>
          <w:tcPr>
            <w:tcW w:w="1400" w:type="dxa"/>
            <w:vAlign w:val="bottom"/>
          </w:tcPr>
          <w:p>
            <w:pPr>
              <w:spacing w:after="0"/>
              <w:rPr>
                <w:sz w:val="24"/>
                <w:szCs w:val="24"/>
                <w:color w:val="auto"/>
              </w:rPr>
            </w:pPr>
          </w:p>
        </w:tc>
        <w:tc>
          <w:tcPr>
            <w:tcW w:w="5020" w:type="dxa"/>
            <w:vAlign w:val="bottom"/>
          </w:tcPr>
          <w:p>
            <w:pPr>
              <w:ind w:left="4220"/>
              <w:spacing w:after="0"/>
              <w:rPr>
                <w:sz w:val="20"/>
                <w:szCs w:val="20"/>
                <w:color w:val="auto"/>
              </w:rPr>
            </w:pPr>
            <w:r>
              <w:rPr>
                <w:rFonts w:ascii="Arial" w:cs="Arial" w:eastAsia="Arial" w:hAnsi="Arial"/>
                <w:sz w:val="18"/>
                <w:szCs w:val="18"/>
                <w:color w:val="auto"/>
              </w:rPr>
              <w:t>20</w:t>
            </w: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23" w:name="page24"/>
    <w:bookmarkEnd w:id="23"/>
    <w:p>
      <w:pPr>
        <w:jc w:val="center"/>
        <w:ind w:right="-139"/>
        <w:spacing w:after="0"/>
        <w:rPr>
          <w:sz w:val="20"/>
          <w:szCs w:val="20"/>
          <w:color w:val="auto"/>
        </w:rPr>
      </w:pPr>
      <w:r>
        <w:rPr>
          <w:rFonts w:ascii="Arial" w:cs="Arial" w:eastAsia="Arial" w:hAnsi="Arial"/>
          <w:sz w:val="18"/>
          <w:szCs w:val="18"/>
          <w:b w:val="1"/>
          <w:bCs w:val="1"/>
          <w:u w:val="single" w:color="auto"/>
          <w:color w:val="auto"/>
        </w:rPr>
        <w:t>Appendix B 2017 Countries of Origin List</w:t>
      </w:r>
    </w:p>
    <w:p>
      <w:pPr>
        <w:spacing w:after="0" w:line="20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222222"/>
        </w:rPr>
        <w:t>This list of potential countries of origin is populated based on publicly available information, our RCOI and due diligence. It is important to note that this is also based on company level responses and therefore, it is not certain which of these countries of origin can be linked to our products.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222222"/>
        </w:rPr>
        <w:t>Argentina, Australia, Austria, Benin, Bolivia (Plurinational State of), Brazil, Burkina Faso, Burundi, Cambodia, Canada, Chile, China, Colombia, Congo, Democratic Republic of the, Ecuador, Eritrea, Ethiopia, France, Germany, Ghana, Guatemala, Guinea, Guyana, Honduras, India, Indonesia, Japan, Kazakhstan, Laos, Madagascar, Malaysia, Mali, Mexico, Mongolia, Mozambique, Myanmar, Namibia, Nicaragua, Nigeria, Panama, Peru, Portugal, Russian Federation, Rwanda, Senegal, Sierra Leone, South Africa, Spain, Thailand, Togo, Uganda, United Kingdom of Great Britain and Northern Ireland, United States of America, Uzbekistan, Viet Nam, Zimbabwe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sectPr>
      <w:pgSz w:w="11900" w:h="16838" w:orient="portrait"/>
      <w:cols w:equalWidth="0" w:num="1">
        <w:col w:w="11280"/>
      </w:cols>
      <w:pgMar w:left="240" w:top="79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4"/>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5"/>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2019-12-08T13:36:28Z</dcterms:created>
  <dcterms:modified xsi:type="dcterms:W3CDTF">2019-12-08T13:36:28Z</dcterms:modified>
</cp:coreProperties>
</file>