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3"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-226060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6"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-624840</wp:posOffset>
            </wp:positionV>
            <wp:extent cx="57785" cy="638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8175"/>
                    </a:xfrm>
                    <a:prstGeom prst="rect">
                      <a:avLst/>
                    </a:prstGeom>
                    <a:noFill/>
                  </pic:spPr>
                </pic:pic>
              </a:graphicData>
            </a:graphic>
          </wp:anchor>
        </w:drawing>
        <w:drawing>
          <wp:anchor simplePos="0" relativeHeight="251657728" behindDoc="1" locked="0" layoutInCell="0" allowOverlap="1">
            <wp:simplePos x="0" y="0"/>
            <wp:positionH relativeFrom="column">
              <wp:posOffset>3979545</wp:posOffset>
            </wp:positionH>
            <wp:positionV relativeFrom="paragraph">
              <wp:posOffset>-624840</wp:posOffset>
            </wp:positionV>
            <wp:extent cx="57785" cy="638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817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741680</wp:posOffset>
            </wp:positionV>
            <wp:extent cx="6993890" cy="512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5123180"/>
                    </a:xfrm>
                    <a:prstGeom prst="rect">
                      <a:avLst/>
                    </a:prstGeom>
                    <a:noFill/>
                  </pic:spPr>
                </pic:pic>
              </a:graphicData>
            </a:graphic>
          </wp:anchor>
        </w:drawing>
      </w:r>
    </w:p>
    <w:p>
      <w:pPr>
        <w:spacing w:after="0" w:line="1239"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Barry James Christopher</w:t>
        </w:r>
      </w:hyperlink>
    </w:p>
    <w:p>
      <w:pPr>
        <w:spacing w:after="0" w:line="29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LivaNova PLC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LIVN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5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06/15/2025</w:t>
      </w:r>
    </w:p>
    <w:p>
      <w:pPr>
        <w:spacing w:after="0" w:line="20" w:lineRule="exact"/>
        <w:rPr>
          <w:sz w:val="24"/>
          <w:szCs w:val="24"/>
          <w:color w:val="auto"/>
        </w:rPr>
      </w:pPr>
      <w:r>
        <w:rPr>
          <w:sz w:val="24"/>
          <w:szCs w:val="24"/>
          <w:color w:val="auto"/>
        </w:rPr>
        <w:br w:type="column"/>
      </w:r>
    </w:p>
    <w:p>
      <w:pPr>
        <w:ind w:left="-2" w:right="640" w:firstLine="2"/>
        <w:spacing w:after="0" w:line="257"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18"/>
        <w:spacing w:after="0"/>
        <w:tabs>
          <w:tab w:leader="none" w:pos="209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9"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18"/>
        <w:spacing w:after="0"/>
        <w:tabs>
          <w:tab w:leader="none" w:pos="209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4" w:lineRule="exact"/>
        <w:rPr>
          <w:sz w:val="24"/>
          <w:szCs w:val="24"/>
          <w:color w:val="auto"/>
        </w:rPr>
      </w:pPr>
    </w:p>
    <w:p>
      <w:pPr>
        <w:sectPr>
          <w:pgSz w:w="11900" w:h="16838" w:orient="portrait"/>
          <w:cols w:equalWidth="0" w:num="3">
            <w:col w:w="3180" w:space="720"/>
            <w:col w:w="3102" w:space="720"/>
            <w:col w:w="3358"/>
          </w:cols>
          <w:pgMar w:left="460" w:top="217" w:right="359" w:bottom="1440" w:gutter="0" w:footer="0" w:header="0"/>
          <w:type w:val="continuous"/>
        </w:sectPr>
      </w:pPr>
    </w:p>
    <w:p>
      <w:pPr>
        <w:spacing w:after="0" w:line="232"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LONDON</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X0</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W2 6LG</w:t>
            </w:r>
          </w:p>
        </w:tc>
      </w:tr>
      <w:tr>
        <w:trPr>
          <w:trHeight w:val="149"/>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1" w:lineRule="exact"/>
        <w:rPr>
          <w:sz w:val="24"/>
          <w:szCs w:val="24"/>
          <w:color w:val="auto"/>
        </w:rPr>
      </w:pPr>
    </w:p>
    <w:p>
      <w:pPr>
        <w:sectPr>
          <w:pgSz w:w="11900" w:h="16838" w:orient="portrait"/>
          <w:cols w:equalWidth="0" w:num="2">
            <w:col w:w="3740" w:space="16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7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2600" w:type="dxa"/>
            <w:vAlign w:val="bottom"/>
            <w:gridSpan w:val="6"/>
          </w:tcPr>
          <w:p>
            <w:pPr>
              <w:ind w:left="80"/>
              <w:spacing w:after="0" w:line="128" w:lineRule="exact"/>
              <w:rPr>
                <w:sz w:val="20"/>
                <w:szCs w:val="20"/>
                <w:color w:val="auto"/>
              </w:rPr>
            </w:pPr>
            <w:r>
              <w:rPr>
                <w:rFonts w:ascii="Arial" w:cs="Arial" w:eastAsia="Arial" w:hAnsi="Arial"/>
                <w:sz w:val="12"/>
                <w:szCs w:val="12"/>
                <w:b w:val="1"/>
                <w:bCs w:val="1"/>
                <w:color w:val="auto"/>
                <w:w w:val="98"/>
              </w:rPr>
              <w:t>Disposed Of (D) (Instr. 3, 4 and 5)  Securities</w:t>
            </w:r>
          </w:p>
        </w:tc>
        <w:tc>
          <w:tcPr>
            <w:tcW w:w="580" w:type="dxa"/>
            <w:vAlign w:val="bottom"/>
          </w:tcPr>
          <w:p>
            <w:pPr>
              <w:spacing w:after="0"/>
              <w:rPr>
                <w:sz w:val="11"/>
                <w:szCs w:val="11"/>
                <w:color w:val="auto"/>
              </w:rPr>
            </w:pP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2"/>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8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66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880"/>
              <w:spacing w:after="0"/>
              <w:rPr>
                <w:sz w:val="20"/>
                <w:szCs w:val="20"/>
                <w:color w:val="auto"/>
              </w:rPr>
            </w:pPr>
            <w:r>
              <w:rPr>
                <w:rFonts w:ascii="Times New Roman" w:cs="Times New Roman" w:eastAsia="Times New Roman" w:hAnsi="Times New Roman"/>
                <w:sz w:val="17"/>
                <w:szCs w:val="17"/>
                <w:color w:val="0000FF"/>
              </w:rPr>
              <w:t>06/15/2025</w:t>
            </w:r>
          </w:p>
        </w:tc>
        <w:tc>
          <w:tcPr>
            <w:tcW w:w="5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60"/>
              <w:spacing w:after="0"/>
              <w:rPr>
                <w:sz w:val="20"/>
                <w:szCs w:val="20"/>
                <w:color w:val="auto"/>
              </w:rPr>
            </w:pPr>
            <w:r>
              <w:rPr>
                <w:rFonts w:ascii="Times New Roman" w:cs="Times New Roman" w:eastAsia="Times New Roman" w:hAnsi="Times New Roman"/>
                <w:sz w:val="13"/>
                <w:szCs w:val="13"/>
                <w:color w:val="0000FF"/>
                <w:w w:val="86"/>
              </w:rPr>
              <w:t>M</w:t>
            </w:r>
          </w:p>
        </w:tc>
        <w:tc>
          <w:tcPr>
            <w:tcW w:w="66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3,416</w:t>
            </w:r>
          </w:p>
        </w:tc>
        <w:tc>
          <w:tcPr>
            <w:tcW w:w="66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2"/>
          </w:tcPr>
          <w:p>
            <w:pPr>
              <w:jc w:val="center"/>
              <w:ind w:right="20"/>
              <w:spacing w:after="0" w:line="308"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(1)(2)</w:t>
            </w:r>
          </w:p>
        </w:tc>
        <w:tc>
          <w:tcPr>
            <w:tcW w:w="12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4,772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880"/>
              <w:spacing w:after="0"/>
              <w:rPr>
                <w:sz w:val="20"/>
                <w:szCs w:val="20"/>
                <w:color w:val="auto"/>
              </w:rPr>
            </w:pPr>
            <w:r>
              <w:rPr>
                <w:rFonts w:ascii="Times New Roman" w:cs="Times New Roman" w:eastAsia="Times New Roman" w:hAnsi="Times New Roman"/>
                <w:sz w:val="17"/>
                <w:szCs w:val="17"/>
                <w:color w:val="0000FF"/>
              </w:rPr>
              <w:t>06/15/2025</w:t>
            </w:r>
          </w:p>
        </w:tc>
        <w:tc>
          <w:tcPr>
            <w:tcW w:w="5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60"/>
              <w:spacing w:after="0"/>
              <w:rPr>
                <w:sz w:val="20"/>
                <w:szCs w:val="20"/>
                <w:color w:val="auto"/>
              </w:rPr>
            </w:pPr>
            <w:r>
              <w:rPr>
                <w:rFonts w:ascii="Times New Roman" w:cs="Times New Roman" w:eastAsia="Times New Roman" w:hAnsi="Times New Roman"/>
                <w:sz w:val="13"/>
                <w:szCs w:val="13"/>
                <w:color w:val="0000FF"/>
                <w:w w:val="82"/>
              </w:rPr>
              <w:t>F</w:t>
            </w:r>
          </w:p>
        </w:tc>
        <w:tc>
          <w:tcPr>
            <w:tcW w:w="660" w:type="dxa"/>
            <w:vAlign w:val="bottom"/>
            <w:tcBorders>
              <w:bottom w:val="single" w:sz="8" w:color="2C2C2C"/>
            </w:tcBorders>
          </w:tcPr>
          <w:p>
            <w:pPr>
              <w:ind w:left="240"/>
              <w:spacing w:after="0" w:line="309" w:lineRule="exact"/>
              <w:rPr>
                <w:sz w:val="20"/>
                <w:szCs w:val="20"/>
                <w:color w:val="auto"/>
              </w:rPr>
            </w:pPr>
            <w:r>
              <w:rPr>
                <w:rFonts w:ascii="Times New Roman" w:cs="Times New Roman" w:eastAsia="Times New Roman" w:hAnsi="Times New Roman"/>
                <w:sz w:val="33"/>
                <w:szCs w:val="33"/>
                <w:color w:val="0000FF"/>
                <w:w w:val="87"/>
                <w:vertAlign w:val="subscript"/>
              </w:rPr>
              <w:t>410</w:t>
            </w:r>
            <w:r>
              <w:rPr>
                <w:rFonts w:ascii="Times New Roman" w:cs="Times New Roman" w:eastAsia="Times New Roman" w:hAnsi="Times New Roman"/>
                <w:sz w:val="11"/>
                <w:szCs w:val="11"/>
                <w:color w:val="008000"/>
                <w:w w:val="87"/>
              </w:rPr>
              <w:t>(3)</w:t>
            </w:r>
          </w:p>
        </w:tc>
        <w:tc>
          <w:tcPr>
            <w:tcW w:w="66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45.76</w:t>
            </w:r>
          </w:p>
        </w:tc>
        <w:tc>
          <w:tcPr>
            <w:tcW w:w="12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4,362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0"/>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4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66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(4)</w:t>
            </w: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3,416</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40" w:type="dxa"/>
            <w:vAlign w:val="bottom"/>
            <w:vMerge w:val="restart"/>
          </w:tcPr>
          <w:p>
            <w:pPr>
              <w:jc w:val="right"/>
              <w:ind w:right="140"/>
              <w:spacing w:after="0" w:line="142" w:lineRule="exact"/>
              <w:rPr>
                <w:sz w:val="20"/>
                <w:szCs w:val="20"/>
                <w:color w:val="auto"/>
              </w:rPr>
            </w:pPr>
            <w:r>
              <w:rPr>
                <w:rFonts w:ascii="Times New Roman" w:cs="Times New Roman" w:eastAsia="Times New Roman" w:hAnsi="Times New Roman"/>
                <w:sz w:val="13"/>
                <w:szCs w:val="13"/>
                <w:color w:val="0000FF"/>
              </w:rPr>
              <w:t>06/15/2025</w:t>
            </w:r>
          </w:p>
        </w:tc>
        <w:tc>
          <w:tcPr>
            <w:tcW w:w="1120" w:type="dxa"/>
            <w:vAlign w:val="bottom"/>
          </w:tcPr>
          <w:p>
            <w:pPr>
              <w:spacing w:after="0"/>
              <w:rPr>
                <w:sz w:val="5"/>
                <w:szCs w:val="5"/>
                <w:color w:val="auto"/>
              </w:rPr>
            </w:pPr>
          </w:p>
        </w:tc>
        <w:tc>
          <w:tcPr>
            <w:tcW w:w="72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520" w:type="dxa"/>
            <w:vAlign w:val="bottom"/>
          </w:tcPr>
          <w:p>
            <w:pPr>
              <w:spacing w:after="0"/>
              <w:rPr>
                <w:sz w:val="5"/>
                <w:szCs w:val="5"/>
                <w:color w:val="auto"/>
              </w:rPr>
            </w:pPr>
          </w:p>
        </w:tc>
        <w:tc>
          <w:tcPr>
            <w:tcW w:w="46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3,416</w:t>
            </w:r>
          </w:p>
        </w:tc>
        <w:tc>
          <w:tcPr>
            <w:tcW w:w="8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jc w:val="right"/>
              <w:ind w:right="101"/>
              <w:spacing w:after="0" w:line="142"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(5)</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(6)</w:t>
            </w:r>
          </w:p>
        </w:tc>
        <w:tc>
          <w:tcPr>
            <w:tcW w:w="66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(6)</w:t>
            </w: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4,042</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40" w:type="dxa"/>
            <w:vAlign w:val="bottom"/>
            <w:vMerge w:val="restart"/>
          </w:tcPr>
          <w:p>
            <w:pPr>
              <w:jc w:val="right"/>
              <w:ind w:right="140"/>
              <w:spacing w:after="0" w:line="142" w:lineRule="exact"/>
              <w:rPr>
                <w:sz w:val="20"/>
                <w:szCs w:val="20"/>
                <w:color w:val="auto"/>
              </w:rPr>
            </w:pPr>
            <w:r>
              <w:rPr>
                <w:rFonts w:ascii="Times New Roman" w:cs="Times New Roman" w:eastAsia="Times New Roman" w:hAnsi="Times New Roman"/>
                <w:sz w:val="13"/>
                <w:szCs w:val="13"/>
                <w:color w:val="0000FF"/>
              </w:rPr>
              <w:t>06/15/2025</w:t>
            </w:r>
          </w:p>
        </w:tc>
        <w:tc>
          <w:tcPr>
            <w:tcW w:w="1120" w:type="dxa"/>
            <w:vAlign w:val="bottom"/>
          </w:tcPr>
          <w:p>
            <w:pPr>
              <w:spacing w:after="0"/>
              <w:rPr>
                <w:sz w:val="5"/>
                <w:szCs w:val="5"/>
                <w:color w:val="auto"/>
              </w:rPr>
            </w:pPr>
          </w:p>
        </w:tc>
        <w:tc>
          <w:tcPr>
            <w:tcW w:w="72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2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4,042</w:t>
            </w:r>
          </w:p>
        </w:tc>
        <w:tc>
          <w:tcPr>
            <w:tcW w:w="46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jc w:val="right"/>
              <w:spacing w:after="0" w:line="142" w:lineRule="exact"/>
              <w:rPr>
                <w:sz w:val="20"/>
                <w:szCs w:val="20"/>
                <w:color w:val="auto"/>
              </w:rPr>
            </w:pPr>
            <w:r>
              <w:rPr>
                <w:rFonts w:ascii="Times New Roman" w:cs="Times New Roman" w:eastAsia="Times New Roman" w:hAnsi="Times New Roman"/>
                <w:sz w:val="13"/>
                <w:szCs w:val="13"/>
                <w:color w:val="0000FF"/>
              </w:rPr>
              <w:t>4,042</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-2193290</wp:posOffset>
            </wp:positionV>
            <wp:extent cx="29210" cy="21983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9837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Reporting person had vested restricted stock units (RSUs) settled in ordinary shares of LivaNova PLC (the Company), 1.00 GBP par value.</w:t>
      </w:r>
    </w:p>
    <w:p>
      <w:pPr>
        <w:spacing w:after="0" w:line="43" w:lineRule="exact"/>
        <w:rPr>
          <w:rFonts w:ascii="Times New Roman" w:cs="Times New Roman" w:eastAsia="Times New Roman" w:hAnsi="Times New Roman"/>
          <w:sz w:val="13"/>
          <w:szCs w:val="13"/>
          <w:color w:val="008000"/>
        </w:rPr>
      </w:pPr>
    </w:p>
    <w:p>
      <w:pPr>
        <w:ind w:left="40" w:right="480" w:firstLine="2"/>
        <w:spacing w:after="0" w:line="254"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ordinary share of the Company in accordance with the terms of the Company's 2015 Incentive Award Plan (the 2015 Plan) and the 2015 Plan award agreement.</w:t>
      </w:r>
    </w:p>
    <w:p>
      <w:pPr>
        <w:spacing w:after="0" w:line="18"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to satisfy tax liability.</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RSUs granted under the 2015 Plan on June 15, 2024 that vested on June 15, 2025.</w:t>
      </w:r>
    </w:p>
    <w:p>
      <w:pPr>
        <w:spacing w:after="0" w:line="43" w:lineRule="exact"/>
        <w:rPr>
          <w:rFonts w:ascii="Times New Roman" w:cs="Times New Roman" w:eastAsia="Times New Roman" w:hAnsi="Times New Roman"/>
          <w:sz w:val="13"/>
          <w:szCs w:val="13"/>
          <w:color w:val="008000"/>
        </w:rPr>
      </w:pPr>
    </w:p>
    <w:p>
      <w:pPr>
        <w:ind w:left="40" w:right="360" w:firstLine="2"/>
        <w:spacing w:after="0" w:line="254"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ordinary share of the Company in accordance with the terms of the Company's 2025 Director Incentive Award Plan (the 2025 Plan) and the 2025 Plan award agreement.</w:t>
      </w:r>
    </w:p>
    <w:p>
      <w:pPr>
        <w:spacing w:after="0" w:line="18"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granted under the 2025 Plan, vest on June 15, 2026, subject to continued service during the vesting period and the terms of the 2025 Plan award agreement.</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1" w:lineRule="auto"/>
        <w:rPr>
          <w:sz w:val="20"/>
          <w:szCs w:val="20"/>
          <w:color w:val="auto"/>
        </w:rPr>
      </w:pPr>
      <w:r>
        <w:rPr>
          <w:rFonts w:ascii="Times New Roman" w:cs="Times New Roman" w:eastAsia="Times New Roman" w:hAnsi="Times New Roman"/>
          <w:sz w:val="17"/>
          <w:szCs w:val="17"/>
          <w:color w:val="0000FF"/>
        </w:rPr>
        <w:t xml:space="preserve">/s/ Sarah K. Mohr, Attorney-in- </w:t>
      </w:r>
      <w:r>
        <w:rPr>
          <w:rFonts w:ascii="Times New Roman" w:cs="Times New Roman" w:eastAsia="Times New Roman" w:hAnsi="Times New Roman"/>
          <w:sz w:val="33"/>
          <w:szCs w:val="33"/>
          <w:color w:val="0000FF"/>
          <w:vertAlign w:val="subscript"/>
        </w:rPr>
        <w:t>06/17/2025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-26670</wp:posOffset>
            </wp:positionV>
            <wp:extent cx="13404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048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-20955</wp:posOffset>
            </wp:positionV>
            <wp:extent cx="1828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2880" cy="8255"/>
                    </a:xfrm>
                    <a:prstGeom prst="rect">
                      <a:avLst/>
                    </a:prstGeom>
                    <a:noFill/>
                  </pic:spPr>
                </pic:pic>
              </a:graphicData>
            </a:graphic>
          </wp:anchor>
        </w:drawing>
        <w:drawing>
          <wp:anchor simplePos="0" relativeHeight="251657728" behindDoc="1" locked="0" layoutInCell="0" allowOverlap="1">
            <wp:simplePos x="0" y="0"/>
            <wp:positionH relativeFrom="column">
              <wp:posOffset>5581650</wp:posOffset>
            </wp:positionH>
            <wp:positionV relativeFrom="paragraph">
              <wp:posOffset>-86360</wp:posOffset>
            </wp:positionV>
            <wp:extent cx="4838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387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20" w:firstLine="2"/>
        <w:spacing w:after="0" w:line="335"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56949" TargetMode="External"/><Relationship Id="rId14"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2025-06-17T15:58:22Z</dcterms:created>
  <dcterms:modified xsi:type="dcterms:W3CDTF">2025-06-17T15:58:22Z</dcterms:modified>
</cp:coreProperties>
</file>