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6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-235585</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-614680</wp:posOffset>
            </wp:positionV>
            <wp:extent cx="57785" cy="628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801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-614680</wp:posOffset>
            </wp:positionV>
            <wp:extent cx="57785" cy="628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01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20955</wp:posOffset>
            </wp:positionV>
            <wp:extent cx="6996430" cy="791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6430" cy="7911465"/>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20" w:space="400"/>
            <w:col w:w="8460"/>
          </w:cols>
          <w:pgMar w:left="460" w:top="215" w:right="359" w:bottom="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Bolton Stephanie</w:t>
        </w:r>
      </w:hyperlink>
    </w:p>
    <w:p>
      <w:pPr>
        <w:spacing w:after="0" w:line="292"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000" w:type="dxa"/>
            <w:vAlign w:val="bottom"/>
          </w:tcPr>
          <w:p>
            <w:pPr>
              <w:ind w:left="40"/>
              <w:spacing w:after="0"/>
              <w:rPr>
                <w:sz w:val="20"/>
                <w:szCs w:val="20"/>
                <w:color w:val="auto"/>
              </w:rPr>
            </w:pPr>
            <w:r>
              <w:rPr>
                <w:rFonts w:ascii="Arial" w:cs="Arial" w:eastAsia="Arial" w:hAnsi="Arial"/>
                <w:sz w:val="13"/>
                <w:szCs w:val="13"/>
                <w:color w:val="auto"/>
              </w:rPr>
              <w:t>(Last)</w:t>
            </w:r>
          </w:p>
        </w:tc>
        <w:tc>
          <w:tcPr>
            <w:tcW w:w="1300" w:type="dxa"/>
            <w:vAlign w:val="bottom"/>
          </w:tcPr>
          <w:p>
            <w:pPr>
              <w:ind w:left="260"/>
              <w:spacing w:after="0"/>
              <w:rPr>
                <w:sz w:val="20"/>
                <w:szCs w:val="20"/>
                <w:color w:val="auto"/>
              </w:rPr>
            </w:pPr>
            <w:r>
              <w:rPr>
                <w:rFonts w:ascii="Arial" w:cs="Arial" w:eastAsia="Arial" w:hAnsi="Arial"/>
                <w:sz w:val="13"/>
                <w:szCs w:val="13"/>
                <w:color w:val="auto"/>
              </w:rPr>
              <w:t>(First)</w:t>
            </w:r>
          </w:p>
        </w:tc>
        <w:tc>
          <w:tcPr>
            <w:tcW w:w="760" w:type="dxa"/>
            <w:vAlign w:val="bottom"/>
          </w:tcPr>
          <w:p>
            <w:pPr>
              <w:ind w:left="180"/>
              <w:spacing w:after="0"/>
              <w:rPr>
                <w:sz w:val="20"/>
                <w:szCs w:val="20"/>
                <w:color w:val="auto"/>
              </w:rPr>
            </w:pPr>
            <w:r>
              <w:rPr>
                <w:rFonts w:ascii="Arial" w:cs="Arial" w:eastAsia="Arial" w:hAnsi="Arial"/>
                <w:sz w:val="13"/>
                <w:szCs w:val="13"/>
                <w:color w:val="auto"/>
              </w:rPr>
              <w:t>(Middle)</w:t>
            </w:r>
          </w:p>
        </w:tc>
      </w:tr>
      <w:tr>
        <w:trPr>
          <w:trHeight w:val="263"/>
        </w:trPr>
        <w:tc>
          <w:tcPr>
            <w:tcW w:w="23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C/O LIVANOVA PLC</w:t>
            </w:r>
          </w:p>
        </w:tc>
        <w:tc>
          <w:tcPr>
            <w:tcW w:w="760" w:type="dxa"/>
            <w:vAlign w:val="bottom"/>
          </w:tcPr>
          <w:p>
            <w:pPr>
              <w:spacing w:after="0"/>
              <w:rPr>
                <w:sz w:val="22"/>
                <w:szCs w:val="22"/>
                <w:color w:val="auto"/>
              </w:rPr>
            </w:pPr>
          </w:p>
        </w:tc>
      </w:tr>
      <w:tr>
        <w:trPr>
          <w:trHeight w:val="253"/>
        </w:trPr>
        <w:tc>
          <w:tcPr>
            <w:tcW w:w="23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20 EASTBOURNE TERRACE</w:t>
            </w:r>
          </w:p>
        </w:tc>
        <w:tc>
          <w:tcPr>
            <w:tcW w:w="760" w:type="dxa"/>
            <w:vAlign w:val="bottom"/>
          </w:tcPr>
          <w:p>
            <w:pPr>
              <w:spacing w:after="0"/>
              <w:rPr>
                <w:sz w:val="21"/>
                <w:szCs w:val="21"/>
                <w:color w:val="auto"/>
              </w:rPr>
            </w:pPr>
          </w:p>
        </w:tc>
      </w:tr>
      <w:tr>
        <w:trPr>
          <w:trHeight w:val="420"/>
        </w:trPr>
        <w:tc>
          <w:tcPr>
            <w:tcW w:w="1000" w:type="dxa"/>
            <w:vAlign w:val="bottom"/>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25"/>
        </w:trPr>
        <w:tc>
          <w:tcPr>
            <w:tcW w:w="100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LONDON</w:t>
            </w:r>
          </w:p>
        </w:tc>
        <w:tc>
          <w:tcPr>
            <w:tcW w:w="130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X0</w:t>
            </w:r>
          </w:p>
        </w:tc>
        <w:tc>
          <w:tcPr>
            <w:tcW w:w="760" w:type="dxa"/>
            <w:vAlign w:val="bottom"/>
          </w:tcPr>
          <w:p>
            <w:pPr>
              <w:ind w:left="180"/>
              <w:spacing w:after="0"/>
              <w:rPr>
                <w:sz w:val="20"/>
                <w:szCs w:val="20"/>
                <w:color w:val="auto"/>
              </w:rPr>
            </w:pPr>
            <w:r>
              <w:rPr>
                <w:rFonts w:ascii="Times New Roman" w:cs="Times New Roman" w:eastAsia="Times New Roman" w:hAnsi="Times New Roman"/>
                <w:sz w:val="16"/>
                <w:szCs w:val="16"/>
                <w:color w:val="0000FF"/>
                <w:w w:val="99"/>
              </w:rPr>
              <w:t>W2 6LA</w:t>
            </w:r>
          </w:p>
        </w:tc>
      </w:tr>
      <w:tr>
        <w:trPr>
          <w:trHeight w:val="458"/>
        </w:trPr>
        <w:tc>
          <w:tcPr>
            <w:tcW w:w="1000" w:type="dxa"/>
            <w:vAlign w:val="bottom"/>
          </w:tcPr>
          <w:p>
            <w:pPr>
              <w:ind w:left="40"/>
              <w:spacing w:after="0"/>
              <w:rPr>
                <w:sz w:val="20"/>
                <w:szCs w:val="20"/>
                <w:color w:val="auto"/>
              </w:rPr>
            </w:pPr>
            <w:r>
              <w:rPr>
                <w:rFonts w:ascii="Arial" w:cs="Arial" w:eastAsia="Arial" w:hAnsi="Arial"/>
                <w:sz w:val="13"/>
                <w:szCs w:val="13"/>
                <w:color w:val="auto"/>
              </w:rPr>
              <w:t>(City)</w:t>
            </w:r>
          </w:p>
        </w:tc>
        <w:tc>
          <w:tcPr>
            <w:tcW w:w="1300" w:type="dxa"/>
            <w:vAlign w:val="bottom"/>
          </w:tcPr>
          <w:p>
            <w:pPr>
              <w:ind w:left="260"/>
              <w:spacing w:after="0"/>
              <w:rPr>
                <w:sz w:val="20"/>
                <w:szCs w:val="20"/>
                <w:color w:val="auto"/>
              </w:rPr>
            </w:pPr>
            <w:r>
              <w:rPr>
                <w:rFonts w:ascii="Arial" w:cs="Arial" w:eastAsia="Arial" w:hAnsi="Arial"/>
                <w:sz w:val="13"/>
                <w:szCs w:val="13"/>
                <w:color w:val="auto"/>
              </w:rPr>
              <w:t>(State)</w:t>
            </w:r>
          </w:p>
        </w:tc>
        <w:tc>
          <w:tcPr>
            <w:tcW w:w="760" w:type="dxa"/>
            <w:vAlign w:val="bottom"/>
          </w:tcPr>
          <w:p>
            <w:pPr>
              <w:ind w:left="1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780" w:type="dxa"/>
            <w:vAlign w:val="bottom"/>
            <w:gridSpan w:val="3"/>
          </w:tcPr>
          <w:p>
            <w:pPr>
              <w:spacing w:after="0" w:line="139"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LivaNova PLC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LIVN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100" w:type="dxa"/>
            <w:vAlign w:val="bottom"/>
            <w:tcBorders>
              <w:bottom w:val="single" w:sz="8" w:color="0000EE"/>
            </w:tcBorders>
          </w:tcPr>
          <w:p>
            <w:pPr>
              <w:spacing w:after="0"/>
              <w:rPr>
                <w:sz w:val="3"/>
                <w:szCs w:val="3"/>
                <w:color w:val="auto"/>
              </w:rPr>
            </w:pPr>
          </w:p>
        </w:tc>
        <w:tc>
          <w:tcPr>
            <w:tcW w:w="2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00"/>
              <w:spacing w:after="0" w:line="11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1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13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03/30/2024</w:t>
            </w:r>
          </w:p>
        </w:tc>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6"/>
                <w:szCs w:val="16"/>
                <w:color w:val="0000FF"/>
              </w:rPr>
              <w:t>President, Global Epilepsy</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25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7" w:lineRule="auto"/>
        <w:tabs>
          <w:tab w:leader="none" w:pos="442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29"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4" w:lineRule="exact"/>
        <w:rPr>
          <w:sz w:val="24"/>
          <w:szCs w:val="24"/>
          <w:color w:val="auto"/>
        </w:rPr>
      </w:pPr>
    </w:p>
    <w:p>
      <w:pPr>
        <w:ind w:left="320" w:right="420"/>
        <w:spacing w:after="0" w:line="282"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0" w:lineRule="exact"/>
        <w:rPr>
          <w:sz w:val="24"/>
          <w:szCs w:val="24"/>
          <w:color w:val="auto"/>
        </w:rPr>
      </w:pPr>
    </w:p>
    <w:p>
      <w:pPr>
        <w:sectPr>
          <w:pgSz w:w="11900" w:h="16838" w:orient="portrait"/>
          <w:cols w:equalWidth="0" w:num="2">
            <w:col w:w="3140" w:space="700"/>
            <w:col w:w="7240"/>
          </w:cols>
          <w:pgMar w:left="460" w:top="215"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6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tcPr>
          <w:p>
            <w:pPr>
              <w:ind w:left="7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spacing w:after="0"/>
              <w:rPr>
                <w:sz w:val="10"/>
                <w:szCs w:val="10"/>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88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20" w:type="dxa"/>
            <w:vAlign w:val="bottom"/>
            <w:gridSpan w:val="2"/>
          </w:tcPr>
          <w:p>
            <w:pPr>
              <w:ind w:left="76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40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74"/>
              <w:spacing w:after="0"/>
              <w:rPr>
                <w:sz w:val="20"/>
                <w:szCs w:val="20"/>
                <w:color w:val="auto"/>
              </w:rPr>
            </w:pPr>
            <w:r>
              <w:rPr>
                <w:rFonts w:ascii="Times New Roman" w:cs="Times New Roman" w:eastAsia="Times New Roman" w:hAnsi="Times New Roman"/>
                <w:sz w:val="16"/>
                <w:szCs w:val="16"/>
                <w:color w:val="0000FF"/>
              </w:rPr>
              <w:t>03/30/2024</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jc w:val="right"/>
              <w:ind w:right="43"/>
              <w:spacing w:after="0"/>
              <w:rPr>
                <w:sz w:val="20"/>
                <w:szCs w:val="20"/>
                <w:color w:val="auto"/>
              </w:rPr>
            </w:pPr>
            <w:r>
              <w:rPr>
                <w:rFonts w:ascii="Times New Roman" w:cs="Times New Roman" w:eastAsia="Times New Roman" w:hAnsi="Times New Roman"/>
                <w:sz w:val="16"/>
                <w:szCs w:val="16"/>
                <w:color w:val="0000FF"/>
              </w:rPr>
              <w:t>7,744</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jc w:val="center"/>
              <w:ind w:right="7"/>
              <w:spacing w:after="0" w:line="304" w:lineRule="exact"/>
              <w:rPr>
                <w:sz w:val="20"/>
                <w:szCs w:val="20"/>
                <w:color w:val="auto"/>
              </w:rPr>
            </w:pPr>
            <w:r>
              <w:rPr>
                <w:rFonts w:ascii="Arial" w:cs="Arial" w:eastAsia="Arial" w:hAnsi="Arial"/>
                <w:sz w:val="32"/>
                <w:szCs w:val="32"/>
                <w:color w:val="000000"/>
                <w:vertAlign w:val="subscript"/>
              </w:rPr>
              <w:t>$</w:t>
            </w:r>
            <w:r>
              <w:rPr>
                <w:rFonts w:ascii="Times New Roman" w:cs="Times New Roman" w:eastAsia="Times New Roman" w:hAnsi="Times New Roman"/>
                <w:sz w:val="32"/>
                <w:szCs w:val="32"/>
                <w:color w:val="0000FF"/>
                <w:vertAlign w:val="subscript"/>
              </w:rPr>
              <w:t>0</w:t>
            </w:r>
            <w:r>
              <w:rPr>
                <w:rFonts w:ascii="Times New Roman" w:cs="Times New Roman" w:eastAsia="Times New Roman" w:hAnsi="Times New Roman"/>
                <w:sz w:val="11"/>
                <w:szCs w:val="11"/>
                <w:color w:val="008000"/>
              </w:rPr>
              <w:t>(1)</w:t>
            </w:r>
          </w:p>
        </w:tc>
        <w:tc>
          <w:tcPr>
            <w:tcW w:w="1280" w:type="dxa"/>
            <w:vAlign w:val="bottom"/>
            <w:tcBorders>
              <w:bottom w:val="single" w:sz="8" w:color="2C2C2C"/>
            </w:tcBorders>
            <w:gridSpan w:val="3"/>
          </w:tcPr>
          <w:p>
            <w:pPr>
              <w:jc w:val="right"/>
              <w:ind w:right="339"/>
              <w:spacing w:after="0"/>
              <w:rPr>
                <w:sz w:val="20"/>
                <w:szCs w:val="20"/>
                <w:color w:val="auto"/>
              </w:rPr>
            </w:pPr>
            <w:r>
              <w:rPr>
                <w:rFonts w:ascii="Times New Roman" w:cs="Times New Roman" w:eastAsia="Times New Roman" w:hAnsi="Times New Roman"/>
                <w:sz w:val="16"/>
                <w:szCs w:val="16"/>
                <w:color w:val="0000FF"/>
              </w:rPr>
              <w:t>13,205</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74"/>
              <w:spacing w:after="0"/>
              <w:rPr>
                <w:sz w:val="20"/>
                <w:szCs w:val="20"/>
                <w:color w:val="auto"/>
              </w:rPr>
            </w:pPr>
            <w:r>
              <w:rPr>
                <w:rFonts w:ascii="Times New Roman" w:cs="Times New Roman" w:eastAsia="Times New Roman" w:hAnsi="Times New Roman"/>
                <w:sz w:val="16"/>
                <w:szCs w:val="16"/>
                <w:color w:val="0000FF"/>
              </w:rPr>
              <w:t>03/30/2024</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3,643</w:t>
            </w:r>
            <w:r>
              <w:rPr>
                <w:rFonts w:ascii="Times New Roman" w:cs="Times New Roman" w:eastAsia="Times New Roman" w:hAnsi="Times New Roman"/>
                <w:sz w:val="21"/>
                <w:szCs w:val="21"/>
                <w:color w:val="008000"/>
                <w:vertAlign w:val="superscript"/>
              </w:rPr>
              <w:t>(2)</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55.94</w:t>
            </w:r>
          </w:p>
        </w:tc>
        <w:tc>
          <w:tcPr>
            <w:tcW w:w="1280" w:type="dxa"/>
            <w:vAlign w:val="bottom"/>
            <w:tcBorders>
              <w:bottom w:val="single" w:sz="8" w:color="2C2C2C"/>
            </w:tcBorders>
            <w:gridSpan w:val="3"/>
          </w:tcPr>
          <w:p>
            <w:pPr>
              <w:jc w:val="right"/>
              <w:ind w:right="379"/>
              <w:spacing w:after="0"/>
              <w:rPr>
                <w:sz w:val="20"/>
                <w:szCs w:val="20"/>
                <w:color w:val="auto"/>
              </w:rPr>
            </w:pPr>
            <w:r>
              <w:rPr>
                <w:rFonts w:ascii="Times New Roman" w:cs="Times New Roman" w:eastAsia="Times New Roman" w:hAnsi="Times New Roman"/>
                <w:sz w:val="16"/>
                <w:szCs w:val="16"/>
                <w:color w:val="0000FF"/>
              </w:rPr>
              <w:t>9,562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0"/>
          </w:tcPr>
          <w:p>
            <w:pP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60" w:type="dxa"/>
            <w:vAlign w:val="bottom"/>
            <w:gridSpan w:val="8"/>
          </w:tcPr>
          <w:p>
            <w:pPr>
              <w:ind w:left="7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700" w:type="dxa"/>
            <w:vAlign w:val="bottom"/>
          </w:tcPr>
          <w:p>
            <w:pPr>
              <w:jc w:val="center"/>
              <w:ind w:right="419"/>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4"/>
                <w:szCs w:val="14"/>
                <w:color w:val="auto"/>
              </w:rPr>
            </w:pPr>
          </w:p>
        </w:tc>
        <w:tc>
          <w:tcPr>
            <w:tcW w:w="720" w:type="dxa"/>
            <w:vAlign w:val="bottom"/>
            <w:gridSpan w:val="2"/>
          </w:tcPr>
          <w:p>
            <w:pPr>
              <w:jc w:val="center"/>
              <w:ind w:right="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Execution 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w w:val="99"/>
              </w:rPr>
              <w:t>Transaction</w:t>
            </w: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0"/>
                <w:szCs w:val="10"/>
                <w:color w:val="auto"/>
              </w:rPr>
            </w:pPr>
          </w:p>
        </w:tc>
        <w:tc>
          <w:tcPr>
            <w:tcW w:w="720" w:type="dxa"/>
            <w:vAlign w:val="bottom"/>
            <w:gridSpan w:val="2"/>
          </w:tcPr>
          <w:p>
            <w:pPr>
              <w:jc w:val="center"/>
              <w:ind w:right="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jc w:val="center"/>
              <w:ind w:right="419"/>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ind w:left="160"/>
              <w:spacing w:after="0"/>
              <w:rPr>
                <w:sz w:val="20"/>
                <w:szCs w:val="20"/>
                <w:color w:val="auto"/>
              </w:rPr>
            </w:pPr>
            <w:r>
              <w:rPr>
                <w:rFonts w:ascii="Arial" w:cs="Arial" w:eastAsia="Arial" w:hAnsi="Arial"/>
                <w:sz w:val="11"/>
                <w:szCs w:val="11"/>
                <w:b w:val="1"/>
                <w:bCs w:val="1"/>
                <w:color w:val="auto"/>
              </w:rPr>
              <w:t>4 and 5)</w:t>
            </w: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1"/>
                <w:szCs w:val="11"/>
                <w:b w:val="1"/>
                <w:bCs w:val="1"/>
                <w:color w:val="auto"/>
              </w:rPr>
              <w:t>(A)</w:t>
            </w:r>
          </w:p>
        </w:tc>
        <w:tc>
          <w:tcPr>
            <w:tcW w:w="40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03/30/2024</w:t>
            </w:r>
          </w:p>
        </w:tc>
        <w:tc>
          <w:tcPr>
            <w:tcW w:w="1120" w:type="dxa"/>
            <w:vAlign w:val="bottom"/>
          </w:tcPr>
          <w:p>
            <w:pPr>
              <w:spacing w:after="0"/>
              <w:rPr>
                <w:sz w:val="15"/>
                <w:szCs w:val="15"/>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15"/>
                <w:szCs w:val="15"/>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573</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center"/>
              <w:ind w:right="7"/>
              <w:spacing w:after="0"/>
              <w:rPr>
                <w:sz w:val="20"/>
                <w:szCs w:val="20"/>
                <w:color w:val="auto"/>
              </w:rPr>
            </w:pPr>
            <w:r>
              <w:rPr>
                <w:rFonts w:ascii="Times New Roman" w:cs="Times New Roman" w:eastAsia="Times New Roman" w:hAnsi="Times New Roman"/>
                <w:sz w:val="16"/>
                <w:szCs w:val="16"/>
                <w:color w:val="0000FF"/>
                <w:w w:val="99"/>
              </w:rPr>
              <w:t>573</w:t>
            </w: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vMerge w:val="restart"/>
          </w:tcPr>
          <w:p>
            <w:pPr>
              <w:jc w:val="center"/>
              <w:ind w:left="199"/>
              <w:spacing w:after="0"/>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03/30/2024</w:t>
            </w:r>
          </w:p>
        </w:tc>
        <w:tc>
          <w:tcPr>
            <w:tcW w:w="1120" w:type="dxa"/>
            <w:vAlign w:val="bottom"/>
          </w:tcPr>
          <w:p>
            <w:pPr>
              <w:spacing w:after="0"/>
              <w:rPr>
                <w:sz w:val="15"/>
                <w:szCs w:val="15"/>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15"/>
                <w:szCs w:val="15"/>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427</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ind w:right="7"/>
              <w:spacing w:after="0"/>
              <w:rPr>
                <w:sz w:val="20"/>
                <w:szCs w:val="20"/>
                <w:color w:val="auto"/>
              </w:rPr>
            </w:pPr>
            <w:r>
              <w:rPr>
                <w:rFonts w:ascii="Times New Roman" w:cs="Times New Roman" w:eastAsia="Times New Roman" w:hAnsi="Times New Roman"/>
                <w:sz w:val="16"/>
                <w:szCs w:val="16"/>
                <w:color w:val="0000FF"/>
                <w:w w:val="99"/>
              </w:rPr>
              <w:t>427</w:t>
            </w: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vMerge w:val="restart"/>
          </w:tcPr>
          <w:p>
            <w:pPr>
              <w:jc w:val="center"/>
              <w:ind w:left="199"/>
              <w:spacing w:after="0"/>
              <w:rPr>
                <w:sz w:val="20"/>
                <w:szCs w:val="20"/>
                <w:color w:val="auto"/>
              </w:rPr>
            </w:pPr>
            <w:r>
              <w:rPr>
                <w:rFonts w:ascii="Times New Roman" w:cs="Times New Roman" w:eastAsia="Times New Roman" w:hAnsi="Times New Roman"/>
                <w:sz w:val="13"/>
                <w:szCs w:val="13"/>
                <w:color w:val="0000FF"/>
                <w:w w:val="92"/>
              </w:rPr>
              <w:t>426</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03/30/2024</w:t>
            </w:r>
          </w:p>
        </w:tc>
        <w:tc>
          <w:tcPr>
            <w:tcW w:w="1120" w:type="dxa"/>
            <w:vAlign w:val="bottom"/>
          </w:tcPr>
          <w:p>
            <w:pPr>
              <w:spacing w:after="0"/>
              <w:rPr>
                <w:sz w:val="15"/>
                <w:szCs w:val="15"/>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15"/>
                <w:szCs w:val="15"/>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457</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ind w:right="7"/>
              <w:spacing w:after="0"/>
              <w:rPr>
                <w:sz w:val="20"/>
                <w:szCs w:val="20"/>
                <w:color w:val="auto"/>
              </w:rPr>
            </w:pPr>
            <w:r>
              <w:rPr>
                <w:rFonts w:ascii="Times New Roman" w:cs="Times New Roman" w:eastAsia="Times New Roman" w:hAnsi="Times New Roman"/>
                <w:sz w:val="16"/>
                <w:szCs w:val="16"/>
                <w:color w:val="0000FF"/>
                <w:w w:val="99"/>
              </w:rPr>
              <w:t>457</w:t>
            </w: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vMerge w:val="restart"/>
          </w:tcPr>
          <w:p>
            <w:pPr>
              <w:jc w:val="center"/>
              <w:ind w:left="199"/>
              <w:spacing w:after="0"/>
              <w:rPr>
                <w:sz w:val="20"/>
                <w:szCs w:val="20"/>
                <w:color w:val="auto"/>
              </w:rPr>
            </w:pPr>
            <w:r>
              <w:rPr>
                <w:rFonts w:ascii="Times New Roman" w:cs="Times New Roman" w:eastAsia="Times New Roman" w:hAnsi="Times New Roman"/>
                <w:sz w:val="13"/>
                <w:szCs w:val="13"/>
                <w:color w:val="0000FF"/>
                <w:w w:val="92"/>
              </w:rPr>
              <w:t>914</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(7)</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03/30/2024</w:t>
            </w:r>
          </w:p>
        </w:tc>
        <w:tc>
          <w:tcPr>
            <w:tcW w:w="1120" w:type="dxa"/>
            <w:vAlign w:val="bottom"/>
          </w:tcPr>
          <w:p>
            <w:pPr>
              <w:spacing w:after="0"/>
              <w:rPr>
                <w:sz w:val="15"/>
                <w:szCs w:val="15"/>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15"/>
                <w:szCs w:val="15"/>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1,330</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ind w:right="7"/>
              <w:spacing w:after="0"/>
              <w:rPr>
                <w:sz w:val="20"/>
                <w:szCs w:val="20"/>
                <w:color w:val="auto"/>
              </w:rPr>
            </w:pPr>
            <w:r>
              <w:rPr>
                <w:rFonts w:ascii="Times New Roman" w:cs="Times New Roman" w:eastAsia="Times New Roman" w:hAnsi="Times New Roman"/>
                <w:sz w:val="16"/>
                <w:szCs w:val="16"/>
                <w:color w:val="0000FF"/>
                <w:w w:val="99"/>
              </w:rPr>
              <w:t>1,330</w:t>
            </w: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vMerge w:val="restart"/>
          </w:tcPr>
          <w:p>
            <w:pPr>
              <w:jc w:val="center"/>
              <w:ind w:left="199"/>
              <w:spacing w:after="0"/>
              <w:rPr>
                <w:sz w:val="20"/>
                <w:szCs w:val="20"/>
                <w:color w:val="auto"/>
              </w:rPr>
            </w:pPr>
            <w:r>
              <w:rPr>
                <w:rFonts w:ascii="Times New Roman" w:cs="Times New Roman" w:eastAsia="Times New Roman" w:hAnsi="Times New Roman"/>
                <w:sz w:val="13"/>
                <w:szCs w:val="13"/>
                <w:color w:val="0000FF"/>
              </w:rPr>
              <w:t>3,989</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(9)</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03/30/2024</w:t>
            </w:r>
          </w:p>
        </w:tc>
        <w:tc>
          <w:tcPr>
            <w:tcW w:w="1120" w:type="dxa"/>
            <w:vAlign w:val="bottom"/>
          </w:tcPr>
          <w:p>
            <w:pPr>
              <w:spacing w:after="0"/>
              <w:rPr>
                <w:sz w:val="15"/>
                <w:szCs w:val="15"/>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15"/>
                <w:szCs w:val="15"/>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1,706</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ind w:right="7"/>
              <w:spacing w:after="0"/>
              <w:rPr>
                <w:sz w:val="20"/>
                <w:szCs w:val="20"/>
                <w:color w:val="auto"/>
              </w:rPr>
            </w:pPr>
            <w:r>
              <w:rPr>
                <w:rFonts w:ascii="Times New Roman" w:cs="Times New Roman" w:eastAsia="Times New Roman" w:hAnsi="Times New Roman"/>
                <w:sz w:val="16"/>
                <w:szCs w:val="16"/>
                <w:color w:val="0000FF"/>
                <w:w w:val="99"/>
              </w:rPr>
              <w:t>1,706</w:t>
            </w: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vMerge w:val="restart"/>
          </w:tcPr>
          <w:p>
            <w:pPr>
              <w:jc w:val="center"/>
              <w:ind w:left="199"/>
              <w:spacing w:after="0"/>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(9)</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03/30/2024</w:t>
            </w:r>
          </w:p>
        </w:tc>
        <w:tc>
          <w:tcPr>
            <w:tcW w:w="1120" w:type="dxa"/>
            <w:vAlign w:val="bottom"/>
          </w:tcPr>
          <w:p>
            <w:pPr>
              <w:spacing w:after="0"/>
              <w:rPr>
                <w:sz w:val="15"/>
                <w:szCs w:val="15"/>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15"/>
                <w:szCs w:val="15"/>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1,290</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(11)</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(11)</w:t>
            </w: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ind w:right="7"/>
              <w:spacing w:after="0"/>
              <w:rPr>
                <w:sz w:val="20"/>
                <w:szCs w:val="20"/>
                <w:color w:val="auto"/>
              </w:rPr>
            </w:pPr>
            <w:r>
              <w:rPr>
                <w:rFonts w:ascii="Times New Roman" w:cs="Times New Roman" w:eastAsia="Times New Roman" w:hAnsi="Times New Roman"/>
                <w:sz w:val="16"/>
                <w:szCs w:val="16"/>
                <w:color w:val="0000FF"/>
                <w:w w:val="99"/>
              </w:rPr>
              <w:t>1,290</w:t>
            </w: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vMerge w:val="restart"/>
          </w:tcPr>
          <w:p>
            <w:pPr>
              <w:jc w:val="center"/>
              <w:ind w:left="199"/>
              <w:spacing w:after="0"/>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(9)</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03/30/2024</w:t>
            </w:r>
          </w:p>
        </w:tc>
        <w:tc>
          <w:tcPr>
            <w:tcW w:w="1120" w:type="dxa"/>
            <w:vAlign w:val="bottom"/>
          </w:tcPr>
          <w:p>
            <w:pPr>
              <w:spacing w:after="0"/>
              <w:rPr>
                <w:sz w:val="15"/>
                <w:szCs w:val="15"/>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15"/>
                <w:szCs w:val="15"/>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1,961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(12)</w:t>
            </w: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ind w:right="7"/>
              <w:spacing w:after="0"/>
              <w:rPr>
                <w:sz w:val="20"/>
                <w:szCs w:val="20"/>
                <w:color w:val="auto"/>
              </w:rPr>
            </w:pPr>
            <w:r>
              <w:rPr>
                <w:rFonts w:ascii="Times New Roman" w:cs="Times New Roman" w:eastAsia="Times New Roman" w:hAnsi="Times New Roman"/>
                <w:sz w:val="16"/>
                <w:szCs w:val="16"/>
                <w:color w:val="0000FF"/>
                <w:w w:val="99"/>
              </w:rPr>
              <w:t>1,961</w:t>
            </w: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vMerge w:val="restart"/>
          </w:tcPr>
          <w:p>
            <w:pPr>
              <w:jc w:val="center"/>
              <w:ind w:left="199"/>
              <w:spacing w:after="0"/>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(7)</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03/30/2024</w:t>
            </w:r>
          </w:p>
        </w:tc>
        <w:tc>
          <w:tcPr>
            <w:tcW w:w="1120" w:type="dxa"/>
            <w:vAlign w:val="bottom"/>
          </w:tcPr>
          <w:p>
            <w:pPr>
              <w:spacing w:after="0"/>
              <w:rPr>
                <w:sz w:val="15"/>
                <w:szCs w:val="15"/>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vMerge w:val="restart"/>
          </w:tcPr>
          <w:p>
            <w:pPr>
              <w:jc w:val="center"/>
              <w:ind w:left="1"/>
              <w:spacing w:after="0"/>
              <w:rPr>
                <w:sz w:val="20"/>
                <w:szCs w:val="20"/>
                <w:color w:val="auto"/>
              </w:rPr>
            </w:pPr>
            <w:r>
              <w:rPr>
                <w:rFonts w:ascii="Times New Roman" w:cs="Times New Roman" w:eastAsia="Times New Roman" w:hAnsi="Times New Roman"/>
                <w:sz w:val="13"/>
                <w:szCs w:val="13"/>
                <w:color w:val="0000FF"/>
              </w:rPr>
              <w:t>4,915</w:t>
            </w:r>
          </w:p>
        </w:tc>
        <w:tc>
          <w:tcPr>
            <w:tcW w:w="40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(13)</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(13)</w:t>
            </w: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ind w:right="7"/>
              <w:spacing w:after="0"/>
              <w:rPr>
                <w:sz w:val="20"/>
                <w:szCs w:val="20"/>
                <w:color w:val="auto"/>
              </w:rPr>
            </w:pPr>
            <w:r>
              <w:rPr>
                <w:rFonts w:ascii="Times New Roman" w:cs="Times New Roman" w:eastAsia="Times New Roman" w:hAnsi="Times New Roman"/>
                <w:sz w:val="16"/>
                <w:szCs w:val="16"/>
                <w:color w:val="0000FF"/>
                <w:w w:val="99"/>
              </w:rPr>
              <w:t>4,915</w:t>
            </w: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vMerge w:val="restart"/>
          </w:tcPr>
          <w:p>
            <w:pPr>
              <w:jc w:val="center"/>
              <w:ind w:left="199"/>
              <w:spacing w:after="0"/>
              <w:rPr>
                <w:sz w:val="20"/>
                <w:szCs w:val="20"/>
                <w:color w:val="auto"/>
              </w:rPr>
            </w:pPr>
            <w:r>
              <w:rPr>
                <w:rFonts w:ascii="Times New Roman" w:cs="Times New Roman" w:eastAsia="Times New Roman" w:hAnsi="Times New Roman"/>
                <w:sz w:val="13"/>
                <w:szCs w:val="13"/>
                <w:color w:val="0000FF"/>
              </w:rPr>
              <w:t>4,915</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(14)</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03/30/2024</w:t>
            </w:r>
          </w:p>
        </w:tc>
        <w:tc>
          <w:tcPr>
            <w:tcW w:w="1120" w:type="dxa"/>
            <w:vAlign w:val="bottom"/>
          </w:tcPr>
          <w:p>
            <w:pPr>
              <w:spacing w:after="0"/>
              <w:rPr>
                <w:sz w:val="15"/>
                <w:szCs w:val="15"/>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vMerge w:val="restart"/>
          </w:tcPr>
          <w:p>
            <w:pPr>
              <w:jc w:val="center"/>
              <w:ind w:left="1"/>
              <w:spacing w:after="0"/>
              <w:rPr>
                <w:sz w:val="20"/>
                <w:szCs w:val="20"/>
                <w:color w:val="auto"/>
              </w:rPr>
            </w:pPr>
            <w:r>
              <w:rPr>
                <w:rFonts w:ascii="Times New Roman" w:cs="Times New Roman" w:eastAsia="Times New Roman" w:hAnsi="Times New Roman"/>
                <w:sz w:val="13"/>
                <w:szCs w:val="13"/>
                <w:color w:val="0000FF"/>
              </w:rPr>
              <w:t>2,457</w:t>
            </w:r>
          </w:p>
        </w:tc>
        <w:tc>
          <w:tcPr>
            <w:tcW w:w="40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(15)</w:t>
            </w: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ind w:right="7"/>
              <w:spacing w:after="0"/>
              <w:rPr>
                <w:sz w:val="20"/>
                <w:szCs w:val="20"/>
                <w:color w:val="auto"/>
              </w:rPr>
            </w:pPr>
            <w:r>
              <w:rPr>
                <w:rFonts w:ascii="Times New Roman" w:cs="Times New Roman" w:eastAsia="Times New Roman" w:hAnsi="Times New Roman"/>
                <w:sz w:val="16"/>
                <w:szCs w:val="16"/>
                <w:color w:val="0000FF"/>
                <w:w w:val="99"/>
              </w:rPr>
              <w:t>2,457</w:t>
            </w: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vMerge w:val="restart"/>
          </w:tcPr>
          <w:p>
            <w:pPr>
              <w:jc w:val="center"/>
              <w:ind w:left="199"/>
              <w:spacing w:after="0"/>
              <w:rPr>
                <w:sz w:val="20"/>
                <w:szCs w:val="20"/>
                <w:color w:val="auto"/>
              </w:rPr>
            </w:pPr>
            <w:r>
              <w:rPr>
                <w:rFonts w:ascii="Times New Roman" w:cs="Times New Roman" w:eastAsia="Times New Roman" w:hAnsi="Times New Roman"/>
                <w:sz w:val="13"/>
                <w:szCs w:val="13"/>
                <w:color w:val="0000FF"/>
              </w:rPr>
              <w:t>2,457</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(14)</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03/30/2024</w:t>
            </w:r>
          </w:p>
        </w:tc>
        <w:tc>
          <w:tcPr>
            <w:tcW w:w="1120" w:type="dxa"/>
            <w:vAlign w:val="bottom"/>
          </w:tcPr>
          <w:p>
            <w:pPr>
              <w:spacing w:after="0"/>
              <w:rPr>
                <w:sz w:val="15"/>
                <w:szCs w:val="15"/>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vMerge w:val="restart"/>
          </w:tcPr>
          <w:p>
            <w:pPr>
              <w:jc w:val="center"/>
              <w:ind w:left="1"/>
              <w:spacing w:after="0"/>
              <w:rPr>
                <w:sz w:val="20"/>
                <w:szCs w:val="20"/>
                <w:color w:val="auto"/>
              </w:rPr>
            </w:pPr>
            <w:r>
              <w:rPr>
                <w:rFonts w:ascii="Times New Roman" w:cs="Times New Roman" w:eastAsia="Times New Roman" w:hAnsi="Times New Roman"/>
                <w:sz w:val="13"/>
                <w:szCs w:val="13"/>
                <w:color w:val="0000FF"/>
              </w:rPr>
              <w:t>2,457</w:t>
            </w:r>
          </w:p>
        </w:tc>
        <w:tc>
          <w:tcPr>
            <w:tcW w:w="40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(16)</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(16)</w:t>
            </w: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ind w:right="7"/>
              <w:spacing w:after="0"/>
              <w:rPr>
                <w:sz w:val="20"/>
                <w:szCs w:val="20"/>
                <w:color w:val="auto"/>
              </w:rPr>
            </w:pPr>
            <w:r>
              <w:rPr>
                <w:rFonts w:ascii="Times New Roman" w:cs="Times New Roman" w:eastAsia="Times New Roman" w:hAnsi="Times New Roman"/>
                <w:sz w:val="16"/>
                <w:szCs w:val="16"/>
                <w:color w:val="0000FF"/>
                <w:w w:val="99"/>
              </w:rPr>
              <w:t>2,457</w:t>
            </w: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vMerge w:val="restart"/>
          </w:tcPr>
          <w:p>
            <w:pPr>
              <w:jc w:val="center"/>
              <w:ind w:left="199"/>
              <w:spacing w:after="0"/>
              <w:rPr>
                <w:sz w:val="20"/>
                <w:szCs w:val="20"/>
                <w:color w:val="auto"/>
              </w:rPr>
            </w:pPr>
            <w:r>
              <w:rPr>
                <w:rFonts w:ascii="Times New Roman" w:cs="Times New Roman" w:eastAsia="Times New Roman" w:hAnsi="Times New Roman"/>
                <w:sz w:val="13"/>
                <w:szCs w:val="13"/>
                <w:color w:val="0000FF"/>
              </w:rPr>
              <w:t>2,457</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(14)</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03/30/2024</w:t>
            </w:r>
          </w:p>
        </w:tc>
        <w:tc>
          <w:tcPr>
            <w:tcW w:w="1120" w:type="dxa"/>
            <w:vAlign w:val="bottom"/>
          </w:tcPr>
          <w:p>
            <w:pPr>
              <w:spacing w:after="0"/>
              <w:rPr>
                <w:sz w:val="15"/>
                <w:szCs w:val="15"/>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vMerge w:val="restart"/>
          </w:tcPr>
          <w:p>
            <w:pPr>
              <w:jc w:val="center"/>
              <w:ind w:left="1"/>
              <w:spacing w:after="0"/>
              <w:rPr>
                <w:sz w:val="20"/>
                <w:szCs w:val="20"/>
                <w:color w:val="auto"/>
              </w:rPr>
            </w:pPr>
            <w:r>
              <w:rPr>
                <w:rFonts w:ascii="Times New Roman" w:cs="Times New Roman" w:eastAsia="Times New Roman" w:hAnsi="Times New Roman"/>
                <w:sz w:val="13"/>
                <w:szCs w:val="13"/>
                <w:color w:val="0000FF"/>
              </w:rPr>
              <w:t>4,915</w:t>
            </w:r>
          </w:p>
        </w:tc>
        <w:tc>
          <w:tcPr>
            <w:tcW w:w="40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(17)</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(17)</w:t>
            </w: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ind w:right="7"/>
              <w:spacing w:after="0"/>
              <w:rPr>
                <w:sz w:val="20"/>
                <w:szCs w:val="20"/>
                <w:color w:val="auto"/>
              </w:rPr>
            </w:pPr>
            <w:r>
              <w:rPr>
                <w:rFonts w:ascii="Times New Roman" w:cs="Times New Roman" w:eastAsia="Times New Roman" w:hAnsi="Times New Roman"/>
                <w:sz w:val="16"/>
                <w:szCs w:val="16"/>
                <w:color w:val="0000FF"/>
                <w:w w:val="99"/>
              </w:rPr>
              <w:t>4,915</w:t>
            </w: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vMerge w:val="restart"/>
          </w:tcPr>
          <w:p>
            <w:pPr>
              <w:jc w:val="center"/>
              <w:ind w:left="199"/>
              <w:spacing w:after="0"/>
              <w:rPr>
                <w:sz w:val="20"/>
                <w:szCs w:val="20"/>
                <w:color w:val="auto"/>
              </w:rPr>
            </w:pPr>
            <w:r>
              <w:rPr>
                <w:rFonts w:ascii="Times New Roman" w:cs="Times New Roman" w:eastAsia="Times New Roman" w:hAnsi="Times New Roman"/>
                <w:sz w:val="13"/>
                <w:szCs w:val="13"/>
                <w:color w:val="0000FF"/>
              </w:rPr>
              <w:t>4,915</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(18)</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(18)</w:t>
            </w:r>
          </w:p>
        </w:tc>
        <w:tc>
          <w:tcPr>
            <w:tcW w:w="66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ind w:right="7"/>
              <w:spacing w:after="0"/>
              <w:rPr>
                <w:sz w:val="20"/>
                <w:szCs w:val="20"/>
                <w:color w:val="auto"/>
              </w:rPr>
            </w:pPr>
            <w:r>
              <w:rPr>
                <w:rFonts w:ascii="Times New Roman" w:cs="Times New Roman" w:eastAsia="Times New Roman" w:hAnsi="Times New Roman"/>
                <w:sz w:val="16"/>
                <w:szCs w:val="16"/>
                <w:color w:val="0000FF"/>
                <w:w w:val="99"/>
              </w:rPr>
              <w:t>10,746</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ind w:left="60"/>
              <w:spacing w:after="0" w:line="127" w:lineRule="exact"/>
              <w:rPr>
                <w:sz w:val="20"/>
                <w:szCs w:val="20"/>
                <w:color w:val="auto"/>
              </w:rPr>
            </w:pPr>
            <w:r>
              <w:rPr>
                <w:rFonts w:ascii="Times New Roman" w:cs="Times New Roman" w:eastAsia="Times New Roman" w:hAnsi="Times New Roman"/>
                <w:sz w:val="13"/>
                <w:szCs w:val="13"/>
                <w:color w:val="0000FF"/>
              </w:rPr>
              <w:t>Appreciation</w:t>
            </w:r>
          </w:p>
        </w:tc>
        <w:tc>
          <w:tcPr>
            <w:tcW w:w="760" w:type="dxa"/>
            <w:vAlign w:val="bottom"/>
          </w:tcPr>
          <w:p>
            <w:pPr>
              <w:jc w:val="center"/>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55.94</w:t>
            </w:r>
          </w:p>
        </w:tc>
        <w:tc>
          <w:tcPr>
            <w:tcW w:w="1020" w:type="dxa"/>
            <w:vAlign w:val="bottom"/>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4"/>
              </w:rPr>
              <w:t>03/30/2024</w:t>
            </w:r>
          </w:p>
        </w:tc>
        <w:tc>
          <w:tcPr>
            <w:tcW w:w="1120" w:type="dxa"/>
            <w:vAlign w:val="bottom"/>
          </w:tcPr>
          <w:p>
            <w:pPr>
              <w:spacing w:after="0"/>
              <w:rPr>
                <w:sz w:val="11"/>
                <w:szCs w:val="11"/>
                <w:color w:val="auto"/>
              </w:rPr>
            </w:pPr>
          </w:p>
        </w:tc>
        <w:tc>
          <w:tcPr>
            <w:tcW w:w="700" w:type="dxa"/>
            <w:vAlign w:val="bottom"/>
          </w:tcPr>
          <w:p>
            <w:pPr>
              <w:ind w:left="160"/>
              <w:spacing w:after="0" w:line="127" w:lineRule="exact"/>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jc w:val="center"/>
              <w:ind w:left="1"/>
              <w:spacing w:after="0" w:line="127" w:lineRule="exact"/>
              <w:rPr>
                <w:sz w:val="20"/>
                <w:szCs w:val="20"/>
                <w:color w:val="auto"/>
              </w:rPr>
            </w:pPr>
            <w:r>
              <w:rPr>
                <w:rFonts w:ascii="Times New Roman" w:cs="Times New Roman" w:eastAsia="Times New Roman" w:hAnsi="Times New Roman"/>
                <w:sz w:val="13"/>
                <w:szCs w:val="13"/>
                <w:color w:val="0000FF"/>
                <w:w w:val="94"/>
              </w:rPr>
              <w:t>10,746</w:t>
            </w:r>
          </w:p>
        </w:tc>
        <w:tc>
          <w:tcPr>
            <w:tcW w:w="4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20" w:type="dxa"/>
            <w:vAlign w:val="bottom"/>
            <w:gridSpan w:val="2"/>
          </w:tcPr>
          <w:p>
            <w:pPr>
              <w:jc w:val="center"/>
              <w:spacing w:after="0" w:line="12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4"/>
              </w:rPr>
              <w:t>10,746</w:t>
            </w:r>
          </w:p>
        </w:tc>
        <w:tc>
          <w:tcPr>
            <w:tcW w:w="640" w:type="dxa"/>
            <w:vAlign w:val="bottom"/>
          </w:tcPr>
          <w:p>
            <w:pPr>
              <w:ind w:left="320"/>
              <w:spacing w:after="0" w:line="127"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ind w:right="17"/>
              <w:spacing w:after="0" w:line="139" w:lineRule="exact"/>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-4638040</wp:posOffset>
            </wp:positionV>
            <wp:extent cx="28575" cy="4643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464312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had vested restricted stock units (RSUs) and performance stock units (PSUs) settled in Ordinary Shares of LivaNova PLC (the Company).</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referenced shares were withheld from distribution to satisfy tax liability.</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in accordance with the terms of the LivaNova PLC 2015 Incentive Award Plan (the 2015 Plan) and the award agreement.</w:t>
      </w:r>
    </w:p>
    <w:p>
      <w:pPr>
        <w:spacing w:after="0" w:line="40" w:lineRule="exact"/>
        <w:rPr>
          <w:rFonts w:ascii="Times New Roman" w:cs="Times New Roman" w:eastAsia="Times New Roman" w:hAnsi="Times New Roman"/>
          <w:sz w:val="13"/>
          <w:szCs w:val="13"/>
          <w:color w:val="008000"/>
        </w:rPr>
      </w:pPr>
    </w:p>
    <w:p>
      <w:pPr>
        <w:ind w:left="40" w:right="180" w:hanging="1"/>
        <w:spacing w:after="0" w:line="247"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2,295 RSUs on March 30, 2020, subject to a four-year vesting in equal annual installments, which began on March 30, 2021. RSUs reported here vested 25% on March 30, 2024. The RSUs were subject to forfeiture prior to vesting in accordance with the terms of the 2015 Plan and the award agreement.</w:t>
      </w:r>
    </w:p>
    <w:p>
      <w:pPr>
        <w:spacing w:after="0" w:line="21" w:lineRule="exact"/>
        <w:rPr>
          <w:rFonts w:ascii="Times New Roman" w:cs="Times New Roman" w:eastAsia="Times New Roman" w:hAnsi="Times New Roman"/>
          <w:sz w:val="13"/>
          <w:szCs w:val="13"/>
          <w:color w:val="008000"/>
        </w:rPr>
      </w:pPr>
    </w:p>
    <w:p>
      <w:pPr>
        <w:ind w:left="40" w:right="340" w:hanging="1"/>
        <w:spacing w:after="0" w:line="247"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1,706 RSUs on March 30, 2021, subject to a four-year vesting in equal annual installments, which began on March 30, 2022. The remaining unvested RSUs reported here vest 25% on March 30, 2025. The RSUs are subject to forfeiture prior to vesting in accordance with the terms of the 2015 Plan and the award agreement.</w:t>
      </w:r>
    </w:p>
    <w:p>
      <w:pPr>
        <w:spacing w:after="0" w:line="21" w:lineRule="exact"/>
        <w:rPr>
          <w:rFonts w:ascii="Times New Roman" w:cs="Times New Roman" w:eastAsia="Times New Roman" w:hAnsi="Times New Roman"/>
          <w:sz w:val="13"/>
          <w:szCs w:val="13"/>
          <w:color w:val="008000"/>
        </w:rPr>
      </w:pPr>
    </w:p>
    <w:p>
      <w:pPr>
        <w:ind w:left="40" w:right="340" w:hanging="1"/>
        <w:spacing w:after="0" w:line="247"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1,828 RSUs on March 30, 2022, subject to a four-year vesting in equal annual installments, which began on March 30, 2023. The remaining unvested RSUs reported here vest 25% on March 30, 2025 and March 30, 2026. The RSUs are subject to forfeiture prior to vesting in accordance with the terms of the 2015 Plan and the award agreement.</w:t>
      </w:r>
    </w:p>
    <w:p>
      <w:pPr>
        <w:spacing w:after="0" w:line="21"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in accordance with the terms of the LivaNova PLC 2022 Incentive Award Plan (the 2022 Plan) and the award agreement.</w:t>
      </w:r>
    </w:p>
    <w:p>
      <w:pPr>
        <w:spacing w:after="0" w:line="40" w:lineRule="exact"/>
        <w:rPr>
          <w:rFonts w:ascii="Times New Roman" w:cs="Times New Roman" w:eastAsia="Times New Roman" w:hAnsi="Times New Roman"/>
          <w:sz w:val="13"/>
          <w:szCs w:val="13"/>
          <w:color w:val="008000"/>
        </w:rPr>
      </w:pPr>
    </w:p>
    <w:p>
      <w:pPr>
        <w:ind w:left="40" w:right="460" w:hanging="1"/>
        <w:spacing w:after="0" w:line="247"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5,319 RSUs on March 30, 2023, subject to a four-year vesting in equal annual installments, which began on March 30, 2024. The unvested RSUs reported here vest 25% on March 30, 2025, March 30, 2026, and March 30, 2027. The RSUs are subject to forfeiture prior to vesting in accordance with the terms of the 2022 Plan and the award agreement.</w:t>
      </w:r>
    </w:p>
    <w:p>
      <w:pPr>
        <w:sectPr>
          <w:pgSz w:w="11900" w:h="16838" w:orient="portrait"/>
          <w:cols w:equalWidth="0" w:num="1">
            <w:col w:w="11080"/>
          </w:cols>
          <w:pgMar w:left="460" w:top="215" w:right="359" w:bottom="0" w:gutter="0" w:footer="0" w:header="0"/>
          <w:type w:val="continuous"/>
        </w:sectPr>
      </w:pPr>
    </w:p>
    <w:bookmarkStart w:id="1" w:name="page2"/>
    <w:bookmarkEnd w:id="1"/>
    <w:p>
      <w:pPr>
        <w:ind w:left="121" w:hanging="121"/>
        <w:spacing w:after="0"/>
        <w:tabs>
          <w:tab w:leader="none" w:pos="12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PSU represents a contingent right to receive one Ordinary Share of the Company in accordance with the terms of the 2015 Plan and the terms of the award agreement.</w:t>
      </w:r>
    </w:p>
    <w:p>
      <w:pPr>
        <w:spacing w:after="0" w:line="40" w:lineRule="exact"/>
        <w:rPr>
          <w:rFonts w:ascii="Times New Roman" w:cs="Times New Roman" w:eastAsia="Times New Roman" w:hAnsi="Times New Roman"/>
          <w:sz w:val="13"/>
          <w:szCs w:val="13"/>
          <w:color w:val="008000"/>
        </w:rPr>
      </w:pPr>
    </w:p>
    <w:p>
      <w:pPr>
        <w:ind w:left="1" w:right="160" w:hanging="1"/>
        <w:spacing w:after="0" w:line="247" w:lineRule="auto"/>
        <w:tabs>
          <w:tab w:leader="none" w:pos="19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2021, the reporting person received a grant of 853 PSUs. The number of PSUs that vested was the result of the Company's performance against a target related to Free Cash Flow (FCF) for fiscal year 2021 with additional two years service condition. The performance achieved was 200%, and the actual number of vested shares is presented as the quantity that was acquired.</w:t>
      </w:r>
    </w:p>
    <w:p>
      <w:pPr>
        <w:spacing w:after="0" w:line="21" w:lineRule="exact"/>
        <w:rPr>
          <w:rFonts w:ascii="Times New Roman" w:cs="Times New Roman" w:eastAsia="Times New Roman" w:hAnsi="Times New Roman"/>
          <w:sz w:val="13"/>
          <w:szCs w:val="13"/>
          <w:color w:val="008000"/>
        </w:rPr>
      </w:pPr>
    </w:p>
    <w:p>
      <w:pPr>
        <w:ind w:left="1" w:right="20" w:hanging="1"/>
        <w:spacing w:after="0" w:line="247" w:lineRule="auto"/>
        <w:tabs>
          <w:tab w:leader="none" w:pos="18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2021, the reporting person received a grant of 853 PSUs. The number of PSUs that vested was the result of the Company's Return on Investment Capital (ROIC) for fiscal year 2021 with additional two years service condition. The performance achieved was 151.30%, and the actual number of vested shares is presented as the quantity that was acquired.</w:t>
      </w:r>
    </w:p>
    <w:p>
      <w:pPr>
        <w:spacing w:after="0" w:line="21" w:lineRule="exact"/>
        <w:rPr>
          <w:rFonts w:ascii="Times New Roman" w:cs="Times New Roman" w:eastAsia="Times New Roman" w:hAnsi="Times New Roman"/>
          <w:sz w:val="13"/>
          <w:szCs w:val="13"/>
          <w:color w:val="008000"/>
        </w:rPr>
      </w:pPr>
    </w:p>
    <w:p>
      <w:pPr>
        <w:ind w:left="1" w:right="180" w:hanging="1"/>
        <w:spacing w:after="0" w:line="247" w:lineRule="auto"/>
        <w:tabs>
          <w:tab w:leader="none" w:pos="19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2021, the reporting person was granted 1,706 PSUs. The vesting of the PSUs depended on the Company's performance against a target of the total shareholder return (TSR) for fiscal years 2021, 2022, and 2023, compared to peer companies. The Company's performance achieved a result of 115%, and the actual number of vested shares is presented as the quantity that was acquired.</w:t>
      </w:r>
    </w:p>
    <w:p>
      <w:pPr>
        <w:spacing w:after="0" w:line="21" w:lineRule="exact"/>
        <w:rPr>
          <w:rFonts w:ascii="Times New Roman" w:cs="Times New Roman" w:eastAsia="Times New Roman" w:hAnsi="Times New Roman"/>
          <w:sz w:val="13"/>
          <w:szCs w:val="13"/>
          <w:color w:val="008000"/>
        </w:rPr>
      </w:pPr>
    </w:p>
    <w:p>
      <w:pPr>
        <w:ind w:left="1" w:right="340" w:hanging="1"/>
        <w:spacing w:after="0" w:line="247" w:lineRule="auto"/>
        <w:tabs>
          <w:tab w:leader="none" w:pos="19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2024, reporting person was granted RSUs subject to a four-year vesting in equal annual installments, the first vesting occurring on March 30, 2025. The RSUs are subject to forfeiture prior to vesting in accordance with the terms of the 2022 Plan and the award agreement.</w:t>
      </w:r>
    </w:p>
    <w:p>
      <w:pPr>
        <w:spacing w:after="0" w:line="21" w:lineRule="exact"/>
        <w:rPr>
          <w:rFonts w:ascii="Times New Roman" w:cs="Times New Roman" w:eastAsia="Times New Roman" w:hAnsi="Times New Roman"/>
          <w:sz w:val="13"/>
          <w:szCs w:val="13"/>
          <w:color w:val="008000"/>
        </w:rPr>
      </w:pPr>
    </w:p>
    <w:p>
      <w:pPr>
        <w:ind w:left="181" w:hanging="181"/>
        <w:spacing w:after="0"/>
        <w:tabs>
          <w:tab w:leader="none" w:pos="18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 stock unit (PSU) represents a contingent right to receive one Ordinary Share of the Company in accordance with the terms of the 2022 Plan and the award agreement.</w:t>
      </w:r>
    </w:p>
    <w:p>
      <w:pPr>
        <w:spacing w:after="0" w:line="40" w:lineRule="exact"/>
        <w:rPr>
          <w:rFonts w:ascii="Times New Roman" w:cs="Times New Roman" w:eastAsia="Times New Roman" w:hAnsi="Times New Roman"/>
          <w:sz w:val="13"/>
          <w:szCs w:val="13"/>
          <w:color w:val="008000"/>
        </w:rPr>
      </w:pPr>
    </w:p>
    <w:p>
      <w:pPr>
        <w:ind w:left="1" w:hanging="1"/>
        <w:spacing w:after="0" w:line="247" w:lineRule="auto"/>
        <w:tabs>
          <w:tab w:leader="none" w:pos="19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2024, reporting person was granted PSUs to vest or lapse on March 30, 2027 based on how the Company's FCF for performance period 2024-2026 compares to a target determined by the 2022 Plan Administrator. The number included in column 5 of Table II reflects the target number of PSUs eligible for vesting subject to continued service during the vesting period and the award agreement.</w:t>
      </w:r>
    </w:p>
    <w:p>
      <w:pPr>
        <w:spacing w:after="0" w:line="21" w:lineRule="exact"/>
        <w:rPr>
          <w:rFonts w:ascii="Times New Roman" w:cs="Times New Roman" w:eastAsia="Times New Roman" w:hAnsi="Times New Roman"/>
          <w:sz w:val="13"/>
          <w:szCs w:val="13"/>
          <w:color w:val="008000"/>
        </w:rPr>
      </w:pPr>
    </w:p>
    <w:p>
      <w:pPr>
        <w:ind w:left="1" w:right="80" w:hanging="1"/>
        <w:spacing w:after="0" w:line="285"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March 30, 2024, reporting person was granted PSUs to vest or lapse on March 30, 2027 based on how the Company's ROIC calculated for the performance period 2024-2026 compares to a target determined by the 2022 Plan Administrator. The number included in column 5 of Table II reflects the target number of PSUs eligible for vesting subject to continued service during the vesting period and the award agreement.</w:t>
      </w:r>
    </w:p>
    <w:p>
      <w:pPr>
        <w:spacing w:after="0" w:line="1" w:lineRule="exact"/>
        <w:rPr>
          <w:rFonts w:ascii="Times New Roman" w:cs="Times New Roman" w:eastAsia="Times New Roman" w:hAnsi="Times New Roman"/>
          <w:sz w:val="12"/>
          <w:szCs w:val="12"/>
          <w:color w:val="008000"/>
        </w:rPr>
      </w:pPr>
    </w:p>
    <w:p>
      <w:pPr>
        <w:ind w:left="1" w:right="80" w:hanging="1"/>
        <w:spacing w:after="0" w:line="237" w:lineRule="auto"/>
        <w:tabs>
          <w:tab w:leader="none" w:pos="19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2024, reporting person was granted PSUs to vest or lapse on March 30, 2027 based on the Company's TSR for the three-year period beginning on January 1, 2024 and ending December 31, 2026 relative to the TSR of an index of companies, as determined by the 2022 Plan Administrator. The number included in column 5 of Table II reflects the target number of PSUs eligible for vesting subject to continued service during the vesting period and the award agreement.</w:t>
      </w:r>
    </w:p>
    <w:p>
      <w:pPr>
        <w:spacing w:after="0" w:line="25" w:lineRule="exact"/>
        <w:rPr>
          <w:rFonts w:ascii="Times New Roman" w:cs="Times New Roman" w:eastAsia="Times New Roman" w:hAnsi="Times New Roman"/>
          <w:sz w:val="13"/>
          <w:szCs w:val="13"/>
          <w:color w:val="008000"/>
        </w:rPr>
      </w:pPr>
    </w:p>
    <w:p>
      <w:pPr>
        <w:ind w:left="1" w:right="20" w:hanging="1"/>
        <w:spacing w:after="0" w:line="247" w:lineRule="auto"/>
        <w:tabs>
          <w:tab w:leader="none" w:pos="19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2024, reporting person was granted stock appreciation rights (SARs) subject to a four-year vesting in equal annual installments, the first vesting occurring on March 30, 2025. The SARs are subject to forfeiture prior to vesting in accordance with the terms of the 2022 Plan and the award agreement.</w:t>
      </w:r>
    </w:p>
    <w:p>
      <w:pPr>
        <w:sectPr>
          <w:pgSz w:w="11900" w:h="16838" w:orient="portrait"/>
          <w:cols w:equalWidth="0" w:num="1">
            <w:col w:w="10901"/>
          </w:cols>
          <w:pgMar w:left="499" w:top="127" w:right="499" w:bottom="1440" w:gutter="0" w:footer="0" w:header="0"/>
        </w:sectPr>
      </w:pPr>
    </w:p>
    <w:p>
      <w:pPr>
        <w:spacing w:after="0" w:line="21"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Remarks:</w:t>
      </w:r>
    </w:p>
    <w:p>
      <w:pPr>
        <w:spacing w:after="0" w:line="132" w:lineRule="exact"/>
        <w:rPr>
          <w:sz w:val="20"/>
          <w:szCs w:val="20"/>
          <w:color w:val="auto"/>
        </w:rPr>
      </w:pPr>
    </w:p>
    <w:p>
      <w:pPr>
        <w:ind w:left="6561"/>
        <w:spacing w:after="0"/>
        <w:rPr>
          <w:sz w:val="20"/>
          <w:szCs w:val="20"/>
          <w:color w:val="auto"/>
        </w:rPr>
      </w:pPr>
      <w:r>
        <w:rPr>
          <w:rFonts w:ascii="Times New Roman" w:cs="Times New Roman" w:eastAsia="Times New Roman" w:hAnsi="Times New Roman"/>
          <w:sz w:val="16"/>
          <w:szCs w:val="16"/>
          <w:color w:val="0000FF"/>
        </w:rPr>
        <w:t>/s/ Sarah K. Mohr,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4159885</wp:posOffset>
            </wp:positionH>
            <wp:positionV relativeFrom="paragraph">
              <wp:posOffset>-3810</wp:posOffset>
            </wp:positionV>
            <wp:extent cx="13182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8260" cy="8255"/>
                    </a:xfrm>
                    <a:prstGeom prst="rect">
                      <a:avLst/>
                    </a:prstGeom>
                    <a:noFill/>
                  </pic:spPr>
                </pic:pic>
              </a:graphicData>
            </a:graphic>
          </wp:anchor>
        </w:drawing>
      </w:r>
    </w:p>
    <w:p>
      <w:pPr>
        <w:spacing w:after="0" w:line="11" w:lineRule="exact"/>
        <w:rPr>
          <w:sz w:val="20"/>
          <w:szCs w:val="20"/>
          <w:color w:val="auto"/>
        </w:rPr>
      </w:pPr>
    </w:p>
    <w:p>
      <w:pPr>
        <w:ind w:left="6561"/>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4159885</wp:posOffset>
            </wp:positionH>
            <wp:positionV relativeFrom="paragraph">
              <wp:posOffset>-11430</wp:posOffset>
            </wp:positionV>
            <wp:extent cx="1797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79705" cy="8255"/>
                    </a:xfrm>
                    <a:prstGeom prst="rect">
                      <a:avLst/>
                    </a:prstGeom>
                    <a:noFill/>
                  </pic:spPr>
                </pic:pic>
              </a:graphicData>
            </a:graphic>
          </wp:anchor>
        </w:drawing>
      </w:r>
    </w:p>
    <w:p>
      <w:pPr>
        <w:spacing w:after="0" w:line="37" w:lineRule="exact"/>
        <w:rPr>
          <w:sz w:val="20"/>
          <w:szCs w:val="20"/>
          <w:color w:val="auto"/>
        </w:rPr>
      </w:pPr>
    </w:p>
    <w:p>
      <w:pPr>
        <w:ind w:left="6561"/>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04/02/2024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4756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5615" cy="825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0" w:lineRule="exact"/>
        <w:rPr>
          <w:sz w:val="20"/>
          <w:szCs w:val="20"/>
          <w:color w:val="auto"/>
        </w:rPr>
      </w:pPr>
    </w:p>
    <w:p>
      <w:pPr>
        <w:sectPr>
          <w:pgSz w:w="11900" w:h="16838" w:orient="portrait"/>
          <w:cols w:equalWidth="0" w:num="2">
            <w:col w:w="8621" w:space="140"/>
            <w:col w:w="2140"/>
          </w:cols>
          <w:pgMar w:left="499" w:top="127" w:right="499" w:bottom="1440" w:gutter="0" w:footer="0" w:header="0"/>
          <w:type w:val="continuous"/>
        </w:sectPr>
      </w:pPr>
    </w:p>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1" w:right="3600" w:hanging="1"/>
        <w:spacing w:after="0" w:line="329"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1"/>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1"/>
      </w:cols>
      <w:pgMar w:left="499" w:top="127"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9"/>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2012558"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2024-04-02T20:30:37Z</dcterms:created>
  <dcterms:modified xsi:type="dcterms:W3CDTF">2024-04-02T20:30:37Z</dcterms:modified>
</cp:coreProperties>
</file>