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Amendment No. 1 on Form 8-K/A (this “</w:t>
      </w:r>
      <w:r>
        <w:rPr>
          <w:rFonts w:ascii="Arial" w:cs="Arial" w:eastAsia="Arial" w:hAnsi="Arial"/>
          <w:sz w:val="18"/>
          <w:szCs w:val="18"/>
          <w:i w:val="1"/>
          <w:iCs w:val="1"/>
          <w:color w:val="auto"/>
        </w:rPr>
        <w:t>Amendment</w:t>
      </w:r>
      <w:r>
        <w:rPr>
          <w:rFonts w:ascii="Arial" w:cs="Arial" w:eastAsia="Arial" w:hAnsi="Arial"/>
          <w:sz w:val="18"/>
          <w:szCs w:val="18"/>
          <w:color w:val="auto"/>
        </w:rPr>
        <w:t>”) is an amendment to the Current Report on Form 8-K filed by LivaNova PLC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LivaNova</w:t>
      </w:r>
      <w:r>
        <w:rPr>
          <w:rFonts w:ascii="Arial" w:cs="Arial" w:eastAsia="Arial" w:hAnsi="Arial"/>
          <w:sz w:val="18"/>
          <w:szCs w:val="18"/>
          <w:color w:val="auto"/>
        </w:rPr>
        <w:t>”) on October 19, 2015 (reporting on certain events, the earliest of which occurred on October 16, 2015) (the “</w:t>
      </w:r>
      <w:r>
        <w:rPr>
          <w:rFonts w:ascii="Arial" w:cs="Arial" w:eastAsia="Arial" w:hAnsi="Arial"/>
          <w:sz w:val="18"/>
          <w:szCs w:val="18"/>
          <w:i w:val="1"/>
          <w:iCs w:val="1"/>
          <w:color w:val="auto"/>
        </w:rPr>
        <w:t>Original Form 8-K</w:t>
      </w:r>
      <w:r>
        <w:rPr>
          <w:rFonts w:ascii="Arial" w:cs="Arial" w:eastAsia="Arial" w:hAnsi="Arial"/>
          <w:sz w:val="18"/>
          <w:szCs w:val="18"/>
          <w:color w:val="auto"/>
        </w:rPr>
        <w:t>”). This Amendment is being filed to correct an inaccuracy in the information contained in the table included under the section “Grant of Stock Appreciation Rights Under Equity Incentive Plan” of Item 5.02 due to a calculation error. This Amendment amends and restates in its entirety the section entitled “Grant of Stock Appreciation Rights Under Equity Incentive Plan” of Item 5.02 of the Original Form 8-K. No other changes were made to the Original Form 8-K. Any defined terms not otherwise defined in this Amendment refer to the meanings ascribed to such terms in the Original Form 8-K. References to exhibits in this Amendment are references to the exhibits filed with the Original Form 8-K.</w:t>
      </w:r>
    </w:p>
    <w:p>
      <w:pPr>
        <w:spacing w:after="0" w:line="3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of Stock Appreciation Rights Under Equity Incentive Plan</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the Closing Date, we granted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under the Plan and award agreements thereunder (each, a “</w:t>
      </w:r>
      <w:r>
        <w:rPr>
          <w:rFonts w:ascii="Arial" w:cs="Arial" w:eastAsia="Arial" w:hAnsi="Arial"/>
          <w:sz w:val="16"/>
          <w:szCs w:val="16"/>
          <w:i w:val="1"/>
          <w:iCs w:val="1"/>
          <w:color w:val="auto"/>
        </w:rPr>
        <w:t>SAR Award Agreement</w:t>
      </w:r>
      <w:r>
        <w:rPr>
          <w:rFonts w:ascii="Arial" w:cs="Arial" w:eastAsia="Arial" w:hAnsi="Arial"/>
          <w:sz w:val="16"/>
          <w:szCs w:val="16"/>
          <w:color w:val="auto"/>
        </w:rPr>
        <w:t>”) to certain of our employees, including certain of our executive officers. Each of these SARs will entitle the holder to receive the excess of (i) the fair market value of one LivaNova Ordinary Share at the time of exercise of the SAR over (ii) the fair market value of one LivaNova Ordinary Share on the date of grant of the SAR, or $69.39, which we refer to as the strike price. The SARs may be settled in LivaNova Ordinary Shares and/or cash, as determined by Livanova and as set forth in the SAR Award Agreements. Fifty percent of each award will vest on October 19, 2016, and 50% will vest on October 19, 2017, in each case subject to the continued employment of the holder through the applicable vesting date, except as described below. Once vested, the SARs will have an exercise window of three years following the vesting date. Fifty percent of the LivaNova Ordinary Shares that become vested under each SAR award will be locked-up and non-transferable for 18 months following the applicable vesting date. If any SAR recipient’s employment is terminated by the Company without cause or by the individual for good reason (as each term is defined in the SAR Award Agreements), the recipient will be eligible for pro-rata vesting of the SARs, and no lock-up period will apply to the SARs. In such case, vested SARs may be exercised for one year following such termination. The vesting of the SARs will also be accelerated upon a change in control, as defined in the SAR Award Agreements.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SARs provided to each individual who was granted SARs on the Closing Date is shown in the table below:</w:t>
      </w:r>
    </w:p>
    <w:p>
      <w:pPr>
        <w:spacing w:after="0" w:line="23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6740" w:type="dxa"/>
            <w:vAlign w:val="bottom"/>
            <w:gridSpan w:val="2"/>
            <w:vMerge w:val="continue"/>
          </w:tcPr>
          <w:p>
            <w:pPr>
              <w:spacing w:after="0"/>
              <w:rPr>
                <w:sz w:val="15"/>
                <w:szCs w:val="15"/>
                <w:color w:val="auto"/>
              </w:rPr>
            </w:pPr>
          </w:p>
        </w:tc>
        <w:tc>
          <w:tcPr>
            <w:tcW w:w="6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of SARs</w:t>
            </w:r>
          </w:p>
        </w:tc>
        <w:tc>
          <w:tcPr>
            <w:tcW w:w="0" w:type="dxa"/>
            <w:vAlign w:val="bottom"/>
          </w:tcPr>
          <w:p>
            <w:pPr>
              <w:spacing w:after="0"/>
              <w:rPr>
                <w:sz w:val="1"/>
                <w:szCs w:val="1"/>
                <w:color w:val="auto"/>
              </w:rPr>
            </w:pPr>
          </w:p>
        </w:tc>
      </w:tr>
      <w:tr>
        <w:trPr>
          <w:trHeight w:val="189"/>
        </w:trPr>
        <w:tc>
          <w:tcPr>
            <w:tcW w:w="1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5"/>
              </w:rPr>
              <w:t>André-Michel Ballester</w:t>
            </w:r>
          </w:p>
        </w:tc>
        <w:tc>
          <w:tcPr>
            <w:tcW w:w="5180" w:type="dxa"/>
            <w:vAlign w:val="bottom"/>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2"/>
              </w:rPr>
              <w:t>166,703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Stefano di Lullo</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Brian Sheridan</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Ed Andrle</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680" w:type="dxa"/>
            <w:vAlign w:val="bottom"/>
          </w:tcPr>
          <w:p>
            <w:pPr>
              <w:jc w:val="right"/>
              <w:spacing w:after="0"/>
              <w:rPr>
                <w:sz w:val="20"/>
                <w:szCs w:val="20"/>
                <w:color w:val="auto"/>
              </w:rPr>
            </w:pPr>
            <w:r>
              <w:rPr>
                <w:rFonts w:ascii="Arial" w:cs="Arial" w:eastAsia="Arial" w:hAnsi="Arial"/>
                <w:sz w:val="18"/>
                <w:szCs w:val="18"/>
                <w:color w:val="auto"/>
              </w:rPr>
              <w:t>23,585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Pritpal Shinmar</w:t>
            </w:r>
          </w:p>
        </w:tc>
        <w:tc>
          <w:tcPr>
            <w:tcW w:w="680" w:type="dxa"/>
            <w:vAlign w:val="bottom"/>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David Wise</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Rohan Hoare</w:t>
            </w:r>
          </w:p>
        </w:tc>
        <w:tc>
          <w:tcPr>
            <w:tcW w:w="680" w:type="dxa"/>
            <w:vAlign w:val="bottom"/>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677,560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Complete copies of the form SAR Award Agreement for non-United States holders and the form SAR Award Agreement for United States holders are filed as Exhibits 10.2 and10.3, respectively, and incorporated herein by reference. The above summary of the SAR Award Agreements does not purport to be complete and is qualified in its entirety by reference to such exhibits.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LivaNova PLC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October 27, 2015</w:t>
            </w:r>
          </w:p>
        </w:tc>
        <w:tc>
          <w:tcPr>
            <w:tcW w:w="2880" w:type="dxa"/>
            <w:vAlign w:val="bottom"/>
          </w:tcPr>
          <w:p>
            <w:pPr>
              <w:ind w:left="22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9"/>
        </w:trPr>
        <w:tc>
          <w:tcPr>
            <w:tcW w:w="3760" w:type="dxa"/>
            <w:vAlign w:val="bottom"/>
          </w:tcPr>
          <w:p>
            <w:pPr>
              <w:spacing w:after="0"/>
              <w:rPr>
                <w:sz w:val="18"/>
                <w:szCs w:val="18"/>
                <w:color w:val="auto"/>
              </w:rPr>
            </w:pPr>
          </w:p>
        </w:tc>
        <w:tc>
          <w:tcPr>
            <w:tcW w:w="2880" w:type="dxa"/>
            <w:vAlign w:val="bottom"/>
          </w:tcPr>
          <w:p>
            <w:pPr>
              <w:ind w:left="228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3760" w:type="dxa"/>
            <w:vAlign w:val="bottom"/>
          </w:tcPr>
          <w:p>
            <w:pPr>
              <w:spacing w:after="0"/>
              <w:rPr>
                <w:sz w:val="20"/>
                <w:szCs w:val="20"/>
                <w:color w:val="auto"/>
              </w:rPr>
            </w:pPr>
          </w:p>
        </w:tc>
        <w:tc>
          <w:tcPr>
            <w:tcW w:w="2880" w:type="dxa"/>
            <w:vAlign w:val="bottom"/>
          </w:tcPr>
          <w:p>
            <w:pPr>
              <w:ind w:left="22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Company Secretary</w:t>
            </w:r>
          </w:p>
        </w:tc>
      </w:tr>
      <w:tr>
        <w:trPr>
          <w:trHeight w:val="365"/>
        </w:trPr>
        <w:tc>
          <w:tcPr>
            <w:tcW w:w="3760" w:type="dxa"/>
            <w:vAlign w:val="bottom"/>
          </w:tcPr>
          <w:p>
            <w:pPr>
              <w:spacing w:after="0"/>
              <w:rPr>
                <w:sz w:val="24"/>
                <w:szCs w:val="24"/>
                <w:color w:val="auto"/>
              </w:rPr>
            </w:pPr>
          </w:p>
        </w:tc>
        <w:tc>
          <w:tcPr>
            <w:tcW w:w="2880" w:type="dxa"/>
            <w:vAlign w:val="bottom"/>
          </w:tcPr>
          <w:p>
            <w:pPr>
              <w:ind w:left="1900"/>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2019-12-09T05:14:33Z</dcterms:created>
  <dcterms:modified xsi:type="dcterms:W3CDTF">2019-12-09T05:14:33Z</dcterms:modified>
</cp:coreProperties>
</file>