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89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892540"/>
                    </a:xfrm>
                    <a:prstGeom prst="rect">
                      <a:avLst/>
                    </a:prstGeom>
                    <a:noFill/>
                  </pic:spPr>
                </pic:pic>
              </a:graphicData>
            </a:graphic>
          </wp:anchor>
        </w:drawing>
      </w:r>
    </w:p>
    <w:p>
      <w:pPr>
        <w:spacing w:after="0" w:line="96" w:lineRule="exact"/>
        <w:rPr>
          <w:sz w:val="24"/>
          <w:szCs w:val="24"/>
          <w:color w:val="auto"/>
        </w:rPr>
      </w:pPr>
    </w:p>
    <w:p>
      <w:pPr>
        <w:sectPr>
          <w:pgSz w:w="11900" w:h="16883"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EQUINOX TWO S.C.A.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RIVA ALBERTONI, 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09/09/2016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73" w:lineRule="exact"/>
        <w:rPr>
          <w:sz w:val="24"/>
          <w:szCs w:val="24"/>
          <w:color w:val="auto"/>
        </w:rPr>
      </w:pPr>
    </w:p>
    <w:p>
      <w:pPr>
        <w:sectPr>
          <w:pgSz w:w="11900" w:h="16883" w:orient="portrait"/>
          <w:cols w:equalWidth="0" w:num="3">
            <w:col w:w="3360" w:space="720"/>
            <w:col w:w="3257" w:space="720"/>
            <w:col w:w="3363"/>
          </w:cols>
          <w:pgMar w:left="240" w:top="226" w:right="239" w:bottom="0" w:gutter="0" w:footer="0" w:header="0"/>
          <w:type w:val="continuous"/>
        </w:sectPr>
      </w:pPr>
    </w:p>
    <w:p>
      <w:pPr>
        <w:spacing w:after="0" w:line="18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LUGANO</w:t>
            </w:r>
          </w:p>
        </w:tc>
        <w:tc>
          <w:tcPr>
            <w:tcW w:w="1100" w:type="dxa"/>
            <w:vAlign w:val="bottom"/>
          </w:tcPr>
          <w:p>
            <w:pPr>
              <w:ind w:left="260"/>
              <w:spacing w:after="0"/>
              <w:rPr>
                <w:sz w:val="20"/>
                <w:szCs w:val="20"/>
                <w:color w:val="auto"/>
              </w:rPr>
            </w:pPr>
            <w:r>
              <w:rPr>
                <w:rFonts w:ascii="Arial" w:cs="Arial" w:eastAsia="Arial" w:hAnsi="Arial"/>
                <w:sz w:val="18"/>
                <w:szCs w:val="18"/>
                <w:color w:val="0000FF"/>
              </w:rPr>
              <w:t>V8</w:t>
            </w:r>
          </w:p>
        </w:tc>
        <w:tc>
          <w:tcPr>
            <w:tcW w:w="1680" w:type="dxa"/>
            <w:vAlign w:val="bottom"/>
          </w:tcPr>
          <w:p>
            <w:pPr>
              <w:ind w:left="420"/>
              <w:spacing w:after="0"/>
              <w:rPr>
                <w:sz w:val="20"/>
                <w:szCs w:val="20"/>
                <w:color w:val="auto"/>
              </w:rPr>
            </w:pPr>
            <w:r>
              <w:rPr>
                <w:rFonts w:ascii="Arial" w:cs="Arial" w:eastAsia="Arial" w:hAnsi="Arial"/>
                <w:sz w:val="18"/>
                <w:szCs w:val="18"/>
                <w:color w:val="0000FF"/>
              </w:rPr>
              <w:t>6900</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4"/>
          <w:szCs w:val="24"/>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00" w:lineRule="exact"/>
        <w:rPr>
          <w:sz w:val="24"/>
          <w:szCs w:val="24"/>
          <w:color w:val="auto"/>
        </w:rPr>
      </w:pPr>
    </w:p>
    <w:p>
      <w:pPr>
        <w:sectPr>
          <w:pgSz w:w="11900" w:h="16883"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40" w:type="dxa"/>
            <w:vAlign w:val="bottom"/>
            <w:gridSpan w:val="5"/>
          </w:tcPr>
          <w:p>
            <w:pPr>
              <w:ind w:left="22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4"/>
                <w:szCs w:val="14"/>
                <w:color w:val="auto"/>
              </w:rPr>
            </w:pPr>
          </w:p>
        </w:tc>
        <w:tc>
          <w:tcPr>
            <w:tcW w:w="21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60" w:type="dxa"/>
            <w:vAlign w:val="bottom"/>
            <w:gridSpan w:val="6"/>
          </w:tcPr>
          <w:p>
            <w:pPr>
              <w:ind w:left="260"/>
              <w:spacing w:after="0" w:line="135" w:lineRule="exact"/>
              <w:rPr>
                <w:sz w:val="20"/>
                <w:szCs w:val="20"/>
                <w:color w:val="auto"/>
              </w:rPr>
            </w:pPr>
            <w:r>
              <w:rPr>
                <w:rFonts w:ascii="Arial" w:cs="Arial" w:eastAsia="Arial" w:hAnsi="Arial"/>
                <w:sz w:val="12"/>
                <w:szCs w:val="12"/>
                <w:b w:val="1"/>
                <w:bCs w:val="1"/>
                <w:color w:val="auto"/>
              </w:rPr>
              <w:t>(Month/Day/Year)  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5"/>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8"/>
                <w:szCs w:val="18"/>
                <w:color w:val="0000FF"/>
              </w:rPr>
              <w:t>Ordinary Shares</w:t>
            </w: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gridSpan w:val="2"/>
            <w:vMerge w:val="restart"/>
          </w:tcPr>
          <w:p>
            <w:pPr>
              <w:ind w:left="360"/>
              <w:spacing w:after="0"/>
              <w:rPr>
                <w:sz w:val="20"/>
                <w:szCs w:val="20"/>
                <w:color w:val="auto"/>
              </w:rPr>
            </w:pPr>
            <w:r>
              <w:rPr>
                <w:rFonts w:ascii="Arial" w:cs="Arial" w:eastAsia="Arial" w:hAnsi="Arial"/>
                <w:sz w:val="18"/>
                <w:szCs w:val="18"/>
                <w:color w:val="0000FF"/>
                <w:w w:val="88"/>
              </w:rPr>
              <w:t>09/09/2016</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500" w:type="dxa"/>
            <w:vAlign w:val="bottom"/>
          </w:tcPr>
          <w:p>
            <w:pPr>
              <w:spacing w:after="0"/>
              <w:rPr>
                <w:sz w:val="22"/>
                <w:szCs w:val="22"/>
                <w:color w:val="auto"/>
              </w:rPr>
            </w:pP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8"/>
              </w:rPr>
              <w:t>6,100</w:t>
            </w:r>
          </w:p>
        </w:tc>
        <w:tc>
          <w:tcPr>
            <w:tcW w:w="220" w:type="dxa"/>
            <w:vAlign w:val="bottom"/>
          </w:tcPr>
          <w:p>
            <w:pPr>
              <w:spacing w:after="0"/>
              <w:rPr>
                <w:sz w:val="22"/>
                <w:szCs w:val="22"/>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0000FF"/>
              </w:rPr>
              <w:t>D</w:t>
            </w:r>
          </w:p>
        </w:tc>
        <w:tc>
          <w:tcPr>
            <w:tcW w:w="820" w:type="dxa"/>
            <w:vAlign w:val="bottom"/>
            <w:gridSpan w:val="2"/>
            <w:vMerge w:val="restart"/>
          </w:tcPr>
          <w:p>
            <w:pP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60.0394</w:t>
            </w:r>
            <w:r>
              <w:rPr>
                <w:rFonts w:ascii="Arial" w:cs="Arial" w:eastAsia="Arial" w:hAnsi="Arial"/>
                <w:sz w:val="22"/>
                <w:szCs w:val="22"/>
                <w:color w:val="008000"/>
                <w:w w:val="85"/>
                <w:vertAlign w:val="superscript"/>
              </w:rPr>
              <w:t>(1)</w:t>
            </w:r>
          </w:p>
        </w:tc>
        <w:tc>
          <w:tcPr>
            <w:tcW w:w="1280" w:type="dxa"/>
            <w:vAlign w:val="bottom"/>
            <w:gridSpan w:val="3"/>
            <w:vMerge w:val="restart"/>
          </w:tcPr>
          <w:p>
            <w:pPr>
              <w:ind w:left="280"/>
              <w:spacing w:after="0"/>
              <w:rPr>
                <w:sz w:val="20"/>
                <w:szCs w:val="20"/>
                <w:color w:val="auto"/>
              </w:rPr>
            </w:pPr>
            <w:r>
              <w:rPr>
                <w:rFonts w:ascii="Arial" w:cs="Arial" w:eastAsia="Arial" w:hAnsi="Arial"/>
                <w:sz w:val="18"/>
                <w:szCs w:val="18"/>
                <w:color w:val="0000FF"/>
              </w:rPr>
              <w:t>5,534,269</w:t>
            </w:r>
          </w:p>
        </w:tc>
        <w:tc>
          <w:tcPr>
            <w:tcW w:w="340" w:type="dxa"/>
            <w:vAlign w:val="bottom"/>
          </w:tcPr>
          <w:p>
            <w:pPr>
              <w:spacing w:after="0"/>
              <w:rPr>
                <w:sz w:val="22"/>
                <w:szCs w:val="22"/>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320" w:type="dxa"/>
            <w:vAlign w:val="bottom"/>
          </w:tcPr>
          <w:p>
            <w:pPr>
              <w:ind w:left="60"/>
              <w:spacing w:after="0"/>
              <w:rPr>
                <w:sz w:val="20"/>
                <w:szCs w:val="20"/>
                <w:color w:val="auto"/>
              </w:rPr>
            </w:pPr>
            <w:r>
              <w:rPr>
                <w:rFonts w:ascii="Arial" w:cs="Arial" w:eastAsia="Arial" w:hAnsi="Arial"/>
                <w:sz w:val="18"/>
                <w:szCs w:val="18"/>
                <w:color w:val="0000FF"/>
                <w:w w:val="74"/>
              </w:rPr>
              <w:t>See</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(4)(5)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Ordinary Shares</w:t>
            </w:r>
          </w:p>
        </w:tc>
        <w:tc>
          <w:tcPr>
            <w:tcW w:w="7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gridSpan w:val="2"/>
            <w:vMerge w:val="restart"/>
          </w:tcPr>
          <w:p>
            <w:pPr>
              <w:ind w:left="360"/>
              <w:spacing w:after="0"/>
              <w:rPr>
                <w:sz w:val="20"/>
                <w:szCs w:val="20"/>
                <w:color w:val="auto"/>
              </w:rPr>
            </w:pPr>
            <w:r>
              <w:rPr>
                <w:rFonts w:ascii="Arial" w:cs="Arial" w:eastAsia="Arial" w:hAnsi="Arial"/>
                <w:sz w:val="18"/>
                <w:szCs w:val="18"/>
                <w:color w:val="0000FF"/>
                <w:w w:val="88"/>
              </w:rPr>
              <w:t>09/12/2016</w:t>
            </w:r>
          </w:p>
        </w:tc>
        <w:tc>
          <w:tcPr>
            <w:tcW w:w="5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4"/>
                <w:szCs w:val="14"/>
                <w:color w:val="0000FF"/>
              </w:rPr>
              <w:t>S</w:t>
            </w:r>
          </w:p>
        </w:tc>
        <w:tc>
          <w:tcPr>
            <w:tcW w:w="5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8"/>
              </w:rPr>
              <w:t>1,200</w:t>
            </w:r>
          </w:p>
        </w:tc>
        <w:tc>
          <w:tcPr>
            <w:tcW w:w="2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spacing w:after="0"/>
              <w:rPr>
                <w:sz w:val="20"/>
                <w:szCs w:val="20"/>
                <w:color w:val="auto"/>
              </w:rPr>
            </w:pPr>
            <w:r>
              <w:rPr>
                <w:rFonts w:ascii="Arial" w:cs="Arial" w:eastAsia="Arial" w:hAnsi="Arial"/>
                <w:sz w:val="18"/>
                <w:szCs w:val="18"/>
                <w:color w:val="0000FF"/>
              </w:rPr>
              <w:t>D</w:t>
            </w:r>
          </w:p>
        </w:tc>
        <w:tc>
          <w:tcPr>
            <w:tcW w:w="82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60.0108</w:t>
            </w:r>
            <w:r>
              <w:rPr>
                <w:rFonts w:ascii="Arial" w:cs="Arial" w:eastAsia="Arial" w:hAnsi="Arial"/>
                <w:sz w:val="22"/>
                <w:szCs w:val="22"/>
                <w:color w:val="008000"/>
                <w:w w:val="85"/>
                <w:vertAlign w:val="superscript"/>
              </w:rPr>
              <w:t>(2)</w:t>
            </w:r>
          </w:p>
        </w:tc>
        <w:tc>
          <w:tcPr>
            <w:tcW w:w="1280" w:type="dxa"/>
            <w:vAlign w:val="bottom"/>
            <w:tcBorders>
              <w:top w:val="single" w:sz="8" w:color="2C2C2C"/>
            </w:tcBorders>
            <w:gridSpan w:val="3"/>
            <w:vMerge w:val="restart"/>
          </w:tcPr>
          <w:p>
            <w:pPr>
              <w:ind w:left="280"/>
              <w:spacing w:after="0"/>
              <w:rPr>
                <w:sz w:val="20"/>
                <w:szCs w:val="20"/>
                <w:color w:val="auto"/>
              </w:rPr>
            </w:pPr>
            <w:r>
              <w:rPr>
                <w:rFonts w:ascii="Arial" w:cs="Arial" w:eastAsia="Arial" w:hAnsi="Arial"/>
                <w:sz w:val="18"/>
                <w:szCs w:val="18"/>
                <w:color w:val="0000FF"/>
              </w:rPr>
              <w:t>5,533,069</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(4)(5)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Ordinary Shares</w:t>
            </w:r>
          </w:p>
        </w:tc>
        <w:tc>
          <w:tcPr>
            <w:tcW w:w="7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gridSpan w:val="2"/>
            <w:vMerge w:val="restart"/>
          </w:tcPr>
          <w:p>
            <w:pPr>
              <w:ind w:left="360"/>
              <w:spacing w:after="0"/>
              <w:rPr>
                <w:sz w:val="20"/>
                <w:szCs w:val="20"/>
                <w:color w:val="auto"/>
              </w:rPr>
            </w:pPr>
            <w:r>
              <w:rPr>
                <w:rFonts w:ascii="Arial" w:cs="Arial" w:eastAsia="Arial" w:hAnsi="Arial"/>
                <w:sz w:val="18"/>
                <w:szCs w:val="18"/>
                <w:color w:val="0000FF"/>
                <w:w w:val="88"/>
              </w:rPr>
              <w:t>09/13/2016</w:t>
            </w:r>
          </w:p>
        </w:tc>
        <w:tc>
          <w:tcPr>
            <w:tcW w:w="5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4"/>
                <w:szCs w:val="14"/>
                <w:color w:val="0000FF"/>
              </w:rPr>
              <w:t>S</w:t>
            </w:r>
          </w:p>
        </w:tc>
        <w:tc>
          <w:tcPr>
            <w:tcW w:w="5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7"/>
              </w:rPr>
              <w:t>18,108</w:t>
            </w:r>
          </w:p>
        </w:tc>
        <w:tc>
          <w:tcPr>
            <w:tcW w:w="2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spacing w:after="0"/>
              <w:rPr>
                <w:sz w:val="20"/>
                <w:szCs w:val="20"/>
                <w:color w:val="auto"/>
              </w:rPr>
            </w:pPr>
            <w:r>
              <w:rPr>
                <w:rFonts w:ascii="Arial" w:cs="Arial" w:eastAsia="Arial" w:hAnsi="Arial"/>
                <w:sz w:val="18"/>
                <w:szCs w:val="18"/>
                <w:color w:val="0000FF"/>
              </w:rPr>
              <w:t>D</w:t>
            </w:r>
          </w:p>
        </w:tc>
        <w:tc>
          <w:tcPr>
            <w:tcW w:w="82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60.0121</w:t>
            </w:r>
            <w:r>
              <w:rPr>
                <w:rFonts w:ascii="Arial" w:cs="Arial" w:eastAsia="Arial" w:hAnsi="Arial"/>
                <w:sz w:val="22"/>
                <w:szCs w:val="22"/>
                <w:color w:val="008000"/>
                <w:w w:val="85"/>
                <w:vertAlign w:val="superscript"/>
              </w:rPr>
              <w:t>(3)</w:t>
            </w:r>
          </w:p>
        </w:tc>
        <w:tc>
          <w:tcPr>
            <w:tcW w:w="1280" w:type="dxa"/>
            <w:vAlign w:val="bottom"/>
            <w:tcBorders>
              <w:top w:val="single" w:sz="8" w:color="2C2C2C"/>
            </w:tcBorders>
            <w:gridSpan w:val="3"/>
            <w:vMerge w:val="restart"/>
          </w:tcPr>
          <w:p>
            <w:pPr>
              <w:ind w:left="280"/>
              <w:spacing w:after="0"/>
              <w:rPr>
                <w:sz w:val="20"/>
                <w:szCs w:val="20"/>
                <w:color w:val="auto"/>
              </w:rPr>
            </w:pPr>
            <w:r>
              <w:rPr>
                <w:rFonts w:ascii="Arial" w:cs="Arial" w:eastAsia="Arial" w:hAnsi="Arial"/>
                <w:sz w:val="18"/>
                <w:szCs w:val="18"/>
                <w:color w:val="0000FF"/>
              </w:rPr>
              <w:t>5,514,961</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(4)(5)</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620" w:type="dxa"/>
            <w:vAlign w:val="bottom"/>
            <w:tcBorders>
              <w:top w:val="single" w:sz="8" w:color="2C2C2C"/>
            </w:tcBorders>
            <w:gridSpan w:val="18"/>
          </w:tcPr>
          <w:p>
            <w:pPr>
              <w:ind w:left="26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60" w:type="dxa"/>
            <w:vAlign w:val="bottom"/>
            <w:gridSpan w:val="15"/>
          </w:tcPr>
          <w:p>
            <w:pPr>
              <w:ind w:left="56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2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6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8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22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82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EQUINOX TWO S.C.A.</w:t>
              </w:r>
            </w:hyperlink>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0000FF"/>
              </w:rPr>
              <w:t>RIVA ALBERTONI, 1</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LUGANO</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V8</w:t>
            </w:r>
          </w:p>
        </w:tc>
        <w:tc>
          <w:tcPr>
            <w:tcW w:w="1120" w:type="dxa"/>
            <w:vAlign w:val="bottom"/>
          </w:tcPr>
          <w:p>
            <w:pPr>
              <w:ind w:left="300"/>
              <w:spacing w:after="0"/>
              <w:rPr>
                <w:sz w:val="20"/>
                <w:szCs w:val="20"/>
                <w:color w:val="auto"/>
              </w:rPr>
            </w:pPr>
            <w:r>
              <w:rPr>
                <w:rFonts w:ascii="Arial" w:cs="Arial" w:eastAsia="Arial" w:hAnsi="Arial"/>
                <w:sz w:val="18"/>
                <w:szCs w:val="18"/>
                <w:color w:val="0000FF"/>
              </w:rPr>
              <w:t>6900</w:t>
            </w: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gridSpan w:val="2"/>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spacing w:after="0" w:line="224" w:lineRule="exact"/>
              <w:rPr>
                <w:rFonts w:ascii="Arial" w:cs="Arial" w:eastAsia="Arial" w:hAnsi="Arial"/>
                <w:sz w:val="22"/>
                <w:szCs w:val="22"/>
                <w:color w:val="0000EE"/>
                <w:w w:val="91"/>
              </w:rPr>
            </w:pPr>
            <w:hyperlink r:id="rId14">
              <w:r>
                <w:rPr>
                  <w:rFonts w:ascii="Arial" w:cs="Arial" w:eastAsia="Arial" w:hAnsi="Arial"/>
                  <w:sz w:val="22"/>
                  <w:szCs w:val="22"/>
                  <w:color w:val="0000EE"/>
                  <w:w w:val="91"/>
                </w:rPr>
                <w:t>Tower 6 S. a r.l.</w:t>
              </w:r>
            </w:hyperlink>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0000FF"/>
              </w:rPr>
              <w:t>5, PLACE DU THEATRE</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LUXEMBOURG</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N4</w:t>
            </w:r>
          </w:p>
        </w:tc>
        <w:tc>
          <w:tcPr>
            <w:tcW w:w="1120" w:type="dxa"/>
            <w:vAlign w:val="bottom"/>
          </w:tcPr>
          <w:p>
            <w:pPr>
              <w:ind w:left="300"/>
              <w:spacing w:after="0"/>
              <w:rPr>
                <w:sz w:val="20"/>
                <w:szCs w:val="20"/>
                <w:color w:val="auto"/>
              </w:rPr>
            </w:pPr>
            <w:r>
              <w:rPr>
                <w:rFonts w:ascii="Arial" w:cs="Arial" w:eastAsia="Arial" w:hAnsi="Arial"/>
                <w:sz w:val="18"/>
                <w:szCs w:val="18"/>
                <w:color w:val="0000FF"/>
              </w:rPr>
              <w:t>2613</w:t>
            </w: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gridSpan w:val="2"/>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Ordinary Shares of the Issuer were sold by Bios S.p.A. in multiple transactions at prices ranging from $60.00 to $60.21, inclusive. Upon request, the Reporting Persons (defined below) undertake to provide the Issuer, any security holder of the Issuer, or the Securities and Exchange Commission (the "SEC") full information regarding the Ordinary Shares sold at each separate price within the range set forth in this footnote.</w:t>
      </w:r>
    </w:p>
    <w:p>
      <w:pPr>
        <w:sectPr>
          <w:pgSz w:w="11900" w:h="16883" w:orient="portrait"/>
          <w:cols w:equalWidth="0" w:num="1">
            <w:col w:w="11420"/>
          </w:cols>
          <w:pgMar w:left="240" w:top="226" w:right="239" w:bottom="0" w:gutter="0" w:footer="0" w:header="0"/>
          <w:type w:val="continuous"/>
        </w:sectPr>
      </w:pPr>
    </w:p>
    <w:bookmarkStart w:id="1" w:name="page2"/>
    <w:bookmarkEnd w:id="1"/>
    <w:p>
      <w:pPr>
        <w:ind w:right="40" w:firstLine="9"/>
        <w:spacing w:after="0" w:line="233"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Ordinary Shares of the Issuer were sold by Bios S.p.A. in multiple transactions at prices ranging from $60.00 to $60.04, inclusive. Upon request, the Reporting Persons (defined below) undertake to provide the Issuer, any security holder of the Issuer, or the SEC full information regarding the Ordinary Shares sold at each separate price within the range set forth in this footnote.</w:t>
      </w:r>
    </w:p>
    <w:p>
      <w:pPr>
        <w:spacing w:after="0" w:line="30" w:lineRule="exact"/>
        <w:rPr>
          <w:rFonts w:ascii="Arial" w:cs="Arial" w:eastAsia="Arial" w:hAnsi="Arial"/>
          <w:sz w:val="14"/>
          <w:szCs w:val="14"/>
          <w:color w:val="008000"/>
        </w:rPr>
      </w:pPr>
    </w:p>
    <w:p>
      <w:pPr>
        <w:ind w:right="40" w:firstLine="9"/>
        <w:spacing w:after="0" w:line="233"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Ordinary Shares of the Issuer were sold by Bios S.p.A. in multiple transactions at prices ranging from $60.00 to $60.07, inclusive. Upon request, the Reporting Persons (defined below) undertake to provide the Issuer, any security holder of the Issuer, or the SEC full information regarding the Ordinary Shares sold at each separate price within the range set forth in this footnote.</w:t>
      </w:r>
    </w:p>
    <w:p>
      <w:pPr>
        <w:spacing w:after="0" w:line="30" w:lineRule="exact"/>
        <w:rPr>
          <w:rFonts w:ascii="Arial" w:cs="Arial" w:eastAsia="Arial" w:hAnsi="Arial"/>
          <w:sz w:val="14"/>
          <w:szCs w:val="14"/>
          <w:color w:val="008000"/>
        </w:rPr>
      </w:pPr>
    </w:p>
    <w:p>
      <w:pPr>
        <w:jc w:val="both"/>
        <w:ind w:firstLine="9"/>
        <w:spacing w:after="0" w:line="278"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Ordinary Shares sold in connection with the transactions reported on this Form 4 were held by Bios S.p.A. Following the transactions reported on this Form 4, Bios S.p.A. and Tower 6 Bis S. a r.l. are the record holders of 4,028,877 and 1,486,084 Ordinary Shares, respectively. Mittel S.p.A. ("Mittel") and Equinox Two S.c.a. ("Equinox") are the 50:50 beneficial owners of the special purpose vehicle Bios S.p.A, in which each of Mittel and Equinox owns 50% of the outstanding voting shares and holds two board of director seats. Equinox is the owner of 100% of the membership interests in Tower 6 S. a r.l. ("Tower 6" and, together with Equinox, the "Reporting Persons"). Tower 6 (and Equinox indirectly through Tower 6) owns 51%, and Mittel owns 49%, of the membership interests in Tower 6 Bis S. a r.l.</w:t>
      </w:r>
    </w:p>
    <w:p>
      <w:pPr>
        <w:spacing w:after="0" w:line="8" w:lineRule="exact"/>
        <w:rPr>
          <w:rFonts w:ascii="Arial" w:cs="Arial" w:eastAsia="Arial" w:hAnsi="Arial"/>
          <w:sz w:val="12"/>
          <w:szCs w:val="12"/>
          <w:color w:val="008000"/>
        </w:rPr>
      </w:pPr>
    </w:p>
    <w:p>
      <w:pPr>
        <w:ind w:right="220" w:firstLine="9"/>
        <w:spacing w:after="0" w:line="233"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This report on Form 4 is filed jointly by Equinox and Tower 6. Each of the Reporting Persons disclaims beneficial ownership of the securities reported herein for purposes of Rule 16a-1(a) under the Securities Exchange Act of 1934, as amended (the "Exchange Act"), except to the extent of its pecuniary interest therein. This report on Form 4 shall not be deemed an admission that either of the Reporting Persons is a beneficial owner of such securities for the purpose of Section 16 of the Exchange Act, or for any other purpose.</w:t>
      </w:r>
    </w:p>
    <w:p>
      <w:pPr>
        <w:sectPr>
          <w:pgSz w:w="11900" w:h="16838" w:orient="portrait"/>
          <w:cols w:equalWidth="0" w:num="1">
            <w:col w:w="11340"/>
          </w:cols>
          <w:pgMar w:left="280" w:top="142" w:right="279" w:bottom="1440" w:gutter="0" w:footer="0" w:header="0"/>
        </w:sectPr>
      </w:pPr>
    </w:p>
    <w:p>
      <w:pPr>
        <w:spacing w:after="0" w:line="6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Equinox Two S.c.a,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65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Massimiliano Seliziato,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52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0528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attorney-in-fact for Giorgio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236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236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Mancuso,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356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83566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Equinox Two S.c.a,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658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Massimiliano Seliziato,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52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0528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attorney-in-fact for Salvatore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998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998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Mancuso,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356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83566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Tower 6 S. 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26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0261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Massimiliano Seliziato,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528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0528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attorney-in-fact for 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328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13284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Baravini,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356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83566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Tower 6 S. 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26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10261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Massimiliano Seliziato,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528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0528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attorney-in-fact for Giorgio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236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2236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Mercogliano,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217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021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0000FF"/>
        </w:rPr>
        <w:t>09/13/2016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09/13/2016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09/13/2016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09/13/2016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28" w:lineRule="exact"/>
        <w:rPr>
          <w:sz w:val="20"/>
          <w:szCs w:val="20"/>
          <w:color w:val="auto"/>
        </w:rPr>
      </w:pPr>
    </w:p>
    <w:p>
      <w:pPr>
        <w:sectPr>
          <w:pgSz w:w="11900" w:h="16838" w:orient="portrait"/>
          <w:cols w:equalWidth="0" w:num="2">
            <w:col w:w="8880" w:space="240"/>
            <w:col w:w="2220"/>
          </w:cols>
          <w:pgMar w:left="280" w:top="142" w:right="27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42"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12" Type="http://schemas.openxmlformats.org/officeDocument/2006/relationships/hyperlink" Target="http://www.sec.gov/cgi-bin/browse-edgar?action=getcompany&amp;CIK=0001667696" TargetMode="External"/><Relationship Id="rId13" Type="http://schemas.openxmlformats.org/officeDocument/2006/relationships/hyperlink" Target="http://www.sec.gov/cgi-bin/browse-edgar?action=getcompany&amp;CIK=0001639691" TargetMode="External"/><Relationship Id="rId14" Type="http://schemas.openxmlformats.org/officeDocument/2006/relationships/hyperlink" Target="http://www.sec.gov/cgi-bin/browse-edgar?action=getcompany&amp;CIK=00016731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2019-12-09T03:03:59Z</dcterms:created>
  <dcterms:modified xsi:type="dcterms:W3CDTF">2019-12-09T03:03:59Z</dcterms:modified>
</cp:coreProperties>
</file>