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8000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8000365"/>
                    </a:xfrm>
                    <a:prstGeom prst="rect">
                      <a:avLst/>
                    </a:prstGeom>
                    <a:noFill/>
                  </pic:spPr>
                </pic:pic>
              </a:graphicData>
            </a:graphic>
          </wp:anchor>
        </w:drawing>
      </w:r>
    </w:p>
    <w:p>
      <w:pPr>
        <w:spacing w:after="0" w:line="99" w:lineRule="exact"/>
        <w:rPr>
          <w:sz w:val="24"/>
          <w:szCs w:val="24"/>
          <w:color w:val="auto"/>
        </w:rPr>
      </w:pPr>
    </w:p>
    <w:p>
      <w:pPr>
        <w:sectPr>
          <w:pgSz w:w="11900" w:h="16905" w:orient="portrait"/>
          <w:cols w:equalWidth="0" w:num="2">
            <w:col w:w="2220" w:space="400"/>
            <w:col w:w="846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Hebbelinck Trui</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03/30/2023</w:t>
      </w:r>
    </w:p>
    <w:p>
      <w:pPr>
        <w:spacing w:after="0" w:line="20" w:lineRule="exact"/>
        <w:rPr>
          <w:sz w:val="24"/>
          <w:szCs w:val="24"/>
          <w:color w:val="auto"/>
        </w:rPr>
      </w:pPr>
      <w:r>
        <w:rPr>
          <w:sz w:val="24"/>
          <w:szCs w:val="24"/>
          <w:color w:val="auto"/>
        </w:rPr>
        <w:br w:type="column"/>
      </w: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199"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519"/>
        <w:spacing w:after="0"/>
        <w:rPr>
          <w:sz w:val="20"/>
          <w:szCs w:val="20"/>
          <w:color w:val="auto"/>
        </w:rPr>
      </w:pPr>
      <w:r>
        <w:rPr>
          <w:rFonts w:ascii="Times New Roman" w:cs="Times New Roman" w:eastAsia="Times New Roman" w:hAnsi="Times New Roman"/>
          <w:sz w:val="16"/>
          <w:szCs w:val="16"/>
          <w:color w:val="0000FF"/>
        </w:rPr>
        <w:t>Chief Human Resources Officer</w:t>
      </w:r>
    </w:p>
    <w:p>
      <w:pPr>
        <w:spacing w:after="0" w:line="309" w:lineRule="exact"/>
        <w:rPr>
          <w:sz w:val="24"/>
          <w:szCs w:val="24"/>
          <w:color w:val="auto"/>
        </w:rPr>
      </w:pPr>
    </w:p>
    <w:p>
      <w:pPr>
        <w:sectPr>
          <w:pgSz w:w="11900" w:h="16905" w:orient="portrait"/>
          <w:cols w:equalWidth="0" w:num="3">
            <w:col w:w="3180" w:space="720"/>
            <w:col w:w="3121" w:space="720"/>
            <w:col w:w="3339"/>
          </w:cols>
          <w:pgMar w:left="460" w:top="215" w:right="359" w:bottom="0" w:gutter="0" w:footer="0" w:header="0"/>
          <w:type w:val="continuous"/>
        </w:sectPr>
      </w:pP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W2 6LG</w:t>
            </w:r>
          </w:p>
        </w:tc>
      </w:tr>
      <w:tr>
        <w:trPr>
          <w:trHeight w:val="145"/>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7" w:lineRule="auto"/>
        <w:tabs>
          <w:tab w:leader="none" w:pos="436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93" w:lineRule="exact"/>
        <w:rPr>
          <w:sz w:val="24"/>
          <w:szCs w:val="24"/>
          <w:color w:val="auto"/>
        </w:rPr>
      </w:pPr>
    </w:p>
    <w:p>
      <w:pPr>
        <w:sectPr>
          <w:pgSz w:w="11900" w:h="16905" w:orient="portrait"/>
          <w:cols w:equalWidth="0" w:num="2">
            <w:col w:w="3760" w:space="14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6"/>
                <w:szCs w:val="16"/>
                <w:color w:val="0000FF"/>
                <w:w w:val="99"/>
              </w:rPr>
              <w:t>417</w:t>
            </w:r>
          </w:p>
        </w:tc>
        <w:tc>
          <w:tcPr>
            <w:tcW w:w="68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120"/>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6,172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6"/>
                <w:szCs w:val="16"/>
                <w:color w:val="0000FF"/>
                <w:w w:val="89"/>
              </w:rPr>
              <w:t>196</w:t>
            </w:r>
            <w:r>
              <w:rPr>
                <w:rFonts w:ascii="Times New Roman" w:cs="Times New Roman" w:eastAsia="Times New Roman" w:hAnsi="Times New Roman"/>
                <w:sz w:val="21"/>
                <w:szCs w:val="21"/>
                <w:color w:val="008000"/>
                <w:w w:val="89"/>
                <w:vertAlign w:val="superscript"/>
              </w:rPr>
              <w:t>(2)</w:t>
            </w:r>
          </w:p>
        </w:tc>
        <w:tc>
          <w:tcPr>
            <w:tcW w:w="68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42.71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5,976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78"/>
              <w:spacing w:after="0"/>
              <w:rPr>
                <w:sz w:val="20"/>
                <w:szCs w:val="20"/>
                <w:color w:val="auto"/>
              </w:rPr>
            </w:pPr>
            <w:r>
              <w:rPr>
                <w:rFonts w:ascii="Times New Roman" w:cs="Times New Roman" w:eastAsia="Times New Roman" w:hAnsi="Times New Roman"/>
                <w:sz w:val="16"/>
                <w:szCs w:val="16"/>
                <w:color w:val="0000FF"/>
              </w:rPr>
              <w:t>1,148</w:t>
            </w:r>
          </w:p>
        </w:tc>
        <w:tc>
          <w:tcPr>
            <w:tcW w:w="68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120"/>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7,124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6"/>
                <w:szCs w:val="16"/>
                <w:color w:val="0000FF"/>
                <w:w w:val="89"/>
              </w:rPr>
              <w:t>540</w:t>
            </w:r>
            <w:r>
              <w:rPr>
                <w:rFonts w:ascii="Times New Roman" w:cs="Times New Roman" w:eastAsia="Times New Roman" w:hAnsi="Times New Roman"/>
                <w:sz w:val="21"/>
                <w:szCs w:val="21"/>
                <w:color w:val="008000"/>
                <w:w w:val="89"/>
                <w:vertAlign w:val="superscript"/>
              </w:rPr>
              <w:t>(2)</w:t>
            </w:r>
          </w:p>
        </w:tc>
        <w:tc>
          <w:tcPr>
            <w:tcW w:w="68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42.71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6,584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6"/>
                <w:szCs w:val="16"/>
                <w:color w:val="0000FF"/>
                <w:w w:val="99"/>
              </w:rPr>
              <w:t>682</w:t>
            </w:r>
          </w:p>
        </w:tc>
        <w:tc>
          <w:tcPr>
            <w:tcW w:w="68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120"/>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7,266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58"/>
              <w:spacing w:after="0" w:line="303" w:lineRule="exact"/>
              <w:rPr>
                <w:sz w:val="20"/>
                <w:szCs w:val="20"/>
                <w:color w:val="auto"/>
              </w:rPr>
            </w:pPr>
            <w:r>
              <w:rPr>
                <w:rFonts w:ascii="Times New Roman" w:cs="Times New Roman" w:eastAsia="Times New Roman" w:hAnsi="Times New Roman"/>
                <w:sz w:val="32"/>
                <w:szCs w:val="32"/>
                <w:color w:val="0000FF"/>
                <w:w w:val="80"/>
                <w:vertAlign w:val="subscript"/>
              </w:rPr>
              <w:t>321</w:t>
            </w:r>
            <w:r>
              <w:rPr>
                <w:rFonts w:ascii="Times New Roman" w:cs="Times New Roman" w:eastAsia="Times New Roman" w:hAnsi="Times New Roman"/>
                <w:sz w:val="11"/>
                <w:szCs w:val="11"/>
                <w:color w:val="008000"/>
                <w:w w:val="80"/>
              </w:rPr>
              <w:t>(2)</w:t>
            </w:r>
          </w:p>
        </w:tc>
        <w:tc>
          <w:tcPr>
            <w:tcW w:w="68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42.71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6,945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6"/>
                <w:szCs w:val="16"/>
                <w:color w:val="0000FF"/>
                <w:w w:val="99"/>
              </w:rPr>
              <w:t>686</w:t>
            </w:r>
          </w:p>
        </w:tc>
        <w:tc>
          <w:tcPr>
            <w:tcW w:w="68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120"/>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7,631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58"/>
              <w:spacing w:after="0" w:line="303" w:lineRule="exact"/>
              <w:rPr>
                <w:sz w:val="20"/>
                <w:szCs w:val="20"/>
                <w:color w:val="auto"/>
              </w:rPr>
            </w:pPr>
            <w:r>
              <w:rPr>
                <w:rFonts w:ascii="Times New Roman" w:cs="Times New Roman" w:eastAsia="Times New Roman" w:hAnsi="Times New Roman"/>
                <w:sz w:val="32"/>
                <w:szCs w:val="32"/>
                <w:color w:val="0000FF"/>
                <w:w w:val="80"/>
                <w:vertAlign w:val="subscript"/>
              </w:rPr>
              <w:t>323</w:t>
            </w:r>
            <w:r>
              <w:rPr>
                <w:rFonts w:ascii="Times New Roman" w:cs="Times New Roman" w:eastAsia="Times New Roman" w:hAnsi="Times New Roman"/>
                <w:sz w:val="11"/>
                <w:szCs w:val="11"/>
                <w:color w:val="008000"/>
                <w:w w:val="80"/>
              </w:rPr>
              <w:t>(2)</w:t>
            </w:r>
          </w:p>
        </w:tc>
        <w:tc>
          <w:tcPr>
            <w:tcW w:w="68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42.71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7,308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60" w:type="dxa"/>
            <w:vAlign w:val="bottom"/>
            <w:tcBorders>
              <w:top w:val="single" w:sz="8" w:color="2C2C2C"/>
            </w:tcBorders>
            <w:gridSpan w:val="10"/>
          </w:tcPr>
          <w:p>
            <w:pP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60" w:type="dxa"/>
            <w:vAlign w:val="bottom"/>
            <w:gridSpan w:val="8"/>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jc w:val="center"/>
              <w:ind w:left="14"/>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jc w:val="center"/>
              <w:ind w:left="14"/>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417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417</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25"/>
                <w:szCs w:val="25"/>
                <w:color w:val="0000FF"/>
                <w:w w:val="84"/>
                <w:vertAlign w:val="subscript"/>
              </w:rPr>
              <w:t>0</w:t>
            </w:r>
            <w:r>
              <w:rPr>
                <w:rFonts w:ascii="Times New Roman" w:cs="Times New Roman" w:eastAsia="Times New Roman" w:hAnsi="Times New Roman"/>
                <w:sz w:val="11"/>
                <w:szCs w:val="11"/>
                <w:color w:val="008000"/>
                <w:w w:val="84"/>
              </w:rPr>
              <w:t>(5)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1,148</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1,148</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1,147</w:t>
            </w:r>
            <w:r>
              <w:rPr>
                <w:rFonts w:ascii="Times New Roman" w:cs="Times New Roman" w:eastAsia="Times New Roman" w:hAnsi="Times New Roman"/>
                <w:sz w:val="21"/>
                <w:szCs w:val="21"/>
                <w:color w:val="008000"/>
                <w:w w:val="92"/>
                <w:vertAlign w:val="superscript"/>
              </w:rPr>
              <w:t>(5)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682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682</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1,365</w:t>
            </w:r>
            <w:r>
              <w:rPr>
                <w:rFonts w:ascii="Times New Roman" w:cs="Times New Roman" w:eastAsia="Times New Roman" w:hAnsi="Times New Roman"/>
                <w:sz w:val="21"/>
                <w:szCs w:val="21"/>
                <w:color w:val="008000"/>
                <w:w w:val="92"/>
                <w:vertAlign w:val="superscript"/>
              </w:rPr>
              <w:t>(5)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686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686</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2,056</w:t>
            </w:r>
            <w:r>
              <w:rPr>
                <w:rFonts w:ascii="Times New Roman" w:cs="Times New Roman" w:eastAsia="Times New Roman" w:hAnsi="Times New Roman"/>
                <w:sz w:val="21"/>
                <w:szCs w:val="21"/>
                <w:color w:val="008000"/>
                <w:w w:val="92"/>
                <w:vertAlign w:val="superscript"/>
              </w:rPr>
              <w:t>(5)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5,319</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5,319</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5,319</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2,659</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2,659</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2,659</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2,659</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2,659</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2,659</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5,319</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5,319</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5,319</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11,300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42.71</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1"/>
                <w:szCs w:val="11"/>
                <w:color w:val="auto"/>
              </w:rPr>
            </w:pPr>
          </w:p>
        </w:tc>
        <w:tc>
          <w:tcPr>
            <w:tcW w:w="70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3"/>
                <w:szCs w:val="13"/>
                <w:color w:val="0000FF"/>
                <w:w w:val="94"/>
              </w:rPr>
              <w:t>11,300</w:t>
            </w:r>
          </w:p>
        </w:tc>
        <w:tc>
          <w:tcPr>
            <w:tcW w:w="4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gridSpan w:val="2"/>
          </w:tcPr>
          <w:p>
            <w:pPr>
              <w:jc w:val="center"/>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11,300</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-3867150</wp:posOffset>
            </wp:positionV>
            <wp:extent cx="28575" cy="3872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722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at the request of reporting person to satisfy tax liability.</w:t>
      </w:r>
    </w:p>
    <w:p>
      <w:pPr>
        <w:spacing w:after="0" w:line="40" w:lineRule="exact"/>
        <w:rPr>
          <w:rFonts w:ascii="Times New Roman" w:cs="Times New Roman" w:eastAsia="Times New Roman" w:hAnsi="Times New Roman"/>
          <w:sz w:val="13"/>
          <w:szCs w:val="13"/>
          <w:color w:val="008000"/>
        </w:rPr>
      </w:pPr>
    </w:p>
    <w:p>
      <w:pPr>
        <w:ind w:left="40" w:right="2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1" w:lineRule="exact"/>
        <w:rPr>
          <w:rFonts w:ascii="Times New Roman" w:cs="Times New Roman" w:eastAsia="Times New Roman" w:hAnsi="Times New Roman"/>
          <w:sz w:val="13"/>
          <w:szCs w:val="13"/>
          <w:color w:val="008000"/>
        </w:rPr>
      </w:pPr>
    </w:p>
    <w:p>
      <w:pPr>
        <w:ind w:left="40" w:right="5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2019, reporting person was granted RSUs subject to a four-year vesting schedule, the first vesting for which occurred on March 30, 2020. The RSUs are subject to forfeiture prior to vesting in accordance with the terms of the Plan and the award agreement.</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number of derivative securities beneficially owned following reported transaction for this specific grant.</w:t>
      </w:r>
    </w:p>
    <w:p>
      <w:pPr>
        <w:spacing w:after="0" w:line="40" w:lineRule="exact"/>
        <w:rPr>
          <w:rFonts w:ascii="Times New Roman" w:cs="Times New Roman" w:eastAsia="Times New Roman" w:hAnsi="Times New Roman"/>
          <w:sz w:val="13"/>
          <w:szCs w:val="13"/>
          <w:color w:val="008000"/>
        </w:rPr>
      </w:pPr>
    </w:p>
    <w:p>
      <w:pPr>
        <w:ind w:left="40" w:right="5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2020, reporting person was granted RSUs subject to a four-year vesting schedule, the first vesting for which occurred on March 30, 2021. The RSUs are subject to forfeiture prior to vesting in accordance with the terms of the Plan and the award agreement.</w:t>
      </w:r>
    </w:p>
    <w:p>
      <w:pPr>
        <w:spacing w:after="0" w:line="21" w:lineRule="exact"/>
        <w:rPr>
          <w:rFonts w:ascii="Times New Roman" w:cs="Times New Roman" w:eastAsia="Times New Roman" w:hAnsi="Times New Roman"/>
          <w:sz w:val="13"/>
          <w:szCs w:val="13"/>
          <w:color w:val="008000"/>
        </w:rPr>
      </w:pPr>
    </w:p>
    <w:p>
      <w:pPr>
        <w:ind w:left="40" w:right="5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reporting person was granted RSUs subject to a four-year vesting schedule, the first vesting for which occurred on March 30, 2022. The RSUs are subject to forfeiture prior to vesting in accordance with the terms of the Plan and the award agreement.</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RSUs subject to a four-year vesting schedule, the first vesting for which occurred on March 30, 2023. The RSUs are subject to forfeiture prior to vesting in</w:t>
      </w:r>
    </w:p>
    <w:p>
      <w:pPr>
        <w:sectPr>
          <w:pgSz w:w="11900" w:h="16905" w:orient="portrait"/>
          <w:cols w:equalWidth="0" w:num="1">
            <w:col w:w="11080"/>
          </w:cols>
          <w:pgMar w:left="460" w:top="215" w:right="359" w:bottom="0" w:gutter="0" w:footer="0" w:header="0"/>
          <w:type w:val="continuous"/>
        </w:sectPr>
      </w:pPr>
    </w:p>
    <w:bookmarkStart w:id="1" w:name="page2"/>
    <w:bookmarkEnd w:id="1"/>
    <w:p>
      <w:pPr>
        <w:ind w:left="1"/>
        <w:spacing w:after="0"/>
        <w:rPr>
          <w:sz w:val="20"/>
          <w:szCs w:val="20"/>
          <w:color w:val="auto"/>
        </w:rPr>
      </w:pPr>
      <w:r>
        <w:rPr>
          <w:rFonts w:ascii="Times New Roman" w:cs="Times New Roman" w:eastAsia="Times New Roman" w:hAnsi="Times New Roman"/>
          <w:sz w:val="13"/>
          <w:szCs w:val="13"/>
          <w:color w:val="008000"/>
        </w:rPr>
        <w:t>accordance with the terms of the Plan and the award agreement.</w:t>
      </w:r>
    </w:p>
    <w:p>
      <w:pPr>
        <w:spacing w:after="0" w:line="40" w:lineRule="exact"/>
        <w:rPr>
          <w:sz w:val="20"/>
          <w:szCs w:val="20"/>
          <w:color w:val="auto"/>
        </w:rPr>
      </w:pPr>
    </w:p>
    <w:p>
      <w:pPr>
        <w:ind w:left="1" w:right="100" w:hanging="1"/>
        <w:spacing w:after="0" w:line="24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2022 Incentive Award Plan (the 2022 Plan) and the award agreement.</w:t>
      </w:r>
    </w:p>
    <w:p>
      <w:pPr>
        <w:spacing w:after="0" w:line="21" w:lineRule="exact"/>
        <w:rPr>
          <w:rFonts w:ascii="Times New Roman" w:cs="Times New Roman" w:eastAsia="Times New Roman" w:hAnsi="Times New Roman"/>
          <w:sz w:val="13"/>
          <w:szCs w:val="13"/>
          <w:color w:val="008000"/>
        </w:rPr>
      </w:pPr>
    </w:p>
    <w:p>
      <w:pPr>
        <w:ind w:left="1" w:right="160" w:hanging="1"/>
        <w:spacing w:after="0" w:line="24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RSUs subject to a four-year vesting schedule, the first vesting occurring on March 30, 2024. The RSUs are subject to forfeiture prior to vesting in accordance with the terms of the 2022 Plan and the award agreement.</w:t>
      </w:r>
    </w:p>
    <w:p>
      <w:pPr>
        <w:spacing w:after="0" w:line="21"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2022 Plan and the award agreement.</w:t>
      </w:r>
    </w:p>
    <w:p>
      <w:pPr>
        <w:spacing w:after="0" w:line="40" w:lineRule="exact"/>
        <w:rPr>
          <w:rFonts w:ascii="Times New Roman" w:cs="Times New Roman" w:eastAsia="Times New Roman" w:hAnsi="Times New Roman"/>
          <w:sz w:val="13"/>
          <w:szCs w:val="13"/>
          <w:color w:val="008000"/>
        </w:rPr>
      </w:pPr>
    </w:p>
    <w:p>
      <w:pPr>
        <w:ind w:left="1" w:right="40" w:hanging="1"/>
        <w:spacing w:after="0" w:line="285"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30, 2023, reporting person was granted PSUs to vest or lapse on March 30, 2026 based on how the Company's free cash flow (FCF) for performance period 2023-2025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1" w:lineRule="exact"/>
        <w:rPr>
          <w:rFonts w:ascii="Times New Roman" w:cs="Times New Roman" w:eastAsia="Times New Roman" w:hAnsi="Times New Roman"/>
          <w:sz w:val="12"/>
          <w:szCs w:val="12"/>
          <w:color w:val="008000"/>
        </w:rPr>
      </w:pPr>
    </w:p>
    <w:p>
      <w:pPr>
        <w:ind w:left="1" w:right="100" w:hanging="1"/>
        <w:spacing w:after="0" w:line="23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how the Company's Return on Investment Capital (ROIC) calculated for the performance period 2023-2025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5" w:lineRule="exact"/>
        <w:rPr>
          <w:rFonts w:ascii="Times New Roman" w:cs="Times New Roman" w:eastAsia="Times New Roman" w:hAnsi="Times New Roman"/>
          <w:sz w:val="13"/>
          <w:szCs w:val="13"/>
          <w:color w:val="008000"/>
        </w:rPr>
      </w:pPr>
    </w:p>
    <w:p>
      <w:pPr>
        <w:ind w:left="1" w:hanging="1"/>
        <w:spacing w:after="0" w:line="23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the the Company's total shareholder return (TSR) for the three-year period beginning on January 1, 2023 and ending December 31, 2025 relative to the total shareholder return of a peer group of companies, as determined by the 2022 Plan Administrator. The number included in column 5 of Table II reflects the target number of PSUs eligible for vesting subject to continued service during the vesting period and the award agreement.</w:t>
      </w:r>
    </w:p>
    <w:p>
      <w:pPr>
        <w:spacing w:after="0" w:line="25" w:lineRule="exact"/>
        <w:rPr>
          <w:rFonts w:ascii="Times New Roman" w:cs="Times New Roman" w:eastAsia="Times New Roman" w:hAnsi="Times New Roman"/>
          <w:sz w:val="13"/>
          <w:szCs w:val="13"/>
          <w:color w:val="008000"/>
        </w:rPr>
      </w:pPr>
    </w:p>
    <w:p>
      <w:pPr>
        <w:ind w:left="1" w:right="60" w:hanging="1"/>
        <w:spacing w:after="0" w:line="24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stock appreciation rights (SARs) subject to a four-year vesting schedule, the first vesting occurring on March 30, 2024. The SARs are subject to forfeiture prior to vesting in accordance with the terms of the 2022 Plan and the award agreement.</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0000FF"/>
              </w:rPr>
              <w:t>/s/ Sarah K. Mohr, POA</w:t>
            </w:r>
          </w:p>
        </w:tc>
        <w:tc>
          <w:tcPr>
            <w:tcW w:w="42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03/30/2023</w:t>
            </w:r>
          </w:p>
        </w:tc>
      </w:tr>
      <w:tr>
        <w:trPr>
          <w:trHeight w:val="20"/>
        </w:trPr>
        <w:tc>
          <w:tcPr>
            <w:tcW w:w="1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580" w:hanging="1"/>
        <w:spacing w:after="0" w:line="329"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1"/>
          </w:cols>
          <w:pgMar w:left="499" w:top="127" w:right="51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203" w:lineRule="exact"/>
        <w:rPr>
          <w:sz w:val="20"/>
          <w:szCs w:val="20"/>
          <w:color w:val="auto"/>
        </w:rPr>
      </w:pPr>
    </w:p>
    <w:p>
      <w:pPr>
        <w:ind w:right="20" w:firstLine="607"/>
        <w:spacing w:after="0" w:line="290"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(ii) the Company’s Company Secretary who is currently Catherine Moroz, and (iii) the Company’s internal counsel who is currently Sarah K. Mohr, and their respective successors, signing singly, the undersigned’s true and lawful attorney-in-fact to:</w:t>
      </w:r>
    </w:p>
    <w:p>
      <w:pPr>
        <w:spacing w:after="0" w:line="133" w:lineRule="exact"/>
        <w:rPr>
          <w:sz w:val="20"/>
          <w:szCs w:val="20"/>
          <w:color w:val="auto"/>
        </w:rPr>
      </w:pPr>
    </w:p>
    <w:p>
      <w:pPr>
        <w:ind w:left="1220" w:right="60" w:hanging="612"/>
        <w:spacing w:after="0" w:line="297"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24" w:lineRule="exact"/>
        <w:rPr>
          <w:rFonts w:ascii="Times New Roman" w:cs="Times New Roman" w:eastAsia="Times New Roman" w:hAnsi="Times New Roman"/>
          <w:sz w:val="19"/>
          <w:szCs w:val="19"/>
          <w:color w:val="auto"/>
        </w:rPr>
      </w:pPr>
    </w:p>
    <w:p>
      <w:pPr>
        <w:ind w:left="1220" w:right="220" w:hanging="612"/>
        <w:spacing w:after="0" w:line="297"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24" w:lineRule="exact"/>
        <w:rPr>
          <w:rFonts w:ascii="Times New Roman" w:cs="Times New Roman" w:eastAsia="Times New Roman" w:hAnsi="Times New Roman"/>
          <w:sz w:val="19"/>
          <w:szCs w:val="19"/>
          <w:color w:val="auto"/>
        </w:rPr>
      </w:pPr>
    </w:p>
    <w:p>
      <w:pPr>
        <w:jc w:val="both"/>
        <w:ind w:left="1220" w:right="80" w:hanging="612"/>
        <w:spacing w:after="0" w:line="300" w:lineRule="auto"/>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w:t>
      </w:r>
    </w:p>
    <w:p>
      <w:pPr>
        <w:spacing w:after="0" w:line="1" w:lineRule="exact"/>
        <w:rPr>
          <w:rFonts w:ascii="Times New Roman" w:cs="Times New Roman" w:eastAsia="Times New Roman" w:hAnsi="Times New Roman"/>
          <w:sz w:val="18"/>
          <w:szCs w:val="18"/>
          <w:color w:val="auto"/>
        </w:rPr>
      </w:pPr>
    </w:p>
    <w:p>
      <w:pPr>
        <w:ind w:left="1220" w:right="10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such attorney-in-fact on behalf of the undersigned pursuant to this Power of Attorney shall be in such form and shall contain such terms and conditions as such attorney-in-fact may approve in such attorney-in-fact’s discretion.</w:t>
      </w:r>
    </w:p>
    <w:p>
      <w:pPr>
        <w:spacing w:after="0" w:line="120" w:lineRule="exact"/>
        <w:rPr>
          <w:sz w:val="20"/>
          <w:szCs w:val="20"/>
          <w:color w:val="auto"/>
        </w:rPr>
      </w:pPr>
    </w:p>
    <w:p>
      <w:pPr>
        <w:ind w:firstLine="607"/>
        <w:spacing w:after="0" w:line="286"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8" w:lineRule="exact"/>
        <w:rPr>
          <w:sz w:val="20"/>
          <w:szCs w:val="20"/>
          <w:color w:val="auto"/>
        </w:rPr>
      </w:pPr>
    </w:p>
    <w:p>
      <w:pPr>
        <w:ind w:right="40" w:firstLine="607"/>
        <w:spacing w:after="0" w:line="304" w:lineRule="auto"/>
        <w:rPr>
          <w:sz w:val="20"/>
          <w:szCs w:val="20"/>
          <w:color w:val="auto"/>
        </w:rPr>
      </w:pPr>
      <w:r>
        <w:rPr>
          <w:rFonts w:ascii="Times New Roman" w:cs="Times New Roman" w:eastAsia="Times New Roman" w:hAnsi="Times New Roman"/>
          <w:sz w:val="18"/>
          <w:szCs w:val="18"/>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22" w:lineRule="exact"/>
        <w:rPr>
          <w:sz w:val="20"/>
          <w:szCs w:val="20"/>
          <w:color w:val="auto"/>
        </w:rPr>
      </w:pPr>
    </w:p>
    <w:p>
      <w:pPr>
        <w:ind w:right="180" w:firstLine="607"/>
        <w:spacing w:after="0" w:line="302" w:lineRule="auto"/>
        <w:rPr>
          <w:sz w:val="20"/>
          <w:szCs w:val="20"/>
          <w:color w:val="auto"/>
        </w:rPr>
      </w:pPr>
      <w:r>
        <w:rPr>
          <w:rFonts w:ascii="Times New Roman" w:cs="Times New Roman" w:eastAsia="Times New Roman" w:hAnsi="Times New Roman"/>
          <w:sz w:val="19"/>
          <w:szCs w:val="19"/>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33" w:lineRule="exact"/>
        <w:rPr>
          <w:sz w:val="20"/>
          <w:szCs w:val="20"/>
          <w:color w:val="auto"/>
        </w:rPr>
      </w:pPr>
    </w:p>
    <w:p>
      <w:pPr>
        <w:ind w:right="80" w:firstLine="607"/>
        <w:spacing w:after="0" w:line="286"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9"/>
          <w:szCs w:val="19"/>
          <w:color w:val="auto"/>
        </w:rPr>
        <w:t xml:space="preserve"> day of March, 2019.</w:t>
      </w:r>
    </w:p>
    <w:p>
      <w:pPr>
        <w:spacing w:after="0" w:line="200" w:lineRule="exact"/>
        <w:rPr>
          <w:sz w:val="20"/>
          <w:szCs w:val="20"/>
          <w:color w:val="auto"/>
        </w:rPr>
      </w:pPr>
    </w:p>
    <w:p>
      <w:pPr>
        <w:spacing w:after="0" w:line="39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/s/ Trui Hebbelinck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-12700</wp:posOffset>
            </wp:positionV>
            <wp:extent cx="1264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Trui Hebbelinck</w:t>
      </w:r>
    </w:p>
    <w:sectPr>
      <w:pgSz w:w="11900" w:h="16838" w:orient="portrait"/>
      <w:cols w:equalWidth="0" w:num="1">
        <w:col w:w="10920"/>
      </w:cols>
      <w:pgMar w:left="460" w:top="36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9"/>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05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2023-04-03T17:08:31Z</dcterms:created>
  <dcterms:modified xsi:type="dcterms:W3CDTF">2023-04-03T17:08:31Z</dcterms:modified>
</cp:coreProperties>
</file>