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8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ROSENTHAL ARTHUR L</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90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08/05/2016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20" w:type="dxa"/>
            <w:vAlign w:val="bottom"/>
          </w:tcPr>
          <w:p>
            <w:pPr>
              <w:spacing w:after="0"/>
              <w:rPr>
                <w:sz w:val="20"/>
                <w:szCs w:val="20"/>
                <w:color w:val="auto"/>
              </w:rPr>
            </w:pPr>
            <w:r>
              <w:rPr>
                <w:rFonts w:ascii="Arial" w:cs="Arial" w:eastAsia="Arial" w:hAnsi="Arial"/>
                <w:sz w:val="18"/>
                <w:szCs w:val="18"/>
                <w:color w:val="0000FF"/>
                <w:w w:val="90"/>
              </w:rPr>
              <w:t>X0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gridSpan w:val="5"/>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540" w:type="dxa"/>
            <w:vAlign w:val="bottom"/>
            <w:tcBorders>
              <w:top w:val="single" w:sz="8" w:color="2C2C2C"/>
            </w:tcBorders>
            <w:gridSpan w:val="18"/>
          </w:tcPr>
          <w:p>
            <w:pPr>
              <w:ind w:left="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3"/>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3,327</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w w:val="96"/>
              </w:rPr>
              <w:t>08/05/2016</w:t>
            </w: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3,327</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6"/>
              </w:rPr>
              <w:t>3,327</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or, at the option of the Company, a cash settlement in accordance with the terms of the LivaNova PLC 2015 Incentive Award Plan.</w:t>
      </w:r>
    </w:p>
    <w:p>
      <w:pPr>
        <w:spacing w:after="0" w:line="30"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was granted RSUs that vest and all forfeiture restrictions thereon shall lapse on August 5, 2017. The RSUs are subject to forfeiture prior to vesting in accordance with the terms of the LivaNova PLC 2015 Incentive Award Plan.</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Arial" w:cs="Arial" w:eastAsia="Arial" w:hAnsi="Arial"/>
                <w:sz w:val="18"/>
                <w:szCs w:val="18"/>
                <w:color w:val="0000FF"/>
                <w:w w:val="89"/>
              </w:rPr>
              <w:t>/s/ Taylor Pollock as POA</w:t>
            </w:r>
          </w:p>
        </w:tc>
        <w:tc>
          <w:tcPr>
            <w:tcW w:w="2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08/09/2016</w:t>
            </w:r>
          </w:p>
        </w:tc>
      </w:tr>
      <w:tr>
        <w:trPr>
          <w:trHeight w:val="20"/>
        </w:trPr>
        <w:tc>
          <w:tcPr>
            <w:tcW w:w="1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87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2019-12-23T21:45:23Z</dcterms:created>
  <dcterms:modified xsi:type="dcterms:W3CDTF">2019-12-23T21:45:23Z</dcterms:modified>
</cp:coreProperties>
</file>