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289560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Recast Financials to Show Effects of Cardiac Rhythm Management Discontinued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20, 2017, LivaNova PLC, (“we” or the “Company”) entered into a letter of intent (“LOI”) to sell the Cardiac Rhythm Management Business Franchise (“CRM”) to MicroPort Scientific Corporation for $190.0 million in cash. We expect to enter into the definitive acquisition agreement contemplated by the LOI following completion of the notification and consultation process with CRM’s employee works councils as required by local laws. Completion of the transaction is subject to receipt of relevant regulatory approvals, including fulfilling the requirements of the Hong Kong Stock Exchange’s Major Transaction requirements, and other customary closing conditions. We expect the transaction to close in the second quarter of 2018. We concluded that the sale of CRM represents a strategic shift in our business that will have a major effect on future operations and financial results and therefore qualifies as a discontinued operation under U.S. GAAP.</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providing unaudited quarterly information for the nine months ended September 30, 2017 and the twelve months ended December 31, 2016 recast to classify the results of CRM as discontinued operations in our consolidated statements of income (loss). These changes had no effect on net income (loss) for these periods, as reported in our Quarterly Report on Form 10-Q for the three, six and nine months ended March 31, 2017, June 30, 2017 and September 30, 2017, and our Annual Report on Form 10-K for the year ended December 31, 2016. We believe that the unaudited recast financial information will be helpful to users of our financial statements in better understanding our fourth quarter and full year 2017 financial results.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recast financial information can be found at the following link on the Company’s Investor Relations page: </w:t>
      </w:r>
      <w:r>
        <w:rPr>
          <w:rFonts w:ascii="Arial" w:cs="Arial" w:eastAsia="Arial" w:hAnsi="Arial"/>
          <w:sz w:val="16"/>
          <w:szCs w:val="16"/>
          <w:u w:val="single" w:color="auto"/>
          <w:color w:val="auto"/>
        </w:rPr>
        <w:t>http://www.livanova.com/quarterlyreports</w:t>
      </w:r>
      <w:r>
        <w:rPr>
          <w:rFonts w:ascii="Arial" w:cs="Arial" w:eastAsia="Arial" w:hAnsi="Arial"/>
          <w:sz w:val="16"/>
          <w:szCs w:val="16"/>
          <w:color w:val="auto"/>
        </w:rPr>
        <w:t>. Such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recast information includes financial measurements that present financial information not necessarily in accordance with U.S.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are described and reconciled to their GAAP counterparts in the aforementioned link and should be considered along with, but not as alternatives to, the operating performance measure as prescribed by GAAP.</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sectPr>
      <w:pgSz w:w="11900" w:h="16838" w:orient="portrait"/>
      <w:cols w:equalWidth="0" w:num="1">
        <w:col w:w="11280"/>
      </w:cols>
      <w:pgMar w:left="24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2019-12-08T13:45:06Z</dcterms:created>
  <dcterms:modified xsi:type="dcterms:W3CDTF">2019-12-08T13:45:06Z</dcterms:modified>
</cp:coreProperties>
</file>