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5979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5979795"/>
                    </a:xfrm>
                    <a:prstGeom prst="rect">
                      <a:avLst/>
                    </a:prstGeom>
                    <a:noFill/>
                  </pic:spPr>
                </pic:pic>
              </a:graphicData>
            </a:graphic>
          </wp:anchor>
        </w:drawing>
      </w:r>
    </w:p>
    <w:p>
      <w:pPr>
        <w:sectPr>
          <w:pgSz w:w="11900" w:h="16838" w:orient="portrait"/>
          <w:cols w:equalWidth="0" w:num="1">
            <w:col w:w="11020"/>
          </w:cols>
          <w:pgMar w:left="440" w:top="202" w:right="439" w:bottom="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Poletti Franco</w:t>
              </w:r>
            </w:hyperlink>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0000EE"/>
            </w:tcBorders>
            <w:vMerge w:val="continue"/>
          </w:tcPr>
          <w:p>
            <w:pPr>
              <w:spacing w:after="0"/>
              <w:rPr>
                <w:sz w:val="9"/>
                <w:szCs w:val="9"/>
                <w:color w:val="auto"/>
              </w:rPr>
            </w:pPr>
          </w:p>
        </w:tc>
        <w:tc>
          <w:tcPr>
            <w:tcW w:w="6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08/01/2024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LIVANOVA PLC</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 EASTBOURNE TERRACE</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4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LONDON</w:t>
            </w: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X0</w:t>
            </w:r>
          </w:p>
        </w:tc>
        <w:tc>
          <w:tcPr>
            <w:tcW w:w="2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W2 6LA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LivaNova PLC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15" w:lineRule="exact"/>
        <w:rPr>
          <w:sz w:val="24"/>
          <w:szCs w:val="24"/>
          <w:color w:val="auto"/>
        </w:rPr>
      </w:pPr>
    </w:p>
    <w:p>
      <w:pPr>
        <w:spacing w:after="0"/>
        <w:tabs>
          <w:tab w:leader="none" w:pos="3280" w:val="left"/>
        </w:tabs>
        <w:rPr>
          <w:sz w:val="20"/>
          <w:szCs w:val="20"/>
          <w:color w:val="auto"/>
        </w:rPr>
      </w:pPr>
      <w:r>
        <w:rPr>
          <w:rFonts w:ascii="Arial" w:cs="Arial" w:eastAsia="Arial" w:hAnsi="Arial"/>
          <w:sz w:val="10"/>
          <w:szCs w:val="10"/>
          <w:color w:val="auto"/>
        </w:rPr>
        <w:t>4. Relationship of Reporting Person(s) to Issuer</w:t>
      </w:r>
      <w:r>
        <w:rPr>
          <w:sz w:val="20"/>
          <w:szCs w:val="20"/>
          <w:color w:val="auto"/>
        </w:rPr>
        <w:tab/>
      </w:r>
      <w:r>
        <w:rPr>
          <w:rFonts w:ascii="Arial" w:cs="Arial" w:eastAsia="Arial" w:hAnsi="Arial"/>
          <w:sz w:val="10"/>
          <w:szCs w:val="10"/>
          <w:color w:val="auto"/>
        </w:rPr>
        <w:t>5. If Amendment, Date of Original Filed (Month/Day/Year)</w:t>
      </w:r>
    </w:p>
    <w:p>
      <w:pPr>
        <w:spacing w:after="0" w:line="189" w:lineRule="auto"/>
        <w:tabs>
          <w:tab w:leader="none" w:pos="3280" w:val="left"/>
        </w:tabs>
        <w:rPr>
          <w:sz w:val="20"/>
          <w:szCs w:val="20"/>
          <w:color w:val="auto"/>
        </w:rPr>
      </w:pPr>
      <w:r>
        <w:rPr>
          <w:rFonts w:ascii="Arial" w:cs="Arial" w:eastAsia="Arial" w:hAnsi="Arial"/>
          <w:sz w:val="10"/>
          <w:szCs w:val="10"/>
          <w:color w:val="auto"/>
        </w:rPr>
        <w:t>(Check all applicable)</w:t>
      </w:r>
      <w:r>
        <w:rPr>
          <w:sz w:val="20"/>
          <w:szCs w:val="20"/>
          <w:color w:val="auto"/>
        </w:rPr>
        <w:tab/>
      </w:r>
      <w:r>
        <w:rPr>
          <w:rFonts w:ascii="Times New Roman" w:cs="Times New Roman" w:eastAsia="Times New Roman" w:hAnsi="Times New Roman"/>
          <w:sz w:val="17"/>
          <w:szCs w:val="17"/>
          <w:color w:val="0000FF"/>
          <w:vertAlign w:val="subscript"/>
        </w:rPr>
        <w:t>08/09/2024</w:t>
      </w:r>
    </w:p>
    <w:p>
      <w:pPr>
        <w:ind w:left="520"/>
        <w:spacing w:after="0"/>
        <w:tabs>
          <w:tab w:leader="none" w:pos="2100"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9" w:lineRule="exact"/>
        <w:rPr>
          <w:sz w:val="24"/>
          <w:szCs w:val="24"/>
          <w:color w:val="auto"/>
        </w:rPr>
      </w:pPr>
    </w:p>
    <w:tbl>
      <w:tblPr>
        <w:tblLayout w:type="fixed"/>
        <w:tblInd w:w="520" w:type="dxa"/>
        <w:tblCellMar>
          <w:top w:w="0" w:type="dxa"/>
          <w:left w:w="0" w:type="dxa"/>
          <w:bottom w:w="0" w:type="dxa"/>
          <w:right w:w="0" w:type="dxa"/>
        </w:tblCellMar>
      </w:tblPr>
      <w:tr>
        <w:trPr>
          <w:trHeight w:val="115"/>
        </w:trPr>
        <w:tc>
          <w:tcPr>
            <w:tcW w:w="1180" w:type="dxa"/>
            <w:vAlign w:val="bottom"/>
            <w:gridSpan w:val="2"/>
          </w:tcPr>
          <w:p>
            <w:pPr>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2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86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
        </w:trPr>
        <w:tc>
          <w:tcPr>
            <w:tcW w:w="3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740" w:type="dxa"/>
            <w:vAlign w:val="bottom"/>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320" w:type="dxa"/>
            <w:vAlign w:val="bottom"/>
          </w:tcPr>
          <w:p>
            <w:pPr>
              <w:spacing w:after="0"/>
              <w:rPr>
                <w:sz w:val="6"/>
                <w:szCs w:val="6"/>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President, Cardiopulmonary</w:t>
            </w: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2740" w:type="dxa"/>
            <w:vAlign w:val="bottom"/>
            <w:vMerge w:val="restart"/>
          </w:tcPr>
          <w:p>
            <w:pPr>
              <w:ind w:left="4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44"/>
        </w:trPr>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40" w:type="dxa"/>
            <w:vAlign w:val="bottom"/>
          </w:tcPr>
          <w:p>
            <w:pPr>
              <w:ind w:left="4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660" w:space="340"/>
            <w:col w:w="6020"/>
          </w:cols>
          <w:pgMar w:left="440" w:top="202" w:right="439" w:bottom="0" w:gutter="0" w:footer="0" w:header="0"/>
          <w:type w:val="continuous"/>
        </w:sectPr>
      </w:pPr>
    </w:p>
    <w:p>
      <w:pPr>
        <w:spacing w:after="0" w:line="27"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6,667</w:t>
            </w:r>
          </w:p>
        </w:tc>
        <w:tc>
          <w:tcPr>
            <w:tcW w:w="640" w:type="dxa"/>
            <w:vAlign w:val="bottom"/>
          </w:tcPr>
          <w:p>
            <w:pPr>
              <w:jc w:val="center"/>
              <w:ind w:left="115"/>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13"/>
                <w:szCs w:val="13"/>
                <w:color w:val="0000FF"/>
              </w:rPr>
              <w:t>219</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3"/>
                <w:szCs w:val="13"/>
                <w:color w:val="0000FF"/>
              </w:rPr>
              <w:t>I</w:t>
            </w:r>
          </w:p>
        </w:tc>
        <w:tc>
          <w:tcPr>
            <w:tcW w:w="158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3"/>
                <w:szCs w:val="13"/>
                <w:color w:val="0000FF"/>
              </w:rPr>
              <w:t>By Spouse</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03/30/2034</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4,706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55.94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03/30/2033</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2,841</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42.71</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03/30/2032</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1,658</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82.04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03/30/2031</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73.25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(6)</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03/30/2030</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3,357</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43.57</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(7)</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03/30/2029</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1,674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97.25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03/15/2028</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2,036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88.38</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05/05/2027</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2,910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56.17</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(10)</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03/11/2026</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2,140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57.6</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(11)</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(11)</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2,234</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(11)</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(12)</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(12)</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1,934</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(12)</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(13)</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(13)</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975</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(13)</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(14)</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(14)</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343</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(15)</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(15)</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201</w:t>
            </w: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(16)</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(16)</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1,117</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(17)</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(17)</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1,117</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(18)</w:t>
            </w:r>
          </w:p>
        </w:tc>
        <w:tc>
          <w:tcPr>
            <w:tcW w:w="6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3"/>
              </w:rPr>
              <w:t>(18)</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2,234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Form 3/A is being filed to amend the original Form 3 filed by the reporting person on August 9, 2024 (the "Original Form 3") to report shares held by the reporting person's spouse which were inadvertently omitted from the Original Form 3.</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stock appreciation rights ("SARs"). Subject to the terms and conditions of the LivaNova PLC 2022 Incentive Award Plan (the "2022 Plan") and the award agreement, the SARs shall vest in equal installments of 25% on each of the first four anniversaries of the grant date, March 30, 2024.</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2022 Plan and the award agreement, the SARs shall vest in equal installments of 25% on each of the first four anniversaries of the grant date, March 30, 2023.</w:t>
      </w:r>
    </w:p>
    <w:p>
      <w:pPr>
        <w:spacing w:after="0" w:line="40" w:lineRule="exact"/>
        <w:rPr>
          <w:rFonts w:ascii="Times New Roman" w:cs="Times New Roman" w:eastAsia="Times New Roman" w:hAnsi="Times New Roman"/>
          <w:sz w:val="10"/>
          <w:szCs w:val="10"/>
          <w:color w:val="008000"/>
        </w:rPr>
      </w:pPr>
    </w:p>
    <w:p>
      <w:pPr>
        <w:ind w:left="40" w:right="3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LivaNova PLC 2015 Incentive Award Plan (the "2015 Plan") and the award agreement, the SARs shall vest in equal installments of 25% on each of the first four anniversaries of the grant date, March 30, 2022.</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shall vest in equal installments of 25% on each of the first four anniversaries of the grant date, March 30, 2021.</w:t>
      </w:r>
    </w:p>
    <w:p>
      <w:pPr>
        <w:spacing w:after="0" w:line="40"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30, 2020. These SARs are fully vested.</w:t>
      </w:r>
    </w:p>
    <w:p>
      <w:pPr>
        <w:spacing w:after="0" w:line="3"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30, 2019. These SARs are fully vested.</w:t>
      </w:r>
    </w:p>
    <w:p>
      <w:pPr>
        <w:spacing w:after="0" w:line="3"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15, 2018. These SARs are fully vested.</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May 5, 2017. These SARs are fully vested.</w:t>
      </w:r>
    </w:p>
    <w:p>
      <w:pPr>
        <w:spacing w:after="0" w:line="3" w:lineRule="exact"/>
        <w:rPr>
          <w:rFonts w:ascii="Times New Roman" w:cs="Times New Roman" w:eastAsia="Times New Roman" w:hAnsi="Times New Roman"/>
          <w:sz w:val="10"/>
          <w:szCs w:val="10"/>
          <w:color w:val="008000"/>
        </w:rPr>
      </w:pPr>
    </w:p>
    <w:p>
      <w:pPr>
        <w:ind w:left="40" w:right="30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11, 2016. These SARs are fully vested.</w:t>
      </w:r>
    </w:p>
    <w:p>
      <w:pPr>
        <w:spacing w:after="0" w:line="3" w:lineRule="exact"/>
        <w:rPr>
          <w:rFonts w:ascii="Times New Roman" w:cs="Times New Roman" w:eastAsia="Times New Roman" w:hAnsi="Times New Roman"/>
          <w:sz w:val="10"/>
          <w:szCs w:val="10"/>
          <w:color w:val="008000"/>
        </w:rPr>
      </w:pPr>
    </w:p>
    <w:p>
      <w:pPr>
        <w:jc w:val="both"/>
        <w:ind w:left="40" w:right="60" w:hanging="6"/>
        <w:spacing w:after="0" w:line="258" w:lineRule="auto"/>
        <w:tabs>
          <w:tab w:leader="none" w:pos="192"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one Ordinary Share of LivaNova PLC (the "Company"), GBP 1.00 par value, in accordance with the terms of the 2022 Plan and the award agreement. The reporting person was granted 2,234 RSUs on March 30, 2024, subject to a four-year vesting schedule, which begins on March 30, 2025. The unvested RSUs reported herein vest 25% on March 30, 2025, March 30, 2026, March 30, 2027, and March 30, 2028. The RSUs are subject to forfeiture prior to vesting in accordance with the terms of the 2022 Plan and the award agreement.</w:t>
      </w:r>
    </w:p>
    <w:p>
      <w:pPr>
        <w:spacing w:after="0" w:line="12" w:lineRule="exact"/>
        <w:rPr>
          <w:rFonts w:ascii="Times New Roman" w:cs="Times New Roman" w:eastAsia="Times New Roman" w:hAnsi="Times New Roman"/>
          <w:sz w:val="10"/>
          <w:szCs w:val="10"/>
          <w:color w:val="008000"/>
        </w:rPr>
      </w:pPr>
    </w:p>
    <w:p>
      <w:pPr>
        <w:jc w:val="both"/>
        <w:ind w:left="40" w:right="6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2022 Plan and the award agreement. The reporting person was granted 1,934 RSUs on December 15, 2023, subject to a two-year vesting schedule, which begins on December 15, 2024. The unvested RSUs reported here vest 50% on December 15, 2024 and December 15, 2025. The RSUs are subject to forfeiture prior to vesting in accordance with the terms of the 2022 Plan and the award agreement.</w:t>
      </w:r>
    </w:p>
    <w:p>
      <w:pPr>
        <w:spacing w:after="0" w:line="3" w:lineRule="exact"/>
        <w:rPr>
          <w:rFonts w:ascii="Times New Roman" w:cs="Times New Roman" w:eastAsia="Times New Roman" w:hAnsi="Times New Roman"/>
          <w:sz w:val="10"/>
          <w:szCs w:val="10"/>
          <w:color w:val="008000"/>
        </w:rPr>
      </w:pPr>
    </w:p>
    <w:p>
      <w:pPr>
        <w:jc w:val="both"/>
        <w:ind w:left="40" w:right="8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2022 Plan and the award agreement. The reporting person was originally granted 1,300 RSUs on March 30, 2023, subject to a four-year vesting schedule, which began on March 30, 2024. The 975 unvested RSUs reported herein vest in equal installments on March 30, 2025, March 30, 2026, and March 30, 2027. The RSUs are subject to forfeiture prior to vesting in accordance with the terms of the 2022 Plan and the award agreement.</w:t>
      </w:r>
    </w:p>
    <w:p>
      <w:pPr>
        <w:spacing w:after="0" w:line="12" w:lineRule="exact"/>
        <w:rPr>
          <w:rFonts w:ascii="Times New Roman" w:cs="Times New Roman" w:eastAsia="Times New Roman" w:hAnsi="Times New Roman"/>
          <w:sz w:val="10"/>
          <w:szCs w:val="10"/>
          <w:color w:val="008000"/>
        </w:rPr>
      </w:pPr>
    </w:p>
    <w:p>
      <w:pPr>
        <w:ind w:left="40" w:right="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2015 Plan and the award agreement. The reporting person was originally granted 687 RSUs on March 30, 2022, subject to a four-year vesting schedule, which began on March 30, 2023. The 343 unvested RSUs reported herein vest in equal installments on March 30, 2025 and March 30, 2026. The RSUs are subject to forfeiture prior to vesting in accordance with the terms of the 2015 Plan and the award agreement.</w:t>
      </w:r>
    </w:p>
    <w:p>
      <w:pPr>
        <w:spacing w:after="0" w:line="12" w:lineRule="exact"/>
        <w:rPr>
          <w:rFonts w:ascii="Times New Roman" w:cs="Times New Roman" w:eastAsia="Times New Roman" w:hAnsi="Times New Roman"/>
          <w:sz w:val="10"/>
          <w:szCs w:val="10"/>
          <w:color w:val="008000"/>
        </w:rPr>
      </w:pPr>
    </w:p>
    <w:p>
      <w:pPr>
        <w:ind w:left="40" w:right="28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the Company in accordance with the terms of the 2022 Plan and the award agreement. The reporting person was granted 804 RSUs on March 30, 2021, subject to a four-year vesting schedule, which began on March 30, 2022. The 201 unvested RSUs reported here vest on March 30, 2025. The RSUs are subject to forfeiture prior to vesting in accordance with the terms of the 2015 Plan and the award agreement.</w:t>
      </w:r>
    </w:p>
    <w:p>
      <w:pPr>
        <w:spacing w:after="0" w:line="3" w:lineRule="exact"/>
        <w:rPr>
          <w:rFonts w:ascii="Times New Roman" w:cs="Times New Roman" w:eastAsia="Times New Roman" w:hAnsi="Times New Roman"/>
          <w:sz w:val="10"/>
          <w:szCs w:val="10"/>
          <w:color w:val="008000"/>
        </w:rPr>
      </w:pPr>
    </w:p>
    <w:p>
      <w:pPr>
        <w:ind w:left="40" w:right="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performance stock unit ("PSU") represents a contingent right to receive one Ordinary Share of the Company in accordance with the terms and conditions of the 2022 Plan and the award agreement. On March 30, 2024, reporting person was granted PSUs to vest or lapse on March 30, 2027 based on how the Company's free cash flow ("FCF") for performance period 2024-2026 compared to a target determined by the 2022 Plan Administrator. The number included in column 3 of Table II reflects the target number of PSUs eligible for vesting subject to continued service during the vesting period and the award agreement.</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PSU represents a contingent right to receive one Ordinary Share of the Company in accordance with the terms and conditions of the 2022 Plan and the award agreement. On March 30, 2024, reporting person was granted PSUs to vest or lapse on March 30, 2027 based on how the Company's Return on Investment Capital ("ROIC") calculated for the performance period 2024-2026 compares to a target determined by the 2022 Plan Administrator. The number included in column 3 of Table II reflects the target number of PSUs eligible for vesting subject to continued service during the vesting period and the award agreement.</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PSU represents a contingent right to receive one Ordinary Share of the Company in accordance with the terms and conditions of the 2022 Plan and the award agreement. On March 30, 2024, reporting person was granted PSUs to vest or lapse on March 30, 2027 based on the Company's total shareholder return ("TSR") for the three-year period beginning on January 1, 2024 and ending December 31, 2026 relative to the total shareholder return of a peer group of companies, as determined by the 2022 Plan Administrator. The number included in column 3 of Table II reflects the target number of PSUs eligible for vesting subject to continued service during the vesting period and the award agreement.</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ectPr>
          <w:pgSz w:w="11900" w:h="16838" w:orient="portrait"/>
          <w:cols w:equalWidth="0" w:num="1">
            <w:col w:w="11020"/>
          </w:cols>
          <w:pgMar w:left="440" w:top="202" w:right="439" w:bottom="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 24 - Power of Attorney</w:t>
      </w:r>
    </w:p>
    <w:p>
      <w:pPr>
        <w:sectPr>
          <w:pgSz w:w="11900" w:h="16838" w:orient="portrait"/>
          <w:cols w:equalWidth="0" w:num="1">
            <w:col w:w="11020"/>
          </w:cols>
          <w:pgMar w:left="440" w:top="202" w:right="439" w:bottom="0" w:gutter="0" w:footer="0" w:header="0"/>
          <w:type w:val="continuous"/>
        </w:sectPr>
      </w:pPr>
    </w:p>
    <w:bookmarkStart w:id="1" w:name="page2"/>
    <w:bookmarkEnd w:id="1"/>
    <w:tbl>
      <w:tblPr>
        <w:tblLayout w:type="fixed"/>
        <w:tblInd w:w="6586" w:type="dxa"/>
        <w:tblCellMar>
          <w:top w:w="0" w:type="dxa"/>
          <w:left w:w="0" w:type="dxa"/>
          <w:bottom w:w="0" w:type="dxa"/>
          <w:right w:w="0" w:type="dxa"/>
        </w:tblCellMar>
      </w:tblPr>
      <w:tr>
        <w:trPr>
          <w:trHeight w:val="149"/>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Sarah K. Mohr, Attorney-in-Fact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09/17/2024</w:t>
            </w:r>
          </w:p>
        </w:tc>
      </w:tr>
      <w:tr>
        <w:trPr>
          <w:trHeight w:val="178"/>
        </w:trPr>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bl>
    <w:p>
      <w:pPr>
        <w:spacing w:after="0" w:line="20" w:lineRule="exact"/>
        <w:rPr>
          <w:sz w:val="20"/>
          <w:szCs w:val="20"/>
          <w:color w:val="auto"/>
        </w:rPr>
      </w:pPr>
    </w:p>
    <w:p>
      <w:pPr>
        <w:ind w:left="6"/>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0"/>
          <w:szCs w:val="20"/>
          <w:color w:val="auto"/>
        </w:rPr>
      </w:pPr>
    </w:p>
    <w:p>
      <w:pPr>
        <w:jc w:val="both"/>
        <w:ind w:left="6" w:right="3999" w:hanging="6"/>
        <w:spacing w:after="0" w:line="324" w:lineRule="auto"/>
        <w:tabs>
          <w:tab w:leader="none" w:pos="115"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6"/>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85"/>
          </w:cols>
          <w:pgMar w:left="474" w:top="125"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031281"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2024-09-17T15:10:49Z</dcterms:created>
  <dcterms:modified xsi:type="dcterms:W3CDTF">2024-09-17T15:10:49Z</dcterms:modified>
</cp:coreProperties>
</file>