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59"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99060</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84"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127000</wp:posOffset>
            </wp:positionV>
            <wp:extent cx="1809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263" w:lineRule="exact"/>
        <w:rPr>
          <w:sz w:val="24"/>
          <w:szCs w:val="24"/>
          <w:color w:val="auto"/>
        </w:rPr>
      </w:pPr>
    </w:p>
    <w:p>
      <w:pPr>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240"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Date of Report (Date of earliest event reported): March 29,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314960</wp:posOffset>
            </wp:positionV>
            <wp:extent cx="1475105" cy="471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5105"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LivaNova PLC</w:t>
      </w:r>
    </w:p>
    <w:p>
      <w:pPr>
        <w:spacing w:after="0" w:line="40"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219075</wp:posOffset>
            </wp:positionV>
            <wp:extent cx="18097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tbl>
      <w:tblPr>
        <w:tblLayout w:type="fixed"/>
        <w:tblInd w:w="860" w:type="dxa"/>
        <w:tblCellMar>
          <w:top w:w="0" w:type="dxa"/>
          <w:left w:w="0" w:type="dxa"/>
          <w:bottom w:w="0" w:type="dxa"/>
          <w:right w:w="0" w:type="dxa"/>
        </w:tblCellMar>
      </w:tblPr>
      <w:tr>
        <w:trPr>
          <w:trHeight w:val="207"/>
        </w:trPr>
        <w:tc>
          <w:tcPr>
            <w:tcW w:w="3420" w:type="dxa"/>
            <w:vAlign w:val="bottom"/>
          </w:tcPr>
          <w:p>
            <w:pPr>
              <w:jc w:val="center"/>
              <w:ind w:right="1390"/>
              <w:spacing w:after="0"/>
              <w:rPr>
                <w:sz w:val="20"/>
                <w:szCs w:val="20"/>
                <w:color w:val="auto"/>
              </w:rPr>
            </w:pPr>
            <w:r>
              <w:rPr>
                <w:rFonts w:ascii="Arial" w:cs="Arial" w:eastAsia="Arial" w:hAnsi="Arial"/>
                <w:sz w:val="18"/>
                <w:szCs w:val="18"/>
                <w:b w:val="1"/>
                <w:bCs w:val="1"/>
                <w:color w:val="auto"/>
                <w:w w:val="90"/>
              </w:rPr>
              <w:t>England and Wales</w:t>
            </w: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90"/>
              </w:rPr>
              <w:t>001-37599</w:t>
            </w:r>
          </w:p>
        </w:tc>
        <w:tc>
          <w:tcPr>
            <w:tcW w:w="3100" w:type="dxa"/>
            <w:vAlign w:val="bottom"/>
          </w:tcPr>
          <w:p>
            <w:pPr>
              <w:jc w:val="center"/>
              <w:ind w:left="1690"/>
              <w:spacing w:after="0"/>
              <w:rPr>
                <w:sz w:val="20"/>
                <w:szCs w:val="20"/>
                <w:color w:val="auto"/>
              </w:rPr>
            </w:pPr>
            <w:r>
              <w:rPr>
                <w:rFonts w:ascii="Arial" w:cs="Arial" w:eastAsia="Arial" w:hAnsi="Arial"/>
                <w:sz w:val="18"/>
                <w:szCs w:val="18"/>
                <w:b w:val="1"/>
                <w:bCs w:val="1"/>
                <w:color w:val="auto"/>
                <w:w w:val="91"/>
              </w:rPr>
              <w:t>98-1268150</w:t>
            </w:r>
          </w:p>
        </w:tc>
      </w:tr>
      <w:tr>
        <w:trPr>
          <w:trHeight w:val="203"/>
        </w:trPr>
        <w:tc>
          <w:tcPr>
            <w:tcW w:w="3420" w:type="dxa"/>
            <w:vAlign w:val="bottom"/>
          </w:tcPr>
          <w:p>
            <w:pPr>
              <w:jc w:val="center"/>
              <w:ind w:right="1390"/>
              <w:spacing w:after="0" w:line="202" w:lineRule="exact"/>
              <w:rPr>
                <w:sz w:val="20"/>
                <w:szCs w:val="20"/>
                <w:color w:val="auto"/>
              </w:rPr>
            </w:pPr>
            <w:r>
              <w:rPr>
                <w:rFonts w:ascii="Arial" w:cs="Arial" w:eastAsia="Arial" w:hAnsi="Arial"/>
                <w:sz w:val="18"/>
                <w:szCs w:val="18"/>
                <w:color w:val="auto"/>
                <w:w w:val="90"/>
              </w:rPr>
              <w:t>(State or Other Jurisdiction</w:t>
            </w:r>
          </w:p>
        </w:tc>
        <w:tc>
          <w:tcPr>
            <w:tcW w:w="2860" w:type="dxa"/>
            <w:vAlign w:val="bottom"/>
          </w:tcPr>
          <w:p>
            <w:pPr>
              <w:jc w:val="center"/>
              <w:spacing w:after="0" w:line="202" w:lineRule="exact"/>
              <w:rPr>
                <w:sz w:val="20"/>
                <w:szCs w:val="20"/>
                <w:color w:val="auto"/>
              </w:rPr>
            </w:pPr>
            <w:r>
              <w:rPr>
                <w:rFonts w:ascii="Arial" w:cs="Arial" w:eastAsia="Arial" w:hAnsi="Arial"/>
                <w:sz w:val="18"/>
                <w:szCs w:val="18"/>
                <w:color w:val="auto"/>
                <w:w w:val="93"/>
              </w:rPr>
              <w:t>(Commission</w:t>
            </w:r>
          </w:p>
        </w:tc>
        <w:tc>
          <w:tcPr>
            <w:tcW w:w="3100" w:type="dxa"/>
            <w:vAlign w:val="bottom"/>
          </w:tcPr>
          <w:p>
            <w:pPr>
              <w:jc w:val="center"/>
              <w:ind w:left="1670"/>
              <w:spacing w:after="0" w:line="202" w:lineRule="exact"/>
              <w:rPr>
                <w:sz w:val="20"/>
                <w:szCs w:val="20"/>
                <w:color w:val="auto"/>
              </w:rPr>
            </w:pPr>
            <w:r>
              <w:rPr>
                <w:rFonts w:ascii="Arial" w:cs="Arial" w:eastAsia="Arial" w:hAnsi="Arial"/>
                <w:sz w:val="18"/>
                <w:szCs w:val="18"/>
                <w:color w:val="auto"/>
                <w:w w:val="93"/>
              </w:rPr>
              <w:t>(IRS Employer</w:t>
            </w:r>
          </w:p>
        </w:tc>
      </w:tr>
      <w:tr>
        <w:trPr>
          <w:trHeight w:val="230"/>
        </w:trPr>
        <w:tc>
          <w:tcPr>
            <w:tcW w:w="3420" w:type="dxa"/>
            <w:vAlign w:val="bottom"/>
          </w:tcPr>
          <w:p>
            <w:pPr>
              <w:jc w:val="center"/>
              <w:ind w:right="1330"/>
              <w:spacing w:after="0"/>
              <w:rPr>
                <w:sz w:val="20"/>
                <w:szCs w:val="20"/>
                <w:color w:val="auto"/>
              </w:rPr>
            </w:pPr>
            <w:r>
              <w:rPr>
                <w:rFonts w:ascii="Arial" w:cs="Arial" w:eastAsia="Arial" w:hAnsi="Arial"/>
                <w:sz w:val="18"/>
                <w:szCs w:val="18"/>
                <w:color w:val="auto"/>
                <w:w w:val="94"/>
              </w:rPr>
              <w:t>of Incorporation)</w:t>
            </w:r>
          </w:p>
        </w:tc>
        <w:tc>
          <w:tcPr>
            <w:tcW w:w="2860" w:type="dxa"/>
            <w:vAlign w:val="bottom"/>
          </w:tcPr>
          <w:p>
            <w:pPr>
              <w:jc w:val="center"/>
              <w:spacing w:after="0"/>
              <w:rPr>
                <w:sz w:val="20"/>
                <w:szCs w:val="20"/>
                <w:color w:val="auto"/>
              </w:rPr>
            </w:pPr>
            <w:r>
              <w:rPr>
                <w:rFonts w:ascii="Arial" w:cs="Arial" w:eastAsia="Arial" w:hAnsi="Arial"/>
                <w:sz w:val="18"/>
                <w:szCs w:val="18"/>
                <w:color w:val="auto"/>
                <w:w w:val="94"/>
              </w:rPr>
              <w:t>File Number)</w:t>
            </w:r>
          </w:p>
        </w:tc>
        <w:tc>
          <w:tcPr>
            <w:tcW w:w="3100" w:type="dxa"/>
            <w:vAlign w:val="bottom"/>
          </w:tcPr>
          <w:p>
            <w:pPr>
              <w:jc w:val="center"/>
              <w:ind w:left="1670"/>
              <w:spacing w:after="0"/>
              <w:rPr>
                <w:sz w:val="20"/>
                <w:szCs w:val="20"/>
                <w:color w:val="auto"/>
              </w:rPr>
            </w:pPr>
            <w:r>
              <w:rPr>
                <w:rFonts w:ascii="Arial" w:cs="Arial" w:eastAsia="Arial" w:hAnsi="Arial"/>
                <w:sz w:val="18"/>
                <w:szCs w:val="18"/>
                <w:color w:val="auto"/>
                <w:w w:val="95"/>
              </w:rPr>
              <w:t>Identification No.)</w:t>
            </w:r>
          </w:p>
        </w:tc>
      </w:tr>
      <w:tr>
        <w:trPr>
          <w:trHeight w:val="304"/>
        </w:trPr>
        <w:tc>
          <w:tcPr>
            <w:tcW w:w="34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100" w:type="dxa"/>
            <w:vAlign w:val="bottom"/>
          </w:tcPr>
          <w:p>
            <w:pPr>
              <w:spacing w:after="0"/>
              <w:rPr>
                <w:sz w:val="24"/>
                <w:szCs w:val="24"/>
                <w:color w:val="auto"/>
              </w:rPr>
            </w:pPr>
          </w:p>
        </w:tc>
      </w:tr>
    </w:tbl>
    <w:p>
      <w:pPr>
        <w:spacing w:after="0" w:line="200" w:lineRule="exact"/>
        <w:rPr>
          <w:sz w:val="24"/>
          <w:szCs w:val="24"/>
          <w:color w:val="auto"/>
        </w:rPr>
      </w:pPr>
    </w:p>
    <w:p>
      <w:pPr>
        <w:spacing w:after="0" w:line="335"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20 Eastbourne Terrace</w:t>
      </w:r>
    </w:p>
    <w:p>
      <w:pPr>
        <w:spacing w:after="0" w:line="11"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London, W2 6LG</w:t>
      </w:r>
    </w:p>
    <w:p>
      <w:pPr>
        <w:jc w:val="center"/>
        <w:ind w:right="-659"/>
        <w:spacing w:after="0" w:line="234" w:lineRule="auto"/>
        <w:rPr>
          <w:sz w:val="20"/>
          <w:szCs w:val="20"/>
          <w:color w:val="auto"/>
        </w:rPr>
      </w:pPr>
      <w:r>
        <w:rPr>
          <w:rFonts w:ascii="Arial" w:cs="Arial" w:eastAsia="Arial" w:hAnsi="Arial"/>
          <w:sz w:val="18"/>
          <w:szCs w:val="18"/>
          <w:b w:val="1"/>
          <w:bCs w:val="1"/>
          <w:color w:val="auto"/>
        </w:rPr>
        <w:t>United Kingdom</w:t>
      </w:r>
    </w:p>
    <w:p>
      <w:pPr>
        <w:spacing w:after="0" w:line="1"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(Address of Principal Executive Offices)</w:t>
      </w:r>
    </w:p>
    <w:p>
      <w:pPr>
        <w:spacing w:after="0" w:line="178"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(44) 203 325 0660</w:t>
      </w:r>
    </w:p>
    <w:p>
      <w:pPr>
        <w:spacing w:after="0" w:line="16"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N/A</w:t>
      </w:r>
    </w:p>
    <w:p>
      <w:pPr>
        <w:spacing w:after="0" w:line="16"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64770</wp:posOffset>
            </wp:positionV>
            <wp:extent cx="18097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ind w:firstLine="648"/>
        <w:spacing w:after="0" w:line="262"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69"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795020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936" w:right="899" w:bottom="1440" w:gutter="0" w:footer="0" w:header="0"/>
        </w:sectPr>
      </w:pPr>
    </w:p>
    <w:bookmarkStart w:id="1" w:name="page2"/>
    <w:bookmarkEnd w:id="1"/>
    <w:p>
      <w:pPr>
        <w:ind w:right="520"/>
        <w:spacing w:after="0" w:line="329" w:lineRule="auto"/>
        <w:rPr>
          <w:sz w:val="20"/>
          <w:szCs w:val="20"/>
          <w:color w:val="auto"/>
        </w:rPr>
      </w:pPr>
      <w:r>
        <w:rPr>
          <w:rFonts w:ascii="Arial" w:cs="Arial" w:eastAsia="Arial" w:hAnsi="Arial"/>
          <w:sz w:val="18"/>
          <w:szCs w:val="18"/>
          <w:b w:val="1"/>
          <w:bCs w:val="1"/>
          <w:u w:val="single" w:color="auto"/>
          <w:color w:val="auto"/>
        </w:rPr>
        <w:t>Item 5.02 Departure of Directors or Certain Officers; Election of Directors; Appointment of Certain Officers; Compensatory Arrangements of Certain Officers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Departure of Chief Financial Officer</w:t>
      </w:r>
    </w:p>
    <w:p>
      <w:pPr>
        <w:spacing w:after="0" w:line="19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On March 29, 2017, Vivid Sehgal resigned his position as Chief Financial Officer of LivaNova Plc ("LivaNova"), effective on May 31, 2017, to pursue other opportunities. LivaNova has commenced a search for Mr. Sehgal's successor. Mr. Sehgal will make himself available after May 31, 2017, if needed, to support the transition of his responsibilities to his successor.</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On March 30, 2017, the Compensation Committee of LivaNova's Board of Directors approved the following compensation in connection with Mr. Sehgal's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separation in exchange for a release of claims and his cooperation with the transition of his responsibilities: (i) four months of base salary, or £106,667</w:t>
      </w:r>
    </w:p>
    <w:p>
      <w:pPr>
        <w:spacing w:after="0" w:line="182" w:lineRule="auto"/>
        <w:rPr>
          <w:sz w:val="20"/>
          <w:szCs w:val="20"/>
          <w:color w:val="auto"/>
        </w:rPr>
      </w:pPr>
      <w:r>
        <w:rPr>
          <w:rFonts w:ascii="Arial" w:cs="Arial" w:eastAsia="Arial" w:hAnsi="Arial"/>
          <w:sz w:val="15"/>
          <w:szCs w:val="15"/>
          <w:color w:val="auto"/>
        </w:rPr>
        <w:t>($133,754)</w:t>
      </w:r>
      <w:r>
        <w:rPr>
          <w:rFonts w:ascii="Arial" w:cs="Arial" w:eastAsia="Arial" w:hAnsi="Arial"/>
          <w:sz w:val="24"/>
          <w:szCs w:val="24"/>
          <w:color w:val="auto"/>
          <w:vertAlign w:val="superscript"/>
        </w:rPr>
        <w:t>1</w:t>
      </w:r>
      <w:r>
        <w:rPr>
          <w:rFonts w:ascii="Arial" w:cs="Arial" w:eastAsia="Arial" w:hAnsi="Arial"/>
          <w:sz w:val="15"/>
          <w:szCs w:val="15"/>
          <w:color w:val="auto"/>
        </w:rPr>
        <w:t>; (ii) four months of supplemental pension contribution, or £28,000 ($35,110); (iii) four months of car allowance, or £4,400 ($5,517); (iv) five</w:t>
      </w:r>
    </w:p>
    <w:p>
      <w:pPr>
        <w:spacing w:after="0"/>
        <w:rPr>
          <w:sz w:val="20"/>
          <w:szCs w:val="20"/>
          <w:color w:val="auto"/>
        </w:rPr>
      </w:pPr>
      <w:r>
        <w:rPr>
          <w:rFonts w:ascii="Arial" w:cs="Arial" w:eastAsia="Arial" w:hAnsi="Arial"/>
          <w:sz w:val="16"/>
          <w:szCs w:val="16"/>
          <w:color w:val="auto"/>
        </w:rPr>
        <w:t>months of his 2017 target bonus, or £100,000 ($125,394); (v) seven months of supplemental health insurance coverage (through December 31, 2017) for him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and his family, or approximately £42,000 ($52,666); (vi) legal fees for his solicitor not to exceed £10,000 ($12,539); and (vii) accelerated vesting of 5,208</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service-based restricted stock units that otherwise would have vested in March 2018. In addition, Mr. Sehgal will be entitled to payment of his bonus for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2016 in the amount of £192,000 ($240,756).</w:t>
      </w:r>
    </w:p>
    <w:p>
      <w:pPr>
        <w:spacing w:after="0" w:line="192"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b w:val="1"/>
          <w:bCs w:val="1"/>
          <w:u w:val="single" w:color="auto"/>
          <w:color w:val="auto"/>
        </w:rPr>
        <w:t>Item 7.01</w:t>
      </w:r>
      <w:r>
        <w:rPr>
          <w:sz w:val="20"/>
          <w:szCs w:val="20"/>
          <w:color w:val="auto"/>
        </w:rPr>
        <w:tab/>
      </w:r>
      <w:r>
        <w:rPr>
          <w:rFonts w:ascii="Arial" w:cs="Arial" w:eastAsia="Arial" w:hAnsi="Arial"/>
          <w:sz w:val="16"/>
          <w:szCs w:val="16"/>
          <w:b w:val="1"/>
          <w:bCs w:val="1"/>
          <w:u w:val="single" w:color="auto"/>
          <w:color w:val="auto"/>
        </w:rPr>
        <w:t>Regulation FD Disclosure.</w:t>
      </w:r>
    </w:p>
    <w:p>
      <w:pPr>
        <w:spacing w:after="0" w:line="24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On March 31, 2017, LivaNova issued a press release announcing the management change described in Item 5.02(b) of this Current Report on Form 8-K. A copy of the press release is attached hereto as Exhibit 99.1.</w:t>
      </w:r>
    </w:p>
    <w:p>
      <w:pPr>
        <w:spacing w:after="0" w:line="14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information in this item, including Exhibit 99.1, shall not be deemed to be filed for purposes of Section 18 of the Exchange Act, nor shall it be deemed incorporated by reference into any filing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760095</wp:posOffset>
            </wp:positionV>
            <wp:extent cx="16465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8"/>
        <w:spacing w:after="0" w:line="188" w:lineRule="auto"/>
        <w:tabs>
          <w:tab w:leader="none" w:pos="12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Amounts payable in British Pounds are converted to U.S. Dollars based on the average selling price for British Pounds for the 24-hour period ending March 28, 2017 at 22:00 UTC ($1.25394) as published by OANDA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1100" w:type="dxa"/>
            <w:vAlign w:val="bottom"/>
          </w:tcPr>
          <w:p>
            <w:pPr>
              <w:spacing w:after="0"/>
              <w:rPr>
                <w:sz w:val="17"/>
                <w:szCs w:val="17"/>
                <w:color w:val="auto"/>
              </w:rPr>
            </w:pPr>
          </w:p>
        </w:tc>
        <w:tc>
          <w:tcPr>
            <w:tcW w:w="9400" w:type="dxa"/>
            <w:vAlign w:val="bottom"/>
            <w:gridSpan w:val="4"/>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20"/>
        </w:trPr>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480"/>
        </w:trPr>
        <w:tc>
          <w:tcPr>
            <w:tcW w:w="920" w:type="dxa"/>
            <w:vAlign w:val="bottom"/>
            <w:gridSpan w:val="3"/>
          </w:tcPr>
          <w:p>
            <w:pPr>
              <w:spacing w:after="0"/>
              <w:rPr>
                <w:sz w:val="20"/>
                <w:szCs w:val="20"/>
                <w:color w:val="auto"/>
              </w:rPr>
            </w:pPr>
            <w:r>
              <w:rPr>
                <w:rFonts w:ascii="Arial" w:cs="Arial" w:eastAsia="Arial" w:hAnsi="Arial"/>
                <w:sz w:val="18"/>
                <w:szCs w:val="18"/>
                <w:color w:val="auto"/>
                <w:w w:val="99"/>
              </w:rPr>
              <w:t>(d) Exhibits</w:t>
            </w: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760" w:type="dxa"/>
            <w:vAlign w:val="bottom"/>
          </w:tcPr>
          <w:p>
            <w:pPr>
              <w:spacing w:after="0"/>
              <w:rPr>
                <w:sz w:val="24"/>
                <w:szCs w:val="24"/>
                <w:color w:val="auto"/>
              </w:rPr>
            </w:pPr>
          </w:p>
        </w:tc>
      </w:tr>
      <w:tr>
        <w:trPr>
          <w:trHeight w:val="365"/>
        </w:trPr>
        <w:tc>
          <w:tcPr>
            <w:tcW w:w="540" w:type="dxa"/>
            <w:vAlign w:val="bottom"/>
          </w:tcPr>
          <w:p>
            <w:pPr>
              <w:spacing w:after="0"/>
              <w:rPr>
                <w:sz w:val="20"/>
                <w:szCs w:val="20"/>
                <w:color w:val="auto"/>
              </w:rPr>
            </w:pPr>
            <w:r>
              <w:rPr>
                <w:rFonts w:ascii="Arial" w:cs="Arial" w:eastAsia="Arial" w:hAnsi="Arial"/>
                <w:sz w:val="18"/>
                <w:szCs w:val="18"/>
                <w:color w:val="auto"/>
                <w:w w:val="96"/>
              </w:rPr>
              <w:t>Exhibit</w:t>
            </w:r>
          </w:p>
        </w:tc>
        <w:tc>
          <w:tcPr>
            <w:tcW w:w="380" w:type="dxa"/>
            <w:vAlign w:val="bottom"/>
            <w:gridSpan w:val="2"/>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40" w:type="dxa"/>
            <w:vAlign w:val="bottom"/>
            <w:gridSpan w:val="3"/>
          </w:tcPr>
          <w:p>
            <w:pPr>
              <w:jc w:val="center"/>
              <w:ind w:right="8100"/>
              <w:spacing w:after="0"/>
              <w:rPr>
                <w:sz w:val="20"/>
                <w:szCs w:val="20"/>
                <w:color w:val="auto"/>
              </w:rPr>
            </w:pPr>
            <w:r>
              <w:rPr>
                <w:rFonts w:ascii="Arial" w:cs="Arial" w:eastAsia="Arial" w:hAnsi="Arial"/>
                <w:sz w:val="18"/>
                <w:szCs w:val="18"/>
                <w:color w:val="auto"/>
                <w:w w:val="93"/>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100" w:type="dxa"/>
            <w:vAlign w:val="bottom"/>
            <w:gridSpan w:val="2"/>
          </w:tcPr>
          <w:p>
            <w:pPr>
              <w:spacing w:after="0" w:line="20" w:lineRule="exact"/>
              <w:rPr>
                <w:sz w:val="1"/>
                <w:szCs w:val="1"/>
                <w:color w:val="auto"/>
              </w:rPr>
            </w:pPr>
          </w:p>
        </w:tc>
      </w:tr>
      <w:tr>
        <w:trPr>
          <w:trHeight w:val="480"/>
        </w:trPr>
        <w:tc>
          <w:tcPr>
            <w:tcW w:w="540" w:type="dxa"/>
            <w:vAlign w:val="bottom"/>
          </w:tcPr>
          <w:p>
            <w:pPr>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500" w:type="dxa"/>
            <w:vAlign w:val="bottom"/>
            <w:gridSpan w:val="5"/>
          </w:tcPr>
          <w:p>
            <w:pPr>
              <w:jc w:val="center"/>
              <w:ind w:right="6520"/>
              <w:spacing w:after="0"/>
              <w:rPr>
                <w:sz w:val="20"/>
                <w:szCs w:val="20"/>
                <w:color w:val="auto"/>
              </w:rPr>
            </w:pPr>
            <w:r>
              <w:rPr>
                <w:rFonts w:ascii="Arial" w:cs="Arial" w:eastAsia="Arial" w:hAnsi="Arial"/>
                <w:sz w:val="18"/>
                <w:szCs w:val="18"/>
                <w:color w:val="auto"/>
                <w:w w:val="90"/>
              </w:rPr>
              <w:t>Press Release of LivaNova Plc dated March 31, 2017.</w:t>
            </w:r>
          </w:p>
        </w:tc>
      </w:tr>
      <w:tr>
        <w:trPr>
          <w:trHeight w:val="588"/>
        </w:trPr>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43"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41"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 March 31, 2017</w:t>
      </w:r>
      <w:r>
        <w:rPr>
          <w:sz w:val="20"/>
          <w:szCs w:val="20"/>
          <w:color w:val="auto"/>
        </w:rPr>
        <w:tab/>
      </w:r>
      <w:r>
        <w:rPr>
          <w:rFonts w:ascii="Arial" w:cs="Arial" w:eastAsia="Arial" w:hAnsi="Arial"/>
          <w:sz w:val="16"/>
          <w:szCs w:val="16"/>
          <w:color w:val="auto"/>
        </w:rPr>
        <w:t>By:/s/ Catherine Moroz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3815080</wp:posOffset>
            </wp:positionH>
            <wp:positionV relativeFrom="paragraph">
              <wp:posOffset>-10160</wp:posOffset>
            </wp:positionV>
            <wp:extent cx="15716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7162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Catherine Moroz</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00"/>
          </w:cols>
          <w:pgMar w:left="240" w:top="121" w:right="6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960" w:type="dxa"/>
            <w:vAlign w:val="bottom"/>
          </w:tcPr>
          <w:p>
            <w:pPr>
              <w:ind w:left="256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60" w:type="dxa"/>
            <w:vAlign w:val="bottom"/>
          </w:tcPr>
          <w:p>
            <w:pPr>
              <w:spacing w:after="0"/>
              <w:rPr>
                <w:sz w:val="24"/>
                <w:szCs w:val="24"/>
                <w:color w:val="auto"/>
              </w:rPr>
            </w:pPr>
          </w:p>
        </w:tc>
        <w:tc>
          <w:tcPr>
            <w:tcW w:w="5100" w:type="dxa"/>
            <w:vAlign w:val="bottom"/>
            <w:gridSpan w:val="3"/>
          </w:tcPr>
          <w:p>
            <w:pPr>
              <w:ind w:left="26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439"/>
        </w:trPr>
        <w:tc>
          <w:tcPr>
            <w:tcW w:w="880" w:type="dxa"/>
            <w:vAlign w:val="bottom"/>
          </w:tcPr>
          <w:p>
            <w:pPr>
              <w:jc w:val="right"/>
              <w:ind w:right="19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5100" w:type="dxa"/>
            <w:vAlign w:val="bottom"/>
            <w:gridSpan w:val="3"/>
          </w:tcPr>
          <w:p>
            <w:pPr>
              <w:ind w:left="260"/>
              <w:spacing w:after="0"/>
              <w:rPr>
                <w:sz w:val="20"/>
                <w:szCs w:val="20"/>
                <w:color w:val="auto"/>
              </w:rPr>
            </w:pPr>
            <w:r>
              <w:rPr>
                <w:rFonts w:ascii="Arial" w:cs="Arial" w:eastAsia="Arial" w:hAnsi="Arial"/>
                <w:sz w:val="18"/>
                <w:szCs w:val="18"/>
                <w:color w:val="auto"/>
              </w:rPr>
              <w:t>Press Release of LivaNova Plc dated March 31, 2017.</w:t>
            </w:r>
          </w:p>
        </w:tc>
      </w:tr>
    </w:tbl>
    <w:p>
      <w:pPr>
        <w:sectPr>
          <w:pgSz w:w="11900" w:h="16838" w:orient="portrait"/>
          <w:cols w:equalWidth="0" w:num="1">
            <w:col w:w="10039"/>
          </w:cols>
          <w:pgMar w:left="420" w:top="121"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44040"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440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FF5C39"/>
        </w:rPr>
        <w:t>NEWS RELEASE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F5C39"/>
        </w:rPr>
        <w:t>LivaNova PLC Announces Chief Financial Officer Resignation</w:t>
      </w:r>
    </w:p>
    <w:p>
      <w:pPr>
        <w:spacing w:after="0" w:line="244" w:lineRule="exact"/>
        <w:rPr>
          <w:sz w:val="20"/>
          <w:szCs w:val="20"/>
          <w:color w:val="auto"/>
        </w:rPr>
      </w:pPr>
    </w:p>
    <w:p>
      <w:pPr>
        <w:jc w:val="both"/>
        <w:spacing w:after="0" w:line="438" w:lineRule="auto"/>
        <w:rPr>
          <w:sz w:val="20"/>
          <w:szCs w:val="20"/>
          <w:color w:val="auto"/>
        </w:rPr>
      </w:pPr>
      <w:r>
        <w:rPr>
          <w:rFonts w:ascii="Arial" w:cs="Arial" w:eastAsia="Arial" w:hAnsi="Arial"/>
          <w:sz w:val="17"/>
          <w:szCs w:val="17"/>
          <w:b w:val="1"/>
          <w:bCs w:val="1"/>
          <w:color w:val="auto"/>
        </w:rPr>
        <w:t xml:space="preserve">London, March 31, 2017 – </w:t>
      </w:r>
      <w:r>
        <w:rPr>
          <w:rFonts w:ascii="Arial" w:cs="Arial" w:eastAsia="Arial" w:hAnsi="Arial"/>
          <w:sz w:val="17"/>
          <w:szCs w:val="17"/>
          <w:color w:val="auto"/>
        </w:rPr>
        <w:t>LivaNova PLC (NASDAQ:LIVN; LSE: LIVN) ("LivaNova" or the "Company"), a market-leading medical technology and</w:t>
      </w:r>
      <w:r>
        <w:rPr>
          <w:rFonts w:ascii="Arial" w:cs="Arial" w:eastAsia="Arial" w:hAnsi="Arial"/>
          <w:sz w:val="17"/>
          <w:szCs w:val="17"/>
          <w:b w:val="1"/>
          <w:bCs w:val="1"/>
          <w:color w:val="auto"/>
        </w:rPr>
        <w:t xml:space="preserve"> </w:t>
      </w:r>
      <w:r>
        <w:rPr>
          <w:rFonts w:ascii="Arial" w:cs="Arial" w:eastAsia="Arial" w:hAnsi="Arial"/>
          <w:sz w:val="17"/>
          <w:szCs w:val="17"/>
          <w:color w:val="auto"/>
        </w:rPr>
        <w:t>innovation company, today announced its Chief Financial Officer, Vivid Sehgal, is leaving the company to pursue other opportunities. The company has an external search underway to identify a replacement. Sehgal will continue as CFO and will support an orderly transition to his successor.</w:t>
      </w:r>
    </w:p>
    <w:p>
      <w:pPr>
        <w:spacing w:after="0" w:line="163" w:lineRule="exact"/>
        <w:rPr>
          <w:sz w:val="20"/>
          <w:szCs w:val="20"/>
          <w:color w:val="auto"/>
        </w:rPr>
      </w:pPr>
    </w:p>
    <w:p>
      <w:pPr>
        <w:jc w:val="both"/>
        <w:spacing w:after="0" w:line="400" w:lineRule="auto"/>
        <w:rPr>
          <w:sz w:val="20"/>
          <w:szCs w:val="20"/>
          <w:color w:val="auto"/>
        </w:rPr>
      </w:pPr>
      <w:r>
        <w:rPr>
          <w:rFonts w:ascii="Arial" w:cs="Arial" w:eastAsia="Arial" w:hAnsi="Arial"/>
          <w:sz w:val="18"/>
          <w:szCs w:val="18"/>
          <w:color w:val="auto"/>
        </w:rPr>
        <w:t>"Vivid has been the company's CFO since its inception in October 2015 and has been an integral part of our Executive Leadership team," said Damien McDonald, LivaNova's Chief Executive Officer. "His leadership, insights and guidance have been instrumental in building a strong team, while establishing financial disciplines across the portfolio. His presence, knowledge and leadership will be important through the transition period. We wish to thank him for his many contributions in helping to position the company for sustainable growth."</w:t>
      </w:r>
    </w:p>
    <w:p>
      <w:pPr>
        <w:spacing w:after="0" w:line="187" w:lineRule="exact"/>
        <w:rPr>
          <w:sz w:val="20"/>
          <w:szCs w:val="20"/>
          <w:color w:val="auto"/>
        </w:rPr>
      </w:pPr>
    </w:p>
    <w:p>
      <w:pPr>
        <w:jc w:val="both"/>
        <w:spacing w:after="0" w:line="400" w:lineRule="auto"/>
        <w:rPr>
          <w:sz w:val="20"/>
          <w:szCs w:val="20"/>
          <w:color w:val="auto"/>
        </w:rPr>
      </w:pPr>
      <w:r>
        <w:rPr>
          <w:rFonts w:ascii="Arial" w:cs="Arial" w:eastAsia="Arial" w:hAnsi="Arial"/>
          <w:sz w:val="18"/>
          <w:szCs w:val="18"/>
          <w:color w:val="auto"/>
        </w:rPr>
        <w:t>"I have a number of things I wish to do, not the least of which will be spending more time with family and pursuing personal interests," said Vivid Sehgal, LivaNova's CFO. "I am very proud of what we have accomplished for our employees and shareowners in a short time as a new public company. We made progress in critical areas, including achieving merger-related synergies, restructuring, capital formation, cost controls and building a sustainable tax strategy. I remain fully committed to helping Damien and the LivaNova team with this important transition."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FF5C39"/>
        </w:rPr>
        <w:t>About LivaNova</w:t>
      </w:r>
    </w:p>
    <w:p>
      <w:pPr>
        <w:spacing w:after="0" w:line="239" w:lineRule="exact"/>
        <w:rPr>
          <w:sz w:val="20"/>
          <w:szCs w:val="20"/>
          <w:color w:val="auto"/>
        </w:rPr>
      </w:pPr>
    </w:p>
    <w:p>
      <w:pPr>
        <w:jc w:val="both"/>
        <w:spacing w:after="0" w:line="425" w:lineRule="auto"/>
        <w:rPr>
          <w:sz w:val="20"/>
          <w:szCs w:val="20"/>
          <w:color w:val="auto"/>
        </w:rPr>
      </w:pPr>
      <w:r>
        <w:rPr>
          <w:rFonts w:ascii="Arial" w:cs="Arial" w:eastAsia="Arial" w:hAnsi="Arial"/>
          <w:sz w:val="17"/>
          <w:szCs w:val="17"/>
          <w:color w:val="auto"/>
        </w:rPr>
        <w:t>LivaNova PLC is a global medical technology company built on nearly five decades of experience and a relentless commitment to improve the lives of patients around the world. LivaNova's advanced technologies and breakthrough treatments provide meaningful solutions for the benefit of patients, healthcare professionals and healthcare systems. Headquartered in London and with a presence in more than 100 countries worldwide, the company employs more than 4,500 employees. LivaNova operates as three business franchises: Cardiac Surgery, Neuromodulation and Cardiac Rhythm Management, with operating headquarters in Mirandola (Italy), Houston (U.S.A.) and Clamart (France),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please visit www.LivaNova.com</w:t>
      </w:r>
      <w:r>
        <w:rPr>
          <w:rFonts w:ascii="Arial" w:cs="Arial" w:eastAsia="Arial" w:hAnsi="Arial"/>
          <w:sz w:val="18"/>
          <w:szCs w:val="18"/>
          <w:b w:val="1"/>
          <w:bCs w:val="1"/>
          <w:u w:val="single" w:color="auto"/>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LivaNova PLC Investor Relations and Media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Karen King, </w:t>
      </w:r>
      <w:r>
        <w:rPr>
          <w:rFonts w:ascii="Arial" w:cs="Arial" w:eastAsia="Arial" w:hAnsi="Arial"/>
          <w:sz w:val="18"/>
          <w:szCs w:val="18"/>
          <w:color w:val="auto"/>
        </w:rPr>
        <w:t>+1 (281) 228-7262</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 &amp; Corporate Communications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Deanna Wilke, </w:t>
      </w:r>
      <w:r>
        <w:rPr>
          <w:rFonts w:ascii="Arial" w:cs="Arial" w:eastAsia="Arial" w:hAnsi="Arial"/>
          <w:sz w:val="18"/>
          <w:szCs w:val="18"/>
          <w:color w:val="auto"/>
        </w:rPr>
        <w:t>+1 (281) 727-2764</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Corporate External Communications Manager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0000FF"/>
        </w:rPr>
        <w:t>Corporate.Communications@LivaNova.com</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2019-12-08T02:46:51Z</dcterms:created>
  <dcterms:modified xsi:type="dcterms:W3CDTF">2019-12-08T02:46:51Z</dcterms:modified>
</cp:coreProperties>
</file>