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5327650</wp:posOffset>
            </wp:positionH>
            <wp:positionV relativeFrom="paragraph">
              <wp:posOffset>-612140</wp:posOffset>
            </wp:positionV>
            <wp:extent cx="825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77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-620395</wp:posOffset>
            </wp:positionV>
            <wp:extent cx="8255"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103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-595630</wp:posOffset>
            </wp:positionV>
            <wp:extent cx="1267460" cy="571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7150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6585" cy="163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6585" cy="16319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Shvartsburg Alex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53"/>
        <w:spacing w:after="0"/>
        <w:rPr>
          <w:sz w:val="20"/>
          <w:szCs w:val="20"/>
          <w:color w:val="auto"/>
        </w:rPr>
      </w:pPr>
      <w:r>
        <w:rPr>
          <w:rFonts w:ascii="Arial" w:cs="Arial" w:eastAsia="Arial" w:hAnsi="Arial"/>
          <w:sz w:val="17"/>
          <w:szCs w:val="17"/>
          <w:color w:val="0000FF"/>
        </w:rPr>
        <w:t>Interim CFO</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154305</wp:posOffset>
            </wp:positionV>
            <wp:extent cx="6966585" cy="131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6585" cy="1316990"/>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180" w:space="72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391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2,279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184</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76.76</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2,095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391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240"/>
              <w:spacing w:after="0"/>
              <w:rPr>
                <w:sz w:val="20"/>
                <w:szCs w:val="20"/>
                <w:color w:val="auto"/>
              </w:rPr>
            </w:pPr>
            <w:r>
              <w:rPr>
                <w:rFonts w:ascii="Arial" w:cs="Arial" w:eastAsia="Arial" w:hAnsi="Arial"/>
                <w:sz w:val="26"/>
                <w:szCs w:val="26"/>
                <w:color w:val="0000FF"/>
                <w:w w:val="80"/>
                <w:vertAlign w:val="subscript"/>
              </w:rPr>
              <w:t>390</w:t>
            </w:r>
            <w:r>
              <w:rPr>
                <w:rFonts w:ascii="Arial" w:cs="Arial" w:eastAsia="Arial" w:hAnsi="Arial"/>
                <w:sz w:val="11"/>
                <w:szCs w:val="11"/>
                <w:color w:val="008000"/>
                <w:w w:val="8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391</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-2069465</wp:posOffset>
            </wp:positionV>
            <wp:extent cx="7033260" cy="2112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1264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26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on March 15, 2018, subject to a four-year vesting schedule, which began on March 15, 2019.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03/17/2021</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9"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w:t>
      </w:r>
      <w:r>
        <w:rPr>
          <w:rFonts w:ascii="Arial" w:cs="Arial" w:eastAsia="Arial" w:hAnsi="Arial"/>
          <w:sz w:val="17"/>
          <w:szCs w:val="17"/>
          <w:u w:val="single" w:color="auto"/>
          <w:color w:val="auto"/>
        </w:rPr>
        <w:t>28th</w:t>
      </w:r>
      <w:r>
        <w:rPr>
          <w:rFonts w:ascii="Arial" w:cs="Arial" w:eastAsia="Arial" w:hAnsi="Arial"/>
          <w:sz w:val="17"/>
          <w:szCs w:val="17"/>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360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083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2021-03-17T15:14:50Z</dcterms:created>
  <dcterms:modified xsi:type="dcterms:W3CDTF">2021-03-17T15:14:50Z</dcterms:modified>
</cp:coreProperties>
</file>