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ind w:left="3980"/>
        <w:spacing w:after="0" w:line="193" w:lineRule="auto"/>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80"/>
        <w:spacing w:after="0" w:line="207"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5120"/>
        <w:spacing w:after="0"/>
        <w:rPr>
          <w:sz w:val="20"/>
          <w:szCs w:val="20"/>
          <w:color w:val="auto"/>
        </w:rPr>
      </w:pPr>
      <w:r>
        <w:rPr>
          <w:rFonts w:ascii="Times New Roman" w:cs="Times New Roman" w:eastAsia="Times New Roman" w:hAnsi="Times New Roman"/>
          <w:sz w:val="8"/>
          <w:szCs w:val="8"/>
          <w:color w:val="auto"/>
        </w:rPr>
        <w:t>_________________________</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(Mark One)</w:t>
      </w:r>
    </w:p>
    <w:p>
      <w:pPr>
        <w:spacing w:after="0" w:line="16" w:lineRule="exact"/>
        <w:rPr>
          <w:sz w:val="24"/>
          <w:szCs w:val="24"/>
          <w:color w:val="auto"/>
        </w:rPr>
      </w:pPr>
    </w:p>
    <w:p>
      <w:pPr>
        <w:jc w:val="center"/>
        <w:ind w:left="4480" w:right="2400" w:hanging="2148"/>
        <w:spacing w:after="0" w:line="255" w:lineRule="auto"/>
        <w:tabs>
          <w:tab w:leader="none" w:pos="2484" w:val="left"/>
        </w:tabs>
        <w:numPr>
          <w:ilvl w:val="1"/>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QUARTERLY REPORT PURSUANT TO SECTION 13 OR 15(d) OF THE SECURITIES EXCHANGE ACT OF 1934 </w:t>
      </w:r>
      <w:r>
        <w:rPr>
          <w:rFonts w:ascii="Times New Roman" w:cs="Times New Roman" w:eastAsia="Times New Roman" w:hAnsi="Times New Roman"/>
          <w:sz w:val="13"/>
          <w:szCs w:val="13"/>
          <w:color w:val="auto"/>
        </w:rPr>
        <w:t>For the quarterly period ended: June 30, 2022</w:t>
      </w:r>
    </w:p>
    <w:p>
      <w:pPr>
        <w:ind w:left="558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or</w:t>
      </w:r>
    </w:p>
    <w:p>
      <w:pPr>
        <w:spacing w:after="0" w:line="9" w:lineRule="exact"/>
        <w:rPr>
          <w:rFonts w:ascii="MS PGothic" w:cs="MS PGothic" w:eastAsia="MS PGothic" w:hAnsi="MS PGothic"/>
          <w:sz w:val="13"/>
          <w:szCs w:val="13"/>
          <w:color w:val="auto"/>
        </w:rPr>
      </w:pPr>
    </w:p>
    <w:p>
      <w:pPr>
        <w:ind w:left="3840" w:right="2400" w:hanging="1512"/>
        <w:spacing w:after="0" w:line="271" w:lineRule="auto"/>
        <w:tabs>
          <w:tab w:leader="none" w:pos="248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3"/>
          <w:szCs w:val="13"/>
          <w:color w:val="auto"/>
        </w:rPr>
        <w:t>For the transition period from _______________ to _______________</w:t>
      </w:r>
    </w:p>
    <w:p>
      <w:pPr>
        <w:spacing w:after="0" w:line="16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13970</wp:posOffset>
            </wp:positionV>
            <wp:extent cx="1630680" cy="363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0680" cy="363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LivaNova PLC</w:t>
      </w:r>
    </w:p>
    <w:p>
      <w:pPr>
        <w:spacing w:after="0" w:line="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115" w:lineRule="exact"/>
        <w:rPr>
          <w:sz w:val="24"/>
          <w:szCs w:val="24"/>
          <w:color w:val="auto"/>
        </w:rPr>
      </w:pPr>
    </w:p>
    <w:tbl>
      <w:tblPr>
        <w:tblLayout w:type="fixed"/>
        <w:tblInd w:w="14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England and Wales </w:t>
            </w:r>
            <w:r>
              <w:rPr>
                <w:rFonts w:ascii="Times New Roman" w:cs="Times New Roman" w:eastAsia="Times New Roman" w:hAnsi="Times New Roman"/>
                <w:sz w:val="13"/>
                <w:szCs w:val="13"/>
                <w:i w:val="1"/>
                <w:iCs w:val="1"/>
                <w:color w:val="FFFFFF"/>
              </w:rPr>
              <w:t>...................</w:t>
            </w:r>
          </w:p>
        </w:tc>
        <w:tc>
          <w:tcPr>
            <w:tcW w:w="1560" w:type="dxa"/>
            <w:vAlign w:val="bottom"/>
          </w:tcPr>
          <w:p>
            <w:pPr>
              <w:jc w:val="center"/>
              <w:ind w:right="316"/>
              <w:spacing w:after="0"/>
              <w:rPr>
                <w:sz w:val="20"/>
                <w:szCs w:val="20"/>
                <w:color w:val="auto"/>
              </w:rPr>
            </w:pPr>
            <w:r>
              <w:rPr>
                <w:rFonts w:ascii="Times New Roman" w:cs="Times New Roman" w:eastAsia="Times New Roman" w:hAnsi="Times New Roman"/>
                <w:sz w:val="13"/>
                <w:szCs w:val="13"/>
                <w:b w:val="1"/>
                <w:bCs w:val="1"/>
                <w:color w:val="auto"/>
                <w:w w:val="98"/>
              </w:rPr>
              <w:t>98-1268150</w:t>
            </w:r>
          </w:p>
        </w:tc>
        <w:tc>
          <w:tcPr>
            <w:tcW w:w="22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(State or other jurisdiction of </w:t>
            </w:r>
            <w:r>
              <w:rPr>
                <w:rFonts w:ascii="Times New Roman" w:cs="Times New Roman" w:eastAsia="Times New Roman" w:hAnsi="Times New Roman"/>
                <w:sz w:val="13"/>
                <w:szCs w:val="13"/>
                <w:i w:val="1"/>
                <w:iCs w:val="1"/>
                <w:color w:val="FFFFFF"/>
              </w:rPr>
              <w:t>..........</w:t>
            </w:r>
          </w:p>
        </w:tc>
        <w:tc>
          <w:tcPr>
            <w:tcW w:w="5380" w:type="dxa"/>
            <w:vAlign w:val="bottom"/>
            <w:gridSpan w:val="3"/>
          </w:tcPr>
          <w:p>
            <w:pPr>
              <w:jc w:val="center"/>
              <w:ind w:right="4180"/>
              <w:spacing w:after="0"/>
              <w:rPr>
                <w:sz w:val="20"/>
                <w:szCs w:val="20"/>
                <w:color w:val="auto"/>
              </w:rPr>
            </w:pPr>
            <w:r>
              <w:rPr>
                <w:rFonts w:ascii="Times New Roman" w:cs="Times New Roman" w:eastAsia="Times New Roman" w:hAnsi="Times New Roman"/>
                <w:sz w:val="13"/>
                <w:szCs w:val="13"/>
                <w:i w:val="1"/>
                <w:iCs w:val="1"/>
                <w:color w:val="auto"/>
                <w:w w:val="96"/>
              </w:rPr>
              <w:t>(I.R.S. Employer</w:t>
            </w:r>
          </w:p>
        </w:tc>
      </w:tr>
      <w:tr>
        <w:trPr>
          <w:trHeight w:val="167"/>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incorporation or organization) </w:t>
            </w:r>
            <w:r>
              <w:rPr>
                <w:rFonts w:ascii="Times New Roman" w:cs="Times New Roman" w:eastAsia="Times New Roman" w:hAnsi="Times New Roman"/>
                <w:sz w:val="13"/>
                <w:szCs w:val="13"/>
                <w:i w:val="1"/>
                <w:iCs w:val="1"/>
                <w:color w:val="FFFFFF"/>
              </w:rPr>
              <w:t>........</w:t>
            </w:r>
          </w:p>
        </w:tc>
        <w:tc>
          <w:tcPr>
            <w:tcW w:w="5380" w:type="dxa"/>
            <w:vAlign w:val="bottom"/>
            <w:gridSpan w:val="3"/>
          </w:tcPr>
          <w:p>
            <w:pPr>
              <w:jc w:val="center"/>
              <w:ind w:right="4160"/>
              <w:spacing w:after="0"/>
              <w:rPr>
                <w:sz w:val="20"/>
                <w:szCs w:val="20"/>
                <w:color w:val="auto"/>
              </w:rPr>
            </w:pPr>
            <w:r>
              <w:rPr>
                <w:rFonts w:ascii="Times New Roman" w:cs="Times New Roman" w:eastAsia="Times New Roman" w:hAnsi="Times New Roman"/>
                <w:sz w:val="13"/>
                <w:szCs w:val="13"/>
                <w:i w:val="1"/>
                <w:iCs w:val="1"/>
                <w:color w:val="auto"/>
                <w:w w:val="97"/>
              </w:rPr>
              <w:t>Identification No.)</w:t>
            </w:r>
          </w:p>
        </w:tc>
      </w:tr>
      <w:tr>
        <w:trPr>
          <w:trHeight w:val="268"/>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60" w:type="dxa"/>
            <w:vAlign w:val="bottom"/>
            <w:gridSpan w:val="6"/>
          </w:tcPr>
          <w:p>
            <w:pPr>
              <w:jc w:val="center"/>
              <w:ind w:right="3780"/>
              <w:spacing w:after="0"/>
              <w:rPr>
                <w:sz w:val="20"/>
                <w:szCs w:val="20"/>
                <w:color w:val="auto"/>
              </w:rPr>
            </w:pPr>
            <w:r>
              <w:rPr>
                <w:rFonts w:ascii="Times New Roman" w:cs="Times New Roman" w:eastAsia="Times New Roman" w:hAnsi="Times New Roman"/>
                <w:sz w:val="13"/>
                <w:szCs w:val="13"/>
                <w:b w:val="1"/>
                <w:bCs w:val="1"/>
                <w:color w:val="auto"/>
                <w:w w:val="97"/>
              </w:rPr>
              <w:t>20 Eastbourne Terrace, London, United Kingdom</w:t>
            </w: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 xml:space="preserve"> W2 6LG</w:t>
            </w:r>
          </w:p>
        </w:tc>
      </w:tr>
      <w:tr>
        <w:trPr>
          <w:trHeight w:val="167"/>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(Address of principal executive offices)</w:t>
            </w:r>
          </w:p>
        </w:tc>
        <w:tc>
          <w:tcPr>
            <w:tcW w:w="53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FFFFFF"/>
              </w:rPr>
              <w:t xml:space="preserve">....................... </w:t>
            </w:r>
            <w:r>
              <w:rPr>
                <w:rFonts w:ascii="Times New Roman" w:cs="Times New Roman" w:eastAsia="Times New Roman" w:hAnsi="Times New Roman"/>
                <w:sz w:val="13"/>
                <w:szCs w:val="13"/>
                <w:i w:val="1"/>
                <w:iCs w:val="1"/>
                <w:color w:val="000000"/>
              </w:rPr>
              <w:t>(Zip Code)</w:t>
            </w:r>
          </w:p>
        </w:tc>
      </w:tr>
      <w:tr>
        <w:trPr>
          <w:trHeight w:val="286"/>
        </w:trPr>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gridSpan w:val="6"/>
          </w:tcPr>
          <w:p>
            <w:pPr>
              <w:jc w:val="center"/>
              <w:ind w:right="3760"/>
              <w:spacing w:after="0"/>
              <w:rPr>
                <w:sz w:val="20"/>
                <w:szCs w:val="20"/>
                <w:color w:val="auto"/>
              </w:rPr>
            </w:pPr>
            <w:r>
              <w:rPr>
                <w:rFonts w:ascii="Times New Roman" w:cs="Times New Roman" w:eastAsia="Times New Roman" w:hAnsi="Times New Roman"/>
                <w:sz w:val="13"/>
                <w:szCs w:val="13"/>
                <w:i w:val="1"/>
                <w:iCs w:val="1"/>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(44) (0) 203 325-0660</w:t>
            </w:r>
          </w:p>
        </w:tc>
      </w:tr>
      <w:tr>
        <w:trPr>
          <w:trHeight w:val="175"/>
        </w:trPr>
        <w:tc>
          <w:tcPr>
            <w:tcW w:w="1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218"/>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60" w:type="dxa"/>
            <w:vAlign w:val="bottom"/>
            <w:gridSpan w:val="6"/>
          </w:tcPr>
          <w:p>
            <w:pPr>
              <w:ind w:left="5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r>
      <w:tr>
        <w:trPr>
          <w:trHeight w:val="248"/>
        </w:trPr>
        <w:tc>
          <w:tcPr>
            <w:tcW w:w="19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Trading Symbol(s)</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820" w:type="dxa"/>
            <w:vAlign w:val="bottom"/>
            <w:gridSpan w:val="2"/>
          </w:tcPr>
          <w:p>
            <w:pPr>
              <w:jc w:val="center"/>
              <w:ind w:right="1560"/>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7"/>
        </w:trPr>
        <w:tc>
          <w:tcPr>
            <w:tcW w:w="3560" w:type="dxa"/>
            <w:vAlign w:val="bottom"/>
            <w:gridSpan w:val="3"/>
          </w:tcPr>
          <w:p>
            <w:pPr>
              <w:jc w:val="center"/>
              <w:ind w:left="1196"/>
              <w:spacing w:after="0"/>
              <w:rPr>
                <w:sz w:val="20"/>
                <w:szCs w:val="20"/>
                <w:color w:val="auto"/>
              </w:rPr>
            </w:pPr>
            <w:r>
              <w:rPr>
                <w:rFonts w:ascii="Times New Roman" w:cs="Times New Roman" w:eastAsia="Times New Roman" w:hAnsi="Times New Roman"/>
                <w:sz w:val="13"/>
                <w:szCs w:val="13"/>
                <w:color w:val="auto"/>
                <w:w w:val="97"/>
              </w:rPr>
              <w:t>Ordinary Shares - £1.00 par value per share</w:t>
            </w:r>
          </w:p>
        </w:tc>
        <w:tc>
          <w:tcPr>
            <w:tcW w:w="12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LIVN</w:t>
            </w:r>
          </w:p>
        </w:tc>
        <w:tc>
          <w:tcPr>
            <w:tcW w:w="1560" w:type="dxa"/>
            <w:vAlign w:val="bottom"/>
          </w:tcPr>
          <w:p>
            <w:pPr>
              <w:spacing w:after="0"/>
              <w:rPr>
                <w:sz w:val="15"/>
                <w:szCs w:val="15"/>
                <w:color w:val="auto"/>
              </w:rPr>
            </w:pPr>
          </w:p>
        </w:tc>
        <w:tc>
          <w:tcPr>
            <w:tcW w:w="382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color w:val="auto"/>
                <w:w w:val="98"/>
              </w:rPr>
              <w:t>The NASDAQ Stock Market LLC</w:t>
            </w:r>
          </w:p>
        </w:tc>
      </w:tr>
    </w:tbl>
    <w:p>
      <w:pPr>
        <w:spacing w:after="0" w:line="68" w:lineRule="exact"/>
        <w:rPr>
          <w:sz w:val="24"/>
          <w:szCs w:val="24"/>
          <w:color w:val="auto"/>
        </w:rPr>
      </w:pPr>
    </w:p>
    <w:p>
      <w:pPr>
        <w:ind w:right="8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8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86" w:lineRule="exact"/>
        <w:rPr>
          <w:sz w:val="24"/>
          <w:szCs w:val="24"/>
          <w:color w:val="auto"/>
        </w:rPr>
      </w:pPr>
    </w:p>
    <w:p>
      <w:pPr>
        <w:ind w:right="8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572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whether the registrant is a shell company (as defined in Rule 12b-2 of the Act). Yes </w:t>
            </w:r>
            <w:r>
              <w:rPr>
                <w:rFonts w:ascii="MS PGothic" w:cs="MS PGothic" w:eastAsia="MS PGothic" w:hAnsi="MS PGothic"/>
                <w:sz w:val="13"/>
                <w:szCs w:val="13"/>
                <w:color w:val="auto"/>
                <w:w w:val="98"/>
              </w:rPr>
              <w:t>☐</w:t>
            </w:r>
          </w:p>
        </w:tc>
        <w:tc>
          <w:tcPr>
            <w:tcW w:w="556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51"/>
        </w:trPr>
        <w:tc>
          <w:tcPr>
            <w:tcW w:w="5720" w:type="dxa"/>
            <w:vAlign w:val="bottom"/>
          </w:tcPr>
          <w:p>
            <w:pPr>
              <w:jc w:val="center"/>
              <w:ind w:left="96"/>
              <w:spacing w:after="0"/>
              <w:rPr>
                <w:sz w:val="20"/>
                <w:szCs w:val="20"/>
                <w:color w:val="auto"/>
              </w:rPr>
            </w:pPr>
            <w:r>
              <w:rPr>
                <w:rFonts w:ascii="Times New Roman" w:cs="Times New Roman" w:eastAsia="Times New Roman" w:hAnsi="Times New Roman"/>
                <w:sz w:val="13"/>
                <w:szCs w:val="13"/>
                <w:i w:val="1"/>
                <w:iCs w:val="1"/>
                <w:color w:val="auto"/>
                <w:w w:val="96"/>
              </w:rPr>
              <w:t>Class</w:t>
            </w:r>
          </w:p>
        </w:tc>
        <w:tc>
          <w:tcPr>
            <w:tcW w:w="556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8"/>
              </w:rPr>
              <w:t>Outstanding at July 27, 2022</w:t>
            </w:r>
          </w:p>
        </w:tc>
      </w:tr>
      <w:tr>
        <w:trPr>
          <w:trHeight w:val="170"/>
        </w:trPr>
        <w:tc>
          <w:tcPr>
            <w:tcW w:w="57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Ordinary Shares - £1.00 par value per share</w:t>
            </w:r>
          </w:p>
        </w:tc>
        <w:tc>
          <w:tcPr>
            <w:tcW w:w="5560" w:type="dxa"/>
            <w:vAlign w:val="bottom"/>
          </w:tcPr>
          <w:p>
            <w:pPr>
              <w:jc w:val="right"/>
              <w:ind w:right="2356"/>
              <w:spacing w:after="0"/>
              <w:rPr>
                <w:sz w:val="20"/>
                <w:szCs w:val="20"/>
                <w:color w:val="auto"/>
              </w:rPr>
            </w:pPr>
            <w:r>
              <w:rPr>
                <w:rFonts w:ascii="Times New Roman" w:cs="Times New Roman" w:eastAsia="Times New Roman" w:hAnsi="Times New Roman"/>
                <w:sz w:val="13"/>
                <w:szCs w:val="13"/>
                <w:color w:val="auto"/>
              </w:rPr>
              <w:t>53,545,733</w:t>
            </w:r>
          </w:p>
        </w:tc>
      </w:tr>
      <w:tr>
        <w:trPr>
          <w:trHeight w:val="547"/>
        </w:trPr>
        <w:tc>
          <w:tcPr>
            <w:tcW w:w="57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82"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LIVANOVA PLC</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780" w:type="dxa"/>
            <w:vAlign w:val="bottom"/>
            <w:tcBorders>
              <w:bottom w:val="single" w:sz="8" w:color="auto"/>
            </w:tcBorders>
            <w:gridSpan w:val="4"/>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w w:val="99"/>
              </w:rPr>
              <w:t>PART I. FINANCIAL INFORMATION</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49"/>
        </w:trPr>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120" w:type="dxa"/>
            <w:vAlign w:val="bottom"/>
            <w:gridSpan w:val="1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Note About Forward Looking Statements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left="369"/>
              <w:spacing w:after="0" w:line="149" w:lineRule="exact"/>
              <w:rPr>
                <w:sz w:val="20"/>
                <w:szCs w:val="20"/>
                <w:color w:val="auto"/>
              </w:rPr>
            </w:pPr>
            <w:r>
              <w:rPr>
                <w:rFonts w:ascii="Times New Roman" w:cs="Times New Roman" w:eastAsia="Times New Roman" w:hAnsi="Times New Roman"/>
                <w:sz w:val="14"/>
                <w:szCs w:val="14"/>
                <w:color w:val="0000FF"/>
              </w:rPr>
              <w:t>3</w:t>
            </w:r>
          </w:p>
        </w:tc>
        <w:tc>
          <w:tcPr>
            <w:tcW w:w="440" w:type="dxa"/>
            <w:vAlign w:val="bottom"/>
            <w:tcBorders>
              <w:left w:val="single" w:sz="8" w:color="CCEEFF"/>
            </w:tcBorders>
            <w:shd w:val="clear" w:color="auto" w:fill="CCEEFF"/>
          </w:tcPr>
          <w:p>
            <w:pPr>
              <w:spacing w:after="0"/>
              <w:rPr>
                <w:sz w:val="12"/>
                <w:szCs w:val="12"/>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91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Financial Statements</w:t>
            </w:r>
          </w:p>
        </w:tc>
        <w:tc>
          <w:tcPr>
            <w:tcW w:w="660" w:type="dxa"/>
            <w:vAlign w:val="bottom"/>
            <w:gridSpan w:val="3"/>
          </w:tcPr>
          <w:p>
            <w:pPr>
              <w:jc w:val="center"/>
              <w:ind w:left="510"/>
              <w:spacing w:after="0" w:line="149" w:lineRule="exact"/>
              <w:rPr>
                <w:sz w:val="20"/>
                <w:szCs w:val="20"/>
                <w:color w:val="auto"/>
              </w:rPr>
            </w:pPr>
            <w:r>
              <w:rPr>
                <w:rFonts w:ascii="Times New Roman" w:cs="Times New Roman" w:eastAsia="Times New Roman" w:hAnsi="Times New Roman"/>
                <w:sz w:val="14"/>
                <w:szCs w:val="14"/>
                <w:color w:val="0000FF"/>
              </w:rPr>
              <w:t>5</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shd w:val="clear" w:color="auto" w:fill="CCEEFF"/>
          </w:tcPr>
          <w:p>
            <w:pPr>
              <w:spacing w:after="0"/>
              <w:rPr>
                <w:sz w:val="14"/>
                <w:szCs w:val="14"/>
                <w:color w:val="auto"/>
              </w:rPr>
            </w:pPr>
          </w:p>
        </w:tc>
        <w:tc>
          <w:tcPr>
            <w:tcW w:w="3080" w:type="dxa"/>
            <w:vAlign w:val="bottom"/>
            <w:tcBorders>
              <w:bottom w:val="single" w:sz="8" w:color="0000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Income (Loss)</w:t>
            </w:r>
          </w:p>
        </w:tc>
        <w:tc>
          <w:tcPr>
            <w:tcW w:w="6040" w:type="dxa"/>
            <w:vAlign w:val="bottom"/>
            <w:tcBorders>
              <w:bottom w:val="single" w:sz="8" w:color="CCEEFF"/>
            </w:tcBorders>
            <w:gridSpan w:val="5"/>
            <w:shd w:val="clear" w:color="auto" w:fill="CCEEFF"/>
          </w:tcPr>
          <w:p>
            <w:pPr>
              <w:spacing w:after="0"/>
              <w:rPr>
                <w:sz w:val="14"/>
                <w:szCs w:val="14"/>
                <w:color w:val="auto"/>
              </w:rPr>
            </w:pPr>
          </w:p>
        </w:tc>
        <w:tc>
          <w:tcPr>
            <w:tcW w:w="580" w:type="dxa"/>
            <w:vAlign w:val="bottom"/>
            <w:tcBorders>
              <w:bottom w:val="single" w:sz="8" w:color="CCEEFF"/>
              <w:right w:val="single" w:sz="8" w:color="CCEEFF"/>
            </w:tcBorders>
            <w:gridSpan w:val="2"/>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5</w:t>
            </w:r>
          </w:p>
        </w:tc>
        <w:tc>
          <w:tcPr>
            <w:tcW w:w="44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0" w:type="dxa"/>
            <w:vAlign w:val="bottom"/>
            <w:tcBorders>
              <w:bottom w:val="single" w:sz="8" w:color="0000FF"/>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(Loss)</w:t>
            </w:r>
          </w:p>
        </w:tc>
        <w:tc>
          <w:tcPr>
            <w:tcW w:w="5120" w:type="dxa"/>
            <w:vAlign w:val="bottom"/>
            <w:gridSpan w:val="2"/>
          </w:tcPr>
          <w:p>
            <w:pPr>
              <w:spacing w:after="0"/>
              <w:rPr>
                <w:sz w:val="13"/>
                <w:szCs w:val="13"/>
                <w:color w:val="auto"/>
              </w:rPr>
            </w:pPr>
          </w:p>
        </w:tc>
        <w:tc>
          <w:tcPr>
            <w:tcW w:w="580" w:type="dxa"/>
            <w:vAlign w:val="bottom"/>
            <w:gridSpan w:val="2"/>
          </w:tcPr>
          <w:p>
            <w:pPr>
              <w:spacing w:after="0"/>
              <w:rPr>
                <w:sz w:val="13"/>
                <w:szCs w:val="13"/>
                <w:color w:val="auto"/>
              </w:rPr>
            </w:pPr>
          </w:p>
        </w:tc>
        <w:tc>
          <w:tcPr>
            <w:tcW w:w="8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rPr>
              <w:t>6</w:t>
            </w:r>
          </w:p>
        </w:tc>
        <w:tc>
          <w:tcPr>
            <w:tcW w:w="44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912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660" w:type="dxa"/>
            <w:vAlign w:val="bottom"/>
            <w:gridSpan w:val="3"/>
            <w:shd w:val="clear" w:color="auto" w:fill="CCEEFF"/>
          </w:tcPr>
          <w:p>
            <w:pPr>
              <w:jc w:val="center"/>
              <w:ind w:left="510"/>
              <w:spacing w:after="0" w:line="155" w:lineRule="exact"/>
              <w:rPr>
                <w:sz w:val="20"/>
                <w:szCs w:val="20"/>
                <w:color w:val="auto"/>
              </w:rPr>
            </w:pPr>
            <w:r>
              <w:rPr>
                <w:rFonts w:ascii="Times New Roman" w:cs="Times New Roman" w:eastAsia="Times New Roman" w:hAnsi="Times New Roman"/>
                <w:sz w:val="14"/>
                <w:szCs w:val="14"/>
                <w:color w:val="0000FF"/>
              </w:rPr>
              <w:t>7</w:t>
            </w:r>
          </w:p>
        </w:tc>
        <w:tc>
          <w:tcPr>
            <w:tcW w:w="44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tcBorders>
              <w:right w:val="single" w:sz="8" w:color="CCEEFF"/>
            </w:tcBorders>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20" w:type="dxa"/>
            <w:vAlign w:val="bottom"/>
            <w:tcBorders>
              <w:bottom w:val="single" w:sz="8" w:color="0000FF"/>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6200" w:type="dxa"/>
            <w:vAlign w:val="bottom"/>
            <w:gridSpan w:val="6"/>
          </w:tcPr>
          <w:p>
            <w:pPr>
              <w:spacing w:after="0"/>
              <w:rPr>
                <w:sz w:val="13"/>
                <w:szCs w:val="13"/>
                <w:color w:val="auto"/>
              </w:rPr>
            </w:pPr>
          </w:p>
        </w:tc>
        <w:tc>
          <w:tcPr>
            <w:tcW w:w="580" w:type="dxa"/>
            <w:vAlign w:val="bottom"/>
            <w:gridSpan w:val="2"/>
          </w:tcPr>
          <w:p>
            <w:pPr>
              <w:spacing w:after="0"/>
              <w:rPr>
                <w:sz w:val="13"/>
                <w:szCs w:val="13"/>
                <w:color w:val="auto"/>
              </w:rPr>
            </w:pPr>
          </w:p>
        </w:tc>
        <w:tc>
          <w:tcPr>
            <w:tcW w:w="8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rPr>
              <w:t>8</w:t>
            </w:r>
          </w:p>
        </w:tc>
        <w:tc>
          <w:tcPr>
            <w:tcW w:w="44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912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the Condensed Consolidated Financial Statements</w:t>
            </w:r>
          </w:p>
        </w:tc>
        <w:tc>
          <w:tcPr>
            <w:tcW w:w="660" w:type="dxa"/>
            <w:vAlign w:val="bottom"/>
            <w:gridSpan w:val="3"/>
            <w:shd w:val="clear" w:color="auto" w:fill="CCEEFF"/>
          </w:tcPr>
          <w:p>
            <w:pPr>
              <w:jc w:val="center"/>
              <w:ind w:left="510"/>
              <w:spacing w:after="0" w:line="155" w:lineRule="exact"/>
              <w:rPr>
                <w:sz w:val="20"/>
                <w:szCs w:val="20"/>
                <w:color w:val="auto"/>
              </w:rPr>
            </w:pPr>
            <w:r>
              <w:rPr>
                <w:rFonts w:ascii="Times New Roman" w:cs="Times New Roman" w:eastAsia="Times New Roman" w:hAnsi="Times New Roman"/>
                <w:sz w:val="14"/>
                <w:szCs w:val="14"/>
                <w:color w:val="0000FF"/>
              </w:rPr>
              <w:t>9</w:t>
            </w:r>
          </w:p>
        </w:tc>
        <w:tc>
          <w:tcPr>
            <w:tcW w:w="44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91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100" w:type="dxa"/>
            <w:vAlign w:val="bottom"/>
            <w:gridSpan w:val="4"/>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33</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3</w:t>
            </w:r>
          </w:p>
        </w:tc>
        <w:tc>
          <w:tcPr>
            <w:tcW w:w="912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100" w:type="dxa"/>
            <w:vAlign w:val="bottom"/>
            <w:gridSpan w:val="4"/>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42</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4</w:t>
            </w:r>
          </w:p>
        </w:tc>
        <w:tc>
          <w:tcPr>
            <w:tcW w:w="91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1100" w:type="dxa"/>
            <w:vAlign w:val="bottom"/>
            <w:gridSpan w:val="4"/>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43</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0000FF"/>
              <w:bottom w:val="single" w:sz="8" w:color="auto"/>
            </w:tcBorders>
            <w:shd w:val="clear" w:color="auto" w:fill="CCEEFF"/>
          </w:tcPr>
          <w:p>
            <w:pPr>
              <w:spacing w:after="0"/>
              <w:rPr>
                <w:sz w:val="17"/>
                <w:szCs w:val="17"/>
                <w:color w:val="auto"/>
              </w:rPr>
            </w:pPr>
          </w:p>
        </w:tc>
        <w:tc>
          <w:tcPr>
            <w:tcW w:w="240" w:type="dxa"/>
            <w:vAlign w:val="bottom"/>
            <w:tcBorders>
              <w:top w:val="single" w:sz="8" w:color="0000FF"/>
              <w:bottom w:val="single" w:sz="8" w:color="auto"/>
            </w:tcBorders>
            <w:shd w:val="clear" w:color="auto" w:fill="CCEEFF"/>
          </w:tcPr>
          <w:p>
            <w:pPr>
              <w:spacing w:after="0"/>
              <w:rPr>
                <w:sz w:val="17"/>
                <w:szCs w:val="17"/>
                <w:color w:val="auto"/>
              </w:rPr>
            </w:pPr>
          </w:p>
        </w:tc>
        <w:tc>
          <w:tcPr>
            <w:tcW w:w="340" w:type="dxa"/>
            <w:vAlign w:val="bottom"/>
            <w:tcBorders>
              <w:top w:val="single" w:sz="8" w:color="0000FF"/>
              <w:bottom w:val="single" w:sz="8" w:color="auto"/>
            </w:tcBorders>
            <w:shd w:val="clear" w:color="auto" w:fill="CCEEFF"/>
          </w:tcPr>
          <w:p>
            <w:pPr>
              <w:spacing w:after="0"/>
              <w:rPr>
                <w:sz w:val="17"/>
                <w:szCs w:val="17"/>
                <w:color w:val="auto"/>
              </w:rPr>
            </w:pPr>
          </w:p>
        </w:tc>
        <w:tc>
          <w:tcPr>
            <w:tcW w:w="340" w:type="dxa"/>
            <w:vAlign w:val="bottom"/>
            <w:tcBorders>
              <w:top w:val="single" w:sz="8" w:color="0000FF"/>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700" w:type="dxa"/>
            <w:vAlign w:val="bottom"/>
            <w:tcBorders>
              <w:bottom w:val="single" w:sz="8" w:color="auto"/>
            </w:tcBorders>
            <w:gridSpan w:val="3"/>
            <w:shd w:val="clear" w:color="auto" w:fill="CCEEFF"/>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w w:val="99"/>
              </w:rPr>
              <w:t>PART II. OTHER INFORMATION</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4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19"/>
        </w:trPr>
        <w:tc>
          <w:tcPr>
            <w:tcW w:w="20" w:type="dxa"/>
            <w:vAlign w:val="bottom"/>
          </w:tcPr>
          <w:p>
            <w:pPr>
              <w:spacing w:after="0"/>
              <w:rPr>
                <w:sz w:val="10"/>
                <w:szCs w:val="10"/>
                <w:color w:val="auto"/>
              </w:rPr>
            </w:pPr>
          </w:p>
        </w:tc>
        <w:tc>
          <w:tcPr>
            <w:tcW w:w="102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color w:val="0000FF"/>
              </w:rPr>
              <w:t>Item 1</w:t>
            </w:r>
          </w:p>
        </w:tc>
        <w:tc>
          <w:tcPr>
            <w:tcW w:w="9120" w:type="dxa"/>
            <w:vAlign w:val="bottom"/>
            <w:gridSpan w:val="14"/>
          </w:tcPr>
          <w:p>
            <w:pPr>
              <w:spacing w:after="0" w:line="118" w:lineRule="exact"/>
              <w:rPr>
                <w:sz w:val="20"/>
                <w:szCs w:val="20"/>
                <w:color w:val="auto"/>
              </w:rPr>
            </w:pPr>
            <w:r>
              <w:rPr>
                <w:rFonts w:ascii="Times New Roman" w:cs="Times New Roman" w:eastAsia="Times New Roman" w:hAnsi="Times New Roman"/>
                <w:sz w:val="13"/>
                <w:szCs w:val="13"/>
                <w:color w:val="0000FF"/>
              </w:rPr>
              <w:t>Legal Proceedings</w:t>
            </w:r>
          </w:p>
        </w:tc>
        <w:tc>
          <w:tcPr>
            <w:tcW w:w="1100" w:type="dxa"/>
            <w:vAlign w:val="bottom"/>
            <w:gridSpan w:val="4"/>
          </w:tcPr>
          <w:p>
            <w:pPr>
              <w:jc w:val="center"/>
              <w:ind w:left="50"/>
              <w:spacing w:after="0" w:line="109" w:lineRule="exact"/>
              <w:rPr>
                <w:sz w:val="20"/>
                <w:szCs w:val="20"/>
                <w:color w:val="auto"/>
              </w:rPr>
            </w:pPr>
            <w:r>
              <w:rPr>
                <w:rFonts w:ascii="Times New Roman" w:cs="Times New Roman" w:eastAsia="Times New Roman" w:hAnsi="Times New Roman"/>
                <w:sz w:val="12"/>
                <w:szCs w:val="12"/>
                <w:color w:val="0000FF"/>
              </w:rPr>
              <w:t>44</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Item 1A</w:t>
            </w:r>
          </w:p>
        </w:tc>
        <w:tc>
          <w:tcPr>
            <w:tcW w:w="9120" w:type="dxa"/>
            <w:vAlign w:val="bottom"/>
            <w:gridSpan w:val="1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Risk Factors</w:t>
            </w:r>
          </w:p>
        </w:tc>
        <w:tc>
          <w:tcPr>
            <w:tcW w:w="1100" w:type="dxa"/>
            <w:vAlign w:val="bottom"/>
            <w:gridSpan w:val="4"/>
            <w:shd w:val="clear" w:color="auto" w:fill="CCEEFF"/>
          </w:tcPr>
          <w:p>
            <w:pPr>
              <w:jc w:val="center"/>
              <w:ind w:left="50"/>
              <w:spacing w:after="0" w:line="151" w:lineRule="exact"/>
              <w:rPr>
                <w:sz w:val="20"/>
                <w:szCs w:val="20"/>
                <w:color w:val="auto"/>
              </w:rPr>
            </w:pPr>
            <w:r>
              <w:rPr>
                <w:rFonts w:ascii="Times New Roman" w:cs="Times New Roman" w:eastAsia="Times New Roman" w:hAnsi="Times New Roman"/>
                <w:sz w:val="14"/>
                <w:szCs w:val="14"/>
                <w:color w:val="0000FF"/>
                <w:w w:val="99"/>
              </w:rPr>
              <w:t>44</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560" w:type="dxa"/>
            <w:vAlign w:val="bottom"/>
          </w:tcPr>
          <w:p>
            <w:pPr>
              <w:spacing w:after="0"/>
              <w:rPr>
                <w:sz w:val="12"/>
                <w:szCs w:val="12"/>
                <w:color w:val="auto"/>
              </w:rPr>
            </w:pPr>
          </w:p>
        </w:tc>
        <w:tc>
          <w:tcPr>
            <w:tcW w:w="91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100" w:type="dxa"/>
            <w:vAlign w:val="bottom"/>
            <w:gridSpan w:val="4"/>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46</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3</w:t>
            </w:r>
          </w:p>
        </w:tc>
        <w:tc>
          <w:tcPr>
            <w:tcW w:w="912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100" w:type="dxa"/>
            <w:vAlign w:val="bottom"/>
            <w:gridSpan w:val="4"/>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46</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4</w:t>
            </w:r>
          </w:p>
        </w:tc>
        <w:tc>
          <w:tcPr>
            <w:tcW w:w="91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1100" w:type="dxa"/>
            <w:vAlign w:val="bottom"/>
            <w:gridSpan w:val="4"/>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46</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5</w:t>
            </w:r>
          </w:p>
        </w:tc>
        <w:tc>
          <w:tcPr>
            <w:tcW w:w="912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Other Information</w:t>
            </w:r>
          </w:p>
        </w:tc>
        <w:tc>
          <w:tcPr>
            <w:tcW w:w="1100" w:type="dxa"/>
            <w:vAlign w:val="bottom"/>
            <w:gridSpan w:val="4"/>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46</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6</w:t>
            </w:r>
          </w:p>
        </w:tc>
        <w:tc>
          <w:tcPr>
            <w:tcW w:w="91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1100" w:type="dxa"/>
            <w:vAlign w:val="bottom"/>
            <w:gridSpan w:val="4"/>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47</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bl>
    <w:p>
      <w:pPr>
        <w:spacing w:after="0" w:line="2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 this Quarterly Report on Form 10-Q, “LivaNova,” “the Company,” “we,” “us” and “our” refer to LivaNova PLC and its consolidated subsidiaries.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This report may contain references to our proprietary intellectual property, including among others:</w:t>
      </w:r>
    </w:p>
    <w:p>
      <w:pPr>
        <w:spacing w:after="0" w:line="23" w:lineRule="exact"/>
        <w:rPr>
          <w:sz w:val="20"/>
          <w:szCs w:val="20"/>
          <w:color w:val="auto"/>
        </w:rPr>
      </w:pPr>
    </w:p>
    <w:p>
      <w:pPr>
        <w:ind w:left="520" w:right="140" w:hanging="260"/>
        <w:spacing w:after="0" w:line="18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our Neuromodulation systems, the VNS Therapy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System, the VITARIA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System and our proprietary pulse generator products: Model 102 (Pulse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102R (Pulse Duo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103 (Demipulse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104 (Demipulse Duo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106 (AspireSR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1000 (SenTiva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1000-D (SenTiva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Duo), Model 7103 (VITARIA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TitrationAssist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and Model 8103 (Symmetry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2" w:lineRule="exact"/>
        <w:rPr>
          <w:rFonts w:ascii="Times New Roman" w:cs="Times New Roman" w:eastAsia="Times New Roman" w:hAnsi="Times New Roman"/>
          <w:sz w:val="14"/>
          <w:szCs w:val="14"/>
          <w:color w:val="auto"/>
        </w:rPr>
      </w:pPr>
    </w:p>
    <w:p>
      <w:pPr>
        <w:ind w:left="520" w:hanging="260"/>
        <w:spacing w:after="0" w:line="199" w:lineRule="auto"/>
        <w:tabs>
          <w:tab w:leader="none" w:pos="5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our Cardiopulmonary products and systems: Essenz™, S5</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S3</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 Pro™, B-Capta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Inspire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Heartlink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XTRA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3T Heater-Cooler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Connect™ and Revolution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w:t>
      </w:r>
    </w:p>
    <w:p>
      <w:pPr>
        <w:ind w:left="520" w:right="60" w:hanging="260"/>
        <w:spacing w:after="0" w:line="182"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our advanced circulatory support systems: TandemLife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TandemHeart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TandemLung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ProtekDuo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LifeSPARC™, ALung™, Hemolung™, Respiratory Dialysis™ and ActivMix™.</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our obstructive sleep apnea system: ImThera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aura6000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3" w:lineRule="exact"/>
        <w:rPr>
          <w:sz w:val="20"/>
          <w:szCs w:val="20"/>
          <w:color w:val="auto"/>
        </w:rPr>
      </w:pPr>
    </w:p>
    <w:p>
      <w:pPr>
        <w:ind w:right="20" w:firstLine="127"/>
        <w:spacing w:after="0" w:line="211" w:lineRule="auto"/>
        <w:rPr>
          <w:sz w:val="20"/>
          <w:szCs w:val="20"/>
          <w:color w:val="auto"/>
        </w:rPr>
      </w:pPr>
      <w:r>
        <w:rPr>
          <w:rFonts w:ascii="Times New Roman" w:cs="Times New Roman" w:eastAsia="Times New Roman" w:hAnsi="Times New Roman"/>
          <w:sz w:val="14"/>
          <w:szCs w:val="14"/>
          <w:color w:val="auto"/>
        </w:rPr>
        <w:t xml:space="preserve">These trademarks and trade names are the property of LivaNova or the property of our consolidated subsidiaries and are protected under applicable intellectual property laws. Solely for convenience, our trademarks and trade names referred to in this Quarterly Report on Form 10-Q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symbol, but such references are not intended to indicate in any way that we will not assert, to the fullest extent under applicable law, our rights to these trademarks and trade names.</w:t>
      </w:r>
    </w:p>
    <w:p>
      <w:pPr>
        <w:spacing w:after="0" w:line="17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 ABOUT FORWARD-LOOKING STATEMENTS</w:t>
      </w:r>
    </w:p>
    <w:p>
      <w:pPr>
        <w:spacing w:after="0" w:line="127" w:lineRule="exact"/>
        <w:rPr>
          <w:sz w:val="20"/>
          <w:szCs w:val="20"/>
          <w:color w:val="auto"/>
        </w:rPr>
      </w:pPr>
    </w:p>
    <w:p>
      <w:pPr>
        <w:ind w:firstLine="127"/>
        <w:spacing w:after="0" w:line="267" w:lineRule="auto"/>
        <w:rPr>
          <w:sz w:val="20"/>
          <w:szCs w:val="20"/>
          <w:color w:val="auto"/>
        </w:rPr>
      </w:pPr>
      <w:r>
        <w:rPr>
          <w:rFonts w:ascii="Times New Roman" w:cs="Times New Roman" w:eastAsia="Times New Roman" w:hAnsi="Times New Roman"/>
          <w:sz w:val="14"/>
          <w:szCs w:val="14"/>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66" w:lineRule="exact"/>
        <w:rPr>
          <w:sz w:val="20"/>
          <w:szCs w:val="20"/>
          <w:color w:val="auto"/>
        </w:rPr>
      </w:pPr>
    </w:p>
    <w:p>
      <w:pPr>
        <w:ind w:left="460" w:right="180" w:hanging="264"/>
        <w:spacing w:after="0" w:line="287"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reductions, interruptions or increasing costs related to the supply of raw materials and components and the distribution of finished products, including as a result of inflation and war;</w:t>
      </w:r>
    </w:p>
    <w:p>
      <w:pPr>
        <w:spacing w:after="0" w:line="71" w:lineRule="exact"/>
        <w:rPr>
          <w:rFonts w:ascii="Times New Roman" w:cs="Times New Roman" w:eastAsia="Times New Roman" w:hAnsi="Times New Roman"/>
          <w:sz w:val="14"/>
          <w:szCs w:val="14"/>
          <w:color w:val="auto"/>
        </w:rPr>
      </w:pPr>
    </w:p>
    <w:p>
      <w:pPr>
        <w:ind w:left="460" w:right="220" w:hanging="264"/>
        <w:spacing w:after="0" w:line="238" w:lineRule="auto"/>
        <w:tabs>
          <w:tab w:leader="none" w:pos="456"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volatility in the global market and worldwide economic conditions, including volatility caused by the invasion of Ukraine, inflation, changes to existing trade agreements and relationships between the U.S. and other countries including the implementation of sanctions;</w:t>
      </w:r>
    </w:p>
    <w:p>
      <w:pPr>
        <w:spacing w:after="0" w:line="91" w:lineRule="exact"/>
        <w:rPr>
          <w:rFonts w:ascii="Arial" w:cs="Arial" w:eastAsia="Arial" w:hAnsi="Arial"/>
          <w:sz w:val="17"/>
          <w:szCs w:val="17"/>
          <w:color w:val="auto"/>
        </w:rPr>
      </w:pPr>
    </w:p>
    <w:p>
      <w:pPr>
        <w:ind w:left="440" w:hanging="244"/>
        <w:spacing w:after="0"/>
        <w:tabs>
          <w:tab w:leader="none" w:pos="4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relating to the outbreak and spread of COVID-19 and its variants around the world, including market volatility, reductions in business operations and reduction in medical procedures;</w:t>
      </w:r>
    </w:p>
    <w:p>
      <w:pPr>
        <w:spacing w:after="0" w:line="70" w:lineRule="exact"/>
        <w:rPr>
          <w:rFonts w:ascii="Arial" w:cs="Arial" w:eastAsia="Arial" w:hAnsi="Arial"/>
          <w:sz w:val="17"/>
          <w:szCs w:val="17"/>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operational and economic risks and concerns including the effect of changes in foreign exchange rates on quarterly operating results;</w:t>
      </w:r>
    </w:p>
    <w:p>
      <w:pPr>
        <w:spacing w:after="0" w:line="114"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failure to retain key personnel, prevent labor shortages, or manage labor costs;</w:t>
      </w:r>
    </w:p>
    <w:p>
      <w:pPr>
        <w:spacing w:after="0" w:line="90" w:lineRule="exact"/>
        <w:rPr>
          <w:rFonts w:ascii="Arial" w:cs="Arial" w:eastAsia="Arial" w:hAnsi="Arial"/>
          <w:sz w:val="17"/>
          <w:szCs w:val="17"/>
          <w:color w:val="auto"/>
        </w:rPr>
      </w:pPr>
    </w:p>
    <w:p>
      <w:pPr>
        <w:ind w:left="440" w:hanging="244"/>
        <w:spacing w:after="0"/>
        <w:tabs>
          <w:tab w:leader="none" w:pos="4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technology, including the development of superior or alternative technology or devices by competitors and/or competition from providers of alternative medical therapies;</w:t>
      </w:r>
    </w:p>
    <w:p>
      <w:pPr>
        <w:spacing w:after="0" w:line="113" w:lineRule="exact"/>
        <w:rPr>
          <w:rFonts w:ascii="Arial" w:cs="Arial" w:eastAsia="Arial" w:hAnsi="Arial"/>
          <w:sz w:val="17"/>
          <w:szCs w:val="17"/>
          <w:color w:val="auto"/>
        </w:rPr>
      </w:pPr>
    </w:p>
    <w:p>
      <w:pPr>
        <w:ind w:left="460" w:right="180" w:hanging="264"/>
        <w:spacing w:after="0" w:line="238" w:lineRule="auto"/>
        <w:tabs>
          <w:tab w:leader="none" w:pos="456"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losses or costs from pending, or future lawsuits and governmental investigations, including any amount of liability or damages imposed by the Appeals Court or the Supreme Court of Italy with respect to SNIA S.p.A.;</w:t>
      </w:r>
    </w:p>
    <w:p>
      <w:pPr>
        <w:spacing w:after="0" w:line="70" w:lineRule="exact"/>
        <w:rPr>
          <w:rFonts w:ascii="Arial" w:cs="Arial" w:eastAsia="Arial" w:hAnsi="Arial"/>
          <w:sz w:val="17"/>
          <w:szCs w:val="17"/>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develop and commercialize new products and the rate and degree of market acceptance of such products;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approvals or maintain the current regulatory approvals for our products’ approved indications;</w:t>
      </w:r>
    </w:p>
    <w:p>
      <w:pPr>
        <w:spacing w:after="0" w:line="93" w:lineRule="exact"/>
        <w:rPr>
          <w:rFonts w:ascii="Times New Roman" w:cs="Times New Roman" w:eastAsia="Times New Roman" w:hAnsi="Times New Roman"/>
          <w:sz w:val="14"/>
          <w:szCs w:val="14"/>
          <w:color w:val="auto"/>
        </w:rPr>
      </w:pPr>
    </w:p>
    <w:p>
      <w:pPr>
        <w:ind w:left="460" w:right="520" w:hanging="264"/>
        <w:spacing w:after="0" w:line="287"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or changes in, laws, regulations or administrative practices affecting government regulation of our products, including, but not limited to, U.S. Food and Drug Administration (“FDA”) laws and regulations;</w:t>
      </w:r>
    </w:p>
    <w:p>
      <w:pPr>
        <w:spacing w:after="0" w:line="39"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spending patterns;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establish, expand or maintain market acceptance of our products for the treatment of our approved indications;</w:t>
      </w:r>
    </w:p>
    <w:p>
      <w:pPr>
        <w:spacing w:after="0" w:line="93" w:lineRule="exact"/>
        <w:rPr>
          <w:rFonts w:ascii="Times New Roman" w:cs="Times New Roman" w:eastAsia="Times New Roman" w:hAnsi="Times New Roman"/>
          <w:sz w:val="14"/>
          <w:szCs w:val="14"/>
          <w:color w:val="auto"/>
        </w:rPr>
      </w:pPr>
    </w:p>
    <w:p>
      <w:pPr>
        <w:ind w:left="460" w:right="120" w:hanging="264"/>
        <w:spacing w:after="0" w:line="270"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50"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or maintain coverage and reimbursement for our products’ approved indications and risks related to cost containment efforts of healthcare purchasing organizations;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results from clinical studies or failure to meet milestones;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our indebtedness under the exchangeable senior notes, our revolving credit facility and our 2022 Term Facilities, as defined herein;</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our internal controls over financial reporting;</w:t>
      </w: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0" w:right="359" w:bottom="1440" w:gutter="0" w:footer="0" w:header="0"/>
        </w:sectPr>
      </w:pPr>
    </w:p>
    <w:bookmarkStart w:id="3" w:name="page4"/>
    <w:bookmarkEnd w:id="3"/>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profitability and/or failure to manage costs and expenses;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future quarterly operating results and/or variations in sales and operating expenses relative to estimates;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or other disruptions to our information technology systems;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intellectual property, shareholder-related, environmental-related, income tax and other litigation, disputes, losses and costs;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protection, expiration and validity of our intellectual property;</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applicable U.S. laws and regulations, including federal and state privacy and security laws and regulations, and applicable non-U.S. laws and regulations;</w:t>
      </w:r>
    </w:p>
    <w:p>
      <w:pPr>
        <w:spacing w:after="0" w:line="93" w:lineRule="exact"/>
        <w:rPr>
          <w:rFonts w:ascii="Times New Roman" w:cs="Times New Roman" w:eastAsia="Times New Roman" w:hAnsi="Times New Roman"/>
          <w:sz w:val="14"/>
          <w:szCs w:val="14"/>
          <w:color w:val="auto"/>
        </w:rPr>
      </w:pPr>
    </w:p>
    <w:p>
      <w:pPr>
        <w:ind w:left="460" w:hanging="264"/>
        <w:spacing w:after="0" w:line="287"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harsh weather or natural disasters, including as a result of climate change, that interrupt our business operations or the business operations of our hospital-customers or failure to comply with evolving environmental laws;</w:t>
      </w:r>
    </w:p>
    <w:p>
      <w:pPr>
        <w:spacing w:after="0" w:line="39"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new acquisitions to further our strategic objectives or strengthen our existing businesses;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and regulations, including exposure to additional income tax liabilities;</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common stock price; and</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activist investors causing disruptions to the business.</w:t>
      </w:r>
    </w:p>
    <w:p>
      <w:pPr>
        <w:spacing w:after="0" w:line="94" w:lineRule="exact"/>
        <w:rPr>
          <w:sz w:val="20"/>
          <w:szCs w:val="20"/>
          <w:color w:val="auto"/>
        </w:rPr>
      </w:pPr>
    </w:p>
    <w:p>
      <w:pPr>
        <w:ind w:right="40" w:firstLine="127"/>
        <w:spacing w:after="0" w:line="270" w:lineRule="auto"/>
        <w:rPr>
          <w:sz w:val="20"/>
          <w:szCs w:val="20"/>
          <w:color w:val="auto"/>
        </w:rPr>
      </w:pPr>
      <w:r>
        <w:rPr>
          <w:rFonts w:ascii="Times New Roman" w:cs="Times New Roman" w:eastAsia="Times New Roman" w:hAnsi="Times New Roman"/>
          <w:sz w:val="14"/>
          <w:szCs w:val="14"/>
          <w:color w:val="auto"/>
        </w:rPr>
        <w:t>Other factors that could cause our actual results to differ from our projected results are described in (1) “Part II, Item 1A. Risk Factors” and elsewhere in this and our other Quarterly Reports on Form 10-Q, (2) our Annual Report on Form 10-K for the fiscal year ended December 31, 2021 (“2021 Form 10-K”), (3) our reports and registration statements filed and furnished from time to time with the Securities and Exchange Commission (“SEC”) and (4) other announcements we make from time to time.</w:t>
      </w:r>
    </w:p>
    <w:p>
      <w:pPr>
        <w:spacing w:after="0" w:line="51" w:lineRule="exact"/>
        <w:rPr>
          <w:sz w:val="20"/>
          <w:szCs w:val="20"/>
          <w:color w:val="auto"/>
        </w:rPr>
      </w:pPr>
    </w:p>
    <w:p>
      <w:pPr>
        <w:ind w:right="20" w:firstLine="127"/>
        <w:spacing w:after="0" w:line="273" w:lineRule="auto"/>
        <w:rPr>
          <w:sz w:val="20"/>
          <w:szCs w:val="20"/>
          <w:color w:val="auto"/>
        </w:rPr>
      </w:pPr>
      <w:r>
        <w:rPr>
          <w:rFonts w:ascii="Times New Roman" w:cs="Times New Roman" w:eastAsia="Times New Roman" w:hAnsi="Times New Roman"/>
          <w:sz w:val="14"/>
          <w:szCs w:val="14"/>
          <w:color w:val="auto"/>
        </w:rPr>
        <w:t>Readers are cautioned not to place undue reliance on our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six months ended June 30, 2022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2021 Form 10-K and in our Quarterly Reports on Form 10-Q.</w:t>
      </w:r>
    </w:p>
    <w:p>
      <w:pPr>
        <w:spacing w:after="0" w:line="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Financial Information and Currency of Financial Statements</w:t>
      </w:r>
    </w:p>
    <w:p>
      <w:pPr>
        <w:spacing w:after="0" w:line="127" w:lineRule="exact"/>
        <w:rPr>
          <w:sz w:val="20"/>
          <w:szCs w:val="20"/>
          <w:color w:val="auto"/>
        </w:rPr>
      </w:pPr>
    </w:p>
    <w:p>
      <w:pPr>
        <w:ind w:right="140" w:firstLine="127"/>
        <w:spacing w:after="0" w:line="303" w:lineRule="auto"/>
        <w:rPr>
          <w:sz w:val="20"/>
          <w:szCs w:val="20"/>
          <w:color w:val="auto"/>
        </w:rPr>
      </w:pPr>
      <w:r>
        <w:rPr>
          <w:rFonts w:ascii="Times New Roman" w:cs="Times New Roman" w:eastAsia="Times New Roman" w:hAnsi="Times New Roman"/>
          <w:sz w:val="14"/>
          <w:szCs w:val="14"/>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27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30"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 (LOSS)</w:t>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50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r>
      <w:tr>
        <w:trPr>
          <w:trHeight w:val="17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254,151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264,483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494,326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512,086</w:t>
            </w:r>
          </w:p>
        </w:tc>
      </w:tr>
      <w:tr>
        <w:trPr>
          <w:trHeight w:val="18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69,801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92,204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141,533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176,399</w:t>
            </w:r>
          </w:p>
        </w:tc>
      </w:tr>
      <w:tr>
        <w:trPr>
          <w:trHeight w:val="171"/>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184,350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172,279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352,793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335,687</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116,482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122,748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238,429</w:t>
            </w:r>
          </w:p>
        </w:tc>
      </w:tr>
      <w:tr>
        <w:trPr>
          <w:trHeight w:val="180"/>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97,182</w:t>
            </w:r>
          </w:p>
        </w:tc>
      </w:tr>
      <w:tr>
        <w:trPr>
          <w:trHeight w:val="18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42,036</w:t>
            </w:r>
          </w:p>
        </w:tc>
      </w:tr>
      <w:tr>
        <w:trPr>
          <w:trHeight w:val="171"/>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(41,960)</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(32,451)</w:t>
            </w:r>
          </w:p>
        </w:tc>
      </w:tr>
      <w:tr>
        <w:trPr>
          <w:trHeight w:val="18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(6,204)</w:t>
            </w:r>
          </w:p>
        </w:tc>
      </w:tr>
      <w:tr>
        <w:trPr>
          <w:trHeight w:val="171"/>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(loss) before tax</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(80,615)</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6,552</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from equity method investments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50"/>
        </w:trPr>
        <w:tc>
          <w:tcPr>
            <w:tcW w:w="5020" w:type="dxa"/>
            <w:vAlign w:val="bottom"/>
          </w:tcPr>
          <w:p>
            <w:pPr>
              <w:ind w:left="120"/>
              <w:spacing w:after="0" w:line="150" w:lineRule="exact"/>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Borders>
              <w:bottom w:val="single" w:sz="8" w:color="auto"/>
            </w:tcBorders>
          </w:tcPr>
          <w:p>
            <w:pPr>
              <w:jc w:val="right"/>
              <w:ind w:right="7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16,444</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8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(56,487)</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19,437</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4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(87,248)</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5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income (loss) per share</w:t>
            </w: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income (loss) per share</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12"/>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income (loss) per share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48,833</w:t>
            </w:r>
          </w:p>
        </w:tc>
      </w:tr>
      <w:tr>
        <w:trPr>
          <w:trHeight w:val="184"/>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computing diluted income (loss) per share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48,833</w:t>
            </w:r>
          </w:p>
        </w:tc>
      </w:tr>
    </w:tbl>
    <w:p>
      <w:pPr>
        <w:spacing w:after="0" w:line="134" w:lineRule="exact"/>
        <w:rPr>
          <w:sz w:val="20"/>
          <w:szCs w:val="20"/>
          <w:color w:val="auto"/>
        </w:rPr>
      </w:pPr>
    </w:p>
    <w:p>
      <w:pPr>
        <w:ind w:left="520" w:right="700" w:hanging="260"/>
        <w:spacing w:after="0" w:line="235" w:lineRule="auto"/>
        <w:tabs>
          <w:tab w:leader="none" w:pos="5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condensed consolidated statements of income (loss) for the three and six months ended June 30, 2021 have been revised. For further details refer to “Note 1. Unaudited Condensed Consolidated Financial Statements.”</w:t>
      </w: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(LOSS)</w:t>
      </w:r>
    </w:p>
    <w:p>
      <w:pPr>
        <w:spacing w:after="0" w:line="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4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r>
      <w:tr>
        <w:trPr>
          <w:trHeight w:val="17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16,444</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(87,248)</w:t>
            </w: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unrealized loss on derivatives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effect</w:t>
            </w:r>
          </w:p>
        </w:tc>
        <w:tc>
          <w:tcPr>
            <w:tcW w:w="10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71"/>
        </w:trPr>
        <w:tc>
          <w:tcPr>
            <w:tcW w:w="41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of tax</w:t>
            </w:r>
          </w:p>
        </w:tc>
        <w:tc>
          <w:tcPr>
            <w:tcW w:w="10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180"/>
        </w:trPr>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(37,506)</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(45,766)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w:t>
            </w:r>
          </w:p>
        </w:tc>
      </w:tr>
      <w:tr>
        <w:trPr>
          <w:trHeight w:val="17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0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(38,738)</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w:t>
            </w:r>
          </w:p>
        </w:tc>
      </w:tr>
      <w:tr>
        <w:trPr>
          <w:trHeight w:val="17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(22,294)</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(35,350)</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(28,256)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(91,982)</w:t>
            </w:r>
          </w:p>
        </w:tc>
      </w:tr>
      <w:tr>
        <w:trPr>
          <w:trHeight w:val="20"/>
        </w:trPr>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right="580" w:hanging="260"/>
        <w:spacing w:after="0" w:line="235" w:lineRule="auto"/>
        <w:tabs>
          <w:tab w:leader="none" w:pos="5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condensed consolidated statements of comprehensive income (loss) for the three and six months ended June 30, 2021 have been revised. For further details refer to “Note 1. Unaudited Condensed Consolidated Financial Statements.”</w:t>
      </w: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7"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ind w:right="-139"/>
        <w:spacing w:after="0" w:line="208" w:lineRule="auto"/>
        <w:rPr>
          <w:sz w:val="20"/>
          <w:szCs w:val="20"/>
          <w:color w:val="auto"/>
        </w:rPr>
      </w:pPr>
      <w:r>
        <w:rPr>
          <w:rFonts w:ascii="Times New Roman" w:cs="Times New Roman" w:eastAsia="Times New Roman" w:hAnsi="Times New Roman"/>
          <w:sz w:val="14"/>
          <w:szCs w:val="14"/>
          <w:b w:val="1"/>
          <w:bCs w:val="1"/>
          <w:color w:val="auto"/>
        </w:rPr>
        <w:t>(UNAUDITED)</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58"/>
        </w:trPr>
        <w:tc>
          <w:tcPr>
            <w:tcW w:w="730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Current Assets:</w:t>
            </w: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38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207,992</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of $13,109 at June 30, 2022 and $13,512 at December 31, 2021</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185,354</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105,840</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and refundable taxes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37,621</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derivative assets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106,629</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3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35,745</w:t>
            </w:r>
          </w:p>
        </w:tc>
        <w:tc>
          <w:tcPr>
            <w:tcW w:w="0" w:type="dxa"/>
            <w:vAlign w:val="bottom"/>
          </w:tcPr>
          <w:p>
            <w:pPr>
              <w:spacing w:after="0"/>
              <w:rPr>
                <w:sz w:val="1"/>
                <w:szCs w:val="1"/>
                <w:color w:val="auto"/>
              </w:rPr>
            </w:pPr>
          </w:p>
        </w:tc>
      </w:tr>
      <w:tr>
        <w:trPr>
          <w:trHeight w:val="15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13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771,927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679,181</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150,066</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898,070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899,525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389,379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399,682</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40,600</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derivative assets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61,608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17,143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13,102</w:t>
            </w:r>
          </w:p>
        </w:tc>
        <w:tc>
          <w:tcPr>
            <w:tcW w:w="0" w:type="dxa"/>
            <w:vAlign w:val="bottom"/>
          </w:tcPr>
          <w:p>
            <w:pPr>
              <w:spacing w:after="0"/>
              <w:rPr>
                <w:sz w:val="1"/>
                <w:szCs w:val="1"/>
                <w:color w:val="auto"/>
              </w:rPr>
            </w:pPr>
          </w:p>
        </w:tc>
      </w:tr>
      <w:tr>
        <w:trPr>
          <w:trHeight w:val="188"/>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1380" w:type="dxa"/>
            <w:vAlign w:val="bottom"/>
            <w:tcBorders>
              <w:bottom w:val="single" w:sz="8" w:color="auto"/>
            </w:tcBorders>
            <w:shd w:val="clear" w:color="auto" w:fill="CCEEFF"/>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2,336,245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2,200,951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Current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debt obligations</w:t>
            </w:r>
          </w:p>
        </w:tc>
        <w:tc>
          <w:tcPr>
            <w:tcW w:w="138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229,673</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68,000</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88,937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derivative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183,109</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litigation provision liability</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32,845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payable</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15,140</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Accrued employee compensation and related benefits</w:t>
            </w:r>
          </w:p>
        </w:tc>
        <w:tc>
          <w:tcPr>
            <w:tcW w:w="1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50,272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79,266</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696,970</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459,792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9,849</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86,830</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7,728</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35,919</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employee compensation and related benefits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derivative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47,192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49,905</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1,054,242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906,306</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Stockholders’ Equity:</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Ordinary Shares, £1.00 par value: unlimited shares authorized; 53,810,418 shares issued and 53,506,408 shares outstanding at June 30,</w:t>
            </w:r>
          </w:p>
        </w:tc>
        <w:tc>
          <w:tcPr>
            <w:tcW w:w="13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82,359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82,295</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 53,761,510 shares issued and 53,263,297 shares outstanding at December 31, 2021</w:t>
            </w:r>
          </w:p>
        </w:tc>
        <w:tc>
          <w:tcPr>
            <w:tcW w:w="1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2,133,258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2,117,961</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(878,347)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(897,784)</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Treasury stock at cost, 304,010 ordinary shares at June 30, 2022; 498,213 ordinary shares at December 31, 2021</w:t>
            </w:r>
          </w:p>
        </w:tc>
        <w:tc>
          <w:tcPr>
            <w:tcW w:w="1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3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1,282,003</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1,294,645</w:t>
            </w:r>
          </w:p>
        </w:tc>
        <w:tc>
          <w:tcPr>
            <w:tcW w:w="0" w:type="dxa"/>
            <w:vAlign w:val="bottom"/>
          </w:tcPr>
          <w:p>
            <w:pPr>
              <w:spacing w:after="0"/>
              <w:rPr>
                <w:sz w:val="1"/>
                <w:szCs w:val="1"/>
                <w:color w:val="auto"/>
              </w:rPr>
            </w:pPr>
          </w:p>
        </w:tc>
      </w:tr>
      <w:tr>
        <w:trPr>
          <w:trHeight w:val="163"/>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380" w:type="dxa"/>
            <w:vAlign w:val="bottom"/>
            <w:tcBorders>
              <w:bottom w:val="single" w:sz="8" w:color="auto"/>
            </w:tcBorders>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2,336,245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2,200,951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6"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0"/>
        </w:trPr>
        <w:tc>
          <w:tcPr>
            <w:tcW w:w="3540" w:type="dxa"/>
            <w:vAlign w:val="bottom"/>
          </w:tcPr>
          <w:p>
            <w:pPr>
              <w:spacing w:after="0"/>
              <w:rPr>
                <w:sz w:val="15"/>
                <w:szCs w:val="15"/>
                <w:color w:val="auto"/>
              </w:rPr>
            </w:pPr>
          </w:p>
        </w:tc>
        <w:tc>
          <w:tcPr>
            <w:tcW w:w="4900" w:type="dxa"/>
            <w:vAlign w:val="bottom"/>
            <w:gridSpan w:val="2"/>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w w:val="99"/>
              </w:rPr>
              <w:t>LIVANOVA PLC AND SUBSIDIARIES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4900" w:type="dxa"/>
            <w:vAlign w:val="bottom"/>
            <w:gridSpan w:val="2"/>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4900" w:type="dxa"/>
            <w:vAlign w:val="bottom"/>
            <w:gridSpan w:val="2"/>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4900" w:type="dxa"/>
            <w:vAlign w:val="bottom"/>
            <w:gridSpan w:val="2"/>
          </w:tcPr>
          <w:p>
            <w:pPr>
              <w:jc w:val="center"/>
              <w:ind w:right="5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37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94"/>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vMerge w:val="continue"/>
          </w:tcPr>
          <w:p>
            <w:pPr>
              <w:spacing w:after="0"/>
              <w:rPr>
                <w:sz w:val="12"/>
                <w:szCs w:val="12"/>
                <w:color w:val="auto"/>
              </w:rPr>
            </w:pPr>
          </w:p>
        </w:tc>
        <w:tc>
          <w:tcPr>
            <w:tcW w:w="3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4900" w:type="dxa"/>
            <w:vAlign w:val="bottom"/>
            <w:gridSpan w:val="2"/>
            <w:shd w:val="clear" w:color="auto" w:fill="CCEEFF"/>
          </w:tcPr>
          <w:p>
            <w:pPr>
              <w:jc w:val="right"/>
              <w:ind w:right="99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19,437</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(87,248)</w:t>
            </w:r>
          </w:p>
        </w:tc>
        <w:tc>
          <w:tcPr>
            <w:tcW w:w="0" w:type="dxa"/>
            <w:vAlign w:val="bottom"/>
          </w:tcPr>
          <w:p>
            <w:pPr>
              <w:spacing w:after="0"/>
              <w:rPr>
                <w:sz w:val="1"/>
                <w:szCs w:val="1"/>
                <w:color w:val="auto"/>
              </w:rPr>
            </w:pPr>
          </w:p>
        </w:tc>
      </w:tr>
      <w:tr>
        <w:trPr>
          <w:trHeight w:val="168"/>
        </w:trPr>
        <w:tc>
          <w:tcPr>
            <w:tcW w:w="3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items included in net income (loss):</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Remeasurement of contingent consideration to fair value</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(27,359)</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10,746</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19,452</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12,917</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13,353</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11,721</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8,989</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11,096</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12,256</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Remeasurement of derivative instruments</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(5,098)</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13,191</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4,939</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8,947</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Remeasurement of Respicardia investment and loan</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(4,640)</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tax expense</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(4,664)</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(16,461)</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0" w:type="dxa"/>
            <w:vAlign w:val="bottom"/>
          </w:tcPr>
          <w:p>
            <w:pPr>
              <w:spacing w:after="0"/>
              <w:rPr>
                <w:sz w:val="1"/>
                <w:szCs w:val="1"/>
                <w:color w:val="auto"/>
              </w:rPr>
            </w:pP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2,846</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18,786</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current and non-current liabilities</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(19,387)</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3,558</w:t>
            </w:r>
          </w:p>
        </w:tc>
        <w:tc>
          <w:tcPr>
            <w:tcW w:w="0" w:type="dxa"/>
            <w:vAlign w:val="bottom"/>
          </w:tcPr>
          <w:p>
            <w:pPr>
              <w:spacing w:after="0"/>
              <w:rPr>
                <w:sz w:val="1"/>
                <w:szCs w:val="1"/>
                <w:color w:val="auto"/>
              </w:rPr>
            </w:pP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payable</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2,491</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Litigation provision liability</w:t>
            </w:r>
          </w:p>
        </w:tc>
        <w:tc>
          <w:tcPr>
            <w:tcW w:w="376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23,728</w:t>
            </w:r>
          </w:p>
        </w:tc>
        <w:tc>
          <w:tcPr>
            <w:tcW w:w="0" w:type="dxa"/>
            <w:vAlign w:val="bottom"/>
          </w:tcPr>
          <w:p>
            <w:pPr>
              <w:spacing w:after="0"/>
              <w:rPr>
                <w:sz w:val="1"/>
                <w:szCs w:val="1"/>
                <w:color w:val="auto"/>
              </w:rPr>
            </w:pPr>
          </w:p>
        </w:tc>
      </w:tr>
      <w:tr>
        <w:trPr>
          <w:trHeight w:val="158"/>
        </w:trPr>
        <w:tc>
          <w:tcPr>
            <w:tcW w:w="35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7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15,580</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45,111</w:t>
            </w: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37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(11,342)</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(14,622)</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Acquisition, net of cash acquired</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(8,857)</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investments</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(2,097)</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Heart Valves, net of cash disposed</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41,759</w:t>
            </w:r>
          </w:p>
        </w:tc>
        <w:tc>
          <w:tcPr>
            <w:tcW w:w="0" w:type="dxa"/>
            <w:vAlign w:val="bottom"/>
          </w:tcPr>
          <w:p>
            <w:pPr>
              <w:spacing w:after="0"/>
              <w:rPr>
                <w:sz w:val="1"/>
                <w:szCs w:val="1"/>
                <w:color w:val="auto"/>
              </w:rPr>
            </w:pPr>
          </w:p>
        </w:tc>
      </w:tr>
      <w:tr>
        <w:trPr>
          <w:trHeight w:val="168"/>
        </w:trPr>
        <w:tc>
          <w:tcPr>
            <w:tcW w:w="3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Respicardia investment and loan</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23,057</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76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0" w:type="dxa"/>
            <w:vAlign w:val="bottom"/>
          </w:tcPr>
          <w:p>
            <w:pPr>
              <w:spacing w:after="0"/>
              <w:rPr>
                <w:sz w:val="1"/>
                <w:szCs w:val="1"/>
                <w:color w:val="auto"/>
              </w:rPr>
            </w:pPr>
          </w:p>
        </w:tc>
      </w:tr>
      <w:tr>
        <w:trPr>
          <w:trHeight w:val="158"/>
        </w:trPr>
        <w:tc>
          <w:tcPr>
            <w:tcW w:w="35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37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(21,630)</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46,715</w:t>
            </w: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37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long-term debt obligations</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218,342</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8"/>
              </w:rPr>
              <w:t>Shares repurchased from employees for minimum tax withholding</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(8,223)</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(11,072)</w:t>
            </w:r>
          </w:p>
        </w:tc>
        <w:tc>
          <w:tcPr>
            <w:tcW w:w="0" w:type="dxa"/>
            <w:vAlign w:val="bottom"/>
          </w:tcPr>
          <w:p>
            <w:pPr>
              <w:spacing w:after="0"/>
              <w:rPr>
                <w:sz w:val="1"/>
                <w:szCs w:val="1"/>
                <w:color w:val="auto"/>
              </w:rPr>
            </w:pPr>
          </w:p>
        </w:tc>
      </w:tr>
      <w:tr>
        <w:trPr>
          <w:trHeight w:val="168"/>
        </w:trPr>
        <w:tc>
          <w:tcPr>
            <w:tcW w:w="3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share issuances under ESPP</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0" w:type="dxa"/>
            <w:vAlign w:val="bottom"/>
          </w:tcPr>
          <w:p>
            <w:pPr>
              <w:spacing w:after="0"/>
              <w:rPr>
                <w:sz w:val="1"/>
                <w:szCs w:val="1"/>
                <w:color w:val="auto"/>
              </w:rPr>
            </w:pPr>
          </w:p>
        </w:tc>
      </w:tr>
      <w:tr>
        <w:trPr>
          <w:trHeight w:val="168"/>
        </w:trPr>
        <w:tc>
          <w:tcPr>
            <w:tcW w:w="3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(4,387)</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 of long-term debt obligations</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0" w:type="dxa"/>
            <w:vAlign w:val="bottom"/>
          </w:tcPr>
          <w:p>
            <w:pPr>
              <w:spacing w:after="0"/>
              <w:rPr>
                <w:sz w:val="1"/>
                <w:szCs w:val="1"/>
                <w:color w:val="auto"/>
              </w:rPr>
            </w:pPr>
          </w:p>
        </w:tc>
      </w:tr>
      <w:tr>
        <w:trPr>
          <w:trHeight w:val="168"/>
        </w:trPr>
        <w:tc>
          <w:tcPr>
            <w:tcW w:w="3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7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376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208,557</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(14,087)</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37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198,777</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76,554</w:t>
            </w:r>
          </w:p>
        </w:tc>
        <w:tc>
          <w:tcPr>
            <w:tcW w:w="0" w:type="dxa"/>
            <w:vAlign w:val="bottom"/>
          </w:tcPr>
          <w:p>
            <w:pPr>
              <w:spacing w:after="0"/>
              <w:rPr>
                <w:sz w:val="1"/>
                <w:szCs w:val="1"/>
                <w:color w:val="auto"/>
              </w:rPr>
            </w:pPr>
          </w:p>
        </w:tc>
      </w:tr>
      <w:tr>
        <w:trPr>
          <w:trHeight w:val="16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37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207,992</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252,832</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37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406,769</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329,386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right="400" w:hanging="260"/>
        <w:spacing w:after="0" w:line="235" w:lineRule="auto"/>
        <w:tabs>
          <w:tab w:leader="none" w:pos="5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condensed consolidated statement of cash flows for the three and six months ended June 30, 2021 have been revised. For further details refer to “Note 1. Unaudited Condensed Consolidated Financial Statements.”</w:t>
      </w: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Unaudited Condensed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Basis of Presentation</w:t>
      </w:r>
    </w:p>
    <w:p>
      <w:pPr>
        <w:spacing w:after="0" w:line="96"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of LivaNova as of, and for the three and six months ended June 30, 2022 and 2021, have been prepared in accordance with U.S. GAAP for interim financial information and the instructions to Form 10-Q and Article 10 of Regulation S-X. The accompanying condensed consolidated balance sheet of LivaNova at December 31, 2021 has been derived from audited financial statements contained in our 2021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six months ended June 30, 2022, and are not necessarily indicative of the results that may be expected for the year ending December 31, 2022. The financial information presented herein should be read in conjunction with the audited consolidated financial statements and notes thereto accompanying our 2021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Developments</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COVID-19</w:t>
      </w:r>
    </w:p>
    <w:p>
      <w:pPr>
        <w:spacing w:after="0" w:line="87"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The COVID-19 pandemic (“COVID-19”) and its effects on the economy, employment, patient behaviors and supply chain, among others, has caused and may continue to cause variable demand for our products. Throughout the pandemic, healthcare customers have diverted medical resources and priorities towards the treatment of COVID-19, and public health bodies have delayed elective procedures, which has negatively impacted the usage of our products. Further, some people have avoided seeking treatment for non-COVID-19 procedures, and hospitals and clinics have experienced staffing shortages, which has negatively impacted the demand for our products. While the recovery of global cardiopulmonary procedures has resulted in stronger demand for our Cardiopulmonary products, our Neuromodulation business continues to experience ongoing COVID-19 related headwinds as described above. Our Advanced Circulatory Support (“ACS”) business has been similarly negatively impacted by a reduction in patients treated with extracorporeal membrane oxygenation (“ECMO”) related to fewer severe COVID-19 cases and hospital staffing challenges. We are monitoring the potential for various strains of the virus to cause a resumption of high levels of infection and hospitalization that, in turn, may affect the demand for our products.</w:t>
      </w:r>
    </w:p>
    <w:p>
      <w:pPr>
        <w:spacing w:after="0" w:line="63" w:lineRule="exact"/>
        <w:rPr>
          <w:sz w:val="20"/>
          <w:szCs w:val="20"/>
          <w:color w:val="auto"/>
        </w:rPr>
      </w:pPr>
    </w:p>
    <w:p>
      <w:pPr>
        <w:ind w:right="400" w:firstLine="127"/>
        <w:spacing w:after="0" w:line="303" w:lineRule="auto"/>
        <w:rPr>
          <w:sz w:val="20"/>
          <w:szCs w:val="20"/>
          <w:color w:val="auto"/>
        </w:rPr>
      </w:pPr>
      <w:r>
        <w:rPr>
          <w:rFonts w:ascii="Times New Roman" w:cs="Times New Roman" w:eastAsia="Times New Roman" w:hAnsi="Times New Roman"/>
          <w:sz w:val="14"/>
          <w:szCs w:val="14"/>
          <w:color w:val="auto"/>
        </w:rPr>
        <w:t>Moreover, although our RECOVER study and ANTHEM-HFrEF and OSPREY clinical trials continue to progress, there may be delays or closures of sites in the future should COVID-19 or variants thereof strengthen or reemerge.</w:t>
      </w:r>
    </w:p>
    <w:p>
      <w:pPr>
        <w:spacing w:after="0" w:line="29"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Our net sales and profitability have been negatively affected by the unfavorable foreign currency exchange impact of the strengthened U.S. dollar against a number of currencies. Furthermore, we continue to experience supply chain delays and interruptions, labor shortages, inflationary pressures and logistical issues in the wake of COVID-19. Though, to date, our supply of raw materials and the production and distribution of finished products have not been materially affected, demand and low capacity worldwide have caused longer lead times and put price pressure on key raw materials. Moreover, freight and labor costs at our manufacturing facilities have increased substantially due to COVID-related disruptions and in the wake of inflation globally. The Company continues to respond to such challenges, and while we have business continuity plans in place, the impact of the ongoing challenges we are experiencing, along with their potential escalation, may adversely affect our business and the recoverability of our tangible and intangible assets. The future impact of pandemic-related developments remains uncertain.</w:t>
      </w:r>
    </w:p>
    <w:p>
      <w:pPr>
        <w:spacing w:after="0" w:line="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Ukraine Invasion</w:t>
      </w:r>
    </w:p>
    <w:p>
      <w:pPr>
        <w:spacing w:after="0" w:line="98" w:lineRule="exact"/>
        <w:rPr>
          <w:sz w:val="20"/>
          <w:szCs w:val="20"/>
          <w:color w:val="auto"/>
        </w:rPr>
      </w:pPr>
    </w:p>
    <w:p>
      <w:pPr>
        <w:jc w:val="both"/>
        <w:ind w:right="40" w:firstLine="127"/>
        <w:spacing w:after="0" w:line="275" w:lineRule="auto"/>
        <w:rPr>
          <w:sz w:val="20"/>
          <w:szCs w:val="20"/>
          <w:color w:val="auto"/>
        </w:rPr>
      </w:pPr>
      <w:r>
        <w:rPr>
          <w:rFonts w:ascii="Times New Roman" w:cs="Times New Roman" w:eastAsia="Times New Roman" w:hAnsi="Times New Roman"/>
          <w:sz w:val="14"/>
          <w:szCs w:val="14"/>
          <w:color w:val="auto"/>
        </w:rPr>
        <w:t>In February 2022, Russia launched an invasion in Ukraine which caused us to assess our ability to sell in the market due to international sanctions, to consider the potential impact of raw material sourced from the region, and to determine whether we are able to transact in a compliant fashion. Although the region represented 1% of our total net sales for 2021, the Russian invasion of Ukraine has increased economic uncertainties, and a significant escalation or continuation of the conflict could have a material, global impact on our operating results. In addition, our Russian employees and local subsidiary are subject to evolving laws and regulations imposed by the Russian authorities in response to international sanctions.</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Revision of Previously Issued Financial Statements</w:t>
      </w:r>
    </w:p>
    <w:p>
      <w:pPr>
        <w:spacing w:after="0" w:line="85" w:lineRule="exact"/>
        <w:rPr>
          <w:sz w:val="20"/>
          <w:szCs w:val="20"/>
          <w:color w:val="auto"/>
        </w:rPr>
      </w:pPr>
    </w:p>
    <w:p>
      <w:pPr>
        <w:ind w:right="20" w:firstLine="127"/>
        <w:spacing w:after="0" w:line="272" w:lineRule="auto"/>
        <w:rPr>
          <w:sz w:val="20"/>
          <w:szCs w:val="20"/>
          <w:color w:val="auto"/>
        </w:rPr>
      </w:pPr>
      <w:r>
        <w:rPr>
          <w:rFonts w:ascii="Times New Roman" w:cs="Times New Roman" w:eastAsia="Times New Roman" w:hAnsi="Times New Roman"/>
          <w:sz w:val="14"/>
          <w:szCs w:val="14"/>
          <w:color w:val="auto"/>
        </w:rPr>
        <w:t xml:space="preserve">During the fourth quarter of 2021, the Company identified and corrected an error related to foreign currency exchange rates utilized to calculate inventory and cost of sales for the years ended December 31, 2017 through 2020 and the nine months ended September 30, 2021. Using the guidance in ASC Topic 250, </w:t>
      </w:r>
      <w:r>
        <w:rPr>
          <w:rFonts w:ascii="Times New Roman" w:cs="Times New Roman" w:eastAsia="Times New Roman" w:hAnsi="Times New Roman"/>
          <w:sz w:val="14"/>
          <w:szCs w:val="14"/>
          <w:i w:val="1"/>
          <w:iCs w:val="1"/>
          <w:color w:val="auto"/>
        </w:rPr>
        <w:t>Accounting Changes and Error Corrections</w:t>
      </w:r>
      <w:r>
        <w:rPr>
          <w:rFonts w:ascii="Times New Roman" w:cs="Times New Roman" w:eastAsia="Times New Roman" w:hAnsi="Times New Roman"/>
          <w:sz w:val="14"/>
          <w:szCs w:val="14"/>
          <w:color w:val="auto"/>
        </w:rPr>
        <w:t xml:space="preserve">, ASC Topic 250-S99-1, </w:t>
      </w:r>
      <w:r>
        <w:rPr>
          <w:rFonts w:ascii="Times New Roman" w:cs="Times New Roman" w:eastAsia="Times New Roman" w:hAnsi="Times New Roman"/>
          <w:sz w:val="14"/>
          <w:szCs w:val="14"/>
          <w:i w:val="1"/>
          <w:iCs w:val="1"/>
          <w:color w:val="auto"/>
        </w:rPr>
        <w:t>Assessing Materiality</w:t>
      </w:r>
      <w:r>
        <w:rPr>
          <w:rFonts w:ascii="Times New Roman" w:cs="Times New Roman" w:eastAsia="Times New Roman" w:hAnsi="Times New Roman"/>
          <w:sz w:val="14"/>
          <w:szCs w:val="14"/>
          <w:color w:val="auto"/>
        </w:rPr>
        <w:t>, and ASC Topic 250-S99-2,</w:t>
      </w:r>
      <w:r>
        <w:rPr>
          <w:rFonts w:ascii="Times New Roman" w:cs="Times New Roman" w:eastAsia="Times New Roman" w:hAnsi="Times New Roman"/>
          <w:sz w:val="14"/>
          <w:szCs w:val="14"/>
          <w:i w:val="1"/>
          <w:iCs w:val="1"/>
          <w:color w:val="auto"/>
        </w:rPr>
        <w:t xml:space="preserve"> Considering the Effects of Prior Year Misstatements when Quantifying Misstatements in Current Year Financial Statements</w:t>
      </w:r>
      <w:r>
        <w:rPr>
          <w:rFonts w:ascii="Times New Roman" w:cs="Times New Roman" w:eastAsia="Times New Roman" w:hAnsi="Times New Roman"/>
          <w:sz w:val="14"/>
          <w:szCs w:val="14"/>
          <w:color w:val="auto"/>
        </w:rPr>
        <w:t>, we evaluated whether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previously issued consolidated financial statements were materially misstated due to these errors. Based upon our evaluation of both quantitative and qualitative factors, we believe that the effects of these errors were not material individually or in the aggregate to any previously reported quarterly or annual period. Accordingly, we have revised our previously issued financial statements as shown below (in thousands):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Statements of Income (Loss)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940" w:type="dxa"/>
            <w:vAlign w:val="bottom"/>
            <w:tcBorders>
              <w:bottom w:val="single" w:sz="8" w:color="auto"/>
            </w:tcBorders>
          </w:tcPr>
          <w:p>
            <w:pPr>
              <w:spacing w:after="0"/>
              <w:rPr>
                <w:sz w:val="16"/>
                <w:szCs w:val="16"/>
                <w:color w:val="auto"/>
              </w:rPr>
            </w:pPr>
          </w:p>
        </w:tc>
      </w:tr>
      <w:tr>
        <w:trPr>
          <w:trHeight w:val="145"/>
        </w:trPr>
        <w:tc>
          <w:tcPr>
            <w:tcW w:w="3060" w:type="dxa"/>
            <w:vAlign w:val="bottom"/>
          </w:tcPr>
          <w:p>
            <w:pPr>
              <w:spacing w:after="0"/>
              <w:rPr>
                <w:sz w:val="12"/>
                <w:szCs w:val="12"/>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40" w:type="dxa"/>
            <w:vAlign w:val="bottom"/>
          </w:tcPr>
          <w:p>
            <w:pPr>
              <w:spacing w:after="0"/>
              <w:rPr>
                <w:sz w:val="12"/>
                <w:szCs w:val="12"/>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As Revised</w:t>
            </w:r>
          </w:p>
        </w:tc>
        <w:tc>
          <w:tcPr>
            <w:tcW w:w="100" w:type="dxa"/>
            <w:vAlign w:val="bottom"/>
          </w:tcPr>
          <w:p>
            <w:pPr>
              <w:spacing w:after="0"/>
              <w:rPr>
                <w:sz w:val="12"/>
                <w:szCs w:val="12"/>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280" w:type="dxa"/>
            <w:vAlign w:val="bottom"/>
          </w:tcPr>
          <w:p>
            <w:pPr>
              <w:spacing w:after="0"/>
              <w:rPr>
                <w:sz w:val="12"/>
                <w:szCs w:val="12"/>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76"/>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4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90,803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92,204</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173,723</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176,399</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(41,960)</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tax</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(80,615)</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6,552</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(87,248)</w:t>
            </w: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Statements of Comprehensive Income (Loss)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080" w:type="dxa"/>
            <w:vAlign w:val="bottom"/>
            <w:tcBorders>
              <w:bottom w:val="single" w:sz="8" w:color="auto"/>
            </w:tcBorders>
          </w:tcPr>
          <w:p>
            <w:pPr>
              <w:spacing w:after="0"/>
              <w:rPr>
                <w:sz w:val="16"/>
                <w:szCs w:val="16"/>
                <w:color w:val="auto"/>
              </w:rPr>
            </w:pPr>
          </w:p>
        </w:tc>
      </w:tr>
      <w:tr>
        <w:trPr>
          <w:trHeight w:val="145"/>
        </w:trPr>
        <w:tc>
          <w:tcPr>
            <w:tcW w:w="2480" w:type="dxa"/>
            <w:vAlign w:val="bottom"/>
          </w:tcPr>
          <w:p>
            <w:pPr>
              <w:spacing w:after="0"/>
              <w:rPr>
                <w:sz w:val="12"/>
                <w:szCs w:val="12"/>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60" w:type="dxa"/>
            <w:vAlign w:val="bottom"/>
          </w:tcPr>
          <w:p>
            <w:pPr>
              <w:spacing w:after="0"/>
              <w:rPr>
                <w:sz w:val="12"/>
                <w:szCs w:val="1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80" w:type="dxa"/>
            <w:vAlign w:val="bottom"/>
          </w:tcPr>
          <w:p>
            <w:pPr>
              <w:spacing w:after="0"/>
              <w:rPr>
                <w:sz w:val="12"/>
                <w:szCs w:val="12"/>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As Revised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0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40" w:type="dxa"/>
            <w:vAlign w:val="bottom"/>
          </w:tcPr>
          <w:p>
            <w:pPr>
              <w:spacing w:after="0"/>
              <w:rPr>
                <w:sz w:val="12"/>
                <w:szCs w:val="12"/>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76"/>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(55,318)</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(85,016)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(87,248)</w:t>
            </w:r>
          </w:p>
        </w:tc>
      </w:tr>
      <w:tr>
        <w:trPr>
          <w:trHeight w:val="184"/>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(91,982)</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Statements of Stockholders’ Equity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286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145"/>
        </w:trPr>
        <w:tc>
          <w:tcPr>
            <w:tcW w:w="2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460" w:type="dxa"/>
            <w:vAlign w:val="bottom"/>
            <w:tcBorders>
              <w:top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r>
      <w:tr>
        <w:trPr>
          <w:trHeight w:val="17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(837,418)</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1,040,470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(849,214)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1,028,674</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center"/>
              <w:ind w:left="1092"/>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320" w:type="dxa"/>
            <w:vAlign w:val="bottom"/>
            <w:tcBorders>
              <w:bottom w:val="single" w:sz="8" w:color="auto"/>
            </w:tcBorders>
          </w:tcPr>
          <w:p>
            <w:pPr>
              <w:spacing w:after="0"/>
              <w:rPr>
                <w:sz w:val="16"/>
                <w:szCs w:val="16"/>
                <w:color w:val="auto"/>
              </w:rPr>
            </w:pPr>
          </w:p>
        </w:tc>
      </w:tr>
      <w:tr>
        <w:trPr>
          <w:trHeight w:val="145"/>
        </w:trPr>
        <w:tc>
          <w:tcPr>
            <w:tcW w:w="6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300" w:type="dxa"/>
            <w:vAlign w:val="bottom"/>
          </w:tcPr>
          <w:p>
            <w:pPr>
              <w:spacing w:after="0"/>
              <w:rPr>
                <w:sz w:val="12"/>
                <w:szCs w:val="12"/>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2"/>
                <w:szCs w:val="12"/>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7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(85,016)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(87,248)</w:t>
            </w: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45,111</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Reclassifications</w:t>
      </w:r>
    </w:p>
    <w:p>
      <w:pPr>
        <w:spacing w:after="0" w:line="96" w:lineRule="exact"/>
        <w:rPr>
          <w:sz w:val="20"/>
          <w:szCs w:val="20"/>
          <w:color w:val="auto"/>
        </w:rPr>
      </w:pPr>
    </w:p>
    <w:p>
      <w:pPr>
        <w:ind w:right="60" w:firstLine="127"/>
        <w:spacing w:after="0" w:line="287" w:lineRule="auto"/>
        <w:rPr>
          <w:sz w:val="20"/>
          <w:szCs w:val="20"/>
          <w:color w:val="auto"/>
        </w:rPr>
      </w:pPr>
      <w:r>
        <w:rPr>
          <w:rFonts w:ascii="Times New Roman" w:cs="Times New Roman" w:eastAsia="Times New Roman" w:hAnsi="Times New Roman"/>
          <w:sz w:val="14"/>
          <w:szCs w:val="14"/>
          <w:color w:val="auto"/>
        </w:rPr>
        <w:t>We have reclassified certain prior period amounts on the condensed consolidated statements of income (loss), the condensed consolidated balance sheets and the condensed consolidated statements of cash flows for comparative purposes. These reclassifications did not have a material effect on our financial condition, results of operations or cash flows.</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85" w:lineRule="exact"/>
        <w:rPr>
          <w:sz w:val="20"/>
          <w:szCs w:val="20"/>
          <w:color w:val="auto"/>
        </w:rPr>
      </w:pPr>
    </w:p>
    <w:p>
      <w:pPr>
        <w:ind w:right="40" w:firstLine="127"/>
        <w:spacing w:after="0" w:line="303" w:lineRule="auto"/>
        <w:rPr>
          <w:sz w:val="20"/>
          <w:szCs w:val="20"/>
          <w:color w:val="auto"/>
        </w:rPr>
      </w:pPr>
      <w:r>
        <w:rPr>
          <w:rFonts w:ascii="Times New Roman" w:cs="Times New Roman" w:eastAsia="Times New Roman" w:hAnsi="Times New Roman"/>
          <w:sz w:val="14"/>
          <w:szCs w:val="14"/>
          <w:color w:val="auto"/>
        </w:rPr>
        <w:t>Our significant accounting policies are detailed below and in “Note 2. Basis of Presentation, Use of Accounting Estimates and Significant Accounting Policies” and “Note 3. Revenue Recognition” of our 2021 Form 10-K.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w:t>
      </w:r>
    </w:p>
    <w:p>
      <w:pPr>
        <w:spacing w:after="0" w:line="85" w:lineRule="exact"/>
        <w:rPr>
          <w:sz w:val="20"/>
          <w:szCs w:val="20"/>
          <w:color w:val="auto"/>
        </w:rPr>
      </w:pPr>
    </w:p>
    <w:p>
      <w:pPr>
        <w:ind w:right="200" w:firstLine="127"/>
        <w:spacing w:after="0" w:line="269" w:lineRule="auto"/>
        <w:rPr>
          <w:sz w:val="20"/>
          <w:szCs w:val="20"/>
          <w:color w:val="auto"/>
        </w:rPr>
      </w:pPr>
      <w:r>
        <w:rPr>
          <w:rFonts w:ascii="Times New Roman" w:cs="Times New Roman" w:eastAsia="Times New Roman" w:hAnsi="Times New Roman"/>
          <w:sz w:val="14"/>
          <w:szCs w:val="14"/>
          <w:color w:val="auto"/>
        </w:rPr>
        <w:t>The Company classifies cash that is not available for use in its operations as restricted cash within current assets on the condensed consolidated balance sheet. As of June 30, 2022, our restricted cash balance totaled $297.7 million and was comprised of cash deposits with Barclays held as collateral for a first demand bank guarantee of €270.0 million (approximately $281.2 million as of June 30, 2022) to obtain the suspension of the Court of Appeal of Milan judgment for the payment of damages in connection with the SNIA litigation until review of such judgment by the Italian Supreme Court (the “SNIA Litigation Guarantee”). As security for the SNIA Litigation Guarantee, LivaNova is required to grant cash collateral to Barclays in US dollars in an amount equal to the USD equivalent of 105% of the amount of the SNIA Litigation Guarantee calibrated on a biweekly basis. For additional information regarding the SNIA litigation, please refer to “Note 8. Commitments and Contingencies.”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Business Combinations</w:t>
      </w:r>
    </w:p>
    <w:p>
      <w:pPr>
        <w:spacing w:after="0" w:line="87" w:lineRule="exact"/>
        <w:rPr>
          <w:sz w:val="20"/>
          <w:szCs w:val="20"/>
          <w:color w:val="auto"/>
        </w:rPr>
      </w:pPr>
    </w:p>
    <w:p>
      <w:pPr>
        <w:jc w:val="both"/>
        <w:ind w:firstLine="127"/>
        <w:spacing w:after="0" w:line="286" w:lineRule="auto"/>
        <w:rPr>
          <w:sz w:val="20"/>
          <w:szCs w:val="20"/>
          <w:color w:val="auto"/>
        </w:rPr>
      </w:pPr>
      <w:r>
        <w:rPr>
          <w:rFonts w:ascii="Times New Roman" w:cs="Times New Roman" w:eastAsia="Times New Roman" w:hAnsi="Times New Roman"/>
          <w:sz w:val="14"/>
          <w:szCs w:val="14"/>
          <w:color w:val="auto"/>
        </w:rPr>
        <w:t>As of December 31, 2021, LivaNova owned a 3% investment in ALung Technologies, Inc. (“ALung”), a privately held medical device company focused on creating advanced medical devices for treating respiratory failure. On May 2, 2022, we acquired the remaining 97% of equity interests in ALung for a purchase price of up to $110.0 million, consisting of $10.0 million paid at closing, subject to customary adjustments, and contingent consideration of up to $100.0 million payable upon achievement of certain sales-based milestones beginning in 2023 and ending in 2027.</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acquisition date fair value of the consideration transferred and the fair value of our interest in ALung prior to the acquisition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other considerations</w:t>
            </w: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15,586</w:t>
            </w:r>
          </w:p>
        </w:tc>
        <w:tc>
          <w:tcPr>
            <w:tcW w:w="0" w:type="dxa"/>
            <w:vAlign w:val="bottom"/>
          </w:tcPr>
          <w:p>
            <w:pPr>
              <w:spacing w:after="0"/>
              <w:rPr>
                <w:sz w:val="1"/>
                <w:szCs w:val="1"/>
                <w:color w:val="auto"/>
              </w:rPr>
            </w:pPr>
          </w:p>
        </w:tc>
      </w:tr>
      <w:tr>
        <w:trPr>
          <w:trHeight w:val="18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0" w:type="dxa"/>
            <w:vAlign w:val="bottom"/>
          </w:tcPr>
          <w:p>
            <w:pPr>
              <w:spacing w:after="0"/>
              <w:rPr>
                <w:sz w:val="1"/>
                <w:szCs w:val="1"/>
                <w:color w:val="auto"/>
              </w:rPr>
            </w:pPr>
          </w:p>
        </w:tc>
      </w:tr>
      <w:tr>
        <w:trPr>
          <w:trHeight w:val="196"/>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consideration transferred</w:t>
            </w: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preliminary purchase price allocation at fair value for the ALung acquisition (in thousands):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8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0" w:type="dxa"/>
            <w:vAlign w:val="bottom"/>
          </w:tcPr>
          <w:p>
            <w:pPr>
              <w:spacing w:after="0"/>
              <w:rPr>
                <w:sz w:val="1"/>
                <w:szCs w:val="1"/>
                <w:color w:val="auto"/>
              </w:rPr>
            </w:pP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 - 15-year life</w:t>
            </w: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0" w:type="dxa"/>
            <w:vAlign w:val="bottom"/>
          </w:tcPr>
          <w:p>
            <w:pPr>
              <w:spacing w:after="0"/>
              <w:rPr>
                <w:sz w:val="1"/>
                <w:szCs w:val="1"/>
                <w:color w:val="auto"/>
              </w:rPr>
            </w:pPr>
          </w:p>
        </w:tc>
      </w:tr>
      <w:tr>
        <w:trPr>
          <w:trHeight w:val="180"/>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0" w:type="dxa"/>
            <w:vAlign w:val="bottom"/>
          </w:tcPr>
          <w:p>
            <w:pPr>
              <w:spacing w:after="0"/>
              <w:rPr>
                <w:sz w:val="1"/>
                <w:szCs w:val="1"/>
                <w:color w:val="auto"/>
              </w:rPr>
            </w:pPr>
          </w:p>
        </w:tc>
      </w:t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7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171"/>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76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right="160" w:firstLine="127"/>
        <w:spacing w:after="0" w:line="303" w:lineRule="auto"/>
        <w:rPr>
          <w:sz w:val="20"/>
          <w:szCs w:val="20"/>
          <w:color w:val="auto"/>
        </w:rPr>
      </w:pPr>
      <w:r>
        <w:rPr>
          <w:rFonts w:ascii="Times New Roman" w:cs="Times New Roman" w:eastAsia="Times New Roman" w:hAnsi="Times New Roman"/>
          <w:sz w:val="14"/>
          <w:szCs w:val="14"/>
          <w:color w:val="auto"/>
        </w:rPr>
        <w:t>Goodwill arising from the ALung acquisition, which is not deductible for tax purposes, primarily represents the synergies anticipated between ALung and our ACS business. The assets acquired, including goodwill, are recognized in our ACS segment.</w:t>
      </w:r>
    </w:p>
    <w:p>
      <w:pPr>
        <w:spacing w:after="0" w:line="39" w:lineRule="exact"/>
        <w:rPr>
          <w:sz w:val="20"/>
          <w:szCs w:val="20"/>
          <w:color w:val="auto"/>
        </w:rPr>
      </w:pPr>
    </w:p>
    <w:p>
      <w:pPr>
        <w:ind w:right="20" w:firstLine="127"/>
        <w:spacing w:after="0" w:line="287" w:lineRule="auto"/>
        <w:rPr>
          <w:sz w:val="20"/>
          <w:szCs w:val="20"/>
          <w:color w:val="auto"/>
        </w:rPr>
      </w:pPr>
      <w:r>
        <w:rPr>
          <w:rFonts w:ascii="Times New Roman" w:cs="Times New Roman" w:eastAsia="Times New Roman" w:hAnsi="Times New Roman"/>
          <w:sz w:val="14"/>
          <w:szCs w:val="14"/>
          <w:color w:val="auto"/>
        </w:rPr>
        <w:t>We recognized ALung acquisition-related expenses of approximately $4.4 million during the three and six months ended June 30, 2022 within “Selling, general and administrative” expenses on our consolidated statement of income (loss).</w:t>
      </w:r>
    </w:p>
    <w:p>
      <w:pPr>
        <w:spacing w:after="0" w:line="50" w:lineRule="exact"/>
        <w:rPr>
          <w:sz w:val="20"/>
          <w:szCs w:val="20"/>
          <w:color w:val="auto"/>
        </w:rPr>
      </w:pPr>
    </w:p>
    <w:p>
      <w:pPr>
        <w:ind w:right="120" w:firstLine="127"/>
        <w:spacing w:after="0" w:line="303" w:lineRule="auto"/>
        <w:rPr>
          <w:sz w:val="20"/>
          <w:szCs w:val="20"/>
          <w:color w:val="auto"/>
        </w:rPr>
      </w:pPr>
      <w:r>
        <w:rPr>
          <w:rFonts w:ascii="Times New Roman" w:cs="Times New Roman" w:eastAsia="Times New Roman" w:hAnsi="Times New Roman"/>
          <w:sz w:val="14"/>
          <w:szCs w:val="14"/>
          <w:color w:val="auto"/>
        </w:rPr>
        <w:t>The Company’s consolidated financial statements include the operating results of ALung from the acquisition date. Separate post-acquisition operating results and pro forma financial information for this acquisition have not been presented as the effect was not material for disclosure purposes.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1" w:name="page12"/>
    <w:bookmarkEnd w:id="11"/>
    <w:p>
      <w:pPr>
        <w:ind w:right="160" w:firstLine="127"/>
        <w:spacing w:after="0" w:line="278" w:lineRule="auto"/>
        <w:rPr>
          <w:sz w:val="20"/>
          <w:szCs w:val="20"/>
          <w:color w:val="auto"/>
        </w:rPr>
      </w:pPr>
      <w:r>
        <w:rPr>
          <w:rFonts w:ascii="Times New Roman" w:cs="Times New Roman" w:eastAsia="Times New Roman" w:hAnsi="Times New Roman"/>
          <w:sz w:val="14"/>
          <w:szCs w:val="14"/>
          <w:color w:val="auto"/>
        </w:rPr>
        <w:t>The contingent consideration payments are triggered upon the achievement of thresholds associated with sales of products covered by the purchase agreement and are estimated to occur during the years reflected in the table below. The sales-based earnout was valued using projected sales from our internal strategic plan and is a Level 3 fair value measurement, which includes the following significant unobservable inputs (in thousands):</w:t>
      </w:r>
    </w:p>
    <w:p>
      <w:pPr>
        <w:spacing w:after="0" w:line="5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ALung Acquisition</w:t>
            </w:r>
          </w:p>
        </w:tc>
        <w:tc>
          <w:tcPr>
            <w:tcW w:w="10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 May 2,</w:t>
            </w:r>
          </w:p>
        </w:tc>
        <w:tc>
          <w:tcPr>
            <w:tcW w:w="22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4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560" w:type="dxa"/>
            <w:vAlign w:val="bottom"/>
          </w:tcPr>
          <w:p>
            <w:pPr>
              <w:spacing w:after="0"/>
              <w:rPr>
                <w:sz w:val="13"/>
                <w:szCs w:val="13"/>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Sales-based earnout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10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11.1%</w:t>
            </w: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38.5%</w:t>
            </w: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 a reconciliation of the beginning and ending balance of contingent consideration liabilities refer to “Note 5. Fair Value Measurements.”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Divestiture of Heart Valve Business</w:t>
      </w:r>
    </w:p>
    <w:p>
      <w:pPr>
        <w:spacing w:after="0" w:line="87" w:lineRule="exact"/>
        <w:rPr>
          <w:sz w:val="20"/>
          <w:szCs w:val="20"/>
          <w:color w:val="auto"/>
        </w:rPr>
      </w:pPr>
    </w:p>
    <w:p>
      <w:pPr>
        <w:ind w:right="120" w:firstLine="127"/>
        <w:spacing w:after="0" w:line="272" w:lineRule="auto"/>
        <w:rPr>
          <w:sz w:val="20"/>
          <w:szCs w:val="20"/>
          <w:color w:val="auto"/>
        </w:rPr>
      </w:pPr>
      <w:r>
        <w:rPr>
          <w:rFonts w:ascii="Times New Roman" w:cs="Times New Roman" w:eastAsia="Times New Roman" w:hAnsi="Times New Roman"/>
          <w:sz w:val="14"/>
          <w:szCs w:val="14"/>
          <w:color w:val="auto"/>
        </w:rPr>
        <w:t>On December 2, 2020, LivaNova entered into a Purchase Agreement with Mitral Holdco S.à r.l. (“Mitral”), a company incorporated under the laws of Luxembourg and wholly-owned and controlled by funds advised by Gyrus Capital S.A., a Swiss private equity firm. The Purchase Agreement provides for the divestiture of certain of LivaNova’s subsidiaries as well as certain other assets and liabilities relating to the Company’s Heart Valve business and site management operations conducted by the Company’s subsidiary LivaNova Site Management (“LSM”) at the Company’s Saluggia campus for €60.0 million. On April 9, 2021, LivaNova and the Purchaser entered into an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w:t>
      </w:r>
    </w:p>
    <w:p>
      <w:pPr>
        <w:spacing w:after="0" w:line="51" w:lineRule="exact"/>
        <w:rPr>
          <w:sz w:val="20"/>
          <w:szCs w:val="20"/>
          <w:color w:val="auto"/>
        </w:rPr>
      </w:pPr>
    </w:p>
    <w:p>
      <w:pPr>
        <w:ind w:right="100" w:firstLine="127"/>
        <w:spacing w:after="0" w:line="273" w:lineRule="auto"/>
        <w:rPr>
          <w:sz w:val="20"/>
          <w:szCs w:val="20"/>
          <w:color w:val="auto"/>
        </w:rPr>
      </w:pPr>
      <w:r>
        <w:rPr>
          <w:rFonts w:ascii="Times New Roman" w:cs="Times New Roman" w:eastAsia="Times New Roman" w:hAnsi="Times New Roman"/>
          <w:sz w:val="14"/>
          <w:szCs w:val="14"/>
          <w:color w:val="auto"/>
        </w:rPr>
        <w:t>The closing of the sale of the Heart Valve business occurred on June 1, 2021, and we received €34.8 million (approximately $42.5 million as of June 1, 2021), subject to customary trade working capital and net indebtedness adjustments, as set forth in the Purchase Agreement. We also received $3.0 million in December 2021 and the remaining deferred purchase price of €9.3 million in July 2022. In July 2022, we also made a €4.8 million payment to Mitral upon finalizing the trade working capital and net indebtedness adjustments. During the three and six months ended June 30, 2021, we recognized a (loss) gain from the sale of the Heart Valve business of $(0.1) million and $0.8 million, respectively, which is included within other operating expenses on the condensed consolidated statements of income (loss).</w:t>
      </w:r>
    </w:p>
    <w:p>
      <w:pPr>
        <w:spacing w:after="0" w:line="50"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On July 29, 2022, we received a demand letter from Mitral for approximately €20.8 million ($21.2 million as of July 29, 2022) for breach of warranty claims under the A&amp;R Purchase Agreement. Specifically, the claims allege failure to disclose certain information relating to a supplier, thereby allegedly impacting the profitability of Mitral’s business in China and Japan. We are currently assessing the merits of Mitral’s claims including whether Mitral has suffered a recoverable loss under the A&amp;R Purchase Agreement, pursuant to which warranty claims of this type, subject to certain exceptions, are capped at €8 million, and the amount of any such loss. The Company has not recognized a liability related to this matter because any potential loss is not currently probable.</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3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Note 4. Investments</w:t>
      </w:r>
    </w:p>
    <w:p>
      <w:pPr>
        <w:spacing w:after="0" w:line="87"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Investments on the condensed consolidated balance sheets represent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As of June 30, 2022 and December 31, 2021, the carrying value of our investments was $14.0 million and $16.6 million, respectively.</w:t>
      </w:r>
    </w:p>
    <w:p>
      <w:pPr>
        <w:spacing w:after="0" w:line="58" w:lineRule="exact"/>
        <w:rPr>
          <w:sz w:val="20"/>
          <w:szCs w:val="20"/>
          <w:color w:val="auto"/>
        </w:rPr>
      </w:pPr>
    </w:p>
    <w:p>
      <w:pPr>
        <w:jc w:val="both"/>
        <w:ind w:firstLine="127"/>
        <w:spacing w:after="0" w:line="303" w:lineRule="auto"/>
        <w:rPr>
          <w:sz w:val="20"/>
          <w:szCs w:val="20"/>
          <w:color w:val="auto"/>
        </w:rPr>
      </w:pPr>
      <w:r>
        <w:rPr>
          <w:rFonts w:ascii="Times New Roman" w:cs="Times New Roman" w:eastAsia="Times New Roman" w:hAnsi="Times New Roman"/>
          <w:sz w:val="14"/>
          <w:szCs w:val="14"/>
          <w:color w:val="auto"/>
        </w:rPr>
        <w:t>As of December 31, 2021, LivaNova owned a 3% investment in ALung with a carrying value of $3.0 million, as well as held a note receivable due from ALung with a carrying value of $2.5 million. On May 2, 2022, we acquired the remaining 97% of equity interests in ALung. Please refer to “Note 2. Business Combinations” for further details.</w:t>
      </w:r>
    </w:p>
    <w:p>
      <w:pPr>
        <w:spacing w:after="0" w:line="29"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4"/>
          <w:szCs w:val="14"/>
          <w:color w:val="auto"/>
        </w:rPr>
        <w:t>In April 2021, Zoll Medical Corporation acquired Respicardia Inc., a privately funded U.S. company in which we had an equity investment and also to which we had a loan outstanding. As a result of the acquisition, we received proceeds of $23.1 million for both our investment and loan receivable, which had carrying values of $17.7 million and $0.8 million as of December 31, 2020, respectively. The Company recorded a gain of $4.6 million during the first quarter of 2021 to adjust the investment and loans receivable to fair value, which is included in “Foreign exchange and other income/(expense)” on the condensed consolidated statement of income (loss).</w:t>
      </w:r>
    </w:p>
    <w:p>
      <w:pPr>
        <w:spacing w:after="0" w:line="58" w:lineRule="exact"/>
        <w:rPr>
          <w:sz w:val="20"/>
          <w:szCs w:val="20"/>
          <w:color w:val="auto"/>
        </w:rPr>
      </w:pPr>
    </w:p>
    <w:p>
      <w:pPr>
        <w:jc w:val="both"/>
        <w:ind w:firstLine="127"/>
        <w:spacing w:after="0" w:line="303" w:lineRule="auto"/>
        <w:rPr>
          <w:sz w:val="20"/>
          <w:szCs w:val="20"/>
          <w:color w:val="auto"/>
        </w:rPr>
      </w:pPr>
      <w:r>
        <w:rPr>
          <w:rFonts w:ascii="Times New Roman" w:cs="Times New Roman" w:eastAsia="Times New Roman" w:hAnsi="Times New Roman"/>
          <w:sz w:val="14"/>
          <w:szCs w:val="14"/>
          <w:color w:val="auto"/>
        </w:rPr>
        <w:t>During the second quarter of 2021, the Company received a cash dividend from its investment in MD Start II of $3.1 million, which is included in “Foreign exchange and other income/(expense)” on the condensed consolidated statements of income (loss) for the three and six months ended June 30, 2021.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Fair Value Measurements</w:t>
      </w:r>
    </w:p>
    <w:p>
      <w:pPr>
        <w:spacing w:after="0" w:line="98" w:lineRule="exact"/>
        <w:rPr>
          <w:sz w:val="20"/>
          <w:szCs w:val="20"/>
          <w:color w:val="auto"/>
        </w:rPr>
      </w:pPr>
    </w:p>
    <w:p>
      <w:pPr>
        <w:ind w:right="100" w:firstLine="127"/>
        <w:spacing w:after="0" w:line="287" w:lineRule="auto"/>
        <w:rPr>
          <w:sz w:val="20"/>
          <w:szCs w:val="20"/>
          <w:color w:val="auto"/>
        </w:rPr>
      </w:pPr>
      <w:r>
        <w:rPr>
          <w:rFonts w:ascii="Times New Roman" w:cs="Times New Roman" w:eastAsia="Times New Roman" w:hAnsi="Times New Roman"/>
          <w:sz w:val="14"/>
          <w:szCs w:val="14"/>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six months ended June 30, 2022 and 2021.</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tables provide information by level for assets and liabilities that are measured at fair value on a recurring basis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June 30,</w:t>
            </w:r>
          </w:p>
        </w:tc>
        <w:tc>
          <w:tcPr>
            <w:tcW w:w="2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 Inputs Considered as:</w:t>
            </w:r>
          </w:p>
        </w:tc>
        <w:tc>
          <w:tcPr>
            <w:tcW w:w="0" w:type="dxa"/>
            <w:vAlign w:val="bottom"/>
          </w:tcPr>
          <w:p>
            <w:pPr>
              <w:spacing w:after="0"/>
              <w:rPr>
                <w:sz w:val="1"/>
                <w:szCs w:val="1"/>
                <w:color w:val="auto"/>
              </w:rPr>
            </w:pPr>
          </w:p>
        </w:tc>
      </w:tr>
      <w:tr>
        <w:trPr>
          <w:trHeight w:val="181"/>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6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9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560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designated as cash flow hedges (foreign currency exchange rate “FX”)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 - freestanding instruments (FX)</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capped call derivatives</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61,608</w:t>
            </w:r>
          </w:p>
        </w:tc>
        <w:tc>
          <w:tcPr>
            <w:tcW w:w="0" w:type="dxa"/>
            <w:vAlign w:val="bottom"/>
          </w:tcPr>
          <w:p>
            <w:pPr>
              <w:spacing w:after="0"/>
              <w:rPr>
                <w:sz w:val="1"/>
                <w:szCs w:val="1"/>
                <w:color w:val="auto"/>
              </w:rPr>
            </w:pPr>
          </w:p>
        </w:tc>
      </w:tr>
      <w:tr>
        <w:trPr>
          <w:trHeight w:val="180"/>
        </w:trPr>
        <w:tc>
          <w:tcPr>
            <w:tcW w:w="5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61,886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designated as cash flow hedges (FX)</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134,090</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97,392</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234,871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231,482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December</w:t>
            </w:r>
          </w:p>
        </w:tc>
        <w:tc>
          <w:tcPr>
            <w:tcW w:w="20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c>
          <w:tcPr>
            <w:tcW w:w="0" w:type="dxa"/>
            <w:vAlign w:val="bottom"/>
          </w:tcPr>
          <w:p>
            <w:pPr>
              <w:spacing w:after="0"/>
              <w:rPr>
                <w:sz w:val="1"/>
                <w:szCs w:val="1"/>
                <w:color w:val="auto"/>
              </w:rPr>
            </w:pPr>
          </w:p>
        </w:tc>
      </w:tr>
      <w:tr>
        <w:trPr>
          <w:trHeight w:val="181"/>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5"/>
                <w:szCs w:val="15"/>
                <w:color w:val="auto"/>
              </w:rPr>
            </w:pPr>
          </w:p>
        </w:tc>
        <w:tc>
          <w:tcPr>
            <w:tcW w:w="13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5580" w:type="dxa"/>
            <w:vAlign w:val="bottom"/>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Derivative assets - designated as cash flow hedges (foreign currency exchange rate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FX</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 - freestanding instruments (FX)</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capped call derivatives</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0" w:type="dxa"/>
            <w:vAlign w:val="bottom"/>
          </w:tcPr>
          <w:p>
            <w:pPr>
              <w:spacing w:after="0"/>
              <w:rPr>
                <w:sz w:val="1"/>
                <w:szCs w:val="1"/>
                <w:color w:val="auto"/>
              </w:rPr>
            </w:pPr>
          </w:p>
        </w:tc>
      </w:tr>
      <w:tr>
        <w:trPr>
          <w:trHeight w:val="180"/>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109,396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designated as cash flow hedges (FX)</w:t>
            </w: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181,700</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98,382</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281,795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280,082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of our recurring fair value measurements, using significant unobservable inputs (Level 3)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Capped Call Derivative</w:t>
            </w:r>
          </w:p>
        </w:tc>
        <w:tc>
          <w:tcPr>
            <w:tcW w:w="20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60" w:type="dxa"/>
            <w:vAlign w:val="bottom"/>
          </w:tcPr>
          <w:p>
            <w:pPr>
              <w:spacing w:after="0"/>
              <w:rPr>
                <w:sz w:val="13"/>
                <w:szCs w:val="13"/>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Embedded Exchange</w:t>
            </w:r>
          </w:p>
        </w:tc>
        <w:tc>
          <w:tcPr>
            <w:tcW w:w="80" w:type="dxa"/>
            <w:vAlign w:val="bottom"/>
          </w:tcPr>
          <w:p>
            <w:pPr>
              <w:spacing w:after="0"/>
              <w:rPr>
                <w:sz w:val="13"/>
                <w:szCs w:val="13"/>
                <w:color w:val="auto"/>
              </w:rPr>
            </w:pPr>
          </w:p>
        </w:tc>
        <w:tc>
          <w:tcPr>
            <w:tcW w:w="1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Feature Derivative Liability</w:t>
            </w:r>
          </w:p>
        </w:tc>
        <w:tc>
          <w:tcPr>
            <w:tcW w:w="80" w:type="dxa"/>
            <w:vAlign w:val="bottom"/>
          </w:tcPr>
          <w:p>
            <w:pPr>
              <w:spacing w:after="0"/>
              <w:rPr>
                <w:sz w:val="16"/>
                <w:szCs w:val="16"/>
                <w:color w:val="auto"/>
              </w:rPr>
            </w:pP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Liability Arrangements</w:t>
            </w:r>
          </w:p>
        </w:tc>
      </w:tr>
      <w:tr>
        <w:trPr>
          <w:trHeight w:val="17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181,700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98,382</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2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26,369</w:t>
            </w: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Utilized as business combination consideration</w:t>
            </w: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(27,359)</w:t>
            </w:r>
          </w:p>
        </w:tc>
      </w:tr>
      <w:tr>
        <w:trPr>
          <w:trHeight w:val="17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at June 30, 2022</w:t>
            </w:r>
          </w:p>
        </w:tc>
        <w:tc>
          <w:tcPr>
            <w:tcW w:w="1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134,090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97,392</w:t>
            </w:r>
          </w:p>
        </w:tc>
      </w:tr>
      <w:tr>
        <w:trPr>
          <w:trHeight w:val="180"/>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current portion at June 30, 2022</w:t>
            </w:r>
          </w:p>
        </w:tc>
        <w:tc>
          <w:tcPr>
            <w:tcW w:w="12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w:t>
            </w:r>
          </w:p>
        </w:tc>
      </w:tr>
      <w:tr>
        <w:trPr>
          <w:trHeight w:val="196"/>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portion at June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right="420" w:hanging="260"/>
        <w:spacing w:after="0" w:line="281" w:lineRule="auto"/>
        <w:tabs>
          <w:tab w:leader="none" w:pos="5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decrease in fair value associated with contingent consideration arrangements during the six months ended June 30, 2022 was primarily related to the change in discount rates due to increasing interest rates and the change in probability of the regulatory milestone-based payment associated with the acquisition of TandemLife.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 and Capped Call Derivatives</w:t>
      </w:r>
    </w:p>
    <w:p>
      <w:pPr>
        <w:spacing w:after="0" w:line="85" w:lineRule="exact"/>
        <w:rPr>
          <w:sz w:val="20"/>
          <w:szCs w:val="20"/>
          <w:color w:val="auto"/>
        </w:rPr>
      </w:pPr>
    </w:p>
    <w:p>
      <w:pPr>
        <w:ind w:right="160" w:firstLine="127"/>
        <w:spacing w:after="0" w:line="273" w:lineRule="auto"/>
        <w:rPr>
          <w:sz w:val="20"/>
          <w:szCs w:val="20"/>
          <w:color w:val="auto"/>
        </w:rPr>
      </w:pPr>
      <w:r>
        <w:rPr>
          <w:rFonts w:ascii="Times New Roman" w:cs="Times New Roman" w:eastAsia="Times New Roman" w:hAnsi="Times New Roman"/>
          <w:sz w:val="14"/>
          <w:szCs w:val="14"/>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6.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60"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The embedded exchange feature and capped call derivatives are classified as Level 3 as the Company uses historical volatility and implied volatility from options traded to determine expected stock price volatility, an unobservable input that is significant to the valuation. In general, an increase in our stock price or stock price volatility would increase the fair value of the embedded exchange feature and capped call derivatives which would result in an increase in expense. As time to the expiration of the derivatives decreases, the fair value of the derivatives would decrease. The future impact on net income depends on how significant inputs such as stock price, stock price volatility and time to the expiration of the derivatives change in relation to</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4" w:name="page15"/>
    <w:bookmarkEnd w:id="14"/>
    <w:p>
      <w:pPr>
        <w:ind w:right="200"/>
        <w:spacing w:after="0" w:line="303" w:lineRule="auto"/>
        <w:rPr>
          <w:sz w:val="20"/>
          <w:szCs w:val="20"/>
          <w:color w:val="auto"/>
        </w:rPr>
      </w:pPr>
      <w:r>
        <w:rPr>
          <w:rFonts w:ascii="Times New Roman" w:cs="Times New Roman" w:eastAsia="Times New Roman" w:hAnsi="Times New Roman"/>
          <w:sz w:val="14"/>
          <w:szCs w:val="14"/>
          <w:color w:val="auto"/>
        </w:rPr>
        <w:t>other inputs. Changes in the fair value of the embedded exchange feature derivative and capped call derivatives are recognized in “Foreign exchange and other income/(expense)” in the condensed consolidated statements of income (loss).</w:t>
      </w:r>
    </w:p>
    <w:p>
      <w:pPr>
        <w:spacing w:after="0" w:line="29"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The fair value of the embedded exchange feature derivative liability and the capped call derivative assets were $134.1 million and $61.6 million, respectively, as of June 30, 2022 and the stock price volatility was 54%. As of June 30, 2022, a 10% lower volatility, holding other inputs constant, would result in approximate fair value for the embedded exchange feature derivative of $118.5 million and a 10% higher volatility, holding other inputs constant, would result in approximate fair value of $146.8 million. As of June 30, 2022, a 10% lower volatility, holding other inputs constant, would result in approximate fair value for the capped call derivatives of $65.0 million and a 10% higher volatility, holding other inputs constant, would result in approximate fair value of $57.4 million.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Arrangements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provides the fair value of our Level 3 contingent consideration arrangements by acquisition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ImThera</w:t>
            </w:r>
          </w:p>
        </w:tc>
        <w:tc>
          <w:tcPr>
            <w:tcW w:w="1460" w:type="dxa"/>
            <w:vAlign w:val="bottom"/>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86,830</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TandemLife</w:t>
            </w:r>
          </w:p>
        </w:tc>
        <w:tc>
          <w:tcPr>
            <w:tcW w:w="14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11,552</w:t>
            </w:r>
          </w:p>
        </w:tc>
      </w:tr>
      <w:tr>
        <w:trPr>
          <w:trHeight w:val="171"/>
        </w:trPr>
        <w:tc>
          <w:tcPr>
            <w:tcW w:w="7260" w:type="dxa"/>
            <w:vAlign w:val="bottom"/>
          </w:tcPr>
          <w:p>
            <w:pPr>
              <w:spacing w:after="0"/>
              <w:rPr>
                <w:sz w:val="14"/>
                <w:szCs w:val="14"/>
                <w:color w:val="auto"/>
              </w:rPr>
            </w:pPr>
          </w:p>
        </w:tc>
        <w:tc>
          <w:tcPr>
            <w:tcW w:w="1460" w:type="dxa"/>
            <w:vAlign w:val="bottom"/>
            <w:tcBorders>
              <w:bottom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97,392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98,382</w:t>
            </w:r>
          </w:p>
        </w:tc>
      </w:tr>
      <w:tr>
        <w:trPr>
          <w:trHeight w:val="20"/>
        </w:trPr>
        <w:tc>
          <w:tcPr>
            <w:tcW w:w="7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right="80" w:firstLine="127"/>
        <w:spacing w:after="0" w:line="286" w:lineRule="auto"/>
        <w:rPr>
          <w:sz w:val="20"/>
          <w:szCs w:val="20"/>
          <w:color w:val="auto"/>
        </w:rPr>
      </w:pPr>
      <w:r>
        <w:rPr>
          <w:rFonts w:ascii="Times New Roman" w:cs="Times New Roman" w:eastAsia="Times New Roman" w:hAnsi="Times New Roman"/>
          <w:sz w:val="14"/>
          <w:szCs w:val="14"/>
          <w:color w:val="auto"/>
        </w:rPr>
        <w:t>The ImThera business combination involved contingent consideration arrangements composed of potential cash payments upon the achievement of a certain regulatory milestone and a sales-based earnout associated with sales of products. The sales-based earnouts are valued using projected sales from our internal strategic plan. These arrangements are Level 3 fair value measurements and include the following significant unobservable inputs as of June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9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7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720" w:type="dxa"/>
            <w:vAlign w:val="bottom"/>
          </w:tcPr>
          <w:p>
            <w:pPr>
              <w:spacing w:after="0"/>
              <w:rPr>
                <w:sz w:val="16"/>
                <w:szCs w:val="16"/>
                <w:color w:val="auto"/>
              </w:rPr>
            </w:pPr>
          </w:p>
        </w:tc>
      </w:tr>
      <w:tr>
        <w:trPr>
          <w:trHeight w:val="171"/>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100" w:type="dxa"/>
            <w:vAlign w:val="bottom"/>
            <w:tcBorders>
              <w:top w:val="single" w:sz="8" w:color="CCEEFF"/>
            </w:tcBorders>
            <w:shd w:val="clear" w:color="auto" w:fill="CCEEFF"/>
          </w:tcPr>
          <w:p>
            <w:pPr>
              <w:spacing w:after="0"/>
              <w:rPr>
                <w:sz w:val="14"/>
                <w:szCs w:val="14"/>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11.8%</w:t>
            </w:r>
          </w:p>
        </w:tc>
        <w:tc>
          <w:tcPr>
            <w:tcW w:w="720" w:type="dxa"/>
            <w:vAlign w:val="bottom"/>
            <w:tcBorders>
              <w:top w:val="single" w:sz="8" w:color="auto"/>
            </w:tcBorders>
            <w:shd w:val="clear" w:color="auto" w:fill="CCEEFF"/>
          </w:tcPr>
          <w:p>
            <w:pPr>
              <w:spacing w:after="0"/>
              <w:rPr>
                <w:sz w:val="14"/>
                <w:szCs w:val="14"/>
                <w:color w:val="auto"/>
              </w:rPr>
            </w:pP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7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720" w:type="dxa"/>
            <w:vAlign w:val="bottom"/>
          </w:tcPr>
          <w:p>
            <w:pPr>
              <w:spacing w:after="0"/>
              <w:rPr>
                <w:sz w:val="15"/>
                <w:szCs w:val="15"/>
                <w:color w:val="auto"/>
              </w:rPr>
            </w:pP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720" w:type="dxa"/>
            <w:vAlign w:val="bottom"/>
            <w:shd w:val="clear" w:color="auto" w:fill="CCEEFF"/>
          </w:tcPr>
          <w:p>
            <w:pPr>
              <w:spacing w:after="0"/>
              <w:rPr>
                <w:sz w:val="15"/>
                <w:szCs w:val="15"/>
                <w:color w:val="auto"/>
              </w:rPr>
            </w:pPr>
          </w:p>
        </w:tc>
      </w:t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 Carlo simulation</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14.4%</w:t>
            </w:r>
          </w:p>
        </w:tc>
        <w:tc>
          <w:tcPr>
            <w:tcW w:w="720" w:type="dxa"/>
            <w:vAlign w:val="bottom"/>
            <w:shd w:val="clear" w:color="auto" w:fill="CCEEFF"/>
          </w:tcPr>
          <w:p>
            <w:pPr>
              <w:spacing w:after="0"/>
              <w:rPr>
                <w:sz w:val="15"/>
                <w:szCs w:val="15"/>
                <w:color w:val="auto"/>
              </w:rPr>
            </w:pP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12.4%</w:t>
            </w: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13.4%</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32.5%</w:t>
            </w:r>
          </w:p>
        </w:tc>
        <w:tc>
          <w:tcPr>
            <w:tcW w:w="720" w:type="dxa"/>
            <w:vAlign w:val="bottom"/>
            <w:shd w:val="clear" w:color="auto" w:fill="CCEEFF"/>
          </w:tcPr>
          <w:p>
            <w:pPr>
              <w:spacing w:after="0"/>
              <w:rPr>
                <w:sz w:val="15"/>
                <w:szCs w:val="15"/>
                <w:color w:val="auto"/>
              </w:rPr>
            </w:pP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7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720" w:type="dxa"/>
            <w:vAlign w:val="bottom"/>
          </w:tcPr>
          <w:p>
            <w:pPr>
              <w:spacing w:after="0"/>
              <w:rPr>
                <w:sz w:val="15"/>
                <w:szCs w:val="15"/>
                <w:color w:val="auto"/>
              </w:rPr>
            </w:pP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2028</w:t>
            </w:r>
          </w:p>
        </w:tc>
      </w:tr>
    </w:tbl>
    <w:p>
      <w:pPr>
        <w:spacing w:after="0" w:line="251" w:lineRule="exact"/>
        <w:rPr>
          <w:sz w:val="20"/>
          <w:szCs w:val="20"/>
          <w:color w:val="auto"/>
        </w:rPr>
      </w:pPr>
    </w:p>
    <w:p>
      <w:pPr>
        <w:ind w:right="600" w:firstLine="127"/>
        <w:spacing w:after="0" w:line="303" w:lineRule="auto"/>
        <w:rPr>
          <w:sz w:val="20"/>
          <w:szCs w:val="20"/>
          <w:color w:val="auto"/>
        </w:rPr>
      </w:pPr>
      <w:r>
        <w:rPr>
          <w:rFonts w:ascii="Times New Roman" w:cs="Times New Roman" w:eastAsia="Times New Roman" w:hAnsi="Times New Roman"/>
          <w:sz w:val="14"/>
          <w:szCs w:val="14"/>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as of June 30,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TandemLife Acquisition</w:t>
            </w:r>
          </w:p>
        </w:tc>
        <w:tc>
          <w:tcPr>
            <w:tcW w:w="31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1"/>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jc w:val="right"/>
              <w:ind w:right="1709"/>
              <w:spacing w:after="0"/>
              <w:rPr>
                <w:sz w:val="20"/>
                <w:szCs w:val="20"/>
                <w:color w:val="auto"/>
              </w:rPr>
            </w:pPr>
            <w:r>
              <w:rPr>
                <w:rFonts w:ascii="Times New Roman" w:cs="Times New Roman" w:eastAsia="Times New Roman" w:hAnsi="Times New Roman"/>
                <w:sz w:val="14"/>
                <w:szCs w:val="14"/>
                <w:color w:val="auto"/>
              </w:rPr>
              <w:t>Discounted cash flow</w:t>
            </w:r>
          </w:p>
        </w:tc>
        <w:tc>
          <w:tcPr>
            <w:tcW w:w="1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4"/>
                <w:szCs w:val="14"/>
                <w:color w:val="auto"/>
              </w:rPr>
            </w:pPr>
          </w:p>
        </w:tc>
      </w:tr>
      <w:tr>
        <w:trPr>
          <w:trHeight w:val="180"/>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5"/>
                <w:szCs w:val="15"/>
                <w:color w:val="auto"/>
              </w:rPr>
            </w:pPr>
          </w:p>
        </w:tc>
      </w:tr>
      <w:tr>
        <w:trPr>
          <w:trHeight w:val="180"/>
        </w:trPr>
        <w:tc>
          <w:tcPr>
            <w:tcW w:w="3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5"/>
                <w:szCs w:val="15"/>
                <w:color w:val="auto"/>
              </w:rPr>
            </w:pPr>
          </w:p>
        </w:tc>
      </w:tr>
      <w:tr>
        <w:trPr>
          <w:trHeight w:val="710"/>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3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0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0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ind w:right="240" w:firstLine="127"/>
        <w:spacing w:after="0" w:line="287" w:lineRule="auto"/>
        <w:rPr>
          <w:sz w:val="20"/>
          <w:szCs w:val="20"/>
          <w:color w:val="auto"/>
        </w:rPr>
      </w:pPr>
      <w:r>
        <w:rPr>
          <w:rFonts w:ascii="Times New Roman" w:cs="Times New Roman" w:eastAsia="Times New Roman" w:hAnsi="Times New Roman"/>
          <w:sz w:val="14"/>
          <w:szCs w:val="14"/>
          <w:color w:val="auto"/>
        </w:rPr>
        <w:t>The ALung business combination involved a contingent consideration arrangement composed of potential cash payments upon the achievement of certain sales-based thresholds associated with sales of products. The arrangement is a Level 3 fair value measurement and includes the following significant unobservable inputs as of June 30,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ALung Acquisition</w:t>
            </w:r>
          </w:p>
        </w:tc>
        <w:tc>
          <w:tcPr>
            <w:tcW w:w="30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56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60" w:type="dxa"/>
            <w:vAlign w:val="bottom"/>
          </w:tcPr>
          <w:p>
            <w:pPr>
              <w:spacing w:after="0"/>
              <w:rPr>
                <w:sz w:val="16"/>
                <w:szCs w:val="16"/>
                <w:color w:val="auto"/>
              </w:rPr>
            </w:pPr>
          </w:p>
        </w:tc>
      </w:tr>
      <w:tr>
        <w:trPr>
          <w:trHeight w:val="171"/>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100" w:type="dxa"/>
            <w:vAlign w:val="bottom"/>
            <w:tcBorders>
              <w:top w:val="single" w:sz="8" w:color="CCEEFF"/>
            </w:tcBorders>
            <w:shd w:val="clear" w:color="auto" w:fill="CCEEFF"/>
          </w:tcPr>
          <w:p>
            <w:pPr>
              <w:spacing w:after="0"/>
              <w:rPr>
                <w:sz w:val="14"/>
                <w:szCs w:val="14"/>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 Carlo simulation</w:t>
            </w:r>
          </w:p>
        </w:tc>
        <w:tc>
          <w:tcPr>
            <w:tcW w:w="1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10.4%</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w w:val="99"/>
              </w:rPr>
              <w:t>11.2%</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5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9"/>
              </w:rPr>
              <w:t>11.0%</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13.2%</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w:t>
            </w:r>
          </w:p>
        </w:tc>
        <w:tc>
          <w:tcPr>
            <w:tcW w:w="560" w:type="dxa"/>
            <w:vAlign w:val="bottom"/>
            <w:shd w:val="clear" w:color="auto" w:fill="CCEEFF"/>
          </w:tcPr>
          <w:p>
            <w:pPr>
              <w:spacing w:after="0"/>
              <w:rPr>
                <w:sz w:val="15"/>
                <w:szCs w:val="15"/>
                <w:color w:val="auto"/>
              </w:rPr>
            </w:pPr>
          </w:p>
        </w:tc>
      </w:t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5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9"/>
              </w:rPr>
              <w:t>2023</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2027</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Financing Arrangements</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outstanding principal amount of our long-term debt as of June 30, 2022 and December 31, 2021 was as follows (in thousands, except interest rates):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88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 Cash Exchangeable Senior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232,081</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225,140</w:t>
            </w:r>
          </w:p>
        </w:tc>
        <w:tc>
          <w:tcPr>
            <w:tcW w:w="8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2025</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660" w:type="dxa"/>
            <w:vAlign w:val="bottom"/>
            <w:tcBorders>
              <w:top w:val="single" w:sz="8" w:color="auto"/>
            </w:tcBorders>
            <w:shd w:val="clear" w:color="auto" w:fill="CCEEFF"/>
          </w:tcPr>
          <w:p>
            <w:pPr>
              <w:spacing w:after="0"/>
              <w:rPr>
                <w:sz w:val="14"/>
                <w:szCs w:val="14"/>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Bridge Loan Facility</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6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5.83%</w:t>
            </w:r>
          </w:p>
        </w:tc>
        <w:tc>
          <w:tcPr>
            <w:tcW w:w="660" w:type="dxa"/>
            <w:vAlign w:val="bottom"/>
          </w:tcPr>
          <w:p>
            <w:pPr>
              <w:spacing w:after="0"/>
              <w:rPr>
                <w:sz w:val="15"/>
                <w:szCs w:val="15"/>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America Merrill Lynch Banco Múltiplo S.A.</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6,113</w:t>
            </w:r>
          </w:p>
        </w:tc>
        <w:tc>
          <w:tcPr>
            <w:tcW w:w="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2023</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11.46%</w:t>
            </w:r>
          </w:p>
        </w:tc>
        <w:tc>
          <w:tcPr>
            <w:tcW w:w="660" w:type="dxa"/>
            <w:vAlign w:val="bottom"/>
            <w:shd w:val="clear" w:color="auto" w:fill="CCEEFF"/>
          </w:tcPr>
          <w:p>
            <w:pPr>
              <w:spacing w:after="0"/>
              <w:rPr>
                <w:sz w:val="15"/>
                <w:szCs w:val="15"/>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Mediocredito Italiano</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80" w:type="dxa"/>
            <w:vAlign w:val="bottom"/>
          </w:tcPr>
          <w:p>
            <w:pPr>
              <w:spacing w:after="0"/>
              <w:rPr>
                <w:sz w:val="15"/>
                <w:szCs w:val="15"/>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2023</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0.50%</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2.74%</w:t>
            </w: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America, U.S.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2023</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5.45%</w:t>
            </w:r>
          </w:p>
        </w:tc>
        <w:tc>
          <w:tcPr>
            <w:tcW w:w="660" w:type="dxa"/>
            <w:vAlign w:val="bottom"/>
            <w:shd w:val="clear" w:color="auto" w:fill="CCEEFF"/>
          </w:tcPr>
          <w:p>
            <w:pPr>
              <w:spacing w:after="0"/>
              <w:rPr>
                <w:sz w:val="15"/>
                <w:szCs w:val="15"/>
                <w:color w:val="auto"/>
              </w:rPr>
            </w:pP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r>
      <w:tr>
        <w:trPr>
          <w:trHeight w:val="171"/>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long-term facilities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462,997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236,795</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226,946</w:t>
            </w: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r>
      <w:tr>
        <w:trPr>
          <w:trHeight w:val="196"/>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459,792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Credit</w:t>
      </w:r>
    </w:p>
    <w:p>
      <w:pPr>
        <w:spacing w:after="0" w:line="85" w:lineRule="exact"/>
        <w:rPr>
          <w:sz w:val="20"/>
          <w:szCs w:val="20"/>
          <w:color w:val="auto"/>
        </w:rPr>
      </w:pPr>
    </w:p>
    <w:p>
      <w:pPr>
        <w:ind w:right="520" w:firstLine="127"/>
        <w:spacing w:after="0" w:line="303" w:lineRule="auto"/>
        <w:rPr>
          <w:sz w:val="20"/>
          <w:szCs w:val="20"/>
          <w:color w:val="auto"/>
        </w:rPr>
      </w:pPr>
      <w:r>
        <w:rPr>
          <w:rFonts w:ascii="Times New Roman" w:cs="Times New Roman" w:eastAsia="Times New Roman" w:hAnsi="Times New Roman"/>
          <w:sz w:val="14"/>
          <w:szCs w:val="14"/>
          <w:color w:val="auto"/>
        </w:rPr>
        <w:t>The outstanding principal amount of our short-term unsecured revolving credit agreements and other agreements with various banks was $3.0 million and $2.7 million at June 30, 2022 and December 31, 2021, respectively, with interest rates ranging from 3.14% to 11.63% and loan terms ranging from overnight to 364 days, as of June 30, 2022.</w:t>
      </w:r>
    </w:p>
    <w:p>
      <w:pPr>
        <w:spacing w:after="0" w:line="39" w:lineRule="exact"/>
        <w:rPr>
          <w:sz w:val="20"/>
          <w:szCs w:val="20"/>
          <w:color w:val="auto"/>
        </w:rPr>
      </w:pPr>
    </w:p>
    <w:p>
      <w:pPr>
        <w:ind w:right="160" w:firstLine="127"/>
        <w:spacing w:after="0" w:line="267" w:lineRule="auto"/>
        <w:rPr>
          <w:sz w:val="20"/>
          <w:szCs w:val="20"/>
          <w:color w:val="auto"/>
        </w:rPr>
      </w:pPr>
      <w:r>
        <w:rPr>
          <w:rFonts w:ascii="Times New Roman" w:cs="Times New Roman" w:eastAsia="Times New Roman" w:hAnsi="Times New Roman"/>
          <w:sz w:val="14"/>
          <w:szCs w:val="14"/>
          <w:color w:val="auto"/>
        </w:rPr>
        <w:t>On August 13, 2021, LivaNova PLC and its wholly-owned subsidiary, LivaNova USA, Inc. (the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(the “2021 First Lien Credit Agreement”). The 2021 First Lien Credit Agreement, as amended from time to time, expires on August 13, 2026 and bears interest at a rate equal to, for U.S. dollar-denominated loans, an adjusted Secured Overnight Financing Rate (“SOFR”) with a floor of 0.00%, or a Base Rate, plus, in each case, a variable margin based on the Company’s senior secured net leverage ratio. Interest is paid monthly or quarterly, as selected by the Borrower, with any outstanding principal due at maturity. The First Lien Credit Agreement also contemplates the payment of commitment fees on the unused portion of the commitments, at a variable percentage based on the Company’s senior secured net leverage ratio. The 2021 First Lien Credit Agreement is available for working capital and other general corporate purposes and, if drawn, can be repaid at any time without premium or penalty. As of June 30, 2022, we were in compliance with the financial covenants contained in our 2021 First Lien Credit Agreement.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There were no outstanding borrowings under the 2021 First Lien Credit Agreement as of June 30, 2022 and December 31, 2021.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Bridge Loan Facility</w:t>
      </w:r>
    </w:p>
    <w:p>
      <w:pPr>
        <w:spacing w:after="0" w:line="96"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On February 24, 2022, LivaNova PLC and its wholly-owned subsidiary, LivaNova USA, Inc., entered into an Incremental Facility Amendment No. 1 to the 2021 First Lien Credit Agreement, relating to a €200 million bridge loan facility (the “Bridge Loan Facility”). On March 16, 2022, LivaNova entered into Amendment No. 2 to the 2021 First Lien Credit Agreement, which converted the available borrowings under the Bridge Loan Facility from €200 million to $220.0 million and converted the EURIBOR rate in the 2021 First Lien Credit Agreement to SOFR. LivaNova delivered a borrowing notice for $220.0 million in connection with the Bridge Loan Facility, which was funded on March 17, 2022. On March 18, 2022, LivaNova PLC, acting through its Italian branch, entered into an Indemnity Letter and an Account Pledge Agreement with Barclays, further to which</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6" w:name="page17"/>
    <w:bookmarkEnd w:id="16"/>
    <w:p>
      <w:pPr>
        <w:ind w:right="60"/>
        <w:spacing w:after="0" w:line="269" w:lineRule="auto"/>
        <w:rPr>
          <w:sz w:val="20"/>
          <w:szCs w:val="20"/>
          <w:color w:val="auto"/>
        </w:rPr>
      </w:pPr>
      <w:r>
        <w:rPr>
          <w:rFonts w:ascii="Times New Roman" w:cs="Times New Roman" w:eastAsia="Times New Roman" w:hAnsi="Times New Roman"/>
          <w:sz w:val="14"/>
          <w:szCs w:val="14"/>
          <w:color w:val="auto"/>
        </w:rPr>
        <w:t>Barclays issued the SNIA Litigation Guarantee. As security for the SNIA Litigation Guarantee, LivaNova is required to grant cash collateral to Barclays in US dollars in an amount equal to the USD equivalent of 105% of the amount of the SNIA Litigation Guarantee calibrated on a biweekly basis. The proceeds of the Bridge Loan Facility were used by LivaNova to post a portion of the cash collateral supporting the SNIA Litigation Guarantee. The cash held as collateral supporting the SNIA Litigation Guarantee of $297.7 million was classified as restricted cash on the condensed consolidated balance sheet as of June 30, 2022. The Bridge Loan Facility bears interest at an adjusted term SOFR, with a floor of 0.5%, plus 3.5% increasing by 0.25% 15 days after drawing and by an additional 0.5% 90 days after drawing and every 90 days thereafter, with a maximum margin of 5.25% over adjusted SOFR. The effective interest rate of the Bridge Loan Facility at June 30, 2022 was 11.04%. For additional information regarding the SNIA litigation, please refer to “Note 8. Commitments and Contingencies.”</w:t>
      </w:r>
    </w:p>
    <w:p>
      <w:pPr>
        <w:spacing w:after="0" w:line="63" w:lineRule="exact"/>
        <w:rPr>
          <w:sz w:val="20"/>
          <w:szCs w:val="20"/>
          <w:color w:val="auto"/>
        </w:rPr>
      </w:pPr>
    </w:p>
    <w:p>
      <w:pPr>
        <w:ind w:right="360" w:firstLine="127"/>
        <w:spacing w:after="0" w:line="303" w:lineRule="auto"/>
        <w:rPr>
          <w:sz w:val="20"/>
          <w:szCs w:val="20"/>
          <w:color w:val="auto"/>
        </w:rPr>
      </w:pPr>
      <w:r>
        <w:rPr>
          <w:rFonts w:ascii="Times New Roman" w:cs="Times New Roman" w:eastAsia="Times New Roman" w:hAnsi="Times New Roman"/>
          <w:sz w:val="14"/>
          <w:szCs w:val="14"/>
          <w:color w:val="auto"/>
        </w:rPr>
        <w:t>Debt discounts and issuance costs related to the Bridge Loan Facility were approximately $4.5 million. Amortization of debt discount and issuance costs for the Bridge Loan Facility was $3.6 million and $4.5 million for the three and six months ended June 30, 2022, respectively, and is included in interest expense on the consolidated statement of income (loss).</w:t>
      </w:r>
    </w:p>
    <w:p>
      <w:pPr>
        <w:spacing w:after="0" w:line="29"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Outstanding borrowings under the Bridge Loan Facility were $220.0 million as of June 30, 2022. The Bridge Loan Facility was repaid in full on July 6, 2022. Please refer to “Note 15. Subsequent Event” for additional information.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2020 Cash Exchangeable Senior Notes</w:t>
      </w:r>
    </w:p>
    <w:p>
      <w:pPr>
        <w:spacing w:after="0" w:line="85"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On June 17, 2020, our wholly-owned subsidiary, LivaNova USA, Inc., issued $287.5 million aggregate principal amount of 3.00% Notes (the “Notes”) by private placement to qualified institutional buyers pursuant to Rule 144A under the Securities Act of 1933, as amended. The sale of the Notes resulted in approximately $278.0 million in net proceeds to the Company after deducting issuance costs. Interest is payable semiannually in arrears on June 15 and December 15 of each year. The effective interest rate of the Notes at June 30, 2022 was 9.95%. The Notes mature on December 15, 2025 unless earlier exchanged, repurchased, or redeemed.</w:t>
      </w:r>
    </w:p>
    <w:p>
      <w:pPr>
        <w:spacing w:after="0" w:line="58"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for the Notes was $3.5 million and $6.9 million for the three and six months ended June 30, 2022, respectively, and is included in interest expense on the consolidated statement of income (loss). The unamortized discount related to the Notes as of June 30, 2022 and December 31, 2021 was $55.4 million and $62.4 million, respectively.</w:t>
      </w:r>
    </w:p>
    <w:p>
      <w:pPr>
        <w:spacing w:after="0" w:line="63"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during the quarterly period ending June 30, 2022. As a result, we have included our obligations from the Notes and the associated embedded exchange feature derivative as a long-term liability on the consolidated balance sheet as of June 30, 2022.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60" w:lineRule="exact"/>
        <w:rPr>
          <w:sz w:val="20"/>
          <w:szCs w:val="20"/>
          <w:color w:val="auto"/>
        </w:rPr>
      </w:pPr>
    </w:p>
    <w:p>
      <w:pPr>
        <w:ind w:right="160" w:firstLine="127"/>
        <w:spacing w:after="0" w:line="252" w:lineRule="auto"/>
        <w:rPr>
          <w:sz w:val="20"/>
          <w:szCs w:val="20"/>
          <w:color w:val="auto"/>
        </w:rPr>
      </w:pPr>
      <w:r>
        <w:rPr>
          <w:rFonts w:ascii="Times New Roman" w:cs="Times New Roman" w:eastAsia="Times New Roman" w:hAnsi="Times New Roman"/>
          <w:sz w:val="14"/>
          <w:szCs w:val="14"/>
          <w:color w:val="auto"/>
        </w:rPr>
        <w:t>The Company may redeem the Notes at its option, on or after June 20, 2023 and prior to the 51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Embedded Exchange Feature</w:t>
      </w:r>
    </w:p>
    <w:p>
      <w:pPr>
        <w:spacing w:after="0" w:line="85"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the unrealized gain or loss reflected within “Foreign exchange and other income/(expense)” in the condensed consolidated statements of income (loss). The fair value of the embedded exchange feature derivative liability was $134.1 million as of June 30,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Capped Call Transactions</w:t>
      </w:r>
    </w:p>
    <w:p>
      <w:pPr>
        <w:spacing w:after="0" w:line="85"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carried on the condensed consolidated balance sheets as a derivative asset at their estimated fair value and are adjusted at the end of each reporting period, with unrealized gain or loss reflected within “Foreign exchange and other income/(expense)” in the condensed consolidated statements of income (loss). The fair value of the capped call derivative assets was $61.6 million as of June 30, 2022. As of June 30, 2022, the capped call derivative assets are classified as long-term.</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Derivatives and Risk Management</w:t>
      </w:r>
    </w:p>
    <w:p>
      <w:pPr>
        <w:spacing w:after="0" w:line="98"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Due to the global nature of our operations, we are exposed to foreign currency exchange rate fluctuations. We enter into FX derivative contracts to reduce the impact of foreign currency exchange rate fluctuations on earnings and cash flow. 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 We do not enter into derivative contracts for speculative purposes.</w:t>
      </w:r>
    </w:p>
    <w:p>
      <w:pPr>
        <w:spacing w:after="0" w:line="63"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We measure all outstanding derivatives each period end at fair value and report the fair value as either financial assets or liabilities on the condensed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56" w:lineRule="exact"/>
        <w:rPr>
          <w:sz w:val="20"/>
          <w:szCs w:val="20"/>
          <w:color w:val="auto"/>
        </w:rPr>
      </w:pPr>
    </w:p>
    <w:p>
      <w:pPr>
        <w:ind w:right="120" w:firstLine="127"/>
        <w:spacing w:after="0" w:line="278" w:lineRule="auto"/>
        <w:rPr>
          <w:sz w:val="20"/>
          <w:szCs w:val="20"/>
          <w:color w:val="auto"/>
        </w:rPr>
      </w:pPr>
      <w:r>
        <w:rPr>
          <w:rFonts w:ascii="Times New Roman" w:cs="Times New Roman" w:eastAsia="Times New Roman" w:hAnsi="Times New Roman"/>
          <w:sz w:val="14"/>
          <w:szCs w:val="14"/>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We evaluate hedge effectiveness at inception. Cash flows from derivative contracts are reported as operating activities on our condensed consolidated statements of cash flows.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Freestanding FX Derivative Contracts</w:t>
      </w:r>
    </w:p>
    <w:p>
      <w:pPr>
        <w:spacing w:after="0" w:line="85" w:lineRule="exact"/>
        <w:rPr>
          <w:sz w:val="20"/>
          <w:szCs w:val="20"/>
          <w:color w:val="auto"/>
        </w:rPr>
      </w:pPr>
    </w:p>
    <w:p>
      <w:pPr>
        <w:ind w:right="200" w:firstLine="127"/>
        <w:spacing w:after="0" w:line="275" w:lineRule="auto"/>
        <w:rPr>
          <w:sz w:val="20"/>
          <w:szCs w:val="20"/>
          <w:color w:val="auto"/>
        </w:rPr>
      </w:pPr>
      <w:r>
        <w:rPr>
          <w:rFonts w:ascii="Times New Roman" w:cs="Times New Roman" w:eastAsia="Times New Roman" w:hAnsi="Times New Roman"/>
          <w:sz w:val="14"/>
          <w:szCs w:val="14"/>
          <w:color w:val="auto"/>
        </w:rPr>
        <w:t>The gross notional amount of FX derivative contracts not designated as hedging instruments outstanding at June 30, 2022 and December 31, 2021 was $117.2 million and $136.7 million, respectively. These derivative contracts are designed to offset the FX effects in earnings of various intercompany loans and trade receivables. We recorded net gains (losses) for these freestanding derivatives of $4.0 million and $(1.7) million for the three months ended June 30, 2022 and 2021, respectively, and $5.0 million and $5.9 million for the six months ended June 30, 2022 and 2021, respectively. These gains are included in “Foreign exchange and other income/(expense)” in the condensed consolidated statements of income (loss).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Counterparty Credit Risk</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are exposed to credit risk in the event of non-performance by the counterparties to our derivatives.</w:t>
      </w:r>
    </w:p>
    <w:p>
      <w:pPr>
        <w:spacing w:after="0" w:line="104" w:lineRule="exact"/>
        <w:rPr>
          <w:sz w:val="20"/>
          <w:szCs w:val="20"/>
          <w:color w:val="auto"/>
        </w:rPr>
      </w:pPr>
    </w:p>
    <w:p>
      <w:pPr>
        <w:ind w:right="80" w:firstLine="127"/>
        <w:spacing w:after="0" w:line="303" w:lineRule="auto"/>
        <w:rPr>
          <w:sz w:val="20"/>
          <w:szCs w:val="20"/>
          <w:color w:val="auto"/>
        </w:rPr>
      </w:pPr>
      <w:r>
        <w:rPr>
          <w:rFonts w:ascii="Times New Roman" w:cs="Times New Roman" w:eastAsia="Times New Roman" w:hAnsi="Times New Roman"/>
          <w:sz w:val="14"/>
          <w:szCs w:val="14"/>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w:t>
      </w:r>
    </w:p>
    <w:p>
      <w:pPr>
        <w:spacing w:after="0" w:line="3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6" w:right="339" w:bottom="1440" w:gutter="0" w:footer="0" w:header="0"/>
        </w:sectPr>
      </w:pPr>
    </w:p>
    <w:bookmarkStart w:id="18" w:name="page19"/>
    <w:bookmarkEnd w:id="18"/>
    <w:p>
      <w:pPr>
        <w:ind w:right="260"/>
        <w:spacing w:after="0" w:line="303" w:lineRule="auto"/>
        <w:rPr>
          <w:sz w:val="20"/>
          <w:szCs w:val="20"/>
          <w:color w:val="auto"/>
        </w:rPr>
      </w:pPr>
      <w:r>
        <w:rPr>
          <w:rFonts w:ascii="Times New Roman" w:cs="Times New Roman" w:eastAsia="Times New Roman" w:hAnsi="Times New Roman"/>
          <w:sz w:val="14"/>
          <w:szCs w:val="14"/>
          <w:color w:val="auto"/>
        </w:rPr>
        <w:t>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29" w:lineRule="exact"/>
        <w:rPr>
          <w:sz w:val="20"/>
          <w:szCs w:val="20"/>
          <w:color w:val="auto"/>
        </w:rPr>
      </w:pPr>
    </w:p>
    <w:p>
      <w:pPr>
        <w:ind w:right="700" w:firstLine="127"/>
        <w:spacing w:after="0" w:line="286" w:lineRule="auto"/>
        <w:rPr>
          <w:sz w:val="20"/>
          <w:szCs w:val="20"/>
          <w:color w:val="auto"/>
        </w:rPr>
      </w:pPr>
      <w:r>
        <w:rPr>
          <w:rFonts w:ascii="Times New Roman" w:cs="Times New Roman" w:eastAsia="Times New Roman" w:hAnsi="Times New Roman"/>
          <w:sz w:val="14"/>
          <w:szCs w:val="14"/>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 Hedges</w:t>
      </w:r>
    </w:p>
    <w:p>
      <w:pPr>
        <w:spacing w:after="0" w:line="96" w:lineRule="exact"/>
        <w:rPr>
          <w:sz w:val="20"/>
          <w:szCs w:val="20"/>
          <w:color w:val="auto"/>
        </w:rPr>
      </w:pPr>
    </w:p>
    <w:p>
      <w:pPr>
        <w:ind w:right="240" w:firstLine="127"/>
        <w:spacing w:after="0" w:line="287" w:lineRule="auto"/>
        <w:rPr>
          <w:sz w:val="20"/>
          <w:szCs w:val="20"/>
          <w:color w:val="auto"/>
        </w:rPr>
      </w:pPr>
      <w:r>
        <w:rPr>
          <w:rFonts w:ascii="Times New Roman" w:cs="Times New Roman" w:eastAsia="Times New Roman" w:hAnsi="Times New Roman"/>
          <w:sz w:val="14"/>
          <w:szCs w:val="14"/>
          <w:color w:val="auto"/>
        </w:rPr>
        <w:t>We utilize FX derivative contracts, designed as cash flow hedges, to hedge the variability of cash flows associated with our 12-month U.S. dollar forecasts of revenues and costs denominated in British Pound, Japanese Yen and the Euro. We transfer to earnings from AOCI the gain or loss realized on the FX derivative contracts at the time of invoicing.</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gross notional amounts of open derivative contracts designated as cash flow hedges at June 30, 2022 and December 31, 2021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380" w:type="dxa"/>
            <w:vAlign w:val="bottom"/>
          </w:tcPr>
          <w:p>
            <w:pPr>
              <w:spacing w:after="0"/>
              <w:rPr>
                <w:sz w:val="16"/>
                <w:szCs w:val="16"/>
                <w:color w:val="auto"/>
              </w:rPr>
            </w:pP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6"/>
                <w:szCs w:val="16"/>
                <w:color w:val="auto"/>
              </w:rPr>
            </w:pPr>
          </w:p>
        </w:tc>
        <w:tc>
          <w:tcPr>
            <w:tcW w:w="18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 to be exchanged for British Pounds</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w:t>
            </w:r>
          </w:p>
        </w:tc>
      </w:tr>
      <w:tr>
        <w:trPr>
          <w:trHeight w:val="18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 to be exchanged for Japanese Yen</w:t>
            </w:r>
          </w:p>
        </w:tc>
        <w:tc>
          <w:tcPr>
            <w:tcW w:w="3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w:t>
            </w:r>
          </w:p>
        </w:tc>
      </w:tr>
      <w:tr>
        <w:trPr>
          <w:trHeight w:val="18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 to be exchanged for Euros</w:t>
            </w:r>
          </w:p>
        </w:tc>
        <w:tc>
          <w:tcPr>
            <w:tcW w:w="38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58,224</w:t>
            </w:r>
          </w:p>
        </w:tc>
      </w:tr>
      <w:tr>
        <w:trPr>
          <w:trHeight w:val="171"/>
        </w:trPr>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76,032</w:t>
            </w:r>
          </w:p>
        </w:tc>
      </w:tr>
      <w:tr>
        <w:trPr>
          <w:trHeight w:val="20"/>
        </w:trPr>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20" w:firstLine="127"/>
        <w:spacing w:after="0" w:line="291" w:lineRule="auto"/>
        <w:rPr>
          <w:sz w:val="20"/>
          <w:szCs w:val="20"/>
          <w:color w:val="auto"/>
        </w:rPr>
      </w:pPr>
      <w:r>
        <w:rPr>
          <w:rFonts w:ascii="Times New Roman" w:cs="Times New Roman" w:eastAsia="Times New Roman" w:hAnsi="Times New Roman"/>
          <w:sz w:val="14"/>
          <w:szCs w:val="14"/>
          <w:color w:val="auto"/>
        </w:rPr>
        <w:t>After-tax net gain associated with derivatives designated as cash flow hedges recorded in the ending balance of AOCI and the amount expected to be reclassified to earnings in the next 12 months are as follows (in thousands):</w:t>
      </w:r>
    </w:p>
    <w:tbl>
      <w:tblPr>
        <w:tblLayout w:type="fixed"/>
        <w:tblInd w:w="0" w:type="dxa"/>
        <w:tblCellMar>
          <w:top w:w="0" w:type="dxa"/>
          <w:left w:w="0" w:type="dxa"/>
          <w:bottom w:w="0" w:type="dxa"/>
          <w:right w:w="0" w:type="dxa"/>
        </w:tblCellMar>
      </w:tblPr>
      <w:tr>
        <w:trPr>
          <w:trHeight w:val="144"/>
        </w:trPr>
        <w:tc>
          <w:tcPr>
            <w:tcW w:w="6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ind w:right="9"/>
              <w:spacing w:after="0" w:line="144" w:lineRule="exact"/>
              <w:rPr>
                <w:sz w:val="20"/>
                <w:szCs w:val="20"/>
                <w:color w:val="auto"/>
              </w:rPr>
            </w:pPr>
            <w:r>
              <w:rPr>
                <w:rFonts w:ascii="Times New Roman" w:cs="Times New Roman" w:eastAsia="Times New Roman" w:hAnsi="Times New Roman"/>
                <w:sz w:val="14"/>
                <w:szCs w:val="14"/>
                <w:b w:val="1"/>
                <w:bCs w:val="1"/>
                <w:color w:val="auto"/>
              </w:rPr>
              <w:t>After-Tax Net Loss in AOCI as of</w:t>
            </w:r>
          </w:p>
        </w:tc>
        <w:tc>
          <w:tcPr>
            <w:tcW w:w="0" w:type="dxa"/>
            <w:vAlign w:val="bottom"/>
          </w:tcPr>
          <w:p>
            <w:pPr>
              <w:spacing w:after="0"/>
              <w:rPr>
                <w:sz w:val="1"/>
                <w:szCs w:val="1"/>
                <w:color w:val="auto"/>
              </w:rPr>
            </w:pPr>
          </w:p>
        </w:tc>
      </w:tr>
      <w:tr>
        <w:trPr>
          <w:trHeight w:val="138"/>
        </w:trPr>
        <w:tc>
          <w:tcPr>
            <w:tcW w:w="6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After-Tax Net Loss in AOCI as of</w:t>
            </w:r>
          </w:p>
        </w:tc>
        <w:tc>
          <w:tcPr>
            <w:tcW w:w="100" w:type="dxa"/>
            <w:vAlign w:val="bottom"/>
          </w:tcPr>
          <w:p>
            <w:pPr>
              <w:spacing w:after="0"/>
              <w:rPr>
                <w:sz w:val="11"/>
                <w:szCs w:val="11"/>
                <w:color w:val="auto"/>
              </w:rPr>
            </w:pPr>
          </w:p>
        </w:tc>
        <w:tc>
          <w:tcPr>
            <w:tcW w:w="2100" w:type="dxa"/>
            <w:vAlign w:val="bottom"/>
          </w:tcPr>
          <w:p>
            <w:pPr>
              <w:jc w:val="center"/>
              <w:ind w:right="9"/>
              <w:spacing w:after="0" w:line="138" w:lineRule="exact"/>
              <w:rPr>
                <w:sz w:val="20"/>
                <w:szCs w:val="20"/>
                <w:color w:val="auto"/>
              </w:rPr>
            </w:pPr>
            <w:r>
              <w:rPr>
                <w:rFonts w:ascii="Times New Roman" w:cs="Times New Roman" w:eastAsia="Times New Roman" w:hAnsi="Times New Roman"/>
                <w:sz w:val="14"/>
                <w:szCs w:val="14"/>
                <w:b w:val="1"/>
                <w:bCs w:val="1"/>
                <w:color w:val="auto"/>
              </w:rPr>
              <w:t>June 30, 2022 Expected to be</w:t>
            </w:r>
          </w:p>
        </w:tc>
        <w:tc>
          <w:tcPr>
            <w:tcW w:w="0" w:type="dxa"/>
            <w:vAlign w:val="bottom"/>
          </w:tcPr>
          <w:p>
            <w:pPr>
              <w:spacing w:after="0"/>
              <w:rPr>
                <w:sz w:val="1"/>
                <w:szCs w:val="1"/>
                <w:color w:val="auto"/>
              </w:rPr>
            </w:pPr>
          </w:p>
        </w:tc>
      </w:tr>
      <w:tr>
        <w:trPr>
          <w:trHeight w:val="138"/>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10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22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Reclassified to Earnings in Next 12</w:t>
            </w:r>
          </w:p>
        </w:tc>
        <w:tc>
          <w:tcPr>
            <w:tcW w:w="0" w:type="dxa"/>
            <w:vAlign w:val="bottom"/>
          </w:tcPr>
          <w:p>
            <w:pPr>
              <w:spacing w:after="0"/>
              <w:rPr>
                <w:sz w:val="1"/>
                <w:szCs w:val="1"/>
                <w:color w:val="auto"/>
              </w:rPr>
            </w:pPr>
          </w:p>
        </w:tc>
      </w:tr>
      <w:tr>
        <w:trPr>
          <w:trHeight w:val="191"/>
        </w:trPr>
        <w:tc>
          <w:tcPr>
            <w:tcW w:w="6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c>
          <w:tcPr>
            <w:tcW w:w="21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71"/>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80" w:firstLine="127"/>
        <w:spacing w:after="0" w:line="291" w:lineRule="auto"/>
        <w:rPr>
          <w:sz w:val="20"/>
          <w:szCs w:val="20"/>
          <w:color w:val="auto"/>
        </w:rPr>
      </w:pPr>
      <w:r>
        <w:rPr>
          <w:rFonts w:ascii="Times New Roman" w:cs="Times New Roman" w:eastAsia="Times New Roman" w:hAnsi="Times New Roman"/>
          <w:sz w:val="14"/>
          <w:szCs w:val="14"/>
          <w:color w:val="auto"/>
        </w:rPr>
        <w:t>Pre-tax gains (losses) for derivative contracts designated as cash flow hedges recognized in other comprehensive income (loss) (“OCI”) and the amount reclassified to earnings from AOCI were as follows (in thousands):</w:t>
      </w: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Earnings of Reclassified</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 Recognized in</w:t>
            </w:r>
          </w:p>
        </w:tc>
        <w:tc>
          <w:tcPr>
            <w:tcW w:w="240" w:type="dxa"/>
            <w:vAlign w:val="bottom"/>
          </w:tcPr>
          <w:p>
            <w:pPr>
              <w:spacing w:after="0"/>
              <w:rPr>
                <w:sz w:val="11"/>
                <w:szCs w:val="11"/>
                <w:color w:val="auto"/>
              </w:rPr>
            </w:pPr>
          </w:p>
        </w:tc>
        <w:tc>
          <w:tcPr>
            <w:tcW w:w="136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Losses Recognized in</w:t>
            </w:r>
          </w:p>
        </w:tc>
        <w:tc>
          <w:tcPr>
            <w:tcW w:w="180" w:type="dxa"/>
            <w:vAlign w:val="bottom"/>
          </w:tcPr>
          <w:p>
            <w:pPr>
              <w:spacing w:after="0"/>
              <w:rPr>
                <w:sz w:val="11"/>
                <w:szCs w:val="11"/>
                <w:color w:val="auto"/>
              </w:rPr>
            </w:pPr>
          </w:p>
        </w:tc>
        <w:tc>
          <w:tcPr>
            <w:tcW w:w="142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(Losses) Gains</w:t>
            </w:r>
          </w:p>
        </w:tc>
        <w:tc>
          <w:tcPr>
            <w:tcW w:w="0" w:type="dxa"/>
            <w:vAlign w:val="bottom"/>
          </w:tcPr>
          <w:p>
            <w:pPr>
              <w:spacing w:after="0"/>
              <w:rPr>
                <w:sz w:val="1"/>
                <w:szCs w:val="1"/>
                <w:color w:val="auto"/>
              </w:rPr>
            </w:pPr>
          </w:p>
        </w:tc>
      </w:tr>
      <w:tr>
        <w:trPr>
          <w:trHeight w:val="138"/>
        </w:trPr>
        <w:tc>
          <w:tcPr>
            <w:tcW w:w="2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70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0" w:type="dxa"/>
            <w:vAlign w:val="bottom"/>
          </w:tcPr>
          <w:p>
            <w:pPr>
              <w:spacing w:after="0"/>
              <w:rPr>
                <w:sz w:val="1"/>
                <w:szCs w:val="1"/>
                <w:color w:val="auto"/>
              </w:rPr>
            </w:pPr>
          </w:p>
        </w:tc>
      </w:tr>
      <w:tr>
        <w:trPr>
          <w:trHeight w:val="191"/>
        </w:trPr>
        <w:tc>
          <w:tcPr>
            <w:tcW w:w="2300" w:type="dxa"/>
            <w:vAlign w:val="bottom"/>
            <w:gridSpan w:val="2"/>
            <w:vMerge w:val="continue"/>
          </w:tcPr>
          <w:p>
            <w:pPr>
              <w:spacing w:after="0"/>
              <w:rPr>
                <w:sz w:val="16"/>
                <w:szCs w:val="16"/>
                <w:color w:val="auto"/>
              </w:rPr>
            </w:pPr>
          </w:p>
        </w:tc>
        <w:tc>
          <w:tcPr>
            <w:tcW w:w="23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Gain or Loss</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24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Earnings</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180" w:type="dxa"/>
            <w:vAlign w:val="bottom"/>
          </w:tcPr>
          <w:p>
            <w:pPr>
              <w:spacing w:after="0"/>
              <w:rPr>
                <w:sz w:val="16"/>
                <w:szCs w:val="16"/>
                <w:color w:val="auto"/>
              </w:rPr>
            </w:pPr>
          </w:p>
        </w:tc>
        <w:tc>
          <w:tcPr>
            <w:tcW w:w="14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to Earnings</w:t>
            </w:r>
          </w:p>
        </w:tc>
        <w:tc>
          <w:tcPr>
            <w:tcW w:w="0" w:type="dxa"/>
            <w:vAlign w:val="bottom"/>
          </w:tcPr>
          <w:p>
            <w:pPr>
              <w:spacing w:after="0"/>
              <w:rPr>
                <w:sz w:val="1"/>
                <w:szCs w:val="1"/>
                <w:color w:val="auto"/>
              </w:rPr>
            </w:pPr>
          </w:p>
        </w:tc>
      </w:tr>
      <w:tr>
        <w:trPr>
          <w:trHeight w:val="129"/>
        </w:trPr>
        <w:tc>
          <w:tcPr>
            <w:tcW w:w="22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Foreign exchange and other</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(1,116)</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69"/>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1,238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income/(expense)</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12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Earnings of Reclassified</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 Recognized in</w:t>
            </w:r>
          </w:p>
        </w:tc>
        <w:tc>
          <w:tcPr>
            <w:tcW w:w="240" w:type="dxa"/>
            <w:vAlign w:val="bottom"/>
          </w:tcPr>
          <w:p>
            <w:pPr>
              <w:spacing w:after="0"/>
              <w:rPr>
                <w:sz w:val="11"/>
                <w:szCs w:val="11"/>
                <w:color w:val="auto"/>
              </w:rPr>
            </w:pPr>
          </w:p>
        </w:tc>
        <w:tc>
          <w:tcPr>
            <w:tcW w:w="1360" w:type="dxa"/>
            <w:vAlign w:val="bottom"/>
          </w:tcPr>
          <w:p>
            <w:pPr>
              <w:jc w:val="center"/>
              <w:ind w:right="169"/>
              <w:spacing w:after="0" w:line="133" w:lineRule="exact"/>
              <w:rPr>
                <w:sz w:val="20"/>
                <w:szCs w:val="20"/>
                <w:color w:val="auto"/>
              </w:rPr>
            </w:pPr>
            <w:r>
              <w:rPr>
                <w:rFonts w:ascii="Times New Roman" w:cs="Times New Roman" w:eastAsia="Times New Roman" w:hAnsi="Times New Roman"/>
                <w:sz w:val="14"/>
                <w:szCs w:val="14"/>
                <w:b w:val="1"/>
                <w:bCs w:val="1"/>
                <w:color w:val="auto"/>
              </w:rPr>
              <w:t>(Losses) Gains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Losses Recognized in</w:t>
            </w:r>
          </w:p>
        </w:tc>
        <w:tc>
          <w:tcPr>
            <w:tcW w:w="1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Losses Reclassified from</w:t>
            </w:r>
          </w:p>
        </w:tc>
        <w:tc>
          <w:tcPr>
            <w:tcW w:w="0" w:type="dxa"/>
            <w:vAlign w:val="bottom"/>
          </w:tcPr>
          <w:p>
            <w:pPr>
              <w:spacing w:after="0"/>
              <w:rPr>
                <w:sz w:val="1"/>
                <w:szCs w:val="1"/>
                <w:color w:val="auto"/>
              </w:rPr>
            </w:pPr>
          </w:p>
        </w:tc>
      </w:tr>
      <w:tr>
        <w:trPr>
          <w:trHeight w:val="144"/>
        </w:trPr>
        <w:tc>
          <w:tcPr>
            <w:tcW w:w="2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00" w:type="dxa"/>
            <w:vAlign w:val="bottom"/>
            <w:gridSpan w:val="2"/>
            <w:vMerge w:val="continue"/>
          </w:tcPr>
          <w:p>
            <w:pPr>
              <w:spacing w:after="0"/>
              <w:rPr>
                <w:sz w:val="15"/>
                <w:szCs w:val="15"/>
                <w:color w:val="auto"/>
              </w:rPr>
            </w:pPr>
          </w:p>
        </w:tc>
        <w:tc>
          <w:tcPr>
            <w:tcW w:w="23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Gain or Loss</w:t>
            </w: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24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Earnings</w:t>
            </w: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180" w:type="dxa"/>
            <w:vAlign w:val="bottom"/>
          </w:tcPr>
          <w:p>
            <w:pPr>
              <w:spacing w:after="0"/>
              <w:rPr>
                <w:sz w:val="15"/>
                <w:szCs w:val="15"/>
                <w:color w:val="auto"/>
              </w:rPr>
            </w:pPr>
          </w:p>
        </w:tc>
        <w:tc>
          <w:tcPr>
            <w:tcW w:w="14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AOCI to Earnings</w:t>
            </w:r>
          </w:p>
        </w:tc>
        <w:tc>
          <w:tcPr>
            <w:tcW w:w="0" w:type="dxa"/>
            <w:vAlign w:val="bottom"/>
          </w:tcPr>
          <w:p>
            <w:pPr>
              <w:spacing w:after="0"/>
              <w:rPr>
                <w:sz w:val="1"/>
                <w:szCs w:val="1"/>
                <w:color w:val="auto"/>
              </w:rPr>
            </w:pPr>
          </w:p>
        </w:tc>
      </w:tr>
      <w:tr>
        <w:trPr>
          <w:trHeight w:val="135"/>
        </w:trPr>
        <w:tc>
          <w:tcPr>
            <w:tcW w:w="222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Foreign exchange and other gains</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(1,758)</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69"/>
              <w:spacing w:after="0" w:line="135"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1,679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(2,844)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9"/>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(2,802)</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12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ind w:right="700" w:firstLine="127"/>
        <w:spacing w:after="0" w:line="303" w:lineRule="auto"/>
        <w:rPr>
          <w:sz w:val="20"/>
          <w:szCs w:val="20"/>
          <w:color w:val="auto"/>
        </w:rPr>
      </w:pPr>
      <w:r>
        <w:rPr>
          <w:rFonts w:ascii="Times New Roman" w:cs="Times New Roman" w:eastAsia="Times New Roman" w:hAnsi="Times New Roman"/>
          <w:sz w:val="14"/>
          <w:szCs w:val="14"/>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tables present the fair value and the location of derivative contracts reported on the condensed consolidated balance sheets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6"/>
                <w:szCs w:val="16"/>
                <w:color w:val="auto"/>
              </w:rPr>
            </w:pPr>
          </w:p>
        </w:tc>
        <w:tc>
          <w:tcPr>
            <w:tcW w:w="2700" w:type="dxa"/>
            <w:vAlign w:val="bottom"/>
            <w:tcBorders>
              <w:bottom w:val="single" w:sz="8" w:color="auto"/>
            </w:tcBorders>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80" w:type="dxa"/>
            <w:vAlign w:val="bottom"/>
          </w:tcPr>
          <w:p>
            <w:pPr>
              <w:spacing w:after="0"/>
              <w:rPr>
                <w:sz w:val="14"/>
                <w:szCs w:val="14"/>
                <w:color w:val="auto"/>
              </w:rPr>
            </w:pPr>
          </w:p>
        </w:tc>
        <w:tc>
          <w:tcPr>
            <w:tcW w:w="27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4"/>
                <w:szCs w:val="14"/>
                <w:color w:val="auto"/>
              </w:rPr>
            </w:pPr>
          </w:p>
        </w:tc>
        <w:tc>
          <w:tcPr>
            <w:tcW w:w="120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4"/>
                <w:szCs w:val="14"/>
                <w:color w:val="auto"/>
              </w:rPr>
            </w:pPr>
          </w:p>
        </w:tc>
        <w:tc>
          <w:tcPr>
            <w:tcW w:w="27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4"/>
                <w:szCs w:val="14"/>
                <w:color w:val="auto"/>
              </w:rPr>
            </w:pPr>
          </w:p>
        </w:tc>
        <w:tc>
          <w:tcPr>
            <w:tcW w:w="118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1"/>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tcBorders>
              <w:top w:val="single" w:sz="8" w:color="CCEEFF"/>
            </w:tcBorders>
            <w:shd w:val="clear" w:color="auto" w:fill="CCEEFF"/>
          </w:tcPr>
          <w:p>
            <w:pPr>
              <w:spacing w:after="0"/>
              <w:rPr>
                <w:sz w:val="14"/>
                <w:szCs w:val="14"/>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assets</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129"/>
        </w:trPr>
        <w:tc>
          <w:tcPr>
            <w:tcW w:w="2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derivatives designated as hedging</w:t>
            </w:r>
          </w:p>
        </w:tc>
        <w:tc>
          <w:tcPr>
            <w:tcW w:w="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585</w:t>
            </w: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8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derivative assets</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80" w:type="dxa"/>
            <w:vAlign w:val="bottom"/>
          </w:tcPr>
          <w:p>
            <w:pPr>
              <w:spacing w:after="0"/>
              <w:rPr>
                <w:sz w:val="14"/>
                <w:szCs w:val="14"/>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Capped call derivatives</w:t>
            </w:r>
          </w:p>
        </w:tc>
        <w:tc>
          <w:tcPr>
            <w:tcW w:w="80" w:type="dxa"/>
            <w:vAlign w:val="bottom"/>
          </w:tcPr>
          <w:p>
            <w:pPr>
              <w:spacing w:after="0"/>
              <w:rPr>
                <w:sz w:val="15"/>
                <w:szCs w:val="15"/>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61,608</w:t>
            </w: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exchange feature</w:t>
            </w:r>
          </w:p>
        </w:tc>
        <w:tc>
          <w:tcPr>
            <w:tcW w:w="8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134,090</w:t>
            </w:r>
          </w:p>
        </w:tc>
        <w:tc>
          <w:tcPr>
            <w:tcW w:w="0" w:type="dxa"/>
            <w:vAlign w:val="bottom"/>
          </w:tcPr>
          <w:p>
            <w:pPr>
              <w:spacing w:after="0"/>
              <w:rPr>
                <w:sz w:val="1"/>
                <w:szCs w:val="1"/>
                <w:color w:val="auto"/>
              </w:rPr>
            </w:pPr>
          </w:p>
        </w:tc>
      </w:tr>
      <w:tr>
        <w:trPr>
          <w:trHeight w:val="129"/>
        </w:trPr>
        <w:tc>
          <w:tcPr>
            <w:tcW w:w="2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derivatives not designated as hedging</w:t>
            </w:r>
          </w:p>
        </w:tc>
        <w:tc>
          <w:tcPr>
            <w:tcW w:w="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63,700</w:t>
            </w: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134,093</w:t>
            </w:r>
          </w:p>
        </w:tc>
        <w:tc>
          <w:tcPr>
            <w:tcW w:w="0" w:type="dxa"/>
            <w:vAlign w:val="bottom"/>
          </w:tcPr>
          <w:p>
            <w:pPr>
              <w:spacing w:after="0"/>
              <w:rPr>
                <w:sz w:val="1"/>
                <w:szCs w:val="1"/>
                <w:color w:val="auto"/>
              </w:rPr>
            </w:pP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8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64,285</w:t>
            </w:r>
          </w:p>
        </w:tc>
        <w:tc>
          <w:tcPr>
            <w:tcW w:w="8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137,479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gridSpan w:val="2"/>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94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80" w:type="dxa"/>
            <w:vAlign w:val="bottom"/>
          </w:tcPr>
          <w:p>
            <w:pPr>
              <w:spacing w:after="0"/>
              <w:rPr>
                <w:sz w:val="14"/>
                <w:szCs w:val="14"/>
                <w:color w:val="auto"/>
              </w:rPr>
            </w:pPr>
          </w:p>
        </w:tc>
        <w:tc>
          <w:tcPr>
            <w:tcW w:w="27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4"/>
                <w:szCs w:val="14"/>
                <w:color w:val="auto"/>
              </w:rPr>
            </w:pPr>
          </w:p>
        </w:tc>
        <w:tc>
          <w:tcPr>
            <w:tcW w:w="120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4"/>
                <w:szCs w:val="14"/>
                <w:color w:val="auto"/>
              </w:rPr>
            </w:pPr>
          </w:p>
        </w:tc>
        <w:tc>
          <w:tcPr>
            <w:tcW w:w="27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4"/>
                <w:szCs w:val="14"/>
                <w:color w:val="auto"/>
              </w:rPr>
            </w:pPr>
          </w:p>
        </w:tc>
        <w:tc>
          <w:tcPr>
            <w:tcW w:w="118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1"/>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tcBorders>
              <w:top w:val="single" w:sz="8" w:color="CCEEFF"/>
            </w:tcBorders>
            <w:shd w:val="clear" w:color="auto" w:fill="CCEEFF"/>
          </w:tcPr>
          <w:p>
            <w:pPr>
              <w:spacing w:after="0"/>
              <w:rPr>
                <w:sz w:val="14"/>
                <w:szCs w:val="14"/>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118"/>
        </w:trPr>
        <w:tc>
          <w:tcPr>
            <w:tcW w:w="29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Total derivatives designated as hedging</w:t>
            </w:r>
          </w:p>
        </w:tc>
        <w:tc>
          <w:tcPr>
            <w:tcW w:w="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80" w:type="dxa"/>
            <w:vAlign w:val="bottom"/>
          </w:tcPr>
          <w:p>
            <w:pPr>
              <w:spacing w:after="0"/>
              <w:rPr>
                <w:sz w:val="14"/>
                <w:szCs w:val="1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4"/>
                <w:szCs w:val="14"/>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w:t>
            </w:r>
          </w:p>
        </w:tc>
        <w:tc>
          <w:tcPr>
            <w:tcW w:w="8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assets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8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exchange feature</w:t>
            </w:r>
          </w:p>
        </w:tc>
        <w:tc>
          <w:tcPr>
            <w:tcW w:w="8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181,700</w:t>
            </w:r>
          </w:p>
        </w:tc>
        <w:tc>
          <w:tcPr>
            <w:tcW w:w="0" w:type="dxa"/>
            <w:vAlign w:val="bottom"/>
          </w:tcPr>
          <w:p>
            <w:pPr>
              <w:spacing w:after="0"/>
              <w:rPr>
                <w:sz w:val="1"/>
                <w:szCs w:val="1"/>
                <w:color w:val="auto"/>
              </w:rPr>
            </w:pPr>
          </w:p>
        </w:tc>
      </w:tr>
      <w:tr>
        <w:trPr>
          <w:trHeight w:val="118"/>
        </w:trPr>
        <w:tc>
          <w:tcPr>
            <w:tcW w:w="29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Total derivatives not designated as hedging</w:t>
            </w:r>
          </w:p>
        </w:tc>
        <w:tc>
          <w:tcPr>
            <w:tcW w:w="80" w:type="dxa"/>
            <w:vAlign w:val="bottom"/>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106,690</w:t>
            </w:r>
          </w:p>
        </w:tc>
        <w:tc>
          <w:tcPr>
            <w:tcW w:w="8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182,127</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106,933</w:t>
            </w: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183,413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For the classification of inputs used to evaluate the fair value of our derivatives, refer to “Note 5. Fair Value Measurements.”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Commitments and Contingencies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FDA Warning Letter</w:t>
      </w:r>
    </w:p>
    <w:p>
      <w:pPr>
        <w:spacing w:after="0" w:line="87" w:lineRule="exact"/>
        <w:rPr>
          <w:sz w:val="20"/>
          <w:szCs w:val="20"/>
          <w:color w:val="auto"/>
        </w:rPr>
      </w:pPr>
    </w:p>
    <w:p>
      <w:pPr>
        <w:jc w:val="both"/>
        <w:ind w:right="40" w:firstLine="127"/>
        <w:spacing w:after="0" w:line="303" w:lineRule="auto"/>
        <w:rPr>
          <w:sz w:val="20"/>
          <w:szCs w:val="20"/>
          <w:color w:val="auto"/>
        </w:rPr>
      </w:pPr>
      <w:r>
        <w:rPr>
          <w:rFonts w:ascii="Times New Roman" w:cs="Times New Roman" w:eastAsia="Times New Roman" w:hAnsi="Times New Roman"/>
          <w:sz w:val="14"/>
          <w:szCs w:val="14"/>
          <w:color w:val="auto"/>
        </w:rPr>
        <w:t>On December 29, 2015, the FDA issued a Warning Letter alleging certain violations of FDA regulations applicable to medical device manufacturers at our Munich, Germany and Arvada, Colorado facilities.</w:t>
      </w:r>
    </w:p>
    <w:p>
      <w:pPr>
        <w:spacing w:after="0" w:line="29" w:lineRule="exact"/>
        <w:rPr>
          <w:sz w:val="20"/>
          <w:szCs w:val="20"/>
          <w:color w:val="auto"/>
        </w:rPr>
      </w:pPr>
    </w:p>
    <w:p>
      <w:pPr>
        <w:ind w:right="40" w:firstLine="127"/>
        <w:spacing w:after="0" w:line="273" w:lineRule="auto"/>
        <w:rPr>
          <w:sz w:val="20"/>
          <w:szCs w:val="20"/>
          <w:color w:val="auto"/>
        </w:rPr>
      </w:pPr>
      <w:r>
        <w:rPr>
          <w:rFonts w:ascii="Times New Roman" w:cs="Times New Roman" w:eastAsia="Times New Roman" w:hAnsi="Times New Roman"/>
          <w:sz w:val="14"/>
          <w:szCs w:val="14"/>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60" w:lineRule="exact"/>
        <w:rPr>
          <w:sz w:val="20"/>
          <w:szCs w:val="20"/>
          <w:color w:val="auto"/>
        </w:rPr>
      </w:pPr>
    </w:p>
    <w:p>
      <w:pPr>
        <w:ind w:right="180" w:firstLine="127"/>
        <w:spacing w:after="0" w:line="287" w:lineRule="auto"/>
        <w:rPr>
          <w:sz w:val="20"/>
          <w:szCs w:val="20"/>
          <w:color w:val="auto"/>
        </w:rPr>
      </w:pPr>
      <w:r>
        <w:rPr>
          <w:rFonts w:ascii="Times New Roman" w:cs="Times New Roman" w:eastAsia="Times New Roman" w:hAnsi="Times New Roman"/>
          <w:sz w:val="14"/>
          <w:szCs w:val="14"/>
          <w:color w:val="auto"/>
        </w:rPr>
        <w:t>The Warning Letter further stated that our 3T devices and other devices we manufactured at our Munich facility were subject to refusal of admission into the U.S. until resolution of the issues set forth by the FDA in the Warning Letter. The FDA had</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ind w:right="60"/>
        <w:spacing w:after="0" w:line="275" w:lineRule="auto"/>
        <w:rPr>
          <w:sz w:val="20"/>
          <w:szCs w:val="20"/>
          <w:color w:val="auto"/>
        </w:rPr>
      </w:pPr>
      <w:r>
        <w:rPr>
          <w:rFonts w:ascii="Times New Roman" w:cs="Times New Roman" w:eastAsia="Times New Roman" w:hAnsi="Times New Roman"/>
          <w:sz w:val="14"/>
          <w:szCs w:val="14"/>
          <w:color w:val="auto"/>
        </w:rPr>
        <w:t>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8" w:lineRule="exact"/>
        <w:rPr>
          <w:sz w:val="20"/>
          <w:szCs w:val="20"/>
          <w:color w:val="auto"/>
        </w:rPr>
      </w:pPr>
    </w:p>
    <w:p>
      <w:pPr>
        <w:jc w:val="both"/>
        <w:ind w:right="100" w:firstLine="127"/>
        <w:spacing w:after="0" w:line="278" w:lineRule="auto"/>
        <w:rPr>
          <w:sz w:val="20"/>
          <w:szCs w:val="20"/>
          <w:color w:val="auto"/>
        </w:rPr>
      </w:pPr>
      <w:r>
        <w:rPr>
          <w:rFonts w:ascii="Times New Roman" w:cs="Times New Roman" w:eastAsia="Times New Roman" w:hAnsi="Times New Roman"/>
          <w:sz w:val="14"/>
          <w:szCs w:val="14"/>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6"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were complete, and LivaNova awaited the FDA’s close-out inspection.</w:t>
      </w:r>
    </w:p>
    <w:p>
      <w:pPr>
        <w:spacing w:after="0" w:line="47" w:lineRule="exact"/>
        <w:rPr>
          <w:sz w:val="20"/>
          <w:szCs w:val="20"/>
          <w:color w:val="auto"/>
        </w:rPr>
      </w:pPr>
    </w:p>
    <w:p>
      <w:pPr>
        <w:ind w:right="20" w:firstLine="127"/>
        <w:spacing w:after="0" w:line="272" w:lineRule="auto"/>
        <w:rPr>
          <w:sz w:val="20"/>
          <w:szCs w:val="20"/>
          <w:color w:val="auto"/>
        </w:rPr>
      </w:pPr>
      <w:r>
        <w:rPr>
          <w:rFonts w:ascii="Times New Roman" w:cs="Times New Roman" w:eastAsia="Times New Roman" w:hAnsi="Times New Roman"/>
          <w:sz w:val="14"/>
          <w:szCs w:val="14"/>
          <w:color w:val="auto"/>
        </w:rPr>
        <w:t>On April 28, 2022, the FDA completed its close-out inspection of the Munich, Germany facility and, at the conclusion of the inspection, issued a Form 483 which contained three inspectional observations in the areas of design validation, process validation and complaint investigations. We submitted a detailed response including our proposed corrective and preventative actions to address the FDA’s observations and a subsequent follow-up to the FDA commenting on the Form 483 observations in the context of our previous actions and remediation efforts to the 2015 Warning Letter, including the January 2016 informational Customer Letter; shipment of products pursuant to our certificate of medical necessity program; and the activities that we conducted to obtain clearance of K191402 for the modified 3T device. While our responses were designed to resolve the outstanding issues raised by the FDA, whether the FDA will accept our responses is uncertain. Refer to “Part II, Item 1A, Risk Factors” in this Form 10-Q for additional information regarding the risks surrounding receipt of the Form 483.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CDC and FDA Safety Communications and Company Field Safety Notice</w:t>
      </w:r>
    </w:p>
    <w:p>
      <w:pPr>
        <w:spacing w:after="0" w:line="87"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On October 13, 2016, the Center for Disease Control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63"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In April 2017, we obtained CE Mark in Europe for the design change of the 3T device, and in October 2018, the FDA concluded that we could commence the vacuum canister and internal sealing upgrade program in the U.S. On February 25, 2020, LivaNova received clearance for K191402, a 510(k) for the 3T devices that addressed issues contained in the 2015 Warning Letter along with design changes that further mitigate the potential risk of aerosolization. We are in the process of completing and closing out all recall activities with the FDA. While our vacuum canister and internal sealing upgrade program and deep cleaning service in the U.S. are substantially complete, these services will continue as a servicing option outside of the U.S.</w:t>
      </w:r>
    </w:p>
    <w:p>
      <w:pPr>
        <w:spacing w:after="0" w:line="63" w:lineRule="exact"/>
        <w:rPr>
          <w:sz w:val="20"/>
          <w:szCs w:val="20"/>
          <w:color w:val="auto"/>
        </w:rPr>
      </w:pPr>
    </w:p>
    <w:p>
      <w:pPr>
        <w:ind w:right="20" w:firstLine="127"/>
        <w:spacing w:after="0" w:line="278" w:lineRule="auto"/>
        <w:rPr>
          <w:sz w:val="20"/>
          <w:szCs w:val="20"/>
          <w:color w:val="auto"/>
        </w:rPr>
      </w:pPr>
      <w:r>
        <w:rPr>
          <w:rFonts w:ascii="Times New Roman" w:cs="Times New Roman" w:eastAsia="Times New Roman" w:hAnsi="Times New Roman"/>
          <w:sz w:val="14"/>
          <w:szCs w:val="14"/>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during the fourth quarter of 2016, and furthermore, the cost associated with the plan was reasonably estimable. At June 30, 2022, the product remediation liability was $0.7 million.</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Saluggia Site Hazardous Substances</w:t>
      </w:r>
    </w:p>
    <w:p>
      <w:pPr>
        <w:spacing w:after="0" w:line="87" w:lineRule="exact"/>
        <w:rPr>
          <w:sz w:val="20"/>
          <w:szCs w:val="20"/>
          <w:color w:val="auto"/>
        </w:rPr>
      </w:pPr>
    </w:p>
    <w:p>
      <w:pPr>
        <w:ind w:right="140" w:firstLine="127"/>
        <w:spacing w:after="0" w:line="275" w:lineRule="auto"/>
        <w:rPr>
          <w:sz w:val="20"/>
          <w:szCs w:val="20"/>
          <w:color w:val="auto"/>
        </w:rPr>
      </w:pPr>
      <w:r>
        <w:rPr>
          <w:rFonts w:ascii="Times New Roman" w:cs="Times New Roman" w:eastAsia="Times New Roman" w:hAnsi="Times New Roman"/>
          <w:sz w:val="14"/>
          <w:szCs w:val="14"/>
          <w:color w:val="auto"/>
        </w:rPr>
        <w:t>LivaNova Site Management S.r.l. (“LSM”), formerly a subsidiary of Sorin, one of the companies that merged into LivaNova PLC in 2015, manages site services for the campus in Saluggia, Italy. In addition to a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58"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During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50"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June 30, 2022 was $35.9 million, which represented the low end of the estimated range of loss of $35.9 million to $45.6 million. The estimated liability as of December 31, 2021 was $39.3 million. The decrease in the liability from December 31, 2021 was primarily due to the effects of foreign currency changes during the six months ended June 30, 2022.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auto"/>
        </w:rPr>
        <w:t>Product Liability</w:t>
      </w:r>
    </w:p>
    <w:p>
      <w:pPr>
        <w:spacing w:after="0" w:line="98"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The Company is currently involved in litigation involving our 3T device. The litigation includes federal multi-district litigation in the U.S. District Court for the Middle District of Pennsylvania, various U.S. state court cases and cases in jurisdictions outside the U.S. A class action, filed in February 2016 in the U.S. District Court for the Middle District of Pennsylvania, consisting of all Pennsylvania residents who underwent open heart surgery at WellSpan York Hospital and Penn State Milton S. Hershey Medical Center between 2011 and 2015 and who currently are asymptomatic for NTM infection, was dismissed on July 16, 2021.</w:t>
      </w:r>
    </w:p>
    <w:p>
      <w:pPr>
        <w:spacing w:after="0" w:line="63"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On March 29, 2019, we announced a settlement framework that provides for a comprehensive resolution of the personal injury cases pending in the multi-district litigation in U.S. federal court, the related class action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0" w:lineRule="exact"/>
        <w:rPr>
          <w:sz w:val="20"/>
          <w:szCs w:val="20"/>
          <w:color w:val="auto"/>
        </w:rPr>
      </w:pPr>
    </w:p>
    <w:p>
      <w:pPr>
        <w:ind w:right="80" w:firstLine="127"/>
        <w:spacing w:after="0" w:line="273" w:lineRule="auto"/>
        <w:rPr>
          <w:sz w:val="20"/>
          <w:szCs w:val="20"/>
          <w:color w:val="auto"/>
        </w:rPr>
      </w:pPr>
      <w:r>
        <w:rPr>
          <w:rFonts w:ascii="Times New Roman" w:cs="Times New Roman" w:eastAsia="Times New Roman" w:hAnsi="Times New Roman"/>
          <w:sz w:val="14"/>
          <w:szCs w:val="14"/>
          <w:color w:val="auto"/>
        </w:rPr>
        <w:t>Cases in state courts in the U.S. and in jurisdictions outside the U.S. continue to progress. As of August 3, 2022, including the cases encompassed in the settlement framework described above that have not yet been dismissed, we were aware of approximately 90 filed and unfiled claims worldwide, with the majority of the claims in various federal or state courts throughout the United States. This number includes six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60" w:lineRule="exact"/>
        <w:rPr>
          <w:sz w:val="20"/>
          <w:szCs w:val="20"/>
          <w:color w:val="auto"/>
        </w:rPr>
      </w:pPr>
    </w:p>
    <w:p>
      <w:pPr>
        <w:ind w:right="20" w:firstLine="127"/>
        <w:spacing w:after="0" w:line="278" w:lineRule="auto"/>
        <w:rPr>
          <w:sz w:val="20"/>
          <w:szCs w:val="20"/>
          <w:color w:val="auto"/>
        </w:rPr>
      </w:pPr>
      <w:r>
        <w:rPr>
          <w:rFonts w:ascii="Times New Roman" w:cs="Times New Roman" w:eastAsia="Times New Roman" w:hAnsi="Times New Roman"/>
          <w:sz w:val="14"/>
          <w:szCs w:val="14"/>
          <w:color w:val="auto"/>
        </w:rPr>
        <w:t>At June 30, 2022, the provision for these matters was $36.9 million. While the amount accrued represents our best estimate for those filed and unfiled claims that we believe are both probable and estimable at this time, and which are a subset of the filed and unfiled claims worldwide of which we are currently aware, the actual liability for resolution of these matters may vary from our estimate. The remaining claims for which a provision has not been recorded are remote or the potential loss is not estimable at this time.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8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the carrying amount of the litigation provision liability are as follows (in thousands):</w:t>
            </w: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2"/>
        </w:trPr>
        <w:tc>
          <w:tcPr>
            <w:tcW w:w="8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litigation provision liability at December 31, 2021</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39,470</w:t>
            </w:r>
          </w:p>
        </w:tc>
      </w:tr>
      <w:tr>
        <w:trPr>
          <w:trHeight w:val="180"/>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0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w:t>
            </w:r>
          </w:p>
        </w:tc>
      </w:tr>
      <w:tr>
        <w:trPr>
          <w:trHeight w:val="180"/>
        </w:trPr>
        <w:tc>
          <w:tcPr>
            <w:tcW w:w="8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10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r>
      <w:tr>
        <w:trPr>
          <w:trHeight w:val="18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FX and other</w:t>
            </w:r>
          </w:p>
        </w:tc>
        <w:tc>
          <w:tcPr>
            <w:tcW w:w="1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litigation provision liability at June 30, 2022</w:t>
            </w:r>
          </w:p>
        </w:tc>
        <w:tc>
          <w:tcPr>
            <w:tcW w:w="10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36,889</w:t>
            </w:r>
          </w:p>
        </w:tc>
      </w:tr>
      <w:tr>
        <w:trPr>
          <w:trHeight w:val="180"/>
        </w:trPr>
        <w:tc>
          <w:tcPr>
            <w:tcW w:w="8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current portion of litigation provision liability at June 30, 2022</w:t>
            </w:r>
          </w:p>
        </w:tc>
        <w:tc>
          <w:tcPr>
            <w:tcW w:w="1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30,960</w:t>
            </w:r>
          </w:p>
        </w:tc>
      </w:tr>
      <w:tr>
        <w:trPr>
          <w:trHeight w:val="196"/>
        </w:trPr>
        <w:tc>
          <w:tcPr>
            <w:tcW w:w="886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Long-term portion of litigation provision liability at June 30, 2022 </w:t>
            </w:r>
            <w:r>
              <w:rPr>
                <w:rFonts w:ascii="Times New Roman" w:cs="Times New Roman" w:eastAsia="Times New Roman" w:hAnsi="Times New Roman"/>
                <w:sz w:val="18"/>
                <w:szCs w:val="18"/>
                <w:color w:val="auto"/>
                <w:vertAlign w:val="superscript"/>
              </w:rPr>
              <w:t>(2)</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to the litigation provision are included within other operating expenses on the condensed consolidated statements of income (loss).</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within other long-term liabilities on the condensed consolidated balance sheet.</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auto"/>
        </w:rPr>
        <w:t>Environmental Liability</w:t>
      </w:r>
    </w:p>
    <w:p>
      <w:pPr>
        <w:spacing w:after="0" w:line="87" w:lineRule="exact"/>
        <w:rPr>
          <w:sz w:val="20"/>
          <w:szCs w:val="20"/>
          <w:color w:val="auto"/>
        </w:rPr>
      </w:pPr>
    </w:p>
    <w:p>
      <w:pPr>
        <w:ind w:right="100" w:firstLine="127"/>
        <w:spacing w:after="0" w:line="286" w:lineRule="auto"/>
        <w:rPr>
          <w:sz w:val="20"/>
          <w:szCs w:val="20"/>
          <w:color w:val="auto"/>
        </w:rPr>
      </w:pPr>
      <w:r>
        <w:rPr>
          <w:rFonts w:ascii="Times New Roman" w:cs="Times New Roman" w:eastAsia="Times New Roman" w:hAnsi="Times New Roman"/>
          <w:sz w:val="14"/>
          <w:szCs w:val="14"/>
          <w:color w:val="auto"/>
        </w:rPr>
        <w:t>Sorin was created as a result of a spin-off (the “Sorin spin-off”) from SNIA in January 2004, and in October 2015, Sorin was merged into LivaNova.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40" w:lineRule="exact"/>
        <w:rPr>
          <w:sz w:val="20"/>
          <w:szCs w:val="20"/>
          <w:color w:val="auto"/>
        </w:rPr>
      </w:pPr>
    </w:p>
    <w:p>
      <w:pPr>
        <w:ind w:right="60" w:firstLine="127"/>
        <w:spacing w:after="0" w:line="272" w:lineRule="auto"/>
        <w:rPr>
          <w:sz w:val="20"/>
          <w:szCs w:val="20"/>
          <w:color w:val="auto"/>
        </w:rPr>
      </w:pPr>
      <w:r>
        <w:rPr>
          <w:rFonts w:ascii="Times New Roman" w:cs="Times New Roman" w:eastAsia="Times New Roman" w:hAnsi="Times New Roman"/>
          <w:sz w:val="14"/>
          <w:szCs w:val="14"/>
          <w:color w:val="auto"/>
        </w:rPr>
        <w:t>There are proceedings relating to the SNIA bankruptcy to which we are not a party in the Bankruptcy Court of Udine and the Bankruptcy Court of Milan. In September 2011, the Bankruptcy Court of Udine held that the Italian Ministry of the Environment and other Italian government agencies (the “Public Administrations”) were not creditors of either SNIA or its subsidiaries in connection with their claims in the Italian insolvency proceedings. The Public Administrations appealed. In January 2016, the Court of Udine rejected the appeal, and the Public Administrations appealed to the Supreme Court. Similarly, in July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51"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In January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On April 1, 2016, the Court of Milan dismissed all legal actions of SNIA and of the Public Administrations further requiring the Public Administrations to pay Sorin approximately €292,000 (approximately $304,103 as of June 30, 2022) for legal fees. The Public Administrations appealed the 2016 decision to the Court of Appeal of Milan (“Court of Appeal”).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$595.8 million as of June 30, 2022). We appealed the partial decision on liability to the Italian Supreme Court in August 2019.</w:t>
      </w:r>
    </w:p>
    <w:p>
      <w:pPr>
        <w:spacing w:after="0" w:line="63" w:lineRule="exact"/>
        <w:rPr>
          <w:sz w:val="20"/>
          <w:szCs w:val="20"/>
          <w:color w:val="auto"/>
        </w:rPr>
      </w:pPr>
    </w:p>
    <w:p>
      <w:pPr>
        <w:ind w:right="160" w:firstLine="127"/>
        <w:spacing w:after="0" w:line="303" w:lineRule="auto"/>
        <w:rPr>
          <w:sz w:val="20"/>
          <w:szCs w:val="20"/>
          <w:color w:val="auto"/>
        </w:rPr>
      </w:pPr>
      <w:r>
        <w:rPr>
          <w:rFonts w:ascii="Times New Roman" w:cs="Times New Roman" w:eastAsia="Times New Roman" w:hAnsi="Times New Roman"/>
          <w:sz w:val="14"/>
          <w:szCs w:val="14"/>
          <w:color w:val="auto"/>
        </w:rPr>
        <w:t>In November 2021, the Court of Appeal delivered the remainder of its decision, ordering LivaNova to pay damages of approximately €453.6 million (approximately $472.4 million as of June 30, 2022). We appealed the decision on damages in December 2021. The Italian Supreme Court scheduled a hearing for October 5, 2022 to address the appeals of liability and damages.</w:t>
      </w:r>
    </w:p>
    <w:p>
      <w:pPr>
        <w:spacing w:after="0" w:line="29" w:lineRule="exact"/>
        <w:rPr>
          <w:sz w:val="20"/>
          <w:szCs w:val="20"/>
          <w:color w:val="auto"/>
        </w:rPr>
      </w:pPr>
    </w:p>
    <w:p>
      <w:pPr>
        <w:ind w:right="100" w:firstLine="127"/>
        <w:spacing w:after="0" w:line="286" w:lineRule="auto"/>
        <w:rPr>
          <w:sz w:val="20"/>
          <w:szCs w:val="20"/>
          <w:color w:val="auto"/>
        </w:rPr>
      </w:pPr>
      <w:r>
        <w:rPr>
          <w:rFonts w:ascii="Times New Roman" w:cs="Times New Roman" w:eastAsia="Times New Roman" w:hAnsi="Times New Roman"/>
          <w:sz w:val="14"/>
          <w:szCs w:val="14"/>
          <w:color w:val="auto"/>
        </w:rPr>
        <w:t>On February 21, 2022, the Court of Appeal notified the Company that it granted the Company a suspension with respect to the payment of damages until a decision has been reached on the appeal to the Italian Supreme Court. This suspension was subject to our providing a first demand bank guarantee of €270.0 million (approximately $281.2 million as of June 30, 2022) within 30 calendar days, and on March 21, 2022, LivaNova delivered the guarantee, thereby satisfying the condition. Refer to “Note 6. Financing Arrangements” for information on the financing of the guarantee.</w:t>
      </w:r>
    </w:p>
    <w:p>
      <w:pPr>
        <w:spacing w:after="0" w:line="40" w:lineRule="exact"/>
        <w:rPr>
          <w:sz w:val="20"/>
          <w:szCs w:val="20"/>
          <w:color w:val="auto"/>
        </w:rPr>
      </w:pPr>
    </w:p>
    <w:p>
      <w:pPr>
        <w:ind w:right="140" w:firstLine="127"/>
        <w:spacing w:after="0" w:line="273" w:lineRule="auto"/>
        <w:rPr>
          <w:sz w:val="20"/>
          <w:szCs w:val="20"/>
          <w:color w:val="auto"/>
        </w:rPr>
      </w:pPr>
      <w:r>
        <w:rPr>
          <w:rFonts w:ascii="Times New Roman" w:cs="Times New Roman" w:eastAsia="Times New Roman" w:hAnsi="Times New Roman"/>
          <w:sz w:val="14"/>
          <w:szCs w:val="14"/>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September 2020, Caffaro Brescia declared it was withdrawing from its agreement to maintain the environmental measures. In January 2021, we (in addition to Caffaro Brescia, and other non-LivaNova entities) received an administrative order (“Order”) from the Italian Ministry of the Environment requiring us to ensure the maintenance of the environmental measures and to guarantee that such works remain fully operational, the annual management and maintenance for which is estimated at approximately €1 million per year. LivaNova’s receipt of the Order appears to be based</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ind w:right="260"/>
        <w:spacing w:after="0" w:line="303" w:lineRule="auto"/>
        <w:rPr>
          <w:sz w:val="20"/>
          <w:szCs w:val="20"/>
          <w:color w:val="auto"/>
        </w:rPr>
      </w:pPr>
      <w:r>
        <w:rPr>
          <w:rFonts w:ascii="Times New Roman" w:cs="Times New Roman" w:eastAsia="Times New Roman" w:hAnsi="Times New Roman"/>
          <w:sz w:val="14"/>
          <w:szCs w:val="14"/>
          <w:color w:val="auto"/>
        </w:rPr>
        <w:t>on the aforementioned Court of Appeal decision regarding our alleged joint liability with SNIA for SNIA’s environmental liabilities. Our response, dated February 16, 2021, disputes the grounds upon which the Order is based. We also appealed the Order in the Administrative Court in Brescia.</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have not recognized a liability in connection with these related matters because any potential loss is not currently probable.</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auto"/>
        </w:rPr>
        <w:t>Contract Litigation / Claims</w:t>
      </w:r>
    </w:p>
    <w:p>
      <w:pPr>
        <w:spacing w:after="0" w:line="87"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was filed in the United States District Court for the District of Minnesota. The complaint alleged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sought damages arising out of the 2017 acquisition agreement, including various regulatory milestone payments. In May 2022, the District Court granted LivaNova’s motion for summary judgment; in response, Caisson subsequently filed a notice of appeal to the Eighth Circuit Court of Appeal. We intend to vigorously defend this claim. The Company has not recognized a liability related to this matter because any potential loss is not currently probable or reasonably estimable.</w:t>
      </w:r>
    </w:p>
    <w:p>
      <w:pPr>
        <w:spacing w:after="0" w:line="63" w:lineRule="exact"/>
        <w:rPr>
          <w:sz w:val="20"/>
          <w:szCs w:val="20"/>
          <w:color w:val="auto"/>
        </w:rPr>
      </w:pPr>
    </w:p>
    <w:p>
      <w:pPr>
        <w:ind w:right="20" w:firstLine="127"/>
        <w:spacing w:after="0" w:line="303" w:lineRule="auto"/>
        <w:rPr>
          <w:sz w:val="20"/>
          <w:szCs w:val="20"/>
          <w:color w:val="auto"/>
        </w:rPr>
      </w:pPr>
      <w:r>
        <w:rPr>
          <w:rFonts w:ascii="Times New Roman" w:cs="Times New Roman" w:eastAsia="Times New Roman" w:hAnsi="Times New Roman"/>
          <w:sz w:val="14"/>
          <w:szCs w:val="14"/>
          <w:color w:val="auto"/>
        </w:rPr>
        <w:t>Please refer to “Note 3. Divestiture of Heart Valve Business” for information regarding a demand letter received by the Company from Mitral on July 29, 2022. The Company has not recognized a liability related to this matter because any potential loss is not currently probable.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98" w:lineRule="exact"/>
        <w:rPr>
          <w:sz w:val="20"/>
          <w:szCs w:val="20"/>
          <w:color w:val="auto"/>
        </w:rPr>
      </w:pPr>
    </w:p>
    <w:p>
      <w:pPr>
        <w:jc w:val="both"/>
        <w:ind w:firstLine="127"/>
        <w:spacing w:after="0" w:line="278" w:lineRule="auto"/>
        <w:rPr>
          <w:sz w:val="20"/>
          <w:szCs w:val="20"/>
          <w:color w:val="auto"/>
        </w:rPr>
      </w:pPr>
      <w:r>
        <w:rPr>
          <w:rFonts w:ascii="Times New Roman" w:cs="Times New Roman" w:eastAsia="Times New Roman" w:hAnsi="Times New Roman"/>
          <w:sz w:val="14"/>
          <w:szCs w:val="14"/>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3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Note 9. Stockholders' Equity</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tables below present the condensed consolidated statements of stockholders’ equity as of and for the three and six months ended June 30, 2022 and 2021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15"/>
        </w:trPr>
        <w:tc>
          <w:tcPr>
            <w:tcW w:w="30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9"/>
                <w:szCs w:val="9"/>
                <w:color w:val="auto"/>
              </w:rPr>
            </w:pPr>
          </w:p>
        </w:tc>
        <w:tc>
          <w:tcPr>
            <w:tcW w:w="12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Accumulated Deficit </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08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9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2"/>
              <w:spacing w:after="0" w:line="159" w:lineRule="exact"/>
              <w:rPr>
                <w:sz w:val="20"/>
                <w:szCs w:val="20"/>
                <w:color w:val="auto"/>
              </w:rPr>
            </w:pPr>
            <w:r>
              <w:rPr>
                <w:rFonts w:ascii="Times New Roman" w:cs="Times New Roman" w:eastAsia="Times New Roman" w:hAnsi="Times New Roman"/>
                <w:sz w:val="11"/>
                <w:szCs w:val="11"/>
                <w:b w:val="1"/>
                <w:bCs w:val="1"/>
                <w:color w:val="auto"/>
                <w:w w:val="96"/>
              </w:rPr>
              <w:t xml:space="preserve">Equity </w:t>
            </w:r>
            <w:r>
              <w:rPr>
                <w:rFonts w:ascii="Times New Roman" w:cs="Times New Roman" w:eastAsia="Times New Roman" w:hAnsi="Times New Roman"/>
                <w:sz w:val="14"/>
                <w:szCs w:val="14"/>
                <w:b w:val="1"/>
                <w:bCs w:val="1"/>
                <w:color w:val="auto"/>
                <w:w w:val="96"/>
                <w:vertAlign w:val="superscript"/>
              </w:rPr>
              <w:t>(1)</w:t>
            </w:r>
          </w:p>
        </w:tc>
        <w:tc>
          <w:tcPr>
            <w:tcW w:w="0" w:type="dxa"/>
            <w:vAlign w:val="bottom"/>
          </w:tcPr>
          <w:p>
            <w:pPr>
              <w:spacing w:after="0"/>
              <w:rPr>
                <w:sz w:val="1"/>
                <w:szCs w:val="1"/>
                <w:color w:val="auto"/>
              </w:rPr>
            </w:pP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2,121,098</w:t>
            </w: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(894,791)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1,291,854</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16,444</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(38,738)</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2,133,258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1,282,003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1,770,407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1,055,130</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(56,487)</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21,137</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1,779,113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(849,214)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1,028,674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80" w:type="dxa"/>
            <w:vAlign w:val="bottom"/>
          </w:tcPr>
          <w:p>
            <w:pPr>
              <w:spacing w:after="0"/>
              <w:rPr>
                <w:sz w:val="21"/>
                <w:szCs w:val="2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0"/>
                <w:szCs w:val="10"/>
                <w:color w:val="auto"/>
              </w:rPr>
            </w:pPr>
          </w:p>
        </w:tc>
        <w:tc>
          <w:tcPr>
            <w:tcW w:w="12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Accumulated Deficit </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08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9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 xml:space="preserve">Equity </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2,117,961</w:t>
            </w: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(897,784)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1,294,645</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15,614</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19,437</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(47,693)</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2,133,258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1,282,003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30,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1,768,156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1,109,265</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11,391</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(87,248)</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1,779,113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(849,214)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1,028,674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right="260" w:hanging="260"/>
        <w:spacing w:after="0" w:line="281" w:lineRule="auto"/>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deficit and total stockholders’ equity as of June 30, 2021 and net loss for the three and six months ended June 30, 2021 have been revised. For further details refer to “Note 1. Unaudited Condensed Consolidated Financial Statements.”</w:t>
      </w:r>
    </w:p>
    <w:p>
      <w:pPr>
        <w:spacing w:after="0" w:line="39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819" w:right="699" w:bottom="1440" w:gutter="0" w:footer="0" w:header="0"/>
        </w:sectPr>
      </w:pPr>
    </w:p>
    <w:bookmarkStart w:id="25" w:name="page26"/>
    <w:bookmarkEnd w:id="25"/>
    <w:p>
      <w:pPr>
        <w:ind w:left="140"/>
        <w:spacing w:after="0"/>
        <w:rPr>
          <w:sz w:val="20"/>
          <w:szCs w:val="20"/>
          <w:color w:val="auto"/>
        </w:rPr>
      </w:pPr>
      <w:r>
        <w:rPr>
          <w:rFonts w:ascii="Times New Roman" w:cs="Times New Roman" w:eastAsia="Times New Roman" w:hAnsi="Times New Roman"/>
          <w:sz w:val="14"/>
          <w:szCs w:val="14"/>
          <w:color w:val="auto"/>
        </w:rPr>
        <w:t>The table below presents the change in each component of AOCI, net of tax, and the reclassifications out of AOCI into net income for the six months ended June 30, 2022 and 2021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 Unrealized</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1660" w:type="dxa"/>
            <w:vAlign w:val="bottom"/>
            <w:gridSpan w:val="3"/>
          </w:tcPr>
          <w:p>
            <w:pPr>
              <w:ind w:left="40"/>
              <w:spacing w:after="0" w:line="138" w:lineRule="exact"/>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340" w:type="dxa"/>
            <w:vAlign w:val="bottom"/>
          </w:tcPr>
          <w:p>
            <w:pPr>
              <w:spacing w:after="0"/>
              <w:rPr>
                <w:sz w:val="11"/>
                <w:szCs w:val="11"/>
                <w:color w:val="auto"/>
              </w:rPr>
            </w:pPr>
          </w:p>
        </w:tc>
        <w:tc>
          <w:tcPr>
            <w:tcW w:w="120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4"/>
                <w:szCs w:val="14"/>
                <w:b w:val="1"/>
                <w:bCs w:val="1"/>
                <w:color w:val="auto"/>
                <w:w w:val="96"/>
              </w:rPr>
              <w:t xml:space="preserve">Gain (Loss) </w:t>
            </w:r>
            <w:r>
              <w:rPr>
                <w:rFonts w:ascii="Times New Roman" w:cs="Times New Roman" w:eastAsia="Times New Roman" w:hAnsi="Times New Roman"/>
                <w:sz w:val="18"/>
                <w:szCs w:val="18"/>
                <w:b w:val="1"/>
                <w:bCs w:val="1"/>
                <w:color w:val="auto"/>
                <w:w w:val="96"/>
                <w:vertAlign w:val="superscript"/>
              </w:rPr>
              <w:t>(1)</w:t>
            </w: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(47,524)</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(45,766)</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(47,524)</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before tax</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tax benefit</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(45,766)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(47,693)</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(5,691)</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income, before tax</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tax benefit</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7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income,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Taxes are not provided for foreign currency translation adjustments as translation adjustments are related to earnings that are intended to be reinvested in the countries where earned.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Stock-Based Incentive Plans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incentive plans compensation expense is as follows (in thousands):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2"/>
        </w:trPr>
        <w:tc>
          <w:tcPr>
            <w:tcW w:w="5200" w:type="dxa"/>
            <w:vAlign w:val="bottom"/>
          </w:tcPr>
          <w:p>
            <w:pPr>
              <w:spacing w:after="0"/>
              <w:rPr>
                <w:sz w:val="17"/>
                <w:szCs w:val="17"/>
                <w:color w:val="auto"/>
              </w:rPr>
            </w:pPr>
          </w:p>
        </w:tc>
        <w:tc>
          <w:tcPr>
            <w:tcW w:w="250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5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restricted stock units (“RSUs”)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10,047</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stock appreciation rights (“SARs”)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w:t>
            </w: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restricted stock units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performance-based restricted stock units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share purchase plan</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r>
      <w:tr>
        <w:trPr>
          <w:trHeight w:val="17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11,509</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19,452</w:t>
            </w: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0" w:firstLine="127"/>
        <w:spacing w:after="0" w:line="278" w:lineRule="auto"/>
        <w:rPr>
          <w:sz w:val="20"/>
          <w:szCs w:val="20"/>
          <w:color w:val="auto"/>
        </w:rPr>
      </w:pPr>
      <w:r>
        <w:rPr>
          <w:rFonts w:ascii="Times New Roman" w:cs="Times New Roman" w:eastAsia="Times New Roman" w:hAnsi="Times New Roman"/>
          <w:sz w:val="14"/>
          <w:szCs w:val="14"/>
          <w:color w:val="auto"/>
        </w:rPr>
        <w:t>Stock-based awards may be granted under the 2015 Incentive Award Plan (the “2015 Plan”) and the 2022 Incentive Award Plan (the “2022 Plan”) in the form of stock options, SARs, RSUs and other stock-based and cash-based awards. As of June 30, 2022, there were 56,428 shares available for future grants to our Non-Executive Directors under the 2015 Plan and 1,900,000 shares pursuant to Options or Stock Appreciation Rights and 1,173,352 shares pursuant to other types of awards available for future grants to our employees under the 2022 Plan.</w:t>
      </w:r>
    </w:p>
    <w:p>
      <w:pPr>
        <w:spacing w:after="0" w:line="56" w:lineRule="exact"/>
        <w:rPr>
          <w:sz w:val="20"/>
          <w:szCs w:val="20"/>
          <w:color w:val="auto"/>
        </w:rPr>
      </w:pPr>
    </w:p>
    <w:p>
      <w:pPr>
        <w:ind w:right="80" w:firstLine="127"/>
        <w:spacing w:after="0" w:line="303" w:lineRule="auto"/>
        <w:rPr>
          <w:sz w:val="20"/>
          <w:szCs w:val="20"/>
          <w:color w:val="auto"/>
        </w:rPr>
      </w:pPr>
      <w:r>
        <w:rPr>
          <w:rFonts w:ascii="Times New Roman" w:cs="Times New Roman" w:eastAsia="Times New Roman" w:hAnsi="Times New Roman"/>
          <w:sz w:val="14"/>
          <w:szCs w:val="14"/>
          <w:color w:val="auto"/>
        </w:rPr>
        <w:t>During the six months ended June 30, 2022, we issued stock-based compensatory awards with terms approved by the Compensation Committee of our Board of Directors. The awards with service conditions generally vest ratably from two to four</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ind w:right="80"/>
        <w:spacing w:after="0" w:line="275" w:lineRule="auto"/>
        <w:rPr>
          <w:sz w:val="20"/>
          <w:szCs w:val="20"/>
          <w:color w:val="auto"/>
        </w:rPr>
      </w:pPr>
      <w:r>
        <w:rPr>
          <w:rFonts w:ascii="Times New Roman" w:cs="Times New Roman" w:eastAsia="Times New Roman" w:hAnsi="Times New Roman"/>
          <w:sz w:val="14"/>
          <w:szCs w:val="14"/>
          <w:color w:val="auto"/>
        </w:rPr>
        <w:t>years and are subject to forfeiture unless service conditions are met. The market performance-based awards that were issued cliff vest after three years subject to the rank of our total shareholder return for the three-year period ending December 31, 2024 relative to the total shareholder returns for a peer group of companies. The adjusted free cash flow and return on invested capital operating performance-based awards that were issued cliff vest after three years subject to the achievement of certain thresholds of cumulative results for the three-year period ending December 31, 2024. Compensation expense related to awards granted during 2022 for the six months ended June 30, 2022 was $3.0 million.</w:t>
      </w:r>
    </w:p>
    <w:p>
      <w:pPr>
        <w:spacing w:after="0" w:line="58" w:lineRule="exact"/>
        <w:rPr>
          <w:sz w:val="20"/>
          <w:szCs w:val="20"/>
          <w:color w:val="auto"/>
        </w:rPr>
      </w:pPr>
    </w:p>
    <w:p>
      <w:pPr>
        <w:ind w:right="140" w:firstLine="127"/>
        <w:spacing w:after="0" w:line="283" w:lineRule="auto"/>
        <w:rPr>
          <w:sz w:val="20"/>
          <w:szCs w:val="20"/>
          <w:color w:val="auto"/>
        </w:rPr>
      </w:pPr>
      <w:r>
        <w:rPr>
          <w:rFonts w:ascii="Times New Roman" w:cs="Times New Roman" w:eastAsia="Times New Roman" w:hAnsi="Times New Roman"/>
          <w:sz w:val="14"/>
          <w:szCs w:val="14"/>
          <w:color w:val="auto"/>
        </w:rPr>
        <w:t>Stock-based compensation agreements issued during the six months ended June 30, 2022, representing potential shares and their weighted average grant date fair values by type follows (shares in thousands, fair value in dollars):</w:t>
      </w:r>
    </w:p>
    <w:p>
      <w:pPr>
        <w:ind w:left="816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000" w:type="dxa"/>
            <w:vAlign w:val="bottom"/>
          </w:tcPr>
          <w:p>
            <w:pPr>
              <w:spacing w:after="0"/>
              <w:rPr>
                <w:sz w:val="11"/>
                <w:szCs w:val="11"/>
                <w:color w:val="auto"/>
              </w:rPr>
            </w:pPr>
          </w:p>
        </w:tc>
        <w:tc>
          <w:tcPr>
            <w:tcW w:w="1420" w:type="dxa"/>
            <w:vAlign w:val="bottom"/>
            <w:tcBorders>
              <w:top w:val="single" w:sz="8" w:color="auto"/>
            </w:tcBorders>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553,050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0" w:type="dxa"/>
            <w:vAlign w:val="bottom"/>
          </w:tcPr>
          <w:p>
            <w:pPr>
              <w:spacing w:after="0"/>
              <w:rPr>
                <w:sz w:val="1"/>
                <w:szCs w:val="1"/>
                <w:color w:val="auto"/>
              </w:rPr>
            </w:pPr>
          </w:p>
        </w:tc>
      </w:tr>
      <w:tr>
        <w:trPr>
          <w:trHeight w:val="18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291,330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79.04</w:t>
            </w:r>
          </w:p>
        </w:tc>
        <w:tc>
          <w:tcPr>
            <w:tcW w:w="0" w:type="dxa"/>
            <w:vAlign w:val="bottom"/>
          </w:tcPr>
          <w:p>
            <w:pPr>
              <w:spacing w:after="0"/>
              <w:rPr>
                <w:sz w:val="1"/>
                <w:szCs w:val="1"/>
                <w:color w:val="auto"/>
              </w:rPr>
            </w:pPr>
          </w:p>
        </w:tc>
      </w:tr>
      <w:tr>
        <w:trPr>
          <w:trHeight w:val="18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RSUs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103.02</w:t>
            </w:r>
          </w:p>
        </w:tc>
        <w:tc>
          <w:tcPr>
            <w:tcW w:w="0" w:type="dxa"/>
            <w:vAlign w:val="bottom"/>
          </w:tcPr>
          <w:p>
            <w:pPr>
              <w:spacing w:after="0"/>
              <w:rPr>
                <w:sz w:val="1"/>
                <w:szCs w:val="1"/>
                <w:color w:val="auto"/>
              </w:rPr>
            </w:pPr>
          </w:p>
        </w:tc>
      </w:tr>
      <w:tr>
        <w:trPr>
          <w:trHeight w:val="18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performance-based RSUs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44,174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Income Taxes</w:t>
      </w:r>
    </w:p>
    <w:p>
      <w:pPr>
        <w:spacing w:after="0" w:line="87" w:lineRule="exact"/>
        <w:rPr>
          <w:sz w:val="20"/>
          <w:szCs w:val="20"/>
          <w:color w:val="auto"/>
        </w:rPr>
      </w:pPr>
    </w:p>
    <w:p>
      <w:pPr>
        <w:ind w:right="140" w:firstLine="127"/>
        <w:spacing w:after="0" w:line="278" w:lineRule="auto"/>
        <w:rPr>
          <w:sz w:val="20"/>
          <w:szCs w:val="20"/>
          <w:color w:val="auto"/>
        </w:rPr>
      </w:pPr>
      <w:r>
        <w:rPr>
          <w:rFonts w:ascii="Times New Roman" w:cs="Times New Roman" w:eastAsia="Times New Roman" w:hAnsi="Times New Roman"/>
          <w:sz w:val="14"/>
          <w:szCs w:val="14"/>
          <w:color w:val="auto"/>
        </w:rPr>
        <w:t>Our effective income tax rate for the three and six months ended June 30, 2022 was 13.2% and 20.6%, respectively, compared with (7.4)% and (8.1)%, respectively, for the three and six months ended June 30, 2021. Our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continually assess the realizability of our worldwide deferred tax asset and valuation allowance positions, and when the need arises, we establish or release valuation allowances accordingly.</w:t>
      </w:r>
    </w:p>
    <w:p>
      <w:pPr>
        <w:spacing w:after="0" w:line="104" w:lineRule="exact"/>
        <w:rPr>
          <w:sz w:val="20"/>
          <w:szCs w:val="20"/>
          <w:color w:val="auto"/>
        </w:rPr>
      </w:pPr>
    </w:p>
    <w:p>
      <w:pPr>
        <w:ind w:right="380" w:firstLine="127"/>
        <w:spacing w:after="0" w:line="287" w:lineRule="auto"/>
        <w:rPr>
          <w:sz w:val="20"/>
          <w:szCs w:val="20"/>
          <w:color w:val="auto"/>
        </w:rPr>
      </w:pPr>
      <w:r>
        <w:rPr>
          <w:rFonts w:ascii="Times New Roman" w:cs="Times New Roman" w:eastAsia="Times New Roman" w:hAnsi="Times New Roman"/>
          <w:sz w:val="14"/>
          <w:szCs w:val="14"/>
          <w:color w:val="auto"/>
        </w:rPr>
        <w:t>Compared with the three months ended June 30, 2021, the change in the effective tax rate for the three months ended June 30, 2022 was primarily attributable to discrete items and changes in income before tax in countries with varying statutory tax rates as compared to the discrete tax impact of the sale of the Heart Valve business during the three months ended June 30, 2021.</w:t>
      </w:r>
    </w:p>
    <w:p>
      <w:pPr>
        <w:spacing w:after="0" w:line="50" w:lineRule="exact"/>
        <w:rPr>
          <w:sz w:val="20"/>
          <w:szCs w:val="20"/>
          <w:color w:val="auto"/>
        </w:rPr>
      </w:pPr>
    </w:p>
    <w:p>
      <w:pPr>
        <w:ind w:right="160" w:firstLine="127"/>
        <w:spacing w:after="0" w:line="303" w:lineRule="auto"/>
        <w:rPr>
          <w:sz w:val="20"/>
          <w:szCs w:val="20"/>
          <w:color w:val="auto"/>
        </w:rPr>
      </w:pPr>
      <w:r>
        <w:rPr>
          <w:rFonts w:ascii="Times New Roman" w:cs="Times New Roman" w:eastAsia="Times New Roman" w:hAnsi="Times New Roman"/>
          <w:sz w:val="14"/>
          <w:szCs w:val="14"/>
          <w:color w:val="auto"/>
        </w:rPr>
        <w:t>Compared with the six months ended June 30, 2021, the change in the effective tax rate for the six months ended June 30, 2022 was primarily attributable to discrete items and changes in income before tax in countries with varying statutory tax rates as compared to discrete items and the discrete tax impact of the sale of the Heart Valve business during the six months ended June 30, 2021.</w:t>
      </w:r>
    </w:p>
    <w:p>
      <w:pPr>
        <w:spacing w:after="0" w:line="29" w:lineRule="exact"/>
        <w:rPr>
          <w:sz w:val="20"/>
          <w:szCs w:val="20"/>
          <w:color w:val="auto"/>
        </w:rPr>
      </w:pPr>
    </w:p>
    <w:p>
      <w:pPr>
        <w:jc w:val="both"/>
        <w:ind w:right="60" w:firstLine="127"/>
        <w:spacing w:after="0" w:line="275" w:lineRule="auto"/>
        <w:rPr>
          <w:sz w:val="20"/>
          <w:szCs w:val="20"/>
          <w:color w:val="auto"/>
        </w:rPr>
      </w:pPr>
      <w:r>
        <w:rPr>
          <w:rFonts w:ascii="Times New Roman" w:cs="Times New Roman" w:eastAsia="Times New Roman" w:hAnsi="Times New Roman"/>
          <w:sz w:val="14"/>
          <w:szCs w:val="14"/>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$1.6 million and $1.7 million were unrecognized as of June 30, 2022 and December 31, 2021, respectively. It is reasonably possible that, within the next twelve months, due to the settlement of uncertain tax positions with various tax authorities and the expiration of statutes of limitations, unrecognized tax benefits could decrease by up to approximately $1.0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Earnings Per Share</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Reconciliation of the shares used in the basic and diluted earnings per share computations for the three and six months ended June 30, 2022 and 2021 are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5200" w:type="dxa"/>
            <w:vAlign w:val="bottom"/>
          </w:tcPr>
          <w:p>
            <w:pPr>
              <w:spacing w:after="0"/>
              <w:rPr>
                <w:sz w:val="14"/>
                <w:szCs w:val="14"/>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9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53,506</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48,928</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53,420</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48,833</w:t>
            </w:r>
          </w:p>
        </w:tc>
      </w:tr>
      <w:tr>
        <w:trPr>
          <w:trHeight w:val="180"/>
        </w:trPr>
        <w:tc>
          <w:tcPr>
            <w:tcW w:w="61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Add effects of share-based compensation instruments </w:t>
            </w:r>
            <w:r>
              <w:rPr>
                <w:rFonts w:ascii="Times New Roman" w:cs="Times New Roman" w:eastAsia="Times New Roman" w:hAnsi="Times New Roman"/>
                <w:sz w:val="18"/>
                <w:szCs w:val="18"/>
                <w:color w:val="auto"/>
                <w:vertAlign w:val="superscript"/>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right="520" w:hanging="260"/>
        <w:spacing w:after="0" w:line="281" w:lineRule="auto"/>
        <w:tabs>
          <w:tab w:leader="none" w:pos="5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Excluded from the computation of diluted earnings per share were stock options, SARs and restricted share units totaling 2.2 million and 3.9 million for the three months ended June 30, 2022 and 2021, respectively, and 2.2 and 4.1 million for the six months ended June 30, 2022 and 2021, respectively, because to include them would have been anti-dilutive under the treasury stock method.</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Note 13. Geographic and Segment Information</w:t>
      </w:r>
    </w:p>
    <w:p>
      <w:pPr>
        <w:spacing w:after="0" w:line="87"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We identify operating segments based on the way we manage, evaluate and internally report our business activities for purposes of allocating resources, developing and executing our strategy, and assessing performance. We have three reportable segments: Cardiopulmonary, Neuromodulation and ACS.</w:t>
      </w:r>
    </w:p>
    <w:p>
      <w:pPr>
        <w:spacing w:after="0" w:line="39" w:lineRule="exact"/>
        <w:rPr>
          <w:sz w:val="20"/>
          <w:szCs w:val="20"/>
          <w:color w:val="auto"/>
        </w:rPr>
      </w:pPr>
    </w:p>
    <w:p>
      <w:pPr>
        <w:ind w:right="200" w:firstLine="127"/>
        <w:spacing w:after="0" w:line="287" w:lineRule="auto"/>
        <w:rPr>
          <w:sz w:val="20"/>
          <w:szCs w:val="20"/>
          <w:color w:val="auto"/>
        </w:rPr>
      </w:pPr>
      <w:r>
        <w:rPr>
          <w:rFonts w:ascii="Times New Roman" w:cs="Times New Roman" w:eastAsia="Times New Roman" w:hAnsi="Times New Roman"/>
          <w:sz w:val="14"/>
          <w:szCs w:val="14"/>
          <w:color w:val="auto"/>
        </w:rPr>
        <w:t>Our Cardiopulmonary segment is engaged in the development, production and sale of cardiopulmonary products, including oxygenators, heart-lung machines, autotransfusion systems, perfusion tubing systems, cannulae and other related accessories.</w:t>
      </w:r>
    </w:p>
    <w:p>
      <w:pPr>
        <w:spacing w:after="0" w:line="50"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Our Neuromodulation segment is engaged in the design, development and marketing of devices that deliver neuromodulation therapy for treating drug-resistant epilepsy (“DRE”) and difficult-to-treat depression (“DTD”). Neuromodulation products include the VNS Therapy System, which consists of an implantable pulse generator, a lead that connects the generator to the vagus nerve, and other accessories. It also includes the development and management of clinical testing of our aura6000 System for treating obstructive sleep apnea (“OSA”). This device stimulates the hypoglossal nerve, which in turn, engages certain muscles in the tongue in order to open the airway while a patient is sleeping. Our Neuromodulation segment also includes the VITARIA System for treating heart failure by stimulating the right vagus nerve.</w:t>
      </w:r>
    </w:p>
    <w:p>
      <w:pPr>
        <w:spacing w:after="0" w:line="50" w:lineRule="exact"/>
        <w:rPr>
          <w:sz w:val="20"/>
          <w:szCs w:val="20"/>
          <w:color w:val="auto"/>
        </w:rPr>
      </w:pPr>
    </w:p>
    <w:p>
      <w:pPr>
        <w:ind w:right="240" w:firstLine="127"/>
        <w:spacing w:after="0" w:line="275" w:lineRule="auto"/>
        <w:rPr>
          <w:sz w:val="20"/>
          <w:szCs w:val="20"/>
          <w:color w:val="auto"/>
        </w:rPr>
      </w:pPr>
      <w:r>
        <w:rPr>
          <w:rFonts w:ascii="Times New Roman" w:cs="Times New Roman" w:eastAsia="Times New Roman" w:hAnsi="Times New Roman"/>
          <w:sz w:val="14"/>
          <w:szCs w:val="14"/>
          <w:color w:val="auto"/>
        </w:rPr>
        <w:t>Our Advanced Circulatory Support segment is engaged in the development, production and sale of leading-edge temporary life support products. Our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Our ACS segment also includes the Hemolung Respiratory Assist System (“Hemolung RAS”), which was acquired in May 2022 as part of the acquisition of ALung.</w:t>
      </w:r>
    </w:p>
    <w:p>
      <w:pPr>
        <w:spacing w:after="0" w:line="58" w:lineRule="exact"/>
        <w:rPr>
          <w:sz w:val="20"/>
          <w:szCs w:val="20"/>
          <w:color w:val="auto"/>
        </w:rPr>
      </w:pPr>
    </w:p>
    <w:p>
      <w:pPr>
        <w:ind w:right="20" w:firstLine="127"/>
        <w:spacing w:after="0" w:line="303" w:lineRule="auto"/>
        <w:rPr>
          <w:sz w:val="20"/>
          <w:szCs w:val="20"/>
          <w:color w:val="auto"/>
        </w:rPr>
      </w:pPr>
      <w:r>
        <w:rPr>
          <w:rFonts w:ascii="Times New Roman" w:cs="Times New Roman" w:eastAsia="Times New Roman" w:hAnsi="Times New Roman"/>
          <w:sz w:val="14"/>
          <w:szCs w:val="14"/>
          <w:color w:val="auto"/>
        </w:rPr>
        <w:t>“Other” includes corporate shared service expenses for finance, legal, human resources, information technology and corporate business development. For 2021, other also includes the results of our Heart Valves business, which was disposed of on June 1, 2021.</w:t>
      </w:r>
    </w:p>
    <w:p>
      <w:pPr>
        <w:spacing w:after="0" w:line="29" w:lineRule="exact"/>
        <w:rPr>
          <w:sz w:val="20"/>
          <w:szCs w:val="20"/>
          <w:color w:val="auto"/>
        </w:rPr>
      </w:pPr>
    </w:p>
    <w:p>
      <w:pPr>
        <w:ind w:right="260" w:firstLine="127"/>
        <w:spacing w:after="0" w:line="303" w:lineRule="auto"/>
        <w:rPr>
          <w:sz w:val="20"/>
          <w:szCs w:val="20"/>
          <w:color w:val="auto"/>
        </w:rPr>
      </w:pPr>
      <w:r>
        <w:rPr>
          <w:rFonts w:ascii="Times New Roman" w:cs="Times New Roman" w:eastAsia="Times New Roman" w:hAnsi="Times New Roman"/>
          <w:sz w:val="14"/>
          <w:szCs w:val="14"/>
          <w:color w:val="auto"/>
        </w:rPr>
        <w:t>Net sales of our reportable segments includes revenues from the sale of products that each reportable segment develops and manufactures or distributes. We define segment income as operating income before merger and integration, restructuring and amortization of intangibles.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28" w:name="page29"/>
    <w:bookmarkEnd w:id="28"/>
    <w:p>
      <w:pPr>
        <w:ind w:left="140"/>
        <w:spacing w:after="0"/>
        <w:rPr>
          <w:sz w:val="20"/>
          <w:szCs w:val="20"/>
          <w:color w:val="auto"/>
        </w:rPr>
      </w:pPr>
      <w:r>
        <w:rPr>
          <w:rFonts w:ascii="Times New Roman" w:cs="Times New Roman" w:eastAsia="Times New Roman" w:hAnsi="Times New Roman"/>
          <w:sz w:val="14"/>
          <w:szCs w:val="14"/>
          <w:color w:val="auto"/>
        </w:rPr>
        <w:t>We operate under three geographic regions: U.S., Europe, and Rest of World. The table below presents net sales by operating segment and geographic region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3320" w:type="dxa"/>
            <w:vAlign w:val="bottom"/>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3600" w:type="dxa"/>
            <w:vAlign w:val="bottom"/>
            <w:tcBorders>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75,961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73,147</w:t>
            </w:r>
          </w:p>
        </w:tc>
      </w:tr>
      <w:tr>
        <w:trPr>
          <w:trHeight w:val="180"/>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Europe</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65,759</w:t>
            </w:r>
          </w:p>
        </w:tc>
      </w:tr>
      <w:tr>
        <w:trPr>
          <w:trHeight w:val="180"/>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101,708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87,689</w:t>
            </w:r>
          </w:p>
        </w:tc>
      </w:tr>
      <w:tr>
        <w:trPr>
          <w:trHeight w:val="171"/>
        </w:trPr>
        <w:tc>
          <w:tcPr>
            <w:tcW w:w="3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125,820</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117,876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242,895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226,595</w:t>
            </w:r>
          </w:p>
        </w:tc>
      </w:tr>
      <w:tr>
        <w:trPr>
          <w:trHeight w:val="16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80"/>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91,779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178,641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174,079</w:t>
            </w:r>
          </w:p>
        </w:tc>
      </w:tr>
      <w:tr>
        <w:trPr>
          <w:trHeight w:val="180"/>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Europe</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w:t>
            </w:r>
          </w:p>
        </w:tc>
      </w:tr>
      <w:tr>
        <w:trPr>
          <w:trHeight w:val="180"/>
        </w:trPr>
        <w:tc>
          <w:tcPr>
            <w:tcW w:w="3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20,973</w:t>
            </w:r>
          </w:p>
        </w:tc>
      </w:tr>
      <w:tr>
        <w:trPr>
          <w:trHeight w:val="171"/>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117,795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117,636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228,022</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221,335</w:t>
            </w:r>
          </w:p>
        </w:tc>
      </w:tr>
      <w:tr>
        <w:trPr>
          <w:trHeight w:val="16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25,524</w:t>
            </w:r>
          </w:p>
        </w:tc>
      </w:tr>
      <w:tr>
        <w:trPr>
          <w:trHeight w:val="180"/>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Europe</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180"/>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71"/>
        </w:trPr>
        <w:tc>
          <w:tcPr>
            <w:tcW w:w="3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26,267</w:t>
            </w:r>
          </w:p>
        </w:tc>
      </w:tr>
      <w:tr>
        <w:trPr>
          <w:trHeight w:val="160"/>
        </w:trPr>
        <w:tc>
          <w:tcPr>
            <w:tcW w:w="370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80"/>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w:t>
            </w:r>
          </w:p>
        </w:tc>
      </w:tr>
      <w:tr>
        <w:trPr>
          <w:trHeight w:val="180"/>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Europe</w:t>
            </w:r>
          </w:p>
        </w:tc>
        <w:tc>
          <w:tcPr>
            <w:tcW w:w="4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r>
      <w:tr>
        <w:trPr>
          <w:trHeight w:val="180"/>
        </w:trPr>
        <w:tc>
          <w:tcPr>
            <w:tcW w:w="3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18,553</w:t>
            </w:r>
          </w:p>
        </w:tc>
      </w:tr>
      <w:tr>
        <w:trPr>
          <w:trHeight w:val="171"/>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37,889</w:t>
            </w:r>
          </w:p>
        </w:tc>
      </w:tr>
      <w:tr>
        <w:trPr>
          <w:trHeight w:val="16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138,086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144,343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277,679</w:t>
            </w:r>
          </w:p>
        </w:tc>
      </w:tr>
      <w:tr>
        <w:trPr>
          <w:trHeight w:val="180"/>
        </w:trPr>
        <w:tc>
          <w:tcPr>
            <w:tcW w:w="37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(2)</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56,038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92,498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106,855</w:t>
            </w:r>
          </w:p>
        </w:tc>
      </w:tr>
      <w:tr>
        <w:trPr>
          <w:trHeight w:val="180"/>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68,693</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64,102</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127,473</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127,552</w:t>
            </w:r>
          </w:p>
        </w:tc>
      </w:tr>
      <w:tr>
        <w:trPr>
          <w:trHeight w:val="171"/>
        </w:trPr>
        <w:tc>
          <w:tcPr>
            <w:tcW w:w="3700" w:type="dxa"/>
            <w:vAlign w:val="bottom"/>
            <w:gridSpan w:val="2"/>
          </w:tcPr>
          <w:p>
            <w:pPr>
              <w:ind w:left="36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(3)</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254,151</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264,483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494,326</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512,086</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2021, other primarily includes the net sales of the Company’s Heart Valves business, which was disposed of on June 1, 2021.</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Europe includes those countries in which we have a direct sales presence, whereas European countries in which we sell through distributors are included in Rest of World.</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ind w:left="140"/>
        <w:spacing w:after="0"/>
        <w:rPr>
          <w:sz w:val="20"/>
          <w:szCs w:val="20"/>
          <w:color w:val="auto"/>
        </w:rPr>
      </w:pPr>
      <w:r>
        <w:rPr>
          <w:rFonts w:ascii="Times New Roman" w:cs="Times New Roman" w:eastAsia="Times New Roman" w:hAnsi="Times New Roman"/>
          <w:sz w:val="14"/>
          <w:szCs w:val="14"/>
          <w:color w:val="auto"/>
        </w:rPr>
        <w:t>The table below presents a reconciliation of segment income (loss) to consolidated income (loss) before tax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44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r>
      <w:tr>
        <w:trPr>
          <w:trHeight w:val="17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(23,657)</w:t>
            </w: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72,239</w:t>
            </w:r>
          </w:p>
        </w:tc>
      </w:tr>
      <w:tr>
        <w:trPr>
          <w:trHeight w:val="18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r>
      <w:tr>
        <w:trPr>
          <w:trHeight w:val="180"/>
        </w:trPr>
        <w:tc>
          <w:tcPr>
            <w:tcW w:w="44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(19,450)</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(67,829)</w:t>
            </w:r>
          </w:p>
        </w:tc>
      </w:tr>
      <w:tr>
        <w:trPr>
          <w:trHeight w:val="17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reportable segment income (loss)</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(18,165)</w:t>
            </w:r>
          </w:p>
        </w:tc>
      </w:tr>
      <w:tr>
        <w:trPr>
          <w:trHeight w:val="180"/>
        </w:trPr>
        <w:tc>
          <w:tcPr>
            <w:tcW w:w="44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(3)</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23,795</w:t>
            </w:r>
          </w:p>
        </w:tc>
      </w:tr>
      <w:tr>
        <w:trPr>
          <w:trHeight w:val="17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(41,960)</w:t>
            </w: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(32,451)</w:t>
            </w:r>
          </w:p>
        </w:tc>
      </w:tr>
      <w:tr>
        <w:trPr>
          <w:trHeight w:val="18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w:t>
            </w:r>
          </w:p>
        </w:tc>
      </w:tr>
      <w:tr>
        <w:trPr>
          <w:trHeight w:val="171"/>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tax</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(52,538)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(80,615)</w:t>
            </w: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income for the three and six months ended June 30, 2021 has been revised. For further details refer to “Note 1. Unaudited Condensed Consolidated Financial Statements.”</w:t>
      </w:r>
    </w:p>
    <w:p>
      <w:pPr>
        <w:spacing w:after="0" w:line="41" w:lineRule="exact"/>
        <w:rPr>
          <w:rFonts w:ascii="Times New Roman" w:cs="Times New Roman" w:eastAsia="Times New Roman" w:hAnsi="Times New Roman"/>
          <w:sz w:val="13"/>
          <w:szCs w:val="13"/>
          <w:color w:val="auto"/>
        </w:rPr>
      </w:pPr>
    </w:p>
    <w:p>
      <w:pPr>
        <w:ind w:left="520" w:right="880" w:hanging="260"/>
        <w:spacing w:after="0" w:line="281"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corporate shared service expenses for finance, legal, human resources, information technology and corporate business development. For 2021, other also includes the results of the Company’s Heart Valves business, which was disposed of on June 1, 2021.</w:t>
      </w:r>
    </w:p>
    <w:p>
      <w:pPr>
        <w:ind w:left="520" w:hanging="260"/>
        <w:spacing w:after="0"/>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expenses primarily consist of amortization of intangible assets, merger and integration expense and restructuring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Assets by segment are as follows (in thousands):</w:t>
            </w:r>
          </w:p>
        </w:tc>
        <w:tc>
          <w:tcPr>
            <w:tcW w:w="1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3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860,410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921,481</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651,085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646,394</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259,515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231,846</w:t>
            </w:r>
          </w:p>
        </w:tc>
        <w:tc>
          <w:tcPr>
            <w:tcW w:w="0" w:type="dxa"/>
            <w:vAlign w:val="bottom"/>
          </w:tcPr>
          <w:p>
            <w:pPr>
              <w:spacing w:after="0"/>
              <w:rPr>
                <w:sz w:val="1"/>
                <w:szCs w:val="1"/>
                <w:color w:val="auto"/>
              </w:rPr>
            </w:pPr>
          </w:p>
        </w:tc>
      </w:tr>
      <w:tr>
        <w:trPr>
          <w:trHeight w:val="18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565,235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401,230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2,336,245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2,200,951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Capital expenditures by segment are as follows (in thousands):</w:t>
            </w: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5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5"/>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34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18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5,863</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changes in the carrying amount of goodwill by segment for the six months ended June 30, 2022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180" w:type="dxa"/>
            <w:vAlign w:val="bottom"/>
          </w:tcPr>
          <w:p>
            <w:pPr>
              <w:spacing w:after="0"/>
              <w:rPr>
                <w:sz w:val="13"/>
                <w:szCs w:val="13"/>
                <w:color w:val="auto"/>
              </w:rPr>
            </w:pPr>
          </w:p>
        </w:tc>
        <w:tc>
          <w:tcPr>
            <w:tcW w:w="18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160" w:type="dxa"/>
            <w:vAlign w:val="bottom"/>
          </w:tcPr>
          <w:p>
            <w:pPr>
              <w:spacing w:after="0"/>
              <w:rPr>
                <w:sz w:val="13"/>
                <w:szCs w:val="13"/>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Advanced Circulatory</w:t>
            </w:r>
          </w:p>
        </w:tc>
        <w:tc>
          <w:tcPr>
            <w:tcW w:w="440" w:type="dxa"/>
            <w:vAlign w:val="bottom"/>
          </w:tcPr>
          <w:p>
            <w:pPr>
              <w:spacing w:after="0"/>
              <w:rPr>
                <w:sz w:val="13"/>
                <w:szCs w:val="13"/>
                <w:color w:val="auto"/>
              </w:rPr>
            </w:pPr>
          </w:p>
        </w:tc>
        <w:tc>
          <w:tcPr>
            <w:tcW w:w="1500" w:type="dxa"/>
            <w:vAlign w:val="bottom"/>
            <w:vMerge w:val="restart"/>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Support</w:t>
            </w:r>
          </w:p>
        </w:tc>
        <w:tc>
          <w:tcPr>
            <w:tcW w:w="4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398,245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899,525</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as a result of acquisition</w:t>
            </w:r>
          </w:p>
        </w:tc>
        <w:tc>
          <w:tcPr>
            <w:tcW w:w="26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(27,348)</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2022</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370,897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128,419</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898,070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 by geography are as follows (in thousands):</w:t>
            </w:r>
          </w:p>
        </w:tc>
        <w:tc>
          <w:tcPr>
            <w:tcW w:w="1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60,852</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85,313</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1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r>
      <w:tr>
        <w:trPr>
          <w:trHeight w:val="17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2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143,312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150,066</w:t>
            </w:r>
          </w:p>
        </w:tc>
      </w:tr>
      <w:tr>
        <w:trPr>
          <w:trHeight w:val="20"/>
        </w:trPr>
        <w:tc>
          <w:tcPr>
            <w:tcW w:w="7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Supplemental Financial Information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consisted of the following (in thousands):</w:t>
            </w:r>
          </w:p>
        </w:tc>
        <w:tc>
          <w:tcPr>
            <w:tcW w:w="1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2"/>
        </w:trPr>
        <w:tc>
          <w:tcPr>
            <w:tcW w:w="72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43,958</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1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14,161</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47,721</w:t>
            </w:r>
          </w:p>
        </w:tc>
      </w:tr>
      <w:tr>
        <w:trPr>
          <w:trHeight w:val="171"/>
        </w:trPr>
        <w:tc>
          <w:tcPr>
            <w:tcW w:w="7280" w:type="dxa"/>
            <w:vAlign w:val="bottom"/>
          </w:tcPr>
          <w:p>
            <w:pPr>
              <w:spacing w:after="0"/>
              <w:rPr>
                <w:sz w:val="14"/>
                <w:szCs w:val="14"/>
                <w:color w:val="auto"/>
              </w:rPr>
            </w:pPr>
          </w:p>
        </w:tc>
        <w:tc>
          <w:tcPr>
            <w:tcW w:w="142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119,415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105,840</w:t>
            </w:r>
          </w:p>
        </w:tc>
      </w:tr>
      <w:tr>
        <w:trPr>
          <w:trHeight w:val="20"/>
        </w:trPr>
        <w:tc>
          <w:tcPr>
            <w:tcW w:w="7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 of June 30, 2022 and December 31, 2021, inventories included adjustments totaling $9.0 million and $8.9 million, respectively, to record balances at lower of cost or net realizable value.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 and other consisted of the following (in thousands):</w:t>
            </w: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2"/>
        </w:trPr>
        <w:tc>
          <w:tcPr>
            <w:tcW w:w="72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40" w:type="dxa"/>
            <w:vAlign w:val="bottom"/>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8,419</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 payable to Gyrus Capital S.A.</w:t>
            </w:r>
          </w:p>
        </w:tc>
        <w:tc>
          <w:tcPr>
            <w:tcW w:w="14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11,418</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Legal and other administrative costs</w:t>
            </w:r>
          </w:p>
        </w:tc>
        <w:tc>
          <w:tcPr>
            <w:tcW w:w="1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8,948</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4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w:t>
            </w:r>
          </w:p>
        </w:tc>
      </w:tr>
      <w:tr>
        <w:trPr>
          <w:trHeight w:val="180"/>
        </w:trPr>
        <w:tc>
          <w:tcPr>
            <w:tcW w:w="72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Contingent consideration </w:t>
            </w:r>
            <w:r>
              <w:rPr>
                <w:rFonts w:ascii="Times New Roman" w:cs="Times New Roman" w:eastAsia="Times New Roman" w:hAnsi="Times New Roman"/>
                <w:sz w:val="18"/>
                <w:szCs w:val="18"/>
                <w:color w:val="auto"/>
                <w:vertAlign w:val="superscript"/>
              </w:rPr>
              <w:t>(1)</w:t>
            </w:r>
          </w:p>
        </w:tc>
        <w:tc>
          <w:tcPr>
            <w:tcW w:w="1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11,552</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Provisions for agents, returns and other</w:t>
            </w:r>
          </w:p>
        </w:tc>
        <w:tc>
          <w:tcPr>
            <w:tcW w:w="14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1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34,002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29,475</w:t>
            </w:r>
          </w:p>
        </w:tc>
      </w:tr>
      <w:tr>
        <w:trPr>
          <w:trHeight w:val="196"/>
        </w:trPr>
        <w:tc>
          <w:tcPr>
            <w:tcW w:w="7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88,937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Refer to “Note 5. Fair Value Measurements”</w:t>
      </w:r>
    </w:p>
    <w:p>
      <w:pPr>
        <w:spacing w:after="0" w:line="91" w:lineRule="exact"/>
        <w:rPr>
          <w:sz w:val="20"/>
          <w:szCs w:val="20"/>
          <w:color w:val="auto"/>
        </w:rPr>
      </w:pPr>
    </w:p>
    <w:p>
      <w:pPr>
        <w:ind w:right="160" w:firstLine="127"/>
        <w:spacing w:after="0" w:line="303" w:lineRule="auto"/>
        <w:rPr>
          <w:sz w:val="20"/>
          <w:szCs w:val="20"/>
          <w:color w:val="auto"/>
        </w:rPr>
      </w:pPr>
      <w:r>
        <w:rPr>
          <w:rFonts w:ascii="Times New Roman" w:cs="Times New Roman" w:eastAsia="Times New Roman" w:hAnsi="Times New Roman"/>
          <w:sz w:val="14"/>
          <w:szCs w:val="14"/>
          <w:color w:val="auto"/>
        </w:rPr>
        <w:t>As of June 30, 2022 and December 31, 2021, contract liabilities totaling $11.8 million and $9.8 million, respectively, were included within accrued liabilities and other long-term liabilities on the condensed consolidated balance sheets.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ind w:left="140"/>
        <w:spacing w:after="0"/>
        <w:rPr>
          <w:sz w:val="20"/>
          <w:szCs w:val="20"/>
          <w:color w:val="auto"/>
        </w:rPr>
      </w:pPr>
      <w:r>
        <w:rPr>
          <w:rFonts w:ascii="Times New Roman" w:cs="Times New Roman" w:eastAsia="Times New Roman" w:hAnsi="Times New Roman"/>
          <w:sz w:val="14"/>
          <w:szCs w:val="14"/>
          <w:color w:val="auto"/>
        </w:rPr>
        <w:t>The table below presents the items included within “Foreign exchange and other income/(expense)” on the condensed consolidated statements of income (loss)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5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1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Exchangeable Notes fair value adjustment </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(52,384)</w:t>
            </w:r>
          </w:p>
        </w:tc>
      </w:tr>
      <w:tr>
        <w:trPr>
          <w:trHeight w:val="180"/>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w:t>
            </w:r>
            <w:r>
              <w:rPr>
                <w:rFonts w:ascii="Times New Roman" w:cs="Times New Roman" w:eastAsia="Times New Roman" w:hAnsi="Times New Roman"/>
                <w:sz w:val="18"/>
                <w:szCs w:val="18"/>
                <w:color w:val="auto"/>
                <w:vertAlign w:val="superscript"/>
              </w:rPr>
              <w:t>(1)</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31,957</w:t>
            </w:r>
          </w:p>
        </w:tc>
      </w:tr>
      <w:tr>
        <w:trPr>
          <w:trHeight w:val="180"/>
        </w:trPr>
        <w:tc>
          <w:tcPr>
            <w:tcW w:w="5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Investment revaluation </w:t>
            </w:r>
            <w:r>
              <w:rPr>
                <w:rFonts w:ascii="Times New Roman" w:cs="Times New Roman" w:eastAsia="Times New Roman" w:hAnsi="Times New Roman"/>
                <w:sz w:val="18"/>
                <w:szCs w:val="18"/>
                <w:color w:val="auto"/>
                <w:vertAlign w:val="superscript"/>
              </w:rPr>
              <w:t>(2)</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r>
      <w:tr>
        <w:trPr>
          <w:trHeight w:val="180"/>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Dividend Income </w:t>
            </w:r>
            <w:r>
              <w:rPr>
                <w:rFonts w:ascii="Times New Roman" w:cs="Times New Roman" w:eastAsia="Times New Roman" w:hAnsi="Times New Roman"/>
                <w:sz w:val="18"/>
                <w:szCs w:val="18"/>
                <w:color w:val="auto"/>
                <w:vertAlign w:val="superscript"/>
              </w:rPr>
              <w:t>(2)</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derivative liabilities fair value adjustment</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rate fluctuations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8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w:t>
            </w: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5. Fair Value Measurements”</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4. Investments”</w:t>
      </w:r>
    </w:p>
    <w:p>
      <w:pPr>
        <w:spacing w:after="0" w:line="91" w:lineRule="exact"/>
        <w:rPr>
          <w:sz w:val="20"/>
          <w:szCs w:val="20"/>
          <w:color w:val="auto"/>
        </w:rPr>
      </w:pPr>
    </w:p>
    <w:p>
      <w:pPr>
        <w:ind w:right="360" w:firstLine="127"/>
        <w:spacing w:after="0" w:line="283" w:lineRule="auto"/>
        <w:rPr>
          <w:sz w:val="20"/>
          <w:szCs w:val="20"/>
          <w:color w:val="auto"/>
        </w:rPr>
      </w:pPr>
      <w:r>
        <w:rPr>
          <w:rFonts w:ascii="Times New Roman" w:cs="Times New Roman" w:eastAsia="Times New Roman" w:hAnsi="Times New Roman"/>
          <w:sz w:val="14"/>
          <w:szCs w:val="14"/>
          <w:color w:val="auto"/>
        </w:rPr>
        <w:t>The table below presents a reconciliation of cash, cash equivalents and restricted cash reported on the condensed consolidated balance sheets that sum to the total of the amounts shown on the condensed consolidated statement of cash flows (in thousands):</w:t>
      </w:r>
    </w:p>
    <w:tbl>
      <w:tblPr>
        <w:tblLayout w:type="fixed"/>
        <w:tblInd w:w="0" w:type="dxa"/>
        <w:tblCellMar>
          <w:top w:w="0" w:type="dxa"/>
          <w:left w:w="0" w:type="dxa"/>
          <w:bottom w:w="0" w:type="dxa"/>
          <w:right w:w="0" w:type="dxa"/>
        </w:tblCellMar>
      </w:tblPr>
      <w:tr>
        <w:trPr>
          <w:trHeight w:val="186"/>
        </w:trPr>
        <w:tc>
          <w:tcPr>
            <w:tcW w:w="72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207,992</w:t>
            </w:r>
          </w:p>
        </w:tc>
      </w:tr>
      <w:tr>
        <w:trPr>
          <w:trHeight w:val="180"/>
        </w:trPr>
        <w:tc>
          <w:tcPr>
            <w:tcW w:w="72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(1)</w:t>
            </w:r>
          </w:p>
        </w:tc>
        <w:tc>
          <w:tcPr>
            <w:tcW w:w="1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297,747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420" w:type="dxa"/>
            <w:vAlign w:val="bottom"/>
            <w:tcBorders>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406,769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Restricted cash represents funds held as collateral for the SNIA Litigation Guarantee. Refer to “Note 8. Commitments and Contingencies.”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Subsequent Event</w:t>
      </w:r>
    </w:p>
    <w:p>
      <w:pPr>
        <w:spacing w:after="0" w:line="87" w:lineRule="exact"/>
        <w:rPr>
          <w:sz w:val="20"/>
          <w:szCs w:val="20"/>
          <w:color w:val="auto"/>
        </w:rPr>
      </w:pPr>
    </w:p>
    <w:p>
      <w:pPr>
        <w:ind w:right="20" w:firstLine="127"/>
        <w:spacing w:after="0" w:line="273" w:lineRule="auto"/>
        <w:rPr>
          <w:sz w:val="20"/>
          <w:szCs w:val="20"/>
          <w:color w:val="auto"/>
        </w:rPr>
      </w:pPr>
      <w:r>
        <w:rPr>
          <w:rFonts w:ascii="Times New Roman" w:cs="Times New Roman" w:eastAsia="Times New Roman" w:hAnsi="Times New Roman"/>
          <w:sz w:val="14"/>
          <w:szCs w:val="14"/>
          <w:color w:val="auto"/>
        </w:rPr>
        <w:t>On July 6, 2022, LivaNova and its wholly-owned subsidiary, LivaNova USA, Inc. ( “LivaNova USA”), entered into a new incremental facility amendment (the “Incremental Amendment No. 2”) to its 2021 First Lien Credit Agreement. The Incremental Amendment No. 2 provides for LivaNova USA to, among other things, obtain commitments for term loan facilities from a syndicate of lenders in an aggregate principal amount of $350 million consisting of (i) an initial term loan facility in an aggregate principal amount of $300 million (the “Initial Term Facility”) and (ii) a delayed draw term loan facility in an additional aggregate principal amount of $50 million, which are available in one single drawing on or after July 6 until the date that is nine months after such date (the “Delayed Draw Term Facility” and, together with the Initial Term Facility, the “Term Facilities”).</w:t>
      </w:r>
    </w:p>
    <w:p>
      <w:pPr>
        <w:spacing w:after="0" w:line="60" w:lineRule="exact"/>
        <w:rPr>
          <w:sz w:val="20"/>
          <w:szCs w:val="20"/>
          <w:color w:val="auto"/>
        </w:rPr>
      </w:pPr>
    </w:p>
    <w:p>
      <w:pPr>
        <w:ind w:firstLine="127"/>
        <w:spacing w:after="0" w:line="267" w:lineRule="auto"/>
        <w:rPr>
          <w:sz w:val="20"/>
          <w:szCs w:val="20"/>
          <w:color w:val="auto"/>
        </w:rPr>
      </w:pPr>
      <w:r>
        <w:rPr>
          <w:rFonts w:ascii="Times New Roman" w:cs="Times New Roman" w:eastAsia="Times New Roman" w:hAnsi="Times New Roman"/>
          <w:sz w:val="14"/>
          <w:szCs w:val="14"/>
          <w:color w:val="auto"/>
        </w:rPr>
        <w:t>Proceeds of the Initial Term Facility were used to repay in full the Bridge Loan Facility on July 6, 2022, with the remainder to be used for general corporate purposes of the Company. The Term Facilities have a maturity of the earlier of (i) five years or (ii) 91 days prior to December 15, 2025, the maturity date of the Notes, unless by that date LivaNova USA will have either redeemed or refinanced the Notes, or set aside an amount of cash equal to the then-outstanding principal amount of the Notes. The Term Facilities bear interest at a rate equal to an adjusted term SOFR (or, alternatively, the Alternate Base Rate) plus a variable margin based on the Company’s consolidated Total Net Leverage Ratio. As of the date of effectiveness of the Incremental Amendment No. 2, the applicable margin over Adjusted SOFR was equal to 3.50% per annum. The Term Facilities are subject to an original issue discount of 1.5% of their principal amount. The Delayed Draw Term Facility also contemplates the payment of commitment fees at a variable percentage based on the Company’s Total Net Leverage Ratio. As of the date of effectiveness of the Incremental Amendment No. 2, the applicable commitment fee percentage was equal to 0.50% per annum. The Term Facilities are subject to quarterly amortization, based on the following amortization schedule: (i) year one: 2.5%; (ii) year two: 5.0%; (ii) year three: 5.00%; (iv) year four: 7.5%; and (v) year five: 10.0%, with the remainder to be paid at maturity.</w:t>
      </w:r>
    </w:p>
    <w:p>
      <w:pPr>
        <w:spacing w:after="0" w:line="63" w:lineRule="exact"/>
        <w:rPr>
          <w:sz w:val="20"/>
          <w:szCs w:val="20"/>
          <w:color w:val="auto"/>
        </w:rPr>
      </w:pPr>
    </w:p>
    <w:p>
      <w:pPr>
        <w:jc w:val="both"/>
        <w:ind w:right="40" w:firstLine="127"/>
        <w:spacing w:after="0" w:line="278" w:lineRule="auto"/>
        <w:rPr>
          <w:sz w:val="20"/>
          <w:szCs w:val="20"/>
          <w:color w:val="auto"/>
        </w:rPr>
      </w:pPr>
      <w:r>
        <w:rPr>
          <w:rFonts w:ascii="Times New Roman" w:cs="Times New Roman" w:eastAsia="Times New Roman" w:hAnsi="Times New Roman"/>
          <w:sz w:val="14"/>
          <w:szCs w:val="14"/>
          <w:color w:val="auto"/>
        </w:rPr>
        <w:t>The 2021 First Lien Credit Agreement, as amended, contains customary representations, warranties and covenants, including the requirement to maintain a Senior Secured First Lien Net Leverage Ratio, calculated as the ratio of Consolidated Senior Secured Indebtedness to Consolidated EBITDA, as defined in the credit agreement, for the period of four consecutive fiscal quarters ended on the calculation date, of less than 3.50 to 1.00 and an interest coverage ratio of not less than 3.00 to 1.00.</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1"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our condensed consolidated financial statements and related notes, which appear elsewhere in this document, and with our 2021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Part I, Item 1A. of our 2021 Form 10-K, as updated and supplemented by our Quarterly Reports on Form 10-Q, including in Part II, Item 1A. and elsewhere in this Quarterly Report on Form 10-Q.</w:t>
      </w:r>
    </w:p>
    <w:p>
      <w:pPr>
        <w:spacing w:after="0" w:line="58" w:lineRule="exact"/>
        <w:rPr>
          <w:sz w:val="20"/>
          <w:szCs w:val="20"/>
          <w:color w:val="auto"/>
        </w:rPr>
      </w:pPr>
    </w:p>
    <w:p>
      <w:pPr>
        <w:ind w:right="160" w:firstLine="127"/>
        <w:spacing w:after="0" w:line="287" w:lineRule="auto"/>
        <w:rPr>
          <w:sz w:val="20"/>
          <w:szCs w:val="20"/>
          <w:color w:val="auto"/>
        </w:rPr>
      </w:pPr>
      <w:r>
        <w:rPr>
          <w:rFonts w:ascii="Times New Roman" w:cs="Times New Roman" w:eastAsia="Times New Roman" w:hAnsi="Times New Roman"/>
          <w:sz w:val="14"/>
          <w:szCs w:val="14"/>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Developments</w:t>
      </w:r>
    </w:p>
    <w:p>
      <w:pPr>
        <w:spacing w:after="0" w:line="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COVID-19</w:t>
      </w:r>
    </w:p>
    <w:p>
      <w:pPr>
        <w:spacing w:after="0" w:line="98"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COVID-19 and its effects on the economy, employment, patient behaviors and supply chain, among others, has caused and may continue to cause variable demand for our products. Throughout the pandemic, healthcare customers have diverted medical resources and priorities towards the treatment of COVID-19, and public health bodies have delayed elective procedures, which has negatively impacted the usage of our products. Further, some people have avoided seeking treatment for non-COVID-19 procedures, and hospitals and clinics have experienced staffing shortages, which has negatively impacted the demand for our products. While the recovery of global cardiopulmonary procedures has resulted in stronger demand for our Cardiopulmonary products, our Neuromodulation business continues to experience ongoing COVID-19 related headwinds as described above. Our ACS business has been similarly negatively impacted by a reduction in patients treated with ECMO related to fewer severe COVID-19 cases and hospital staffing challenges. We are monitoring the potential for various strains of the virus to cause a resumption of high levels of infection and hospitalization that, in turn, may affect the demand for our products.</w:t>
      </w:r>
    </w:p>
    <w:p>
      <w:pPr>
        <w:spacing w:after="0" w:line="53" w:lineRule="exact"/>
        <w:rPr>
          <w:sz w:val="20"/>
          <w:szCs w:val="20"/>
          <w:color w:val="auto"/>
        </w:rPr>
      </w:pPr>
    </w:p>
    <w:p>
      <w:pPr>
        <w:ind w:right="400" w:firstLine="127"/>
        <w:spacing w:after="0" w:line="303" w:lineRule="auto"/>
        <w:rPr>
          <w:sz w:val="20"/>
          <w:szCs w:val="20"/>
          <w:color w:val="auto"/>
        </w:rPr>
      </w:pPr>
      <w:r>
        <w:rPr>
          <w:rFonts w:ascii="Times New Roman" w:cs="Times New Roman" w:eastAsia="Times New Roman" w:hAnsi="Times New Roman"/>
          <w:sz w:val="14"/>
          <w:szCs w:val="14"/>
          <w:color w:val="auto"/>
        </w:rPr>
        <w:t>Moreover, although our RECOVER study and ANTHEM-HFrEF and OSPREY clinical trials continue to progress, there may be delays or closures of sites in the future should COVID-19 or variants thereof strengthen or reemerge.</w:t>
      </w:r>
    </w:p>
    <w:p>
      <w:pPr>
        <w:spacing w:after="0" w:line="39"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Our net sales and profitability have been negatively affected by the unfavorable foreign currency exchange impact of the strengthened U.S. dollar against a number of currencies. Furthermore, we continue to experience supply chain delays and interruptions, labor shortages, inflationary pressures and logistical issues in the wake of COVID-19. Though, to date, our supply of raw materials and the production and distribution of finished products have not been materially affected, demand and low capacity worldwide have caused longer lead times and put price pressure on key raw materials. Moreover, freight and labor costs at our manufacturing facilities have increased substantially due to COVID-related disruptions and in the wake of inflation globally. The Company continues to respond to such challenges, and while we have business continuity plans in place, the impact of the ongoing challenges we are experiencing, along with their potential escalation, may adversely affect our business and the recoverability of our tangible and intangible assets. The future impact of pandemic-related developments remains uncertain.</w:t>
      </w:r>
    </w:p>
    <w:p>
      <w:pPr>
        <w:spacing w:after="0" w:line="53"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Importantly, we continue to take actions in managing the health and safety of our employees throughout the pandemic. Though there has been no Company-wide mandate to return to the office, employees are encouraged to return for purposeful collaboration. We continue to maintain enhanced safety protocols and encourage our employees to seek vaccination. We have incurred additional expenses in connection with our response to the COVID-19 pandemic, including manufacturing inefficiencies and costs related to enabling our employees to support our customers while working remotely.</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Ukraine Invasion</w:t>
      </w:r>
    </w:p>
    <w:p>
      <w:pPr>
        <w:spacing w:after="0" w:line="98" w:lineRule="exact"/>
        <w:rPr>
          <w:sz w:val="20"/>
          <w:szCs w:val="20"/>
          <w:color w:val="auto"/>
        </w:rPr>
      </w:pPr>
    </w:p>
    <w:p>
      <w:pPr>
        <w:jc w:val="both"/>
        <w:ind w:right="40" w:firstLine="127"/>
        <w:spacing w:after="0" w:line="275" w:lineRule="auto"/>
        <w:rPr>
          <w:sz w:val="20"/>
          <w:szCs w:val="20"/>
          <w:color w:val="auto"/>
        </w:rPr>
      </w:pPr>
      <w:r>
        <w:rPr>
          <w:rFonts w:ascii="Times New Roman" w:cs="Times New Roman" w:eastAsia="Times New Roman" w:hAnsi="Times New Roman"/>
          <w:sz w:val="14"/>
          <w:szCs w:val="14"/>
          <w:color w:val="auto"/>
        </w:rPr>
        <w:t>In February 2022, Russia launched an invasion in Ukraine which caused us to assess our ability to sell in the market due to international sanctions, to consider the potential impact of raw material sourced from the region, and to determine whether we are able to transact in a compliant fashion. Although the region represented 1% of our total net sales for 2021, the Russian invasion of Ukraine has increased economic uncertainties, and a significant escalation or continuation of the conflict could have a material, global impact on our operating results. In addition, our Russian employees and local subsidiary are subject to evolving laws and regulations imposed by the Russian authorities in response to international sanctions.</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87" w:lineRule="exact"/>
        <w:rPr>
          <w:sz w:val="20"/>
          <w:szCs w:val="20"/>
          <w:color w:val="auto"/>
        </w:rPr>
      </w:pPr>
    </w:p>
    <w:p>
      <w:pPr>
        <w:ind w:right="60" w:firstLine="127"/>
        <w:spacing w:after="0" w:line="286" w:lineRule="auto"/>
        <w:rPr>
          <w:sz w:val="20"/>
          <w:szCs w:val="20"/>
          <w:color w:val="auto"/>
        </w:rPr>
      </w:pPr>
      <w:r>
        <w:rPr>
          <w:rFonts w:ascii="Times New Roman" w:cs="Times New Roman" w:eastAsia="Times New Roman" w:hAnsi="Times New Roman"/>
          <w:sz w:val="14"/>
          <w:szCs w:val="14"/>
          <w:color w:val="auto"/>
        </w:rPr>
        <w:t>We are a public limited company organized under the laws of England and Wales and headquartered in London, England. We are a global medical device company focused on the development and delivery of important products and therapies for the benefit of patients, healthcare professionals and healthcare systems throughout the world. We design, develop, manufacture and sell innovative products and therapies that are consistent with our mission to provide hope to patients through innovative technologies, delivering life-changing improvements for both the Head and Heart.</w:t>
      </w:r>
    </w:p>
    <w:p>
      <w:pPr>
        <w:spacing w:after="0" w:line="40" w:lineRule="exact"/>
        <w:rPr>
          <w:sz w:val="20"/>
          <w:szCs w:val="20"/>
          <w:color w:val="auto"/>
        </w:rPr>
      </w:pPr>
    </w:p>
    <w:p>
      <w:pPr>
        <w:ind w:right="100" w:firstLine="127"/>
        <w:spacing w:after="0" w:line="286" w:lineRule="auto"/>
        <w:rPr>
          <w:sz w:val="20"/>
          <w:szCs w:val="20"/>
          <w:color w:val="auto"/>
        </w:rPr>
      </w:pPr>
      <w:r>
        <w:rPr>
          <w:rFonts w:ascii="Times New Roman" w:cs="Times New Roman" w:eastAsia="Times New Roman" w:hAnsi="Times New Roman"/>
          <w:sz w:val="14"/>
          <w:szCs w:val="14"/>
          <w:color w:val="auto"/>
        </w:rPr>
        <w:t>LivaNova is comprised of three reportable segments: Cardiopulmonary, Neuromodulation and ACS, corresponding to our primary business units. Other includes corporate shared service expenses for finance, legal, human resources, information technology and corporate business development. For 2021, other also includes the results of our Heart Valves business, which was disposed of on June 1, 2021.</w:t>
      </w:r>
    </w:p>
    <w:p>
      <w:pPr>
        <w:spacing w:after="0" w:line="40" w:lineRule="exact"/>
        <w:rPr>
          <w:sz w:val="20"/>
          <w:szCs w:val="20"/>
          <w:color w:val="auto"/>
        </w:rPr>
      </w:pPr>
    </w:p>
    <w:p>
      <w:pPr>
        <w:ind w:right="200" w:firstLine="127"/>
        <w:spacing w:after="0" w:line="303" w:lineRule="auto"/>
        <w:rPr>
          <w:sz w:val="20"/>
          <w:szCs w:val="20"/>
          <w:color w:val="auto"/>
        </w:rPr>
      </w:pPr>
      <w:r>
        <w:rPr>
          <w:rFonts w:ascii="Times New Roman" w:cs="Times New Roman" w:eastAsia="Times New Roman" w:hAnsi="Times New Roman"/>
          <w:sz w:val="14"/>
          <w:szCs w:val="14"/>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ind w:right="200" w:firstLine="127"/>
        <w:spacing w:after="0" w:line="303" w:lineRule="auto"/>
        <w:rPr>
          <w:sz w:val="20"/>
          <w:szCs w:val="20"/>
          <w:color w:val="auto"/>
        </w:rPr>
      </w:pPr>
      <w:r>
        <w:rPr>
          <w:rFonts w:ascii="Times New Roman" w:cs="Times New Roman" w:eastAsia="Times New Roman" w:hAnsi="Times New Roman"/>
          <w:sz w:val="14"/>
          <w:szCs w:val="14"/>
          <w:color w:val="auto"/>
        </w:rPr>
        <w:t>Our Cardiopulmonary segment is engaged in the development, production and sale of cardiopulmonary products, including oxygenators, heart-lung machines, autotransfusion systems, perfusion tubing systems, cannulae and other related accessories.</w:t>
      </w:r>
    </w:p>
    <w:p>
      <w:pPr>
        <w:spacing w:after="0" w:line="29" w:lineRule="exact"/>
        <w:rPr>
          <w:sz w:val="20"/>
          <w:szCs w:val="20"/>
          <w:color w:val="auto"/>
        </w:rPr>
      </w:pPr>
    </w:p>
    <w:p>
      <w:pPr>
        <w:ind w:right="80" w:firstLine="127"/>
        <w:spacing w:after="0" w:line="303" w:lineRule="auto"/>
        <w:rPr>
          <w:sz w:val="20"/>
          <w:szCs w:val="20"/>
          <w:color w:val="auto"/>
        </w:rPr>
      </w:pPr>
      <w:r>
        <w:rPr>
          <w:rFonts w:ascii="Times New Roman" w:cs="Times New Roman" w:eastAsia="Times New Roman" w:hAnsi="Times New Roman"/>
          <w:sz w:val="14"/>
          <w:szCs w:val="14"/>
          <w:color w:val="auto"/>
        </w:rPr>
        <w:t>Information on Cardiopulmonary that could potentially impact our condensed consolidated financial statements and related disclosures is incorporated by reference to Part I. Note 8. Commitments and Contingencies: FDA Warning Letter, and Part I. Note 8. Commitments and Contingencies: Product Liability.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Our Neuromodulation segment is engaged in the design, development and marketing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our aura6000 System for treating OSA. This device stimulates the hypoglossal nerve, which in turn, engages certain muscles in the tongue in order to open the airway while a patient is sleeping. Our Neuromodulation segment also includes the VITARIA System for treating heart failure by stimulating the right vagus nerve.</w:t>
      </w:r>
    </w:p>
    <w:p>
      <w:pPr>
        <w:spacing w:after="0" w:line="47" w:lineRule="exact"/>
        <w:rPr>
          <w:sz w:val="20"/>
          <w:szCs w:val="20"/>
          <w:color w:val="auto"/>
        </w:rPr>
      </w:pPr>
    </w:p>
    <w:p>
      <w:pPr>
        <w:ind w:firstLine="127"/>
        <w:spacing w:after="0" w:line="272" w:lineRule="auto"/>
        <w:rPr>
          <w:sz w:val="20"/>
          <w:szCs w:val="20"/>
          <w:color w:val="auto"/>
        </w:rPr>
      </w:pPr>
      <w:r>
        <w:rPr>
          <w:rFonts w:ascii="Times New Roman" w:cs="Times New Roman" w:eastAsia="Times New Roman" w:hAnsi="Times New Roman"/>
          <w:sz w:val="14"/>
          <w:szCs w:val="14"/>
          <w:color w:val="auto"/>
        </w:rPr>
        <w:t>In March 2022, LivaNova announced the 250th unipolar depression patient was implanted in the DTD RECOVER study. This key milestone preceded conducting the first interim analysis. The study was designed with frequent interim analyses to be conducted by an independent Statistical Analysis Committee. The interim analyses will assess if predictive probability of success has been reached for the unipolar cohort of the study. If any analysis reveals that the predictive probability of success has been reached, the results will be shared with the U.S. Centers for Medicare &amp; Medicaid Services (“CMS”) with the intent that randomized controlled trial enrollment for that patient population will cease and future patients will be enrolled into the prospective, open-label longitudinal study. The study is currently under way as part of a Coverage with Evidence Development framework per the CMS National Coverage Determination process. The trial, if successful, will be used to support a peer-reviewed article and reconsideration of reimbursement for VNS Therapy by CMS for the treatment of depression that is difficult to treat.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w:t>
      </w:r>
    </w:p>
    <w:p>
      <w:pPr>
        <w:spacing w:after="0" w:line="96" w:lineRule="exact"/>
        <w:rPr>
          <w:sz w:val="20"/>
          <w:szCs w:val="20"/>
          <w:color w:val="auto"/>
        </w:rPr>
      </w:pPr>
    </w:p>
    <w:p>
      <w:pPr>
        <w:ind w:right="100" w:firstLine="127"/>
        <w:spacing w:after="0" w:line="267" w:lineRule="auto"/>
        <w:rPr>
          <w:sz w:val="20"/>
          <w:szCs w:val="20"/>
          <w:color w:val="auto"/>
        </w:rPr>
      </w:pPr>
      <w:r>
        <w:rPr>
          <w:rFonts w:ascii="Times New Roman" w:cs="Times New Roman" w:eastAsia="Times New Roman" w:hAnsi="Times New Roman"/>
          <w:sz w:val="14"/>
          <w:szCs w:val="14"/>
          <w:color w:val="auto"/>
        </w:rPr>
        <w:t>Our ACS segment is engaged in the development, production and sale of leading-edge temporary life support products. Our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Designed for ease of use, the system offers power and versatility for multi-disciplinary programs to support more patients in more places. The platform is accompanied by four specialized and ready-to-deploy kits, each designed to support diverse cannulation strategies. Our ACS segment also includes the Hemolung RAS. The Hemolung RAS is the only FDA-cleared platform designed specifically for low-flow extracorporeal carbon dioxide removal for acute respiratory failure. The Hemolung RAS was acquired in May 2022 as part of the acquisition of ALung. In August 2022, CMS approved a New Technology Add-on Payment (“NTAP”) for our Hemolung RAS for in-patient care. The NTAP designation is awarded to novel medical technologies and services supported by clinical evidence that are expected to substantially improve the diagnosis or treatment of Medicare beneficiaries and will go into effect October 1, 2022.</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4" w:name="page35"/>
    <w:bookmarkEnd w:id="34"/>
    <w:p>
      <w:pPr>
        <w:jc w:val="both"/>
        <w:ind w:firstLine="127"/>
        <w:spacing w:after="0" w:line="273" w:lineRule="auto"/>
        <w:rPr>
          <w:sz w:val="20"/>
          <w:szCs w:val="20"/>
          <w:color w:val="auto"/>
        </w:rPr>
      </w:pPr>
      <w:r>
        <w:rPr>
          <w:rFonts w:ascii="Times New Roman" w:cs="Times New Roman" w:eastAsia="Times New Roman" w:hAnsi="Times New Roman"/>
          <w:sz w:val="14"/>
          <w:szCs w:val="14"/>
          <w:color w:val="auto"/>
        </w:rPr>
        <w:t>On May 2, 2022, we acquired the remaining 97% of equity interests in ALung, a privately held medical device company focused on creating advanced medical devices for treating respiratory failure, for a purchase price of up to $110.0 million, consisting of $10.0 million paid at closing, subject to customary adjustments, and contingent considerations of up to $100.0 million payable upon achievement of certain sales-based milestones beginning in 2023 and ending in 2027. Due to synergies anticipated between ALung and our existing ACS business, the assets acquired, including goodwill, are recognized in our ACS segment. The fair value of the contingent consideration liability as of May 2, 2022, the acquisition date, and June 30, 2022 was $26.4 million and $21.6 million,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 a discussion of our critical accounting estimates, see “Management’s Discussion and Analysis of Financial Condition and Results of Operations” that is included in the 2021 Form 10-K.</w:t>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LivaNova and its consolidated subsidiaries have been prepared in accordance with U.S. GAAP on an interim basis.</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following table summarizes our condensed consolidated results of operations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5180" w:type="dxa"/>
            <w:vAlign w:val="bottom"/>
          </w:tcPr>
          <w:p>
            <w:pPr>
              <w:spacing w:after="0"/>
              <w:rPr>
                <w:sz w:val="18"/>
                <w:szCs w:val="18"/>
                <w:color w:val="auto"/>
              </w:rPr>
            </w:pPr>
          </w:p>
        </w:tc>
        <w:tc>
          <w:tcPr>
            <w:tcW w:w="25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5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254,151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264,483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494,326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512,086</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69,801</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92,204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141,533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176,399</w:t>
            </w:r>
          </w:p>
        </w:tc>
      </w:tr>
      <w:tr>
        <w:trPr>
          <w:trHeight w:val="171"/>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184,350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172,279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352,793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335,687</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116,482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122,748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238,429</w:t>
            </w:r>
          </w:p>
        </w:tc>
      </w:tr>
      <w:tr>
        <w:trPr>
          <w:trHeight w:val="18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75,147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97,182</w:t>
            </w:r>
          </w:p>
        </w:tc>
      </w:tr>
      <w:tr>
        <w:trPr>
          <w:trHeight w:val="180"/>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42,036</w:t>
            </w:r>
          </w:p>
        </w:tc>
      </w:tr>
      <w:tr>
        <w:trPr>
          <w:trHeight w:val="171"/>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(36,262)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(41,960)</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(16,515)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(32,451)</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(6,204)</w:t>
            </w:r>
          </w:p>
        </w:tc>
      </w:tr>
      <w:tr>
        <w:trPr>
          <w:trHeight w:val="171"/>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(loss) before tax</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(52,538)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(80,615)</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6,552</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from equity method investments</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71"/>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16,444</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(56,487)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(87,248)</w:t>
            </w:r>
          </w:p>
        </w:tc>
      </w:tr>
      <w:tr>
        <w:trPr>
          <w:trHeight w:val="20"/>
        </w:trPr>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condensed consolidated results for the three and six months ended June 30, 2021 have been revised. For further details refer to “Note 1. Unaudited Condensed Consolidated Financial Statements.”</w:t>
      </w:r>
    </w:p>
    <w:p>
      <w:pPr>
        <w:spacing w:after="0" w:line="200" w:lineRule="exact"/>
        <w:rPr>
          <w:rFonts w:ascii="Times New Roman" w:cs="Times New Roman" w:eastAsia="Times New Roman" w:hAnsi="Times New Roman"/>
          <w:sz w:val="13"/>
          <w:szCs w:val="13"/>
          <w:color w:val="auto"/>
        </w:rPr>
      </w:pPr>
    </w:p>
    <w:p>
      <w:pPr>
        <w:spacing w:after="0" w:line="208" w:lineRule="exact"/>
        <w:rPr>
          <w:rFonts w:ascii="Times New Roman" w:cs="Times New Roman" w:eastAsia="Times New Roman" w:hAnsi="Times New Roman"/>
          <w:sz w:val="13"/>
          <w:szCs w:val="13"/>
          <w:color w:val="auto"/>
        </w:rPr>
      </w:pPr>
    </w:p>
    <w:p>
      <w:pPr>
        <w:ind w:left="5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t>Net Sales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gridSpan w:val="10"/>
          </w:tcPr>
          <w:p>
            <w:pPr>
              <w:ind w:left="140"/>
              <w:spacing w:after="0"/>
              <w:rPr>
                <w:sz w:val="20"/>
                <w:szCs w:val="20"/>
                <w:color w:val="auto"/>
              </w:rPr>
            </w:pPr>
            <w:r>
              <w:rPr>
                <w:rFonts w:ascii="Times New Roman" w:cs="Times New Roman" w:eastAsia="Times New Roman" w:hAnsi="Times New Roman"/>
                <w:sz w:val="14"/>
                <w:szCs w:val="14"/>
                <w:color w:val="auto"/>
              </w:rPr>
              <w:t>The table below presents net sales by operating segment and geographic region (in thousands, except for percentages):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80" w:type="dxa"/>
            <w:vAlign w:val="bottom"/>
          </w:tcPr>
          <w:p>
            <w:pPr>
              <w:spacing w:after="0"/>
              <w:rPr>
                <w:sz w:val="14"/>
                <w:szCs w:val="14"/>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60" w:type="dxa"/>
            <w:vAlign w:val="bottom"/>
          </w:tcPr>
          <w:p>
            <w:pPr>
              <w:spacing w:after="0"/>
              <w:rPr>
                <w:sz w:val="14"/>
                <w:szCs w:val="14"/>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65,759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101,708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125,820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117,876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242,895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226,595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91,779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174,079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20,973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117,795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117,636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228,022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6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172.4 %</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26,267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6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(2)</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56,038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106,855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68,693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127,473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3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254,151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494,326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512,086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2021, other primarily includes the net sales of the Company’s Heart Valves business, which was disposed of on June 1, 2021.</w:t>
      </w:r>
    </w:p>
    <w:p>
      <w:pPr>
        <w:spacing w:after="0" w:line="30"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Europe sales include those countries in which we have a direct sales presence, whereas European countries in which we sell through distributors are included in “Rest of World.”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37" w:name="page38"/>
    <w:bookmarkEnd w:id="37"/>
    <w:p>
      <w:pPr>
        <w:ind w:left="140"/>
        <w:spacing w:after="0"/>
        <w:rPr>
          <w:sz w:val="20"/>
          <w:szCs w:val="20"/>
          <w:color w:val="auto"/>
        </w:rPr>
      </w:pPr>
      <w:r>
        <w:rPr>
          <w:rFonts w:ascii="Times New Roman" w:cs="Times New Roman" w:eastAsia="Times New Roman" w:hAnsi="Times New Roman"/>
          <w:sz w:val="14"/>
          <w:szCs w:val="14"/>
          <w:color w:val="auto"/>
        </w:rPr>
        <w:t>The table below presents segment income (in thousands, except for percentages):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tcBorders>
              <w:bottom w:val="single" w:sz="8" w:color="auto"/>
            </w:tcBorders>
          </w:tcPr>
          <w:p>
            <w:pPr>
              <w:spacing w:after="0"/>
              <w:rPr>
                <w:sz w:val="16"/>
                <w:szCs w:val="16"/>
                <w:color w:val="auto"/>
              </w:rPr>
            </w:pPr>
          </w:p>
        </w:tc>
      </w:tr>
      <w:tr>
        <w:trPr>
          <w:trHeight w:val="171"/>
        </w:trPr>
        <w:tc>
          <w:tcPr>
            <w:tcW w:w="2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8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300" w:type="dxa"/>
            <w:vAlign w:val="bottom"/>
          </w:tcPr>
          <w:p>
            <w:pPr>
              <w:spacing w:after="0"/>
              <w:rPr>
                <w:sz w:val="14"/>
                <w:szCs w:val="14"/>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8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1"/>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820" w:type="dxa"/>
            <w:vAlign w:val="bottom"/>
            <w:tcBorders>
              <w:top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(23,657)</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r>
      <w:tr>
        <w:trPr>
          <w:trHeight w:val="18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r>
      <w:tr>
        <w:trPr>
          <w:trHeight w:val="18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r>
      <w:tr>
        <w:trPr>
          <w:trHeight w:val="180"/>
        </w:trPr>
        <w:tc>
          <w:tcPr>
            <w:tcW w:w="25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(42,532)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(67,829)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96"/>
        </w:trPr>
        <w:tc>
          <w:tcPr>
            <w:tcW w:w="250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Total reportable segment income (loss) </w:t>
            </w:r>
            <w:r>
              <w:rPr>
                <w:rFonts w:ascii="Times New Roman" w:cs="Times New Roman" w:eastAsia="Times New Roman" w:hAnsi="Times New Roman"/>
                <w:sz w:val="18"/>
                <w:szCs w:val="18"/>
                <w:color w:val="auto"/>
                <w:vertAlign w:val="superscript"/>
              </w:rPr>
              <w:t>(3)</w:t>
            </w: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income for the three and six months ended June 30, 2021 has been revised. For further details refer to “Note 1. Unaudited Condensed Consolidated Financial Statements.”</w:t>
      </w:r>
    </w:p>
    <w:p>
      <w:pPr>
        <w:spacing w:after="0" w:line="41" w:lineRule="exact"/>
        <w:rPr>
          <w:rFonts w:ascii="Times New Roman" w:cs="Times New Roman" w:eastAsia="Times New Roman" w:hAnsi="Times New Roman"/>
          <w:sz w:val="13"/>
          <w:szCs w:val="13"/>
          <w:color w:val="auto"/>
        </w:rPr>
      </w:pPr>
    </w:p>
    <w:p>
      <w:pPr>
        <w:ind w:left="520" w:right="860" w:hanging="260"/>
        <w:spacing w:after="0" w:line="281" w:lineRule="auto"/>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corporate shared service expenses for finance, legal, human resources, information technology and corporate business development. For 2021, other also includes the results of the Company’s Heart Valves business, which was disposed of on June 1, 2021.</w:t>
      </w:r>
    </w:p>
    <w:p>
      <w:pPr>
        <w:ind w:left="520" w:right="620" w:hanging="260"/>
        <w:spacing w:after="0" w:line="281" w:lineRule="auto"/>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reconciliation of segment income (loss) to income (loss) before tax refer to “Note 13. Geographic and Segment Information” in the condensed consolidated financial statements in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Cardiopulmonary net sales for the three and six months ended June 30, 2022 increased 6.7% to $125.8 million and 7.2% to $242.9 million, respectively, compared to the three and six months ended June 30, 2021, respectively. These increases were primarily driven by oxygenator sales due to an increase in cardiac surgery procedures and strength in heart-lung machine sales in the Rest of World and U.S. regions. These favorable impacts were partially offset for the three and six-month comparative periods by unfavorable foreign currency fluctuations of approximately $8.9 million and $14.1 million, respectively.</w:t>
      </w:r>
    </w:p>
    <w:p>
      <w:pPr>
        <w:spacing w:after="0" w:line="58" w:lineRule="exact"/>
        <w:rPr>
          <w:sz w:val="20"/>
          <w:szCs w:val="20"/>
          <w:color w:val="auto"/>
        </w:rPr>
      </w:pPr>
    </w:p>
    <w:p>
      <w:pPr>
        <w:ind w:right="120" w:firstLine="127"/>
        <w:spacing w:after="0" w:line="278" w:lineRule="auto"/>
        <w:rPr>
          <w:sz w:val="20"/>
          <w:szCs w:val="20"/>
          <w:color w:val="auto"/>
        </w:rPr>
      </w:pPr>
      <w:r>
        <w:rPr>
          <w:rFonts w:ascii="Times New Roman" w:cs="Times New Roman" w:eastAsia="Times New Roman" w:hAnsi="Times New Roman"/>
          <w:sz w:val="14"/>
          <w:szCs w:val="14"/>
          <w:color w:val="auto"/>
        </w:rPr>
        <w:t>Cardiopulmonary segment income for the three and six months ended June 30, 2022 was $3.6 million and $10.5 million, respectively, as compared to losses of $(25.1) million and $(23.7) million for the three and six months ended June 30, 2021, respectively. These increases in segment income were primarily due to increases in net sales, as discussed above, as well as a decrease in the litigation provision related to our 3T Heater-Cooler device for the three and six-month comparative periods of $28.3 million and $31.7 million, respectively, and related legal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Neuromodulation net sales for the three and six months ended June 30, 2022 increased 0.1% to $117.8 million and 3.0% to $228.0 million, respectively, compared to the three and six months ended June 30, 2021, respectively. These increases were primarily driven by the Europe and Rest of World regions and by favorable pricing in the U.S., partially offset by lower implant volumes. Additionally, these increases in net sales were adversely impacted by unfavorable foreign currency fluctuations of approximately $2.6 million and $3.9 million versus the three and six-month comparative periods, respectively.</w:t>
      </w:r>
    </w:p>
    <w:p>
      <w:pPr>
        <w:spacing w:after="0" w:line="58"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Neuromodulation segment income for the three and six months ended June 30, 2022 was $51.4 million and $88.8 million, respectively, as compared to $38.2 million and $72.2 million for the three and six months ended June 30, 2021, respectively. These increases in segment income were primarily due to the net impact of the change in fair value of the sales-based and milestone-based contingent consideration arrangement associated with the acquisition of ImThera of $20.7 million and $24.2 million, for the three and six-month comparative periods, respectively, as well as an increase in net sales of $6.7 million for the six-month comparative period, as discussed above. These increases were partially offset by increases in R&amp;D expenses for the three and six months ended June 30, 2022 compared to the three and six months ended June 30, 2021 totaling $3.5 million and $6.7 million, respectively, associated with the Company’s RECOVER study and ANTHEM-HFrEF and OSPREY clinical trials.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w:t>
      </w:r>
    </w:p>
    <w:p>
      <w:pPr>
        <w:spacing w:after="0" w:line="96" w:lineRule="exact"/>
        <w:rPr>
          <w:sz w:val="20"/>
          <w:szCs w:val="20"/>
          <w:color w:val="auto"/>
        </w:rPr>
      </w:pPr>
    </w:p>
    <w:p>
      <w:pPr>
        <w:jc w:val="both"/>
        <w:ind w:right="260" w:firstLine="127"/>
        <w:spacing w:after="0" w:line="278" w:lineRule="auto"/>
        <w:rPr>
          <w:sz w:val="20"/>
          <w:szCs w:val="20"/>
          <w:color w:val="auto"/>
        </w:rPr>
      </w:pPr>
      <w:r>
        <w:rPr>
          <w:rFonts w:ascii="Times New Roman" w:cs="Times New Roman" w:eastAsia="Times New Roman" w:hAnsi="Times New Roman"/>
          <w:sz w:val="14"/>
          <w:szCs w:val="14"/>
          <w:color w:val="auto"/>
        </w:rPr>
        <w:t>ACS net sales for the three and six months ended June 30, 2022 decreased 29.6% to $9.4 million and 19.9% to $21.0 million, respectively, compared to the three and six months ended June 30, 2021, respectively, primarily due to a reduction in patients treated with extracorporeal membrane oxygenation (ECMO) related to fewer severe COVID-19 cases and hospital staffing challenges, partially offset by growth in non-COVID-19 cases.</w:t>
      </w:r>
    </w:p>
    <w:p>
      <w:pPr>
        <w:spacing w:after="0" w:line="56" w:lineRule="exact"/>
        <w:rPr>
          <w:sz w:val="20"/>
          <w:szCs w:val="20"/>
          <w:color w:val="auto"/>
        </w:rPr>
      </w:pPr>
    </w:p>
    <w:p>
      <w:pPr>
        <w:ind w:right="180" w:firstLine="127"/>
        <w:spacing w:after="0" w:line="287" w:lineRule="auto"/>
        <w:rPr>
          <w:sz w:val="20"/>
          <w:szCs w:val="20"/>
          <w:color w:val="auto"/>
        </w:rPr>
      </w:pPr>
      <w:r>
        <w:rPr>
          <w:rFonts w:ascii="Times New Roman" w:cs="Times New Roman" w:eastAsia="Times New Roman" w:hAnsi="Times New Roman"/>
          <w:sz w:val="14"/>
          <w:szCs w:val="14"/>
          <w:color w:val="auto"/>
        </w:rPr>
        <w:t>ACS segment income for the three months ended June 30, 2022 was $3.5 million and segment loss was $2.0 million for the six months ended June 30, 2022, as compared to segment loss of $1.3 million for the three months ended June 30, 2021 and segment income of $1.1 million for the six months ended June 30, 2021. Segment income/(loss) was positively impacted for the</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38" w:name="page39"/>
    <w:bookmarkEnd w:id="38"/>
    <w:p>
      <w:pPr>
        <w:spacing w:after="0" w:line="269" w:lineRule="auto"/>
        <w:rPr>
          <w:sz w:val="20"/>
          <w:szCs w:val="20"/>
          <w:color w:val="auto"/>
        </w:rPr>
      </w:pPr>
      <w:r>
        <w:rPr>
          <w:rFonts w:ascii="Times New Roman" w:cs="Times New Roman" w:eastAsia="Times New Roman" w:hAnsi="Times New Roman"/>
          <w:sz w:val="14"/>
          <w:szCs w:val="14"/>
          <w:color w:val="auto"/>
        </w:rPr>
        <w:t>three and six month comparative periods by the change in fair value of the TandemLife contingent consideration arrangement of $8.4 million and $8.8 million, respectively, primarily due to the change in the probability of the regulatory milestone-based payment associated with the TandemLife acquisition. This was partially offset for the three-month comparative periods and more than offset for the six-month comparative periods due to the decline in net sales, as discussed above, and an increase in general and administrative expenses largely associated with the acquisition of ALung. For additional information, please refer to “Note 2. Business Combinations” in the condensed consolidated financial statements in this Quarterly Report on Form 10-Q. Additionally, we incurred an increase in sales and marketing expenses during the three and six months ended June 30, 2022 compared to the three and six months ended June 30, 2021. Sales and marketing expenses in 2021 were reduced as a result of lower commercial related and discretionary spending due to COVID-19.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 and Expenses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gridSpan w:val="7"/>
          </w:tcPr>
          <w:p>
            <w:pPr>
              <w:ind w:left="140"/>
              <w:spacing w:after="0"/>
              <w:rPr>
                <w:sz w:val="20"/>
                <w:szCs w:val="20"/>
                <w:color w:val="auto"/>
              </w:rPr>
            </w:pPr>
            <w:r>
              <w:rPr>
                <w:rFonts w:ascii="Times New Roman" w:cs="Times New Roman" w:eastAsia="Times New Roman" w:hAnsi="Times New Roman"/>
                <w:sz w:val="14"/>
                <w:szCs w:val="14"/>
                <w:color w:val="auto"/>
              </w:rPr>
              <w:t>The table below presents our comparative cost of sales and significant expenses as a percentage of sales: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38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Borders>
              <w:bottom w:val="single" w:sz="8" w:color="auto"/>
            </w:tcBorders>
          </w:tcPr>
          <w:p>
            <w:pPr>
              <w:spacing w:after="0"/>
              <w:rPr>
                <w:sz w:val="18"/>
                <w:szCs w:val="18"/>
                <w:color w:val="auto"/>
              </w:rPr>
            </w:pPr>
          </w:p>
        </w:tc>
      </w:tr>
      <w:tr>
        <w:trPr>
          <w:trHeight w:val="171"/>
        </w:trPr>
        <w:tc>
          <w:tcPr>
            <w:tcW w:w="38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27.5 %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45.8 %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18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13.5 %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Cost of sales consists primarily of direct labor, allocated manufacturing overhead, the acquisition cost of raw materials and components.</w:t>
      </w:r>
    </w:p>
    <w:p>
      <w:pPr>
        <w:spacing w:after="0" w:line="104"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Cost of sales as a percentage of net sales was 27.5% and 28.6% for the three and six months ended June 30, 2022, respectively, a decrease of 7.4% and 5.8% compared to the three and six months ended June 30, 2021, respectively. These decreases were primarily due to favorable product mix for the six-month comparative period, partially resulting from the sale of the Company’s Heart Valves business during the second quarter of 2021, as well as the net impact of the change in fair value of a sales-based contingent consideration arrangements of $17.4 million and $19.2 million for the three and six months ended June 30, 2022 compared to the three and six months ended June 30, 2021, respectively. These decreases were partially offset by increased costs driven by supply chain delays and interruptions, labor shortages, inflationary pressures and logistical issues in the wake of COVID-19.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General and Administrative (“SG&amp;A”) Expenses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SG&amp;A expenses are comprised of sales, marketing, and general and administrative activities.</w:t>
      </w:r>
    </w:p>
    <w:p>
      <w:pPr>
        <w:spacing w:after="0" w:line="104" w:lineRule="exact"/>
        <w:rPr>
          <w:sz w:val="20"/>
          <w:szCs w:val="20"/>
          <w:color w:val="auto"/>
        </w:rPr>
      </w:pPr>
    </w:p>
    <w:p>
      <w:pPr>
        <w:ind w:right="140" w:firstLine="127"/>
        <w:spacing w:after="0" w:line="278" w:lineRule="auto"/>
        <w:rPr>
          <w:sz w:val="20"/>
          <w:szCs w:val="20"/>
          <w:color w:val="auto"/>
        </w:rPr>
      </w:pPr>
      <w:r>
        <w:rPr>
          <w:rFonts w:ascii="Times New Roman" w:cs="Times New Roman" w:eastAsia="Times New Roman" w:hAnsi="Times New Roman"/>
          <w:sz w:val="14"/>
          <w:szCs w:val="14"/>
          <w:color w:val="auto"/>
        </w:rPr>
        <w:t>SG&amp;A expenses as a percentage of net sales was 47.5% for the six months ended June 30, 2022, an increase of 0.9% compared to the six months ended June 30, 2021. The increase was primarily due to business development expenses related to the acquisition of ALung. For additional information, please refer to “Note 2. Business Combinations” in the condensed consolidated financial statements in this Quarterly Report on Form 10-Q.</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(“R&amp;D”) Expenses</w:t>
      </w:r>
    </w:p>
    <w:p>
      <w:pPr>
        <w:spacing w:after="0" w:line="85" w:lineRule="exact"/>
        <w:rPr>
          <w:sz w:val="20"/>
          <w:szCs w:val="20"/>
          <w:color w:val="auto"/>
        </w:rPr>
      </w:pPr>
    </w:p>
    <w:p>
      <w:pPr>
        <w:ind w:right="200" w:firstLine="127"/>
        <w:spacing w:after="0" w:line="303" w:lineRule="auto"/>
        <w:rPr>
          <w:sz w:val="20"/>
          <w:szCs w:val="20"/>
          <w:color w:val="auto"/>
        </w:rPr>
      </w:pPr>
      <w:r>
        <w:rPr>
          <w:rFonts w:ascii="Times New Roman" w:cs="Times New Roman" w:eastAsia="Times New Roman" w:hAnsi="Times New Roman"/>
          <w:sz w:val="14"/>
          <w:szCs w:val="14"/>
          <w:color w:val="auto"/>
        </w:rPr>
        <w:t>R&amp;D expenses consist of product design and development efforts, clinical study programs and regulatory activities, which are essential to our strategic portfolio initiatives, including DTD, OSA and heart failure.</w:t>
      </w:r>
    </w:p>
    <w:p>
      <w:pPr>
        <w:spacing w:after="0" w:line="29"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R&amp;D expenses as a percentage of net sales were 13.5% and 15.2% for the three and six months ended June 30, 2022, respectively, reflecting decreases of 6.4% and 3.8% compared to the three and six months ended June 30, 2021, respectively. These decreases were primarily due to a decline in R&amp;D expenses resulting from changes in the fair value of milestone-based contingent consideration arrangements of $16.5 million and $18.9 million for the three and six months ended June 30, 2022, respectively, compared to the respective prior year periods. Additionally, R&amp;D expenses for the three and six months ended June 30, 2022 decreased by $2.4 million and $5.9 million, respectively, compared to the respective prior year periods as a result of the sale of the Company’s Heart Valve business on June 1, 2021. The decreases in R&amp;D expenses due to the changes in fair value of contingent consideration arrangements and the sale of the Company’s Heart Valve business were partially offset by increases associated with the Company’s RECOVER study and ANTHEM-HFrEF and OSPREY clinical trials totaling $3.5 million and $6.7 million for the three and six months ended June 30, 2022, respectively, compared to the respective prior year periods.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operating expenses primarily consists of the provision for litigation involving our 3T Heater-Cooler device, restructuring expense, and merger and integration expense.</w:t>
      </w:r>
    </w:p>
    <w:p>
      <w:pPr>
        <w:spacing w:after="0" w:line="104"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Other operating expenses as a percentage of net sales was 0.7% and 0.3% for the three and six months ended June 30, 2022, respectively, reflecting decreases of 11.9% and 7.9% compared to the three and six months ended June 30, 2021, respectively. These favorable variances were primarily impacted by adjustments in the litigation provision related to our 3T Heater-Cooler device of $29.4 million and $32.4 million, for the three and six month periods ended June 30, 2021, respectively. For additional information, please refer to “Note 8. Commitments and Contingencies” in the condensed consolidated financial statements in this Quarterly Report on Form 10-Q. Additionally, other operating expenses as a percentage of net sales decreased due to a decline in restructuring expenses of $3.0 million and $9.2 million for the three and six months ended June 30, 2022, respectively, compared to the respective prior year periods.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96"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Interest expense for the three and six months ended June 30, 2022 declined to $14.4 million and $22.2 million, respectively, compared to $16.5 million and $32.5 million for the three and six months ended June 30, 2021, respectively, primarily due to the repayment of the Company’s 2020 senior secured term loan during the third quarter of 2021, partially offset by interest expense associated with the February 2022 Bridge Loan Facility. For further details, refer to “Note 6. Financing Arrangements” in the condensed consolidated financial statements in this Quarterly Report on Form 10-Q.</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and Other Income/(Expense)</w:t>
      </w:r>
    </w:p>
    <w:p>
      <w:pPr>
        <w:spacing w:after="0" w:line="96" w:lineRule="exact"/>
        <w:rPr>
          <w:sz w:val="20"/>
          <w:szCs w:val="20"/>
          <w:color w:val="auto"/>
        </w:rPr>
      </w:pPr>
    </w:p>
    <w:p>
      <w:pPr>
        <w:ind w:right="360" w:firstLine="127"/>
        <w:spacing w:after="0" w:line="287" w:lineRule="auto"/>
        <w:rPr>
          <w:sz w:val="20"/>
          <w:szCs w:val="20"/>
          <w:color w:val="auto"/>
        </w:rPr>
      </w:pPr>
      <w:r>
        <w:rPr>
          <w:rFonts w:ascii="Times New Roman" w:cs="Times New Roman" w:eastAsia="Times New Roman" w:hAnsi="Times New Roman"/>
          <w:sz w:val="14"/>
          <w:szCs w:val="14"/>
          <w:color w:val="auto"/>
        </w:rPr>
        <w:t>Foreign exchange and other income/(expense) consist primarily of gains and losses arising from transactions denominated in a currency different from an entity’s functional currency, foreign currency exchange rate derivative gains and losses and changes in the fair value of embedded and capped call derivatives.</w:t>
      </w:r>
    </w:p>
    <w:p>
      <w:pPr>
        <w:spacing w:after="0" w:line="50"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Foreign exchange and other income/(expense) resulted in income of $1.6 million and $5.5 million for the three and six months ended June 30, 2022, respectively, compared to income/(expense) of $0.2 million and $(6.2) million for the three and six months ended June 30, 2021, respectively. For further details, refer to “Note 14. Supplemental Financial Information” in the condensed consolidated financial statements in this Quarterly Report on Form 10-Q.</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ind w:right="60" w:firstLine="127"/>
        <w:spacing w:after="0" w:line="278" w:lineRule="auto"/>
        <w:rPr>
          <w:sz w:val="20"/>
          <w:szCs w:val="20"/>
          <w:color w:val="auto"/>
        </w:rPr>
      </w:pPr>
      <w:r>
        <w:rPr>
          <w:rFonts w:ascii="Times New Roman" w:cs="Times New Roman" w:eastAsia="Times New Roman" w:hAnsi="Times New Roman"/>
          <w:sz w:val="14"/>
          <w:szCs w:val="14"/>
          <w:color w:val="auto"/>
        </w:rPr>
        <w:t>LivaNova PLC is resident in the UK for tax purposes. Our subsidiaries conduct operations and earn income in numerous countries and are subject to the laws of taxing jurisdictions within those countries, and the income tax rates imposed in the tax jurisdictions in which our subsidiaries conduct operations vary. Our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5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Our effective income tax rate for the three and six months ended June 30, 2022 was 13.2% and 20.6%, respectively, compared with (7.4)% and (8.1)% for the three and six months ended June 30, 2021, respectively. Compared with the three months ended June 30, 2021, the change in the effective tax rate for the three months ended June 30, 2022 was primarily attributable to discrete items and changes in income before tax in countries with varying statutory tax rates as compared to the discrete tax impact of the sale of the Heart Valve business during the three months ended June 30, 2021. Compared with the six months ended June 30, 2021, the change in the effective tax rate for the six months ended June 30, 2022 was primarily attributable to discrete items and changes in income before tax in countries with varying statutory tax rates as compared to changes in valuation allowances and other discrete items and the discrete tax impact of the sale of the Heart Valve business during the six months ended June 30,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87" w:lineRule="exact"/>
        <w:rPr>
          <w:sz w:val="20"/>
          <w:szCs w:val="20"/>
          <w:color w:val="auto"/>
        </w:rPr>
      </w:pPr>
    </w:p>
    <w:p>
      <w:pPr>
        <w:ind w:right="20" w:firstLine="127"/>
        <w:spacing w:after="0" w:line="273" w:lineRule="auto"/>
        <w:rPr>
          <w:sz w:val="20"/>
          <w:szCs w:val="20"/>
          <w:color w:val="auto"/>
        </w:rPr>
      </w:pPr>
      <w:r>
        <w:rPr>
          <w:rFonts w:ascii="Times New Roman" w:cs="Times New Roman" w:eastAsia="Times New Roman" w:hAnsi="Times New Roman"/>
          <w:sz w:val="14"/>
          <w:szCs w:val="14"/>
          <w:color w:val="auto"/>
        </w:rPr>
        <w:t>Based on our current business plan, we believe that our sources of liquidity, which primarily consist of cash and cash equivalents, future cash generated from operations and available borrowings under our current debt facilities, will be sufficient to fund our uses of liquidity, primarily consisting of purchase obligations for expected operating, working capital, capital expenditures, acquisitions, and debt service requirements over the twelve-month period beginning from the issuance date of these condensed consolidated financial statements. From time to time, we may decide to access debt and/or equity markets to optimize our capital structure, raise additional capital or increase liquidity as necessary. Our liquidity could be adversely impacted by the factors affecting future operating results, including those referred to in “Part I, Item 1A. Risk Factors” in the 2021 Form 10-K as supplemented by the factors referred to in “Part II, Item 1A. Risk Factors” in this Quarterly Reports on</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Form 10-Q as well as “Note 8. Commitments and Contingencies” in the condensed consolidated financial statements in this Quarterly Report on Form 10-Q.</w:t>
      </w:r>
    </w:p>
    <w:p>
      <w:pPr>
        <w:spacing w:after="0" w:line="104" w:lineRule="exact"/>
        <w:rPr>
          <w:sz w:val="20"/>
          <w:szCs w:val="20"/>
          <w:color w:val="auto"/>
        </w:rPr>
      </w:pPr>
    </w:p>
    <w:p>
      <w:pPr>
        <w:ind w:right="300" w:firstLine="127"/>
        <w:spacing w:after="0" w:line="278" w:lineRule="auto"/>
        <w:rPr>
          <w:sz w:val="20"/>
          <w:szCs w:val="20"/>
          <w:color w:val="auto"/>
        </w:rPr>
      </w:pPr>
      <w:r>
        <w:rPr>
          <w:rFonts w:ascii="Times New Roman" w:cs="Times New Roman" w:eastAsia="Times New Roman" w:hAnsi="Times New Roman"/>
          <w:sz w:val="14"/>
          <w:szCs w:val="14"/>
          <w:color w:val="auto"/>
        </w:rPr>
        <w:t>Our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 The following table presents selected financial information related to our liquidity as of June 30, 2022 and December 31,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Sources of liquidity</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60"/>
        </w:trPr>
        <w:tc>
          <w:tcPr>
            <w:tcW w:w="726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207,992</w:t>
            </w:r>
          </w:p>
        </w:tc>
        <w:tc>
          <w:tcPr>
            <w:tcW w:w="0" w:type="dxa"/>
            <w:vAlign w:val="bottom"/>
          </w:tcPr>
          <w:p>
            <w:pPr>
              <w:spacing w:after="0"/>
              <w:rPr>
                <w:sz w:val="1"/>
                <w:szCs w:val="1"/>
                <w:color w:val="auto"/>
              </w:rPr>
            </w:pPr>
          </w:p>
        </w:tc>
      </w:tr>
      <w:tr>
        <w:trPr>
          <w:trHeight w:val="201"/>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185,354</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105,840</w:t>
            </w:r>
          </w:p>
        </w:tc>
        <w:tc>
          <w:tcPr>
            <w:tcW w:w="0" w:type="dxa"/>
            <w:vAlign w:val="bottom"/>
          </w:tcPr>
          <w:p>
            <w:pPr>
              <w:spacing w:after="0"/>
              <w:rPr>
                <w:sz w:val="1"/>
                <w:szCs w:val="1"/>
                <w:color w:val="auto"/>
              </w:rPr>
            </w:pPr>
          </w:p>
        </w:tc>
      </w:tr>
      <w:tr>
        <w:trPr>
          <w:trHeight w:val="202"/>
        </w:trPr>
        <w:tc>
          <w:tcPr>
            <w:tcW w:w="7260" w:type="dxa"/>
            <w:vAlign w:val="bottom"/>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Short-term derivative assets </w:t>
            </w:r>
            <w:r>
              <w:rPr>
                <w:rFonts w:ascii="Times New Roman" w:cs="Times New Roman" w:eastAsia="Times New Roman" w:hAnsi="Times New Roman"/>
                <w:sz w:val="18"/>
                <w:szCs w:val="18"/>
                <w:color w:val="auto"/>
                <w:vertAlign w:val="superscript"/>
              </w:rPr>
              <w:t>(1)</w:t>
            </w:r>
          </w:p>
        </w:tc>
        <w:tc>
          <w:tcPr>
            <w:tcW w:w="14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Long-term derivative assets </w:t>
            </w:r>
            <w:r>
              <w:rPr>
                <w:rFonts w:ascii="Times New Roman" w:cs="Times New Roman" w:eastAsia="Times New Roman" w:hAnsi="Times New Roman"/>
                <w:sz w:val="18"/>
                <w:szCs w:val="18"/>
                <w:color w:val="auto"/>
                <w:vertAlign w:val="superscript"/>
              </w:rPr>
              <w:t>(1)</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7260" w:type="dxa"/>
            <w:vAlign w:val="bottom"/>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Availability under revolving credit facility </w:t>
            </w:r>
            <w:r>
              <w:rPr>
                <w:rFonts w:ascii="Times New Roman" w:cs="Times New Roman" w:eastAsia="Times New Roman" w:hAnsi="Times New Roman"/>
                <w:sz w:val="18"/>
                <w:szCs w:val="18"/>
                <w:color w:val="auto"/>
                <w:vertAlign w:val="superscript"/>
              </w:rPr>
              <w:t>(2)</w:t>
            </w:r>
          </w:p>
        </w:tc>
        <w:tc>
          <w:tcPr>
            <w:tcW w:w="14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Short term uses of liquidity</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60" w:type="dxa"/>
            <w:vAlign w:val="bottom"/>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Short-term derivative liabilities </w:t>
            </w:r>
            <w:r>
              <w:rPr>
                <w:rFonts w:ascii="Times New Roman" w:cs="Times New Roman" w:eastAsia="Times New Roman" w:hAnsi="Times New Roman"/>
                <w:sz w:val="18"/>
                <w:szCs w:val="18"/>
                <w:color w:val="auto"/>
                <w:vertAlign w:val="superscript"/>
              </w:rPr>
              <w:t>(1)</w:t>
            </w:r>
          </w:p>
        </w:tc>
        <w:tc>
          <w:tcPr>
            <w:tcW w:w="1420" w:type="dxa"/>
            <w:vAlign w:val="bottom"/>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183,109</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Short-term debt </w:t>
            </w:r>
            <w:r>
              <w:rPr>
                <w:rFonts w:ascii="Times New Roman" w:cs="Times New Roman" w:eastAsia="Times New Roman" w:hAnsi="Times New Roman"/>
                <w:sz w:val="18"/>
                <w:szCs w:val="18"/>
                <w:color w:val="auto"/>
                <w:vertAlign w:val="superscript"/>
              </w:rPr>
              <w:t>(2)</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229,673</w:t>
            </w:r>
          </w:p>
        </w:tc>
        <w:tc>
          <w:tcPr>
            <w:tcW w:w="0" w:type="dxa"/>
            <w:vAlign w:val="bottom"/>
          </w:tcPr>
          <w:p>
            <w:pPr>
              <w:spacing w:after="0"/>
              <w:rPr>
                <w:sz w:val="1"/>
                <w:szCs w:val="1"/>
                <w:color w:val="auto"/>
              </w:rPr>
            </w:pPr>
          </w:p>
        </w:tc>
      </w:tr>
      <w:tr>
        <w:trPr>
          <w:trHeight w:val="201"/>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operating leases</w:t>
            </w:r>
          </w:p>
        </w:tc>
        <w:tc>
          <w:tcPr>
            <w:tcW w:w="14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11,261</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Short-term contingent consideration </w:t>
            </w:r>
            <w:r>
              <w:rPr>
                <w:rFonts w:ascii="Times New Roman" w:cs="Times New Roman" w:eastAsia="Times New Roman" w:hAnsi="Times New Roman"/>
                <w:sz w:val="18"/>
                <w:szCs w:val="18"/>
                <w:color w:val="auto"/>
                <w:vertAlign w:val="superscript"/>
              </w:rPr>
              <w:t>(3)</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11,552</w:t>
            </w:r>
          </w:p>
        </w:tc>
        <w:tc>
          <w:tcPr>
            <w:tcW w:w="0" w:type="dxa"/>
            <w:vAlign w:val="bottom"/>
          </w:tcPr>
          <w:p>
            <w:pPr>
              <w:spacing w:after="0"/>
              <w:rPr>
                <w:sz w:val="1"/>
                <w:szCs w:val="1"/>
                <w:color w:val="auto"/>
              </w:rPr>
            </w:pPr>
          </w:p>
        </w:tc>
      </w:tr>
      <w:tr>
        <w:trPr>
          <w:trHeight w:val="202"/>
        </w:trPr>
        <w:tc>
          <w:tcPr>
            <w:tcW w:w="7260" w:type="dxa"/>
            <w:vAlign w:val="bottom"/>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Short-term 3T litigation provision </w:t>
            </w:r>
            <w:r>
              <w:rPr>
                <w:rFonts w:ascii="Times New Roman" w:cs="Times New Roman" w:eastAsia="Times New Roman" w:hAnsi="Times New Roman"/>
                <w:sz w:val="18"/>
                <w:szCs w:val="18"/>
                <w:color w:val="auto"/>
                <w:vertAlign w:val="superscript"/>
              </w:rPr>
              <w:t>(4)</w:t>
            </w:r>
          </w:p>
        </w:tc>
        <w:tc>
          <w:tcPr>
            <w:tcW w:w="14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32,845</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uses of liquidity</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60" w:type="dxa"/>
            <w:vAlign w:val="bottom"/>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(2)</w:t>
            </w:r>
          </w:p>
        </w:tc>
        <w:tc>
          <w:tcPr>
            <w:tcW w:w="1420" w:type="dxa"/>
            <w:vAlign w:val="bottom"/>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459,792</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Long-term derivative liabilities </w:t>
            </w:r>
            <w:r>
              <w:rPr>
                <w:rFonts w:ascii="Times New Roman" w:cs="Times New Roman" w:eastAsia="Times New Roman" w:hAnsi="Times New Roman"/>
                <w:sz w:val="18"/>
                <w:szCs w:val="18"/>
                <w:color w:val="auto"/>
                <w:vertAlign w:val="superscript"/>
              </w:rPr>
              <w:t>(1)</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7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operating leases</w:t>
            </w:r>
          </w:p>
        </w:tc>
        <w:tc>
          <w:tcPr>
            <w:tcW w:w="14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35,919</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Long-term contingent consideration </w:t>
            </w:r>
            <w:r>
              <w:rPr>
                <w:rFonts w:ascii="Times New Roman" w:cs="Times New Roman" w:eastAsia="Times New Roman" w:hAnsi="Times New Roman"/>
                <w:sz w:val="18"/>
                <w:szCs w:val="18"/>
                <w:color w:val="auto"/>
                <w:vertAlign w:val="superscript"/>
              </w:rPr>
              <w:t>(3)</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86,830</w:t>
            </w:r>
          </w:p>
        </w:tc>
        <w:tc>
          <w:tcPr>
            <w:tcW w:w="0" w:type="dxa"/>
            <w:vAlign w:val="bottom"/>
          </w:tcPr>
          <w:p>
            <w:pPr>
              <w:spacing w:after="0"/>
              <w:rPr>
                <w:sz w:val="1"/>
                <w:szCs w:val="1"/>
                <w:color w:val="auto"/>
              </w:rPr>
            </w:pPr>
          </w:p>
        </w:tc>
      </w:tr>
      <w:tr>
        <w:trPr>
          <w:trHeight w:val="202"/>
        </w:trPr>
        <w:tc>
          <w:tcPr>
            <w:tcW w:w="7260" w:type="dxa"/>
            <w:vAlign w:val="bottom"/>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Long-term Saluggia site liability </w:t>
            </w:r>
            <w:r>
              <w:rPr>
                <w:rFonts w:ascii="Times New Roman" w:cs="Times New Roman" w:eastAsia="Times New Roman" w:hAnsi="Times New Roman"/>
                <w:sz w:val="18"/>
                <w:szCs w:val="18"/>
                <w:color w:val="auto"/>
                <w:vertAlign w:val="superscript"/>
              </w:rPr>
              <w:t>(4)</w:t>
            </w:r>
          </w:p>
        </w:tc>
        <w:tc>
          <w:tcPr>
            <w:tcW w:w="14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38,788</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Long-term 3T litigation provision </w:t>
            </w:r>
            <w:r>
              <w:rPr>
                <w:rFonts w:ascii="Times New Roman" w:cs="Times New Roman" w:eastAsia="Times New Roman" w:hAnsi="Times New Roman"/>
                <w:sz w:val="18"/>
                <w:szCs w:val="18"/>
                <w:color w:val="auto"/>
                <w:vertAlign w:val="superscript"/>
              </w:rPr>
              <w:t>(4)</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additional information, please refer to “Note 7. Derivatives and Risk Management” in the condensed consolidated financial statements in this Quarterly Report on Form 10-Q.</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additional information, please refer to “Note 6. Financing Arrangements” in the condensed consolidated financial statements in this Quarterly Report on Form 10-Q.</w:t>
      </w:r>
    </w:p>
    <w:p>
      <w:pPr>
        <w:spacing w:after="0" w:line="4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additional information, please refer to “Note 5. Fair Value Measurements” in the condensed consolidated financial statements in this Quarterly Report on Form 10-Q.</w:t>
      </w:r>
    </w:p>
    <w:p>
      <w:pPr>
        <w:spacing w:after="0" w:line="30"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additional information, please refer to “Note 8. Commitments and Contingencies” in the condensed consolidated financial statements in this Quarterly Report on Form 10-Q.</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Liquidity Matters</w:t>
      </w:r>
    </w:p>
    <w:p>
      <w:pPr>
        <w:spacing w:after="0" w:line="96"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On February 21, 2022, the Court of Appeal notified the Company that it granted the Company a suspension with respect to the payment of damages in the amount of €453.6 million (approximately $472.4 million at June 30, 2022) in the SNIA litigation until a decision has been reached on our appeal to the Italian Supreme Court. This suspension was subject to providing the SNIA Litigation Guarantee of €270.0 million (approximately $281.2 million at June 30, 2022) within 30 calendar days.</w:t>
      </w:r>
    </w:p>
    <w:p>
      <w:pPr>
        <w:spacing w:after="0" w:line="56" w:lineRule="exact"/>
        <w:rPr>
          <w:sz w:val="20"/>
          <w:szCs w:val="20"/>
          <w:color w:val="auto"/>
        </w:rPr>
      </w:pPr>
    </w:p>
    <w:p>
      <w:pPr>
        <w:ind w:right="20" w:firstLine="127"/>
        <w:spacing w:after="0" w:line="278" w:lineRule="auto"/>
        <w:rPr>
          <w:sz w:val="20"/>
          <w:szCs w:val="20"/>
          <w:color w:val="auto"/>
        </w:rPr>
      </w:pPr>
      <w:r>
        <w:rPr>
          <w:rFonts w:ascii="Times New Roman" w:cs="Times New Roman" w:eastAsia="Times New Roman" w:hAnsi="Times New Roman"/>
          <w:sz w:val="14"/>
          <w:szCs w:val="14"/>
          <w:color w:val="auto"/>
        </w:rPr>
        <w:t>On February 24, 2022, LivaNova PLC and its wholly-owned subsidiary, LivaNova USA, Inc., entered into the Bridge Loan Facility. On March 16, 2022, LivaNova delivered a borrowing notice for $220.0 million in connection with the Bridge Loan Facility, which was funded on March 17, 2022. LivaNova used the proceeds of the Bridge Loan Facility to post a portion of the cash collateral supporting the SNIA Litigation Guarantee.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1" w:name="page42"/>
    <w:bookmarkEnd w:id="41"/>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On March 18, 2022, LivaNova PLC, acting through its Italian branch, entered into an Indemnity Letter and an Account Pledge Agreement with Barclays, further to which Barclays issued the €270.0 million SNIA Litigation Guarantee. As security for the SNIA Litigation Guarantee, LivaNova is required to grant cash collateral to Barclays in US dollars in an amount equal to the USD equivalent of 105% of the amount of the SNIA Litigation Guarantee calibrated on a biweekly basis. At June 30, 2022, the cash collateral totaled $297.7 million and was classified as Restricted Cash on the condensed consolidated balance sheet.</w:t>
      </w:r>
    </w:p>
    <w:p>
      <w:pPr>
        <w:spacing w:after="0" w:line="58" w:lineRule="exact"/>
        <w:rPr>
          <w:sz w:val="20"/>
          <w:szCs w:val="20"/>
          <w:color w:val="auto"/>
        </w:rPr>
      </w:pPr>
    </w:p>
    <w:p>
      <w:pPr>
        <w:ind w:right="40" w:firstLine="127"/>
        <w:spacing w:after="0" w:line="287" w:lineRule="auto"/>
        <w:rPr>
          <w:sz w:val="20"/>
          <w:szCs w:val="20"/>
          <w:color w:val="auto"/>
        </w:rPr>
      </w:pPr>
      <w:r>
        <w:rPr>
          <w:rFonts w:ascii="Times New Roman" w:cs="Times New Roman" w:eastAsia="Times New Roman" w:hAnsi="Times New Roman"/>
          <w:sz w:val="14"/>
          <w:szCs w:val="14"/>
          <w:color w:val="auto"/>
        </w:rPr>
        <w:t>On March 21, 2022, LivaNova delivered the SNIA Litigation Guarantee as required by the Court of Appeal, thereby satisfying the condition to obtain the suspension for the payment of damages in connection with the SNIA litigation until review of such judgment by the Italian Supreme Court.</w:t>
      </w:r>
    </w:p>
    <w:p>
      <w:pPr>
        <w:spacing w:after="0" w:line="50"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On July 6, 2022, LivaNova and its wholly-owned subsidiary, LivaNova USA, entered into the Incremental Amendment No. 2 to its 2021 First Lien Credit Agreement. The Incremental Amendment No. 2 provides for LivaNova USA to, among other things, obtain commitments for term loan facilities from a syndicate of lenders in an aggregate principal amount of $350 million consisting of (i) the Initial Term Facility and (ii) the Delayed Draw Term Facility and, together, the Term Facilities.</w:t>
      </w:r>
    </w:p>
    <w:p>
      <w:pPr>
        <w:spacing w:after="0" w:line="56" w:lineRule="exact"/>
        <w:rPr>
          <w:sz w:val="20"/>
          <w:szCs w:val="20"/>
          <w:color w:val="auto"/>
        </w:rPr>
      </w:pPr>
    </w:p>
    <w:p>
      <w:pPr>
        <w:jc w:val="both"/>
        <w:ind w:right="240" w:firstLine="127"/>
        <w:spacing w:after="0" w:line="278" w:lineRule="auto"/>
        <w:rPr>
          <w:sz w:val="20"/>
          <w:szCs w:val="20"/>
          <w:color w:val="auto"/>
        </w:rPr>
      </w:pPr>
      <w:r>
        <w:rPr>
          <w:rFonts w:ascii="Times New Roman" w:cs="Times New Roman" w:eastAsia="Times New Roman" w:hAnsi="Times New Roman"/>
          <w:sz w:val="14"/>
          <w:szCs w:val="14"/>
          <w:color w:val="auto"/>
        </w:rPr>
        <w:t>Proceeds of the Initial Term Facility were used to repay in full the Bridge Loan Facility on July 6, 2022, with the remainder to be used for general corporate purposes of the Company. The Term Facilities have a maturity of the earlier of (i) five years or (ii) 91 days prior to December 15, 2025, the maturity date of the Notes, unless by that date LivaNova USA will have either redeemed or refinanced the Notes, or set aside an amount of cash equal to the then-outstanding principal amount of the Notes.</w:t>
      </w:r>
    </w:p>
    <w:p>
      <w:pPr>
        <w:spacing w:after="0" w:line="56"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Refer to “Note 6. Financing Arrangements” and “Note 15. Subsequent Event” in the condensed consolidated financial statements in this Quarterly Report on Form 10-Q for additional information regarding our debt and debt transactions.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w:t>
      </w:r>
    </w:p>
    <w:p>
      <w:pPr>
        <w:spacing w:after="0" w:line="96" w:lineRule="exact"/>
        <w:rPr>
          <w:sz w:val="20"/>
          <w:szCs w:val="20"/>
          <w:color w:val="auto"/>
        </w:rPr>
      </w:pPr>
    </w:p>
    <w:p>
      <w:pPr>
        <w:ind w:right="80" w:firstLine="127"/>
        <w:spacing w:after="0" w:line="283" w:lineRule="auto"/>
        <w:rPr>
          <w:sz w:val="20"/>
          <w:szCs w:val="20"/>
          <w:color w:val="auto"/>
        </w:rPr>
      </w:pPr>
      <w:r>
        <w:rPr>
          <w:rFonts w:ascii="Times New Roman" w:cs="Times New Roman" w:eastAsia="Times New Roman" w:hAnsi="Times New Roman"/>
          <w:sz w:val="14"/>
          <w:szCs w:val="14"/>
          <w:color w:val="auto"/>
        </w:rPr>
        <w:t>Net cash and cash equivalents provided by (used in) operating, investing and financing activities and the net increase in the balance of cash, cash equivalents and restricted cash were as follows (in thousands):</w:t>
      </w: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20" w:type="dxa"/>
            <w:vAlign w:val="bottom"/>
            <w:tcBorders>
              <w:bottom w:val="single" w:sz="8" w:color="auto"/>
            </w:tcBorders>
          </w:tcPr>
          <w:p>
            <w:pPr>
              <w:spacing w:after="0"/>
              <w:rPr>
                <w:sz w:val="16"/>
                <w:szCs w:val="16"/>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45,111</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46,715</w:t>
            </w:r>
          </w:p>
        </w:tc>
      </w:tr>
      <w:tr>
        <w:trPr>
          <w:trHeight w:val="18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208,557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(14,087)</w:t>
            </w:r>
          </w:p>
        </w:tc>
      </w:tr>
      <w:tr>
        <w:trPr>
          <w:trHeight w:val="18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w:t>
            </w:r>
          </w:p>
        </w:tc>
      </w:tr>
      <w:tr>
        <w:trPr>
          <w:trHeight w:val="19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198,777</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76,554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Operating Activities</w:t>
      </w:r>
    </w:p>
    <w:p>
      <w:pPr>
        <w:spacing w:after="0" w:line="96"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Cash provided by operating activities during the six months ended June 30, 2022 decreased by $29.5 million as compared to the same prior-year period. The decrease was primarily due to the net change in working capital largely associated with an increase in inventory to mitigate supply chain risk, a decrease of $17.8 million in tax refunds associated with the Coronavirus Aid, Relief and Economic Security Act and increased payments under the Company’s short-term incentive plan. These decreases were partially offset by an increase in net income adjusted for non-cash items of $28.3 million, primarily driven by an increase in Neuromodulation and Cardiopulmonary net sales.</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96" w:lineRule="exact"/>
        <w:rPr>
          <w:sz w:val="20"/>
          <w:szCs w:val="20"/>
          <w:color w:val="auto"/>
        </w:rPr>
      </w:pPr>
    </w:p>
    <w:p>
      <w:pPr>
        <w:ind w:right="120" w:firstLine="127"/>
        <w:spacing w:after="0" w:line="278" w:lineRule="auto"/>
        <w:rPr>
          <w:sz w:val="20"/>
          <w:szCs w:val="20"/>
          <w:color w:val="auto"/>
        </w:rPr>
      </w:pPr>
      <w:r>
        <w:rPr>
          <w:rFonts w:ascii="Times New Roman" w:cs="Times New Roman" w:eastAsia="Times New Roman" w:hAnsi="Times New Roman"/>
          <w:sz w:val="14"/>
          <w:szCs w:val="14"/>
          <w:color w:val="auto"/>
        </w:rPr>
        <w:t>Cash provided by investing activities during the six months ended June 30, 2022 decreased $68.3 million as compared to the same prior year period largely due to proceeds received during the six months ended June 30, 2021, including $41.8 million from the sale of the Company’s Heart Valves business as well as proceeds from the sale of LivaNova’s investment in and loan to Respicardia totaling $23.1 million.</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Financing Activities</w:t>
      </w:r>
    </w:p>
    <w:p>
      <w:pPr>
        <w:spacing w:after="0" w:line="85" w:lineRule="exact"/>
        <w:rPr>
          <w:sz w:val="20"/>
          <w:szCs w:val="20"/>
          <w:color w:val="auto"/>
        </w:rPr>
      </w:pPr>
    </w:p>
    <w:p>
      <w:pPr>
        <w:ind w:right="40" w:firstLine="127"/>
        <w:spacing w:after="0" w:line="303" w:lineRule="auto"/>
        <w:rPr>
          <w:sz w:val="20"/>
          <w:szCs w:val="20"/>
          <w:color w:val="auto"/>
        </w:rPr>
      </w:pPr>
      <w:r>
        <w:rPr>
          <w:rFonts w:ascii="Times New Roman" w:cs="Times New Roman" w:eastAsia="Times New Roman" w:hAnsi="Times New Roman"/>
          <w:sz w:val="14"/>
          <w:szCs w:val="14"/>
          <w:color w:val="auto"/>
        </w:rPr>
        <w:t>Cash provided by financing activities during the six months ended June 30, 2022 increased $222.6 million as compared to the same prior year period primarily due to net proceeds from borrowings under the Bridge Loan Facility of $218.3 million.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1" w:lineRule="exact"/>
        <w:rPr>
          <w:sz w:val="20"/>
          <w:szCs w:val="20"/>
          <w:color w:val="auto"/>
        </w:rPr>
      </w:pPr>
    </w:p>
    <w:p>
      <w:pPr>
        <w:ind w:right="260" w:firstLine="127"/>
        <w:spacing w:after="0" w:line="303" w:lineRule="auto"/>
        <w:rPr>
          <w:sz w:val="20"/>
          <w:szCs w:val="20"/>
          <w:color w:val="auto"/>
        </w:rPr>
      </w:pPr>
      <w:r>
        <w:rPr>
          <w:rFonts w:ascii="Times New Roman" w:cs="Times New Roman" w:eastAsia="Times New Roman" w:hAnsi="Times New Roman"/>
          <w:sz w:val="14"/>
          <w:szCs w:val="14"/>
          <w:color w:val="auto"/>
        </w:rPr>
        <w:t>We are exposed to certain market risks as part of our ongoing business operations, including risks from foreign currency exchange rates, equity price risk, interest rate risks and concentration of procurement suppliers that could adversely affect our consolidated financial position, results of operations or cash flows. We manage these risks through regular operating and</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financing activities and, at certain times, derivative financial instruments. Quantitative and qualitative disclosures about these risks are included in this Quarterly Report on Form 10-Q in “Part I, Note</w:t>
      </w:r>
    </w:p>
    <w:p>
      <w:pPr>
        <w:spacing w:after="0" w:line="23" w:lineRule="exact"/>
        <w:rPr>
          <w:sz w:val="20"/>
          <w:szCs w:val="20"/>
          <w:color w:val="auto"/>
        </w:rPr>
      </w:pPr>
    </w:p>
    <w:p>
      <w:pPr>
        <w:ind w:right="260" w:firstLine="5"/>
        <w:spacing w:after="0" w:line="281" w:lineRule="auto"/>
        <w:tabs>
          <w:tab w:leader="none" w:pos="14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Derivatives and Risk Management,” “Part I, Item 2. Management’s Discussion and Analysis of Financial Conditions and Results of Operations” and “Part II, Item 1A. Risk Factors” and in our 2021 Form 10-K in “Part II, Item 7. Management’s Discussion and Analysis of Financial Condition and Results of Operations” and “Part I, Item 1A. Risk Factors.”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Disclosure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Evaluation of Disclosure Controls and Procedures</w:t>
      </w:r>
    </w:p>
    <w:p>
      <w:pPr>
        <w:spacing w:after="0" w:line="106"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June 30,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Changes in Internal Control Over Financial Reporting</w:t>
      </w:r>
    </w:p>
    <w:p>
      <w:pPr>
        <w:spacing w:after="0" w:line="106"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defined in Rules 13a-15(f) and 15d-5(f) under the Exchange Act) occurred during the quarter ended June 30, 2022 that has materially affected, or is reasonably likely to materially affect, our internal control over financial reporting.</w:t>
      </w:r>
    </w:p>
    <w:p>
      <w:pPr>
        <w:spacing w:after="0" w:line="3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101" w:lineRule="exact"/>
        <w:rPr>
          <w:sz w:val="20"/>
          <w:szCs w:val="20"/>
          <w:color w:val="auto"/>
        </w:rPr>
      </w:pPr>
    </w:p>
    <w:p>
      <w:pPr>
        <w:ind w:right="140" w:firstLine="127"/>
        <w:spacing w:after="0" w:line="303" w:lineRule="auto"/>
        <w:rPr>
          <w:sz w:val="20"/>
          <w:szCs w:val="20"/>
          <w:color w:val="auto"/>
        </w:rPr>
      </w:pPr>
      <w:r>
        <w:rPr>
          <w:rFonts w:ascii="Times New Roman" w:cs="Times New Roman" w:eastAsia="Times New Roman" w:hAnsi="Times New Roman"/>
          <w:sz w:val="14"/>
          <w:szCs w:val="14"/>
          <w:color w:val="auto"/>
        </w:rPr>
        <w:t>For a description of our material pending legal and regulatory proceedings and settlements, refer to “Note 8. Commitments and Contingencies” in our condensed consolidated financial statements included in this Quarterly Report on Form 10-Q.</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than as described below, there have been no material changes in our risk factors from those disclosed in Part I, Item 1A to our 2021 Annual Report on Form 10-K.</w:t>
      </w:r>
    </w:p>
    <w:p>
      <w:pPr>
        <w:spacing w:after="0" w:line="102" w:lineRule="exact"/>
        <w:rPr>
          <w:sz w:val="20"/>
          <w:szCs w:val="20"/>
          <w:color w:val="auto"/>
        </w:rPr>
      </w:pPr>
    </w:p>
    <w:p>
      <w:pPr>
        <w:ind w:right="460"/>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Reductions, interruptions or increased costs in the supply of the materials and components used in manufacturing our products may adversely affect our financial condition and business operations, particularly in the wake of COVID-19.</w:t>
      </w:r>
    </w:p>
    <w:p>
      <w:pPr>
        <w:spacing w:after="0" w:line="26"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We maintain manufacturing operations in five countries located throughout the world and purchase many of the components and raw materials used in manufacturing these products from numerous suppliers in various countries. Any problem affecting a supplier (whether due to external or internal causes) could have a negative impact on us. Difficulties and delays in manufacturing, internally or through third-party providers or otherwise within the supply chain, may lead to voluntary or involuntary business interruptions or shutdowns, product shortages, withdrawals or suspensions of products from the market, and potential regulatory action.</w:t>
      </w:r>
    </w:p>
    <w:p>
      <w:pPr>
        <w:spacing w:after="0" w:line="58" w:lineRule="exact"/>
        <w:rPr>
          <w:sz w:val="20"/>
          <w:szCs w:val="20"/>
          <w:color w:val="auto"/>
        </w:rPr>
      </w:pPr>
    </w:p>
    <w:p>
      <w:pPr>
        <w:ind w:right="300" w:firstLine="127"/>
        <w:spacing w:after="0" w:line="273" w:lineRule="auto"/>
        <w:rPr>
          <w:sz w:val="20"/>
          <w:szCs w:val="20"/>
          <w:color w:val="auto"/>
        </w:rPr>
      </w:pPr>
      <w:r>
        <w:rPr>
          <w:rFonts w:ascii="Times New Roman" w:cs="Times New Roman" w:eastAsia="Times New Roman" w:hAnsi="Times New Roman"/>
          <w:sz w:val="14"/>
          <w:szCs w:val="14"/>
          <w:color w:val="auto"/>
        </w:rPr>
        <w:t>In some cases, we purchase specific components and raw materials from primary or main suppliers (or in some cases, a single or sole supplier) for reasons related to quality assurance, cost-effectiveness and availability. While we work closely with our suppliers to ensure supply continuity, minimize the instances in which we rely on a sole supplier and take other countermeasures to reduce our supply chain risk, we cannot guarantee that our efforts will always be successful. Moreover, due to strict standards and regulations governing the manufacture and marketing of our products, we may not be able to locate new supply sources quickly or at all in response to a supply reduction or interruption, with negative effects on our ability to manufacture our products effectively and timely.</w:t>
      </w:r>
    </w:p>
    <w:p>
      <w:pPr>
        <w:spacing w:after="0" w:line="50"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The COVID-19 pandemic has exacerbated this risk by, among other things, causing global supply chain shortages and an increase in freight and labor costs. Like many companies, for example, we are experiencing supply chain delays and interruptions, labor shortages, inflationary pressures and logistical issues in the wake of COVID-19. Though, to date, our supply of raw materials and the production and distribution of finished products have not been materially affected, demand and low capacity worldwide have caused longer lead times and put price pressure on key raw materials. Moreover, freight and labor costs at our manufacturing facilities have increased substantially due to COVID-related disruptions and in the wake of inflation globally. We are managing our supply chain by giving long visibility to our suppliers, conducting regular supply critical risk reviews and closely monitoring our inventory, among other things, but any problem could quickly, negatively reverberate throughout the organization. To the extent we are unsuccessful in managing our supply chain, any such issues could have a material adverse effect on our business, results of operations, financial condition, cash flows and recoverability of our tangible and intangible assets.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product-related government regulations may materially adversely affect our financial condition and business operations.</w:t>
      </w:r>
    </w:p>
    <w:p>
      <w:pPr>
        <w:spacing w:after="0" w:line="9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Both before and after a product is commercially released, we have ongoing responsibilities under FDA and other applicable non-U.S. government agency regulations. For instance, many of our facilities and procedures and those of our suppliers are subject to periodic inspections by the FDA, which can result in inspectional observations on FDA’s Form-483, warning letters, or other forms of enforcement. If the FDA were to conclude that we are not in compliance with applicable laws or regulations, or that any of our medical products are ineffective or pose an unreasonable health risk, the FDA could ban such medical products, detain or seize adulterated or misbranded medical products, order a recall, repair, replacement, or refund of such products, refuse to grant pending PMA applications or require certificates of non-U.S. governments for exports, and/or require us to notify health professionals and others that the devices present unreasonable risks of substantial harm to the public health. In 2015, we received a warning letter from the FDA alleging certain violations of FDA regulations, which resulted in certain devices that were manufactured in Munich, Germany, to be denied admission to the U.S. until resolution of the issues set forth by the FDA in the warning letter. In April 2022, a Form 483 was issued at the conclusion of the FDA’s inspection of our Germany facility. See “Note 7. Commitments and Contingencies” in this Form 10-Q for additional information.</w:t>
      </w:r>
    </w:p>
    <w:p>
      <w:pPr>
        <w:spacing w:after="0" w:line="63" w:lineRule="exact"/>
        <w:rPr>
          <w:sz w:val="20"/>
          <w:szCs w:val="20"/>
          <w:color w:val="auto"/>
        </w:rPr>
      </w:pPr>
    </w:p>
    <w:p>
      <w:pPr>
        <w:ind w:right="280" w:firstLine="127"/>
        <w:spacing w:after="0" w:line="287" w:lineRule="auto"/>
        <w:rPr>
          <w:sz w:val="20"/>
          <w:szCs w:val="20"/>
          <w:color w:val="auto"/>
        </w:rPr>
      </w:pPr>
      <w:r>
        <w:rPr>
          <w:rFonts w:ascii="Times New Roman" w:cs="Times New Roman" w:eastAsia="Times New Roman" w:hAnsi="Times New Roman"/>
          <w:sz w:val="14"/>
          <w:szCs w:val="14"/>
          <w:color w:val="auto"/>
        </w:rPr>
        <w:t>If the FDA does not agree with the proposed corrective or preventive actions in the response to the Form 483, or accepts them but finds that we have not implemented them adequately, or if we otherwise fail to comply with applicable regulatory requirements, the FDA could decide not to close out the 2015 Warning Letter based on the most recent inspection, even if they</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4" w:name="page45"/>
    <w:bookmarkEnd w:id="44"/>
    <w:p>
      <w:pPr>
        <w:ind w:right="80"/>
        <w:spacing w:after="0" w:line="273" w:lineRule="auto"/>
        <w:rPr>
          <w:sz w:val="20"/>
          <w:szCs w:val="20"/>
          <w:color w:val="auto"/>
        </w:rPr>
      </w:pPr>
      <w:r>
        <w:rPr>
          <w:rFonts w:ascii="Times New Roman" w:cs="Times New Roman" w:eastAsia="Times New Roman" w:hAnsi="Times New Roman"/>
          <w:sz w:val="14"/>
          <w:szCs w:val="14"/>
          <w:color w:val="auto"/>
        </w:rPr>
        <w:t>agree with our most recent Form 483 response. In addition, the FDA could require that a successful re-inspection be completed in the future in order to close out that Warning Letter and/or the most recent inspection. As we continue to work with the FDA, we remain subject to the terms of the 2015 Warning Letter, which subjected our legacy 3T devices to refusal of admission into the U.S. and which stated that premarket approval applications for Class III devices to which certain Quality System regulation deviations identified in the Warning Letter were reasonably related would not be approved until the violations had been corrected; however, with clearance for K191402, 3T devices manufactured in accordance with K191402 are not subjected to the import alert and the premarket approval restriction applied only to the Munich and Arvada facilities, which do not manufacture or design devices subject to Class III premarket approval.</w:t>
      </w:r>
    </w:p>
    <w:p>
      <w:pPr>
        <w:spacing w:after="0" w:line="50"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While we work diligently to manage our ongoing responsibilities, the FDA and other non-U.S. government agencies could assess civil or criminal penalties against us, our officers or employees and impose operating restrictions on a company-wide basis. The FDA could also recommend prosecution to the U.S. Department of Justice. An adverse regulatory action could restrict us from effectively marketing and selling our products, limit our ability to obtain future pre-market clearances or PMAs, and result in a substantial modification to our business practices and operations. These potential consequences, as well as any adverse outcome from government investigations, could have a material adverse effect on our business, results of operations, financial condition, and cash flows.</w:t>
      </w:r>
    </w:p>
    <w:p>
      <w:pPr>
        <w:spacing w:after="0" w:line="238" w:lineRule="exact"/>
        <w:rPr>
          <w:sz w:val="20"/>
          <w:szCs w:val="20"/>
          <w:color w:val="auto"/>
        </w:rPr>
      </w:pPr>
    </w:p>
    <w:p>
      <w:pPr>
        <w:ind w:right="160" w:firstLine="127"/>
        <w:spacing w:after="0" w:line="269" w:lineRule="auto"/>
        <w:rPr>
          <w:sz w:val="20"/>
          <w:szCs w:val="20"/>
          <w:color w:val="auto"/>
        </w:rPr>
      </w:pPr>
      <w:r>
        <w:rPr>
          <w:rFonts w:ascii="Times New Roman" w:cs="Times New Roman" w:eastAsia="Times New Roman" w:hAnsi="Times New Roman"/>
          <w:sz w:val="14"/>
          <w:szCs w:val="14"/>
          <w:color w:val="auto"/>
        </w:rPr>
        <w:t>In addition, in the U.S., device manufacturers are prohibited from promoting their products other than for the uses and indications set forth in the approved product labeling (so called “off-label uses”). Our VNS Therapy System, for example, is indicated in the U.S., as an adjunctive therapy in reducing the frequency of seizures in patients 4 years of age and older with partial onset seizures that are refractory to antiepileptic medications, yet a number of physicians elect to prescribe our device for certain patients suffering from generalized seizures. While physicians may exercise their discretion in prescribing a device off-label, any failure on the part of the device manufacturer to comply with off-label regulations could subject us to significant civil or criminal exposure, administrative obligations and costs, and/or other potential penalties from, and/or agreements with, the federal government.</w:t>
      </w:r>
    </w:p>
    <w:p>
      <w:pPr>
        <w:spacing w:after="0" w:line="63"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Governmental regulations outside the U.S. have, and may continue to become, increasingly stringent and common. In the EU, for example, Reg MDR (Medical Device Regulation) became effective in May 2021, resulting in significant additional premarket and post-market requirements which must be in place by May 2024. During this transition period, the European Commission is allowing companies to use their MDD (Medical Device Directive) certifications. LivaNova is working to obtain all appropriate approvals and intends to be fully compliant by the May 2024 deadline, as penalties for regulatory non-compliance can be severe, including fines and revocation or suspension of a company’s business license, mandatory price reductions and criminal sanctions.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risks of conducting business internationally.</w:t>
      </w:r>
    </w:p>
    <w:p>
      <w:pPr>
        <w:spacing w:after="0" w:line="106" w:lineRule="exact"/>
        <w:rPr>
          <w:sz w:val="20"/>
          <w:szCs w:val="20"/>
          <w:color w:val="auto"/>
        </w:rPr>
      </w:pPr>
    </w:p>
    <w:p>
      <w:pPr>
        <w:ind w:right="40" w:firstLine="127"/>
        <w:spacing w:after="0" w:line="267" w:lineRule="auto"/>
        <w:rPr>
          <w:sz w:val="20"/>
          <w:szCs w:val="20"/>
          <w:color w:val="auto"/>
        </w:rPr>
      </w:pPr>
      <w:r>
        <w:rPr>
          <w:rFonts w:ascii="Times New Roman" w:cs="Times New Roman" w:eastAsia="Times New Roman" w:hAnsi="Times New Roman"/>
          <w:sz w:val="14"/>
          <w:szCs w:val="14"/>
          <w:color w:val="auto"/>
        </w:rPr>
        <w:t>We develop, manufacture, distribute and sell our products globally, and we intend to continue to pursue growth opportunities worldwide. Our international operations are subject to risks that are inherent in conducting business globally and under non-U.S. laws, regulations and customs. These risks include possible nationalization, invasions, wars, negative consequences associated with Brexit, expropriation, importation limitations, pricing restrictions, government shutdowns and violations of laws, and the resulting issues from any such risks. In February 2022, for example, Russia launched an invasion in Ukraine which caused us to assess our ability to sell in the market due to international sanctions, to consider the potential impact of raw material sourced from the region, and to determine whether we are able to transact in a compliant fashion. Although the region represented 1% of our total net sales for 2021, the Russian invasion of Ukraine has increased economic uncertainties, and a significant escalation and/or continuation of the conflict could have a material, global impact on our operating results. In addition, our Russian employees and local subsidiary are subject to evolving laws and regulations imposed by the Russian authorities in response to international sanctions. Our profitability and operations are, and will continue to be, subject to a number of risks and potential costs, including: local product preferences and product requirements; longer-term receivables than are typical in the EU or the U.S.; difficulty enforcing agreements; creditworthiness of customers; trade protection measures and import and export licensing requirements; imposition of sanctions; different labor regulations and workforce instability; higher danger of terrorist activity, war or civil unrest; selling our products through distributors and agents; and political and economic instability. Any of the aforementioned risks could adversely affect our business, results of operations, financial conditions and cash flows.</w:t>
      </w:r>
    </w:p>
    <w:p>
      <w:pPr>
        <w:spacing w:after="0" w:line="5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From time to time, certain of our subsidiaries have limited business dealings in countries subject to comprehensive sanctions, including Iran, Sudan, Syria and now Russia. These business dealings represent an insignificant amount of our consolidated revenues and income, but expose us to a heightened risk of violating applicable sanctions regulations. Violations of these regulations are punishable by civil penalties including fines, denial of export privileges, injunctions, asset seizures, debarment from government contracts and revocations or restriction of licenses, as well as criminal fines and imprisonment. We have</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spacing w:after="0" w:line="303" w:lineRule="auto"/>
        <w:rPr>
          <w:sz w:val="20"/>
          <w:szCs w:val="20"/>
          <w:color w:val="auto"/>
        </w:rPr>
      </w:pPr>
      <w:r>
        <w:rPr>
          <w:rFonts w:ascii="Times New Roman" w:cs="Times New Roman" w:eastAsia="Times New Roman" w:hAnsi="Times New Roman"/>
          <w:sz w:val="14"/>
          <w:szCs w:val="14"/>
          <w:color w:val="auto"/>
        </w:rPr>
        <w:t>established policies and procedures designed to assist with our compliance with such laws and regulations, but there can be no assurance that our policies and procedures will prevent us from violating these regulations in every transaction in which we may engage, and such a violation could adversely affect our reputation, business, results of operations, financial conditions and cash flows.</w:t>
      </w:r>
    </w:p>
    <w:p>
      <w:pPr>
        <w:spacing w:after="0" w:line="29" w:lineRule="exact"/>
        <w:rPr>
          <w:sz w:val="20"/>
          <w:szCs w:val="20"/>
          <w:color w:val="auto"/>
        </w:rPr>
      </w:pPr>
    </w:p>
    <w:p>
      <w:pPr>
        <w:ind w:firstLine="127"/>
        <w:spacing w:after="0" w:line="272" w:lineRule="auto"/>
        <w:rPr>
          <w:sz w:val="20"/>
          <w:szCs w:val="20"/>
          <w:color w:val="auto"/>
        </w:rPr>
      </w:pPr>
      <w:r>
        <w:rPr>
          <w:rFonts w:ascii="Times New Roman" w:cs="Times New Roman" w:eastAsia="Times New Roman" w:hAnsi="Times New Roman"/>
          <w:sz w:val="14"/>
          <w:szCs w:val="14"/>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For transactions denominated in currencies other than our functional currencies, fluctuations in the exchange rate will impact our results of operations and financial condition. In the second quarter of 2022, our net sales and profitability were negatively affected by the unfavorable foreign currency exchange impact of the strengthened U.S. dollar against a number of currencies. Although we may elect to hedge certain foreign currency exposure, we cannot be certain that the hedging activity will eliminate our currency risk.</w:t>
      </w:r>
    </w:p>
    <w:p>
      <w:pPr>
        <w:spacing w:after="0" w:line="51" w:lineRule="exact"/>
        <w:rPr>
          <w:sz w:val="20"/>
          <w:szCs w:val="20"/>
          <w:color w:val="auto"/>
        </w:rPr>
      </w:pPr>
    </w:p>
    <w:p>
      <w:pPr>
        <w:ind w:right="80" w:firstLine="127"/>
        <w:spacing w:after="0" w:line="273" w:lineRule="auto"/>
        <w:rPr>
          <w:sz w:val="20"/>
          <w:szCs w:val="20"/>
          <w:color w:val="auto"/>
        </w:rPr>
      </w:pPr>
      <w:r>
        <w:rPr>
          <w:rFonts w:ascii="Times New Roman" w:cs="Times New Roman" w:eastAsia="Times New Roman" w:hAnsi="Times New Roman"/>
          <w:sz w:val="14"/>
          <w:szCs w:val="14"/>
          <w:color w:val="auto"/>
        </w:rPr>
        <w:t>In addition, 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Our ability to implement staff downsizing programs or even temporary interruptions of employment relationships is predicated on the approval of government entities and the consent of labor unions. A negative response from a works council or union-organized work stoppages by employees could have a negative impact on our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Pursuant to Section 13(r) of the Exchange Act of 1934</w:t>
      </w:r>
    </w:p>
    <w:p>
      <w:pPr>
        <w:spacing w:after="0" w:line="87" w:lineRule="exact"/>
        <w:rPr>
          <w:sz w:val="20"/>
          <w:szCs w:val="20"/>
          <w:color w:val="auto"/>
        </w:rPr>
      </w:pPr>
    </w:p>
    <w:p>
      <w:pPr>
        <w:jc w:val="both"/>
        <w:ind w:right="100" w:firstLine="127"/>
        <w:spacing w:after="0" w:line="278" w:lineRule="auto"/>
        <w:rPr>
          <w:sz w:val="20"/>
          <w:szCs w:val="20"/>
          <w:color w:val="auto"/>
        </w:rPr>
      </w:pPr>
      <w:r>
        <w:rPr>
          <w:rFonts w:ascii="Times New Roman" w:cs="Times New Roman" w:eastAsia="Times New Roman" w:hAnsi="Times New Roman"/>
          <w:sz w:val="14"/>
          <w:szCs w:val="14"/>
          <w:color w:val="auto"/>
        </w:rPr>
        <w:t>Section 13(r) of the Exchange Act requires issuers to disclose in their quarterly reports certain types of dealings with Iran, including transactions or dealings with government-owned entities, even when those activities are lawful and do not involve U.S. persons. One of our non-U.S. subsidiaries currently sells medical devices, including cardiopulmonary, cardiac surgery and neuromodulation products, to privately held distributors in Iran.</w:t>
      </w:r>
    </w:p>
    <w:p>
      <w:pPr>
        <w:spacing w:after="0" w:line="56" w:lineRule="exact"/>
        <w:rPr>
          <w:sz w:val="20"/>
          <w:szCs w:val="20"/>
          <w:color w:val="auto"/>
        </w:rPr>
      </w:pPr>
    </w:p>
    <w:p>
      <w:pPr>
        <w:ind w:right="180" w:firstLine="127"/>
        <w:spacing w:after="0" w:line="278" w:lineRule="auto"/>
        <w:rPr>
          <w:sz w:val="20"/>
          <w:szCs w:val="20"/>
          <w:color w:val="auto"/>
        </w:rPr>
      </w:pPr>
      <w:r>
        <w:rPr>
          <w:rFonts w:ascii="Times New Roman" w:cs="Times New Roman" w:eastAsia="Times New Roman" w:hAnsi="Times New Roman"/>
          <w:sz w:val="14"/>
          <w:szCs w:val="14"/>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56" w:lineRule="exact"/>
        <w:rPr>
          <w:sz w:val="20"/>
          <w:szCs w:val="20"/>
          <w:color w:val="auto"/>
        </w:rPr>
      </w:pPr>
    </w:p>
    <w:p>
      <w:pPr>
        <w:ind w:right="160" w:firstLine="127"/>
        <w:spacing w:after="0" w:line="287" w:lineRule="auto"/>
        <w:rPr>
          <w:sz w:val="20"/>
          <w:szCs w:val="20"/>
          <w:color w:val="auto"/>
        </w:rPr>
      </w:pPr>
      <w:r>
        <w:rPr>
          <w:rFonts w:ascii="Times New Roman" w:cs="Times New Roman" w:eastAsia="Times New Roman" w:hAnsi="Times New Roman"/>
          <w:sz w:val="14"/>
          <w:szCs w:val="14"/>
          <w:color w:val="auto"/>
        </w:rPr>
        <w:t>Our net sales and net profits attributable to the above-mentioned Iranian activities were $1.3 million and $0.5 million for the three months ended June 30, 2022, respectively, and $3.0 million and $1.4 million for the six months ended June 30, 2022, respectively.</w:t>
      </w:r>
    </w:p>
    <w:p>
      <w:pPr>
        <w:spacing w:after="0" w:line="50" w:lineRule="exact"/>
        <w:rPr>
          <w:sz w:val="20"/>
          <w:szCs w:val="20"/>
          <w:color w:val="auto"/>
        </w:rPr>
      </w:pPr>
    </w:p>
    <w:p>
      <w:pPr>
        <w:ind w:right="260" w:firstLine="127"/>
        <w:spacing w:after="0" w:line="303" w:lineRule="auto"/>
        <w:rPr>
          <w:sz w:val="20"/>
          <w:szCs w:val="20"/>
          <w:color w:val="auto"/>
        </w:rPr>
      </w:pPr>
      <w:r>
        <w:rPr>
          <w:rFonts w:ascii="Times New Roman" w:cs="Times New Roman" w:eastAsia="Times New Roman" w:hAnsi="Times New Roman"/>
          <w:sz w:val="14"/>
          <w:szCs w:val="14"/>
          <w:color w:val="auto"/>
        </w:rPr>
        <w:t>We believe our activities are consistent with applicable law, including U.S., EU, and other applicable sanctions laws, though such laws are complex and continue to evolve rapidly. We intend to continue our business in Iran.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101" w:lineRule="exact"/>
        <w:rPr>
          <w:sz w:val="20"/>
          <w:szCs w:val="20"/>
          <w:color w:val="auto"/>
        </w:rPr>
      </w:pPr>
    </w:p>
    <w:p>
      <w:pPr>
        <w:ind w:right="60" w:firstLine="127"/>
        <w:spacing w:after="0" w:line="303" w:lineRule="auto"/>
        <w:rPr>
          <w:sz w:val="20"/>
          <w:szCs w:val="20"/>
          <w:color w:val="auto"/>
        </w:rPr>
      </w:pPr>
      <w:r>
        <w:rPr>
          <w:rFonts w:ascii="Times New Roman" w:cs="Times New Roman" w:eastAsia="Times New Roman" w:hAnsi="Times New Roman"/>
          <w:sz w:val="14"/>
          <w:szCs w:val="14"/>
          <w:color w:val="auto"/>
        </w:rPr>
        <w:t>The exhibits marked with the asterisk symbol (*) are filed or furnished (in the case of Exhibit 32.1) with this Quarterly Report on Form 10-Q. Exhibits marked with the cross symbol (†), if any, are management contracts or compensatory plans or arrangements filed pursuant to Item 601(b)(10)(iii) of Regulation S-K.</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520" w:type="dxa"/>
            <w:vAlign w:val="bottom"/>
            <w:vMerge w:val="restart"/>
          </w:tcPr>
          <w:p>
            <w:pPr>
              <w:ind w:left="47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1052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Amendment to the LivaNova Plc 2015 Incentive Award Plan, dated 13 June 2022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Retirement Agreement, dated 13 June 2022, between LivaNova Plc and Keyna Skeffington</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0000FF"/>
            </w:tcBorders>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p>
        </w:tc>
        <w:tc>
          <w:tcPr>
            <w:tcW w:w="105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Form of LivaNova Plc 2022 Incentive Award Plan Stock Appreciation Right Grant Notice and Agreement</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Restricted Stock Unit Award Grant Notice and Agreement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0000FF"/>
            </w:tcBorders>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p>
        </w:tc>
        <w:tc>
          <w:tcPr>
            <w:tcW w:w="105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Form of LivaNova Plc 2022 Incentive Award Plan Performance Stock Unit Award Grant Notice and Agreement</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3"/>
          </w:tcPr>
          <w:p>
            <w:pPr>
              <w:ind w:left="20"/>
              <w:spacing w:after="0" w:line="149" w:lineRule="exact"/>
              <w:rPr>
                <w:rFonts w:ascii="Times New Roman" w:cs="Times New Roman" w:eastAsia="Times New Roman" w:hAnsi="Times New Roman"/>
                <w:sz w:val="14"/>
                <w:szCs w:val="14"/>
                <w:color w:val="0000FF"/>
              </w:rPr>
            </w:pPr>
            <w:hyperlink r:id="rId5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Incremental Facility Amendment No. 2 to Credit Agreement, dated as of July 6, 2022, by and among LivaNova Plc, LivaNova USA, Inc., the Second Incremental Term Lenders,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520" w:type="dxa"/>
            <w:vAlign w:val="bottom"/>
          </w:tcPr>
          <w:p>
            <w:pPr>
              <w:ind w:left="120"/>
              <w:spacing w:after="0" w:line="114" w:lineRule="exact"/>
              <w:rPr>
                <w:sz w:val="20"/>
                <w:szCs w:val="20"/>
                <w:color w:val="auto"/>
              </w:rPr>
            </w:pPr>
            <w:r>
              <w:rPr>
                <w:rFonts w:ascii="Times New Roman" w:cs="Times New Roman" w:eastAsia="Times New Roman" w:hAnsi="Times New Roman"/>
                <w:sz w:val="13"/>
                <w:szCs w:val="13"/>
                <w:color w:val="auto"/>
              </w:rPr>
              <w:t>Delayed Draw Incremental Leaders, Goldman Sachs Bank USA, the Revolving Lenders and Issuing Banks, and for purposes of Sections 8 and 10 only, the other Loan Parties as of the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date hereof, incorporated by reference to Exhibit 10.1 of the Company’s Current Report on Form 8-K, filed on July 6, 2022</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p>
        </w:tc>
        <w:tc>
          <w:tcPr>
            <w:tcW w:w="10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Amendment to Outstanding 2021 and 2022 Performance Stock Unit Awards under the LivaNova PLC 2015 Incentive Award Plan</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Amendment to relevant 2020, 2021, and 2022 Restricted Stock Unit Awards under the LivaNova PLC 2015 Incentive Award Plan</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0000FF"/>
            </w:tcBorders>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40" w:type="dxa"/>
            <w:vAlign w:val="bottom"/>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420" w:type="dxa"/>
            <w:vAlign w:val="bottom"/>
            <w:tcBorders>
              <w:left w:val="single" w:sz="8" w:color="CCEEFF"/>
            </w:tcBorders>
            <w:shd w:val="clear" w:color="auto" w:fill="CCEEFF"/>
          </w:tcPr>
          <w:p>
            <w:pPr>
              <w:spacing w:after="0"/>
              <w:rPr>
                <w:sz w:val="13"/>
                <w:szCs w:val="13"/>
                <w:color w:val="auto"/>
              </w:rPr>
            </w:pPr>
          </w:p>
        </w:tc>
        <w:tc>
          <w:tcPr>
            <w:tcW w:w="105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CCEE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40" w:type="dxa"/>
            <w:vAlign w:val="bottom"/>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32.</w:t>
            </w:r>
            <w:r>
              <w:rPr>
                <w:rFonts w:ascii="Times New Roman" w:cs="Times New Roman" w:eastAsia="Times New Roman" w:hAnsi="Times New Roman"/>
                <w:sz w:val="14"/>
                <w:szCs w:val="14"/>
                <w:u w:val="single" w:color="auto"/>
                <w:color w:val="0000FF"/>
                <w:w w:val="88"/>
              </w:rPr>
              <w:t>1*</w:t>
            </w:r>
          </w:p>
        </w:tc>
        <w:tc>
          <w:tcPr>
            <w:tcW w:w="420" w:type="dxa"/>
            <w:vAlign w:val="bottom"/>
            <w:tcBorders>
              <w:left w:val="single" w:sz="8" w:color="CCEEFF"/>
            </w:tcBorders>
            <w:shd w:val="clear" w:color="auto" w:fill="CCEEFF"/>
          </w:tcPr>
          <w:p>
            <w:pPr>
              <w:spacing w:after="0"/>
              <w:rPr>
                <w:sz w:val="13"/>
                <w:szCs w:val="13"/>
                <w:color w:val="auto"/>
              </w:rPr>
            </w:pPr>
          </w:p>
        </w:tc>
        <w:tc>
          <w:tcPr>
            <w:tcW w:w="105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Certification of the Chief Executive Officer and Chief Financial Officer of LivaNova PLC pursuant to Section 906 of the Sarbanes-Oxley Act of 2002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CCEE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4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w w:val="99"/>
              </w:rPr>
              <w:t>101*</w:t>
            </w:r>
          </w:p>
        </w:tc>
        <w:tc>
          <w:tcPr>
            <w:tcW w:w="420" w:type="dxa"/>
            <w:vAlign w:val="bottom"/>
          </w:tcPr>
          <w:p>
            <w:pPr>
              <w:spacing w:after="0"/>
              <w:rPr>
                <w:sz w:val="11"/>
                <w:szCs w:val="11"/>
                <w:color w:val="auto"/>
              </w:rPr>
            </w:pPr>
          </w:p>
        </w:tc>
        <w:tc>
          <w:tcPr>
            <w:tcW w:w="1052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Interactive Data Files Pursuant to Rule 405 of Regulation S-T formatted in Inline XBRL: (i) the Condensed Consolidated Statements of Income (Loss) for the three and six months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5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ended June 30, 2022 and 2021, (ii) the Condensed Consolidated Statements of Comprehensive Income (Loss) for the three and six months ended June 30, 2022 and 2021, (iii)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5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Condensed Consolidated Balance Sheet as of June 30, 2022 and December 31, 2021, (iv) the Condensed Consolidated Statements of Cash Flows for the six months ended June 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2022 and 2021, and (vi) the Notes to the Condensed Consolidated Financial Statements</w:t>
            </w:r>
          </w:p>
        </w:tc>
        <w:tc>
          <w:tcPr>
            <w:tcW w:w="0" w:type="dxa"/>
            <w:vAlign w:val="bottom"/>
          </w:tcPr>
          <w:p>
            <w:pPr>
              <w:spacing w:after="0"/>
              <w:rPr>
                <w:sz w:val="1"/>
                <w:szCs w:val="1"/>
                <w:color w:val="auto"/>
              </w:rPr>
            </w:pPr>
          </w:p>
        </w:tc>
      </w:tr>
      <w:tr>
        <w:trPr>
          <w:trHeight w:val="180"/>
        </w:trPr>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104*</w:t>
            </w:r>
          </w:p>
        </w:tc>
        <w:tc>
          <w:tcPr>
            <w:tcW w:w="420" w:type="dxa"/>
            <w:vAlign w:val="bottom"/>
            <w:tcBorders>
              <w:left w:val="single" w:sz="8" w:color="CCEEFF"/>
            </w:tcBorders>
            <w:shd w:val="clear" w:color="auto" w:fill="CCEEFF"/>
          </w:tcPr>
          <w:p>
            <w:pPr>
              <w:spacing w:after="0"/>
              <w:rPr>
                <w:sz w:val="15"/>
                <w:szCs w:val="15"/>
                <w:color w:val="auto"/>
              </w:rPr>
            </w:pPr>
          </w:p>
        </w:tc>
        <w:tc>
          <w:tcPr>
            <w:tcW w:w="10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20" w:type="dxa"/>
            <w:vAlign w:val="bottom"/>
          </w:tcPr>
          <w:p>
            <w:pPr>
              <w:ind w:left="488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5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7" w:name="page48"/>
    <w:bookmarkEnd w:id="47"/>
    <w:p>
      <w:pPr>
        <w:ind w:left="52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LIVANOVA PLC</w:t>
      </w:r>
    </w:p>
    <w:p>
      <w:pPr>
        <w:spacing w:after="0" w:line="200" w:lineRule="exact"/>
        <w:rPr>
          <w:sz w:val="20"/>
          <w:szCs w:val="20"/>
          <w:color w:val="auto"/>
        </w:rPr>
      </w:pPr>
    </w:p>
    <w:p>
      <w:pPr>
        <w:spacing w:after="0" w:line="265" w:lineRule="exact"/>
        <w:rPr>
          <w:sz w:val="20"/>
          <w:szCs w:val="20"/>
          <w:color w:val="auto"/>
        </w:rPr>
      </w:pPr>
    </w:p>
    <w:p>
      <w:pPr>
        <w:spacing w:after="0"/>
        <w:tabs>
          <w:tab w:leader="none" w:pos="1540" w:val="left"/>
          <w:tab w:leader="none" w:pos="2120" w:val="left"/>
        </w:tabs>
        <w:rPr>
          <w:sz w:val="20"/>
          <w:szCs w:val="20"/>
          <w:color w:val="auto"/>
        </w:rPr>
      </w:pPr>
      <w:r>
        <w:rPr>
          <w:rFonts w:ascii="Times New Roman" w:cs="Times New Roman" w:eastAsia="Times New Roman" w:hAnsi="Times New Roman"/>
          <w:sz w:val="14"/>
          <w:szCs w:val="14"/>
          <w:color w:val="auto"/>
        </w:rPr>
        <w:t>Date: August 3,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28575</wp:posOffset>
            </wp:positionV>
            <wp:extent cx="332168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21685" cy="6985"/>
                    </a:xfrm>
                    <a:prstGeom prst="rect">
                      <a:avLst/>
                    </a:prstGeom>
                    <a:noFill/>
                  </pic:spPr>
                </pic:pic>
              </a:graphicData>
            </a:graphic>
          </wp:anchor>
        </w:drawing>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Damien McDonald</w:t>
      </w:r>
    </w:p>
    <w:p>
      <w:pPr>
        <w:spacing w:after="0" w:line="3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5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LIVANOVA PLC</w:t>
      </w:r>
    </w:p>
    <w:p>
      <w:pPr>
        <w:spacing w:after="0" w:line="200" w:lineRule="exact"/>
        <w:rPr>
          <w:sz w:val="20"/>
          <w:szCs w:val="20"/>
          <w:color w:val="auto"/>
        </w:rPr>
      </w:pPr>
    </w:p>
    <w:p>
      <w:pPr>
        <w:spacing w:after="0" w:line="265" w:lineRule="exact"/>
        <w:rPr>
          <w:sz w:val="20"/>
          <w:szCs w:val="20"/>
          <w:color w:val="auto"/>
        </w:rPr>
      </w:pPr>
    </w:p>
    <w:p>
      <w:pPr>
        <w:spacing w:after="0"/>
        <w:tabs>
          <w:tab w:leader="none" w:pos="1540" w:val="left"/>
          <w:tab w:leader="none" w:pos="2120" w:val="left"/>
        </w:tabs>
        <w:rPr>
          <w:sz w:val="20"/>
          <w:szCs w:val="20"/>
          <w:color w:val="auto"/>
        </w:rPr>
      </w:pPr>
      <w:r>
        <w:rPr>
          <w:rFonts w:ascii="Times New Roman" w:cs="Times New Roman" w:eastAsia="Times New Roman" w:hAnsi="Times New Roman"/>
          <w:sz w:val="14"/>
          <w:szCs w:val="14"/>
          <w:color w:val="auto"/>
        </w:rPr>
        <w:t>Date: August 3,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28575</wp:posOffset>
            </wp:positionV>
            <wp:extent cx="332168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21685" cy="6985"/>
                    </a:xfrm>
                    <a:prstGeom prst="rect">
                      <a:avLst/>
                    </a:prstGeom>
                    <a:noFill/>
                  </pic:spPr>
                </pic:pic>
              </a:graphicData>
            </a:graphic>
          </wp:anchor>
        </w:drawing>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3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440"/>
          </w:cols>
          <w:pgMar w:left="320" w:top="728" w:right="1139" w:bottom="1440"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0748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Damien McDonald, certify that:</w:t>
      </w:r>
    </w:p>
    <w:p>
      <w:pPr>
        <w:spacing w:after="0" w:line="94" w:lineRule="exact"/>
        <w:rPr>
          <w:sz w:val="20"/>
          <w:szCs w:val="20"/>
          <w:color w:val="auto"/>
        </w:rPr>
      </w:pPr>
    </w:p>
    <w:p>
      <w:pPr>
        <w:ind w:left="440" w:hanging="180"/>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quarterly period ended June 30, 2022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August 3, 2022</w:t>
      </w:r>
    </w:p>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Damien McDonald</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quarterly period ended June 30, 2022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August 3, 2022</w:t>
      </w:r>
    </w:p>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ectPr>
          <w:pgSz w:w="11900" w:h="16838" w:orient="portrait"/>
          <w:cols w:equalWidth="0" w:num="1">
            <w:col w:w="11280"/>
          </w:cols>
          <w:pgMar w:left="300" w:top="855" w:right="3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of Damien McDonald, Chief Executive Officer of LivaNova PLC (the “Company”), and Alex Shvartsburg, Chief Financial Officer of the Company, each hereby certifies pursuant to 18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U.S.C. Section 1350, as adopted pursuant to Section 906 of the Sarbanes-Oxley Act of 2002, that to the best of his knowledge:</w:t>
      </w:r>
    </w:p>
    <w:p>
      <w:pPr>
        <w:spacing w:after="0" w:line="200" w:lineRule="exact"/>
        <w:rPr>
          <w:sz w:val="20"/>
          <w:szCs w:val="20"/>
          <w:color w:val="auto"/>
        </w:rPr>
      </w:pPr>
    </w:p>
    <w:p>
      <w:pPr>
        <w:spacing w:after="0" w:line="244" w:lineRule="exact"/>
        <w:rPr>
          <w:sz w:val="20"/>
          <w:szCs w:val="20"/>
          <w:color w:val="auto"/>
        </w:rPr>
      </w:pPr>
    </w:p>
    <w:p>
      <w:pPr>
        <w:ind w:firstLine="419"/>
        <w:spacing w:after="0" w:line="413" w:lineRule="auto"/>
        <w:tabs>
          <w:tab w:leader="none" w:pos="64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of the Company and its consolidated subsidiaries for the quarterly period ended June 30, 2022, as filed with the Securities and Exchange Commission on the date hereof (the “Report”) fully complies with the requirements of Section 13(a) or 15(d) of the Securities Exchange Act of 1934, as amended; and</w:t>
      </w:r>
    </w:p>
    <w:p>
      <w:pPr>
        <w:spacing w:after="0" w:line="305" w:lineRule="exact"/>
        <w:rPr>
          <w:rFonts w:ascii="Times New Roman" w:cs="Times New Roman" w:eastAsia="Times New Roman" w:hAnsi="Times New Roman"/>
          <w:sz w:val="14"/>
          <w:szCs w:val="14"/>
          <w:color w:val="auto"/>
        </w:rPr>
      </w:pPr>
    </w:p>
    <w:p>
      <w:pPr>
        <w:ind w:left="660" w:hanging="241"/>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Date: August 3, 2022</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Damien McDonald</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72" w:lineRule="exact"/>
        <w:rPr>
          <w:sz w:val="20"/>
          <w:szCs w:val="20"/>
          <w:color w:val="auto"/>
        </w:rPr>
      </w:pPr>
    </w:p>
    <w:p>
      <w:pPr>
        <w:ind w:firstLine="255"/>
        <w:spacing w:after="0" w:line="30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80"/>
      </w:cols>
      <w:pgMar w:left="300" w:top="7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7"/>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59" Type="http://schemas.openxmlformats.org/officeDocument/2006/relationships/hyperlink" Target="https://www.sec.gov/Archives/edgar/data/1639691/000163969122000074/livanova-incremental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2022-08-03T14:54:43Z</dcterms:created>
  <dcterms:modified xsi:type="dcterms:W3CDTF">2022-08-03T14:54:43Z</dcterms:modified>
</cp:coreProperties>
</file>