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9"/>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Moore Daniel Jeffrey</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color w:val="0000FF"/>
                <w:w w:val="99"/>
              </w:rPr>
              <w:t>X</w:t>
            </w: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3"/>
            <w:vMerge w:val="restart"/>
          </w:tcPr>
          <w:p>
            <w:pPr>
              <w:ind w:left="3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color w:val="auto"/>
                <w:w w:val="94"/>
              </w:rPr>
              <w:t>Officer (give title</w:t>
            </w:r>
          </w:p>
        </w:tc>
        <w:tc>
          <w:tcPr>
            <w:tcW w:w="280" w:type="dxa"/>
            <w:vAlign w:val="bottom"/>
          </w:tcPr>
          <w:p>
            <w:pPr>
              <w:spacing w:after="0"/>
              <w:rPr>
                <w:sz w:val="7"/>
                <w:szCs w:val="7"/>
                <w:color w:val="auto"/>
              </w:rPr>
            </w:pPr>
          </w:p>
        </w:tc>
        <w:tc>
          <w:tcPr>
            <w:tcW w:w="1560" w:type="dxa"/>
            <w:vAlign w:val="bottom"/>
            <w:gridSpan w:val="3"/>
            <w:vMerge w:val="restart"/>
          </w:tcPr>
          <w:p>
            <w:pPr>
              <w:ind w:left="3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gridSpan w:val="7"/>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7"/>
            <w:vMerge w:val="continue"/>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color w:val="auto"/>
              </w:rPr>
              <w:t>below)</w:t>
            </w:r>
          </w:p>
        </w:tc>
        <w:tc>
          <w:tcPr>
            <w:tcW w:w="280" w:type="dxa"/>
            <w:vAlign w:val="bottom"/>
          </w:tcPr>
          <w:p>
            <w:pPr>
              <w:spacing w:after="0"/>
              <w:rPr>
                <w:sz w:val="14"/>
                <w:szCs w:val="14"/>
                <w:color w:val="auto"/>
              </w:rPr>
            </w:pPr>
          </w:p>
        </w:tc>
        <w:tc>
          <w:tcPr>
            <w:tcW w:w="1560" w:type="dxa"/>
            <w:vAlign w:val="bottom"/>
            <w:gridSpan w:val="3"/>
          </w:tcPr>
          <w:p>
            <w:pPr>
              <w:ind w:left="3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gridSpan w:val="5"/>
          </w:tcPr>
          <w:p>
            <w:pPr>
              <w:ind w:left="160"/>
              <w:spacing w:after="0"/>
              <w:rPr>
                <w:sz w:val="20"/>
                <w:szCs w:val="20"/>
                <w:color w:val="auto"/>
              </w:rPr>
            </w:pPr>
            <w:r>
              <w:rPr>
                <w:rFonts w:ascii="Arial" w:cs="Arial" w:eastAsia="Arial" w:hAnsi="Arial"/>
                <w:sz w:val="18"/>
                <w:szCs w:val="18"/>
                <w:color w:val="0000FF"/>
              </w:rPr>
              <w:t>04/15/2016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9"/>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80" w:type="dxa"/>
            <w:vAlign w:val="bottom"/>
            <w:gridSpan w:val="10"/>
            <w:vMerge w:val="continue"/>
          </w:tcPr>
          <w:p>
            <w:pPr>
              <w:spacing w:after="0"/>
              <w:rPr>
                <w:sz w:val="8"/>
                <w:szCs w:val="8"/>
                <w:color w:val="auto"/>
              </w:rPr>
            </w:pPr>
          </w:p>
        </w:tc>
        <w:tc>
          <w:tcPr>
            <w:tcW w:w="33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8"/>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LONDON</w:t>
            </w:r>
          </w:p>
        </w:tc>
        <w:tc>
          <w:tcPr>
            <w:tcW w:w="280" w:type="dxa"/>
            <w:vAlign w:val="bottom"/>
          </w:tcPr>
          <w:p>
            <w:pPr>
              <w:ind w:left="40"/>
              <w:spacing w:after="0"/>
              <w:rPr>
                <w:sz w:val="20"/>
                <w:szCs w:val="20"/>
                <w:color w:val="auto"/>
              </w:rPr>
            </w:pPr>
            <w:r>
              <w:rPr>
                <w:rFonts w:ascii="Arial" w:cs="Arial" w:eastAsia="Arial" w:hAnsi="Arial"/>
                <w:sz w:val="18"/>
                <w:szCs w:val="18"/>
                <w:color w:val="0000FF"/>
                <w:w w:val="99"/>
              </w:rPr>
              <w:t>X0</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W2 1AY</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20" w:type="dxa"/>
            <w:vAlign w:val="bottom"/>
            <w:gridSpan w:val="6"/>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ind w:left="220"/>
              <w:spacing w:after="0" w:line="136" w:lineRule="exact"/>
              <w:rPr>
                <w:sz w:val="20"/>
                <w:szCs w:val="20"/>
                <w:color w:val="auto"/>
              </w:rPr>
            </w:pPr>
            <w:r>
              <w:rPr>
                <w:rFonts w:ascii="Arial" w:cs="Arial" w:eastAsia="Arial" w:hAnsi="Arial"/>
                <w:sz w:val="14"/>
                <w:szCs w:val="14"/>
                <w:color w:val="auto"/>
              </w:rPr>
              <w:t>Person</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2600" w:type="dxa"/>
            <w:vAlign w:val="bottom"/>
            <w:tcBorders>
              <w:bottom w:val="single" w:sz="8" w:color="2C2C2C"/>
            </w:tcBorders>
            <w:gridSpan w:val="4"/>
          </w:tcPr>
          <w:p>
            <w:pPr>
              <w:spacing w:after="0"/>
              <w:rPr>
                <w:sz w:val="11"/>
                <w:szCs w:val="11"/>
                <w:color w:val="auto"/>
              </w:rPr>
            </w:pPr>
          </w:p>
        </w:tc>
        <w:tc>
          <w:tcPr>
            <w:tcW w:w="38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20"/>
          </w:tcPr>
          <w:p>
            <w:pPr>
              <w:jc w:val="center"/>
              <w:ind w:right="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440"/>
              <w:spacing w:after="0"/>
              <w:rPr>
                <w:sz w:val="20"/>
                <w:szCs w:val="20"/>
                <w:color w:val="auto"/>
              </w:rPr>
            </w:pPr>
            <w:r>
              <w:rPr>
                <w:rFonts w:ascii="Arial" w:cs="Arial" w:eastAsia="Arial" w:hAnsi="Arial"/>
                <w:sz w:val="12"/>
                <w:szCs w:val="12"/>
                <w:b w:val="1"/>
                <w:bCs w:val="1"/>
                <w:color w:val="auto"/>
                <w:w w:val="98"/>
              </w:rPr>
              <w:t>2. Transaction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80" w:type="dxa"/>
            <w:vAlign w:val="bottom"/>
            <w:gridSpan w:val="5"/>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540"/>
              <w:spacing w:after="0"/>
              <w:rPr>
                <w:sz w:val="20"/>
                <w:szCs w:val="20"/>
                <w:color w:val="auto"/>
              </w:rPr>
            </w:pPr>
            <w:r>
              <w:rPr>
                <w:rFonts w:ascii="Arial" w:cs="Arial" w:eastAsia="Arial" w:hAnsi="Arial"/>
                <w:sz w:val="18"/>
                <w:szCs w:val="18"/>
                <w:color w:val="0000FF"/>
                <w:w w:val="86"/>
              </w:rPr>
              <w:t>04/15/2016</w:t>
            </w: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54.8076</w:t>
            </w:r>
            <w:r>
              <w:rPr>
                <w:rFonts w:ascii="Arial" w:cs="Arial" w:eastAsia="Arial" w:hAnsi="Arial"/>
                <w:sz w:val="22"/>
                <w:szCs w:val="22"/>
                <w:color w:val="008000"/>
                <w:w w:val="92"/>
                <w:vertAlign w:val="superscript"/>
              </w:rPr>
              <w:t>(2)</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39"/>
              <w:spacing w:after="0"/>
              <w:rPr>
                <w:sz w:val="20"/>
                <w:szCs w:val="20"/>
                <w:color w:val="auto"/>
              </w:rPr>
            </w:pPr>
            <w:r>
              <w:rPr>
                <w:rFonts w:ascii="Arial" w:cs="Arial" w:eastAsia="Arial" w:hAnsi="Arial"/>
                <w:sz w:val="18"/>
                <w:szCs w:val="18"/>
                <w:color w:val="0000FF"/>
              </w:rPr>
              <w:t>64,437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DJM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vMerge w:val="restart"/>
          </w:tcPr>
          <w:p>
            <w:pPr>
              <w:jc w:val="right"/>
              <w:ind w:right="379"/>
              <w:spacing w:after="0"/>
              <w:rPr>
                <w:sz w:val="20"/>
                <w:szCs w:val="20"/>
                <w:color w:val="auto"/>
              </w:rPr>
            </w:pPr>
            <w:r>
              <w:rPr>
                <w:rFonts w:ascii="Arial" w:cs="Arial" w:eastAsia="Arial" w:hAnsi="Arial"/>
                <w:sz w:val="18"/>
                <w:szCs w:val="18"/>
                <w:color w:val="0000FF"/>
              </w:rPr>
              <w:t>2,586</w:t>
            </w:r>
          </w:p>
        </w:tc>
        <w:tc>
          <w:tcPr>
            <w:tcW w:w="280" w:type="dxa"/>
            <w:vAlign w:val="bottom"/>
          </w:tcPr>
          <w:p>
            <w:pPr>
              <w:spacing w:after="0"/>
              <w:rPr>
                <w:sz w:val="18"/>
                <w:szCs w:val="18"/>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Ltd.</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7"/>
          </w:tcPr>
          <w:p>
            <w:pPr>
              <w:spacing w:after="0"/>
              <w:rPr>
                <w:sz w:val="8"/>
                <w:szCs w:val="8"/>
                <w:color w:val="auto"/>
              </w:rPr>
            </w:pPr>
          </w:p>
        </w:tc>
        <w:tc>
          <w:tcPr>
            <w:tcW w:w="56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940" w:type="dxa"/>
            <w:vAlign w:val="bottom"/>
            <w:tcBorders>
              <w:top w:val="single" w:sz="8" w:color="2C2C2C"/>
            </w:tcBorders>
            <w:gridSpan w:val="19"/>
          </w:tcPr>
          <w:p>
            <w:pPr>
              <w:jc w:val="center"/>
              <w:ind w:left="4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00" w:type="dxa"/>
            <w:vAlign w:val="bottom"/>
            <w:gridSpan w:val="15"/>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80" w:type="dxa"/>
            <w:vAlign w:val="bottom"/>
            <w:gridSpan w:val="5"/>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08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6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0" w:type="dxa"/>
            <w:vAlign w:val="bottom"/>
          </w:tcPr>
          <w:p>
            <w:pPr>
              <w:spacing w:after="0"/>
              <w:rPr>
                <w:sz w:val="11"/>
                <w:szCs w:val="11"/>
                <w:color w:val="auto"/>
              </w:rPr>
            </w:pPr>
          </w:p>
        </w:tc>
        <w:tc>
          <w:tcPr>
            <w:tcW w:w="16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Securities</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1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5"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3"/>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20" w:type="dxa"/>
            <w:vAlign w:val="bottom"/>
          </w:tcPr>
          <w:p>
            <w:pPr>
              <w:spacing w:after="0"/>
              <w:rPr>
                <w:sz w:val="13"/>
                <w:szCs w:val="13"/>
                <w:color w:val="auto"/>
              </w:rPr>
            </w:pPr>
          </w:p>
        </w:tc>
        <w:tc>
          <w:tcPr>
            <w:tcW w:w="160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Sold pursuant to 10b5-1 Plan adopted by reporting person on November 30, 2015.</w:t>
      </w:r>
    </w:p>
    <w:p>
      <w:pPr>
        <w:spacing w:after="0" w:line="41" w:lineRule="exact"/>
        <w:rPr>
          <w:rFonts w:ascii="Arial" w:cs="Arial" w:eastAsia="Arial" w:hAnsi="Arial"/>
          <w:sz w:val="14"/>
          <w:szCs w:val="14"/>
          <w:color w:val="008000"/>
        </w:rPr>
      </w:pPr>
    </w:p>
    <w:p>
      <w:pPr>
        <w:ind w:left="40" w:right="44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were sold through approximately 11 separate sales on the transaction date at prices ranging from $54.311 to $55.065. The reporting person hereby undertakes to provide upon request to the SEC, the issuer or any stockholder of the issuer, the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1360" w:type="dxa"/>
            <w:vAlign w:val="bottom"/>
          </w:tcPr>
          <w:p>
            <w:pPr>
              <w:spacing w:after="0" w:line="199" w:lineRule="exact"/>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7"/>
                <w:szCs w:val="17"/>
                <w:color w:val="auto"/>
              </w:rPr>
            </w:pP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04/19/2016</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2019-12-23T21:37:08Z</dcterms:created>
  <dcterms:modified xsi:type="dcterms:W3CDTF">2019-12-23T21:37:08Z</dcterms:modified>
</cp:coreProperties>
</file>