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EQUINOX TWO S.C.A.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RIVA ALBERTOLLI,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09/19/2016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LUGANO</w:t>
            </w:r>
          </w:p>
        </w:tc>
        <w:tc>
          <w:tcPr>
            <w:tcW w:w="1100" w:type="dxa"/>
            <w:vAlign w:val="bottom"/>
          </w:tcPr>
          <w:p>
            <w:pPr>
              <w:ind w:left="260"/>
              <w:spacing w:after="0"/>
              <w:rPr>
                <w:sz w:val="20"/>
                <w:szCs w:val="20"/>
                <w:color w:val="auto"/>
              </w:rPr>
            </w:pPr>
            <w:r>
              <w:rPr>
                <w:rFonts w:ascii="Arial" w:cs="Arial" w:eastAsia="Arial" w:hAnsi="Arial"/>
                <w:sz w:val="18"/>
                <w:szCs w:val="18"/>
                <w:color w:val="0000FF"/>
              </w:rPr>
              <w:t>V8</w:t>
            </w:r>
          </w:p>
        </w:tc>
        <w:tc>
          <w:tcPr>
            <w:tcW w:w="1680" w:type="dxa"/>
            <w:vAlign w:val="bottom"/>
          </w:tcPr>
          <w:p>
            <w:pPr>
              <w:ind w:left="420"/>
              <w:spacing w:after="0"/>
              <w:rPr>
                <w:sz w:val="20"/>
                <w:szCs w:val="20"/>
                <w:color w:val="auto"/>
              </w:rPr>
            </w:pPr>
            <w:r>
              <w:rPr>
                <w:rFonts w:ascii="Arial" w:cs="Arial" w:eastAsia="Arial" w:hAnsi="Arial"/>
                <w:sz w:val="18"/>
                <w:szCs w:val="18"/>
                <w:color w:val="0000FF"/>
              </w:rPr>
              <w:t>6900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2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6"/>
          </w:tcPr>
          <w:p>
            <w:pPr>
              <w:ind w:left="26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09/19/2016</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Pr>
          <w:p>
            <w:pPr>
              <w:spacing w:after="0"/>
              <w:rPr>
                <w:sz w:val="22"/>
                <w:szCs w:val="22"/>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141,301</w:t>
            </w:r>
          </w:p>
        </w:tc>
        <w:tc>
          <w:tcPr>
            <w:tcW w:w="20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60.3528</w:t>
            </w:r>
            <w:r>
              <w:rPr>
                <w:rFonts w:ascii="Arial" w:cs="Arial" w:eastAsia="Arial" w:hAnsi="Arial"/>
                <w:sz w:val="22"/>
                <w:szCs w:val="22"/>
                <w:color w:val="008000"/>
                <w:w w:val="85"/>
                <w:vertAlign w:val="superscript"/>
              </w:rPr>
              <w:t>(1)</w:t>
            </w:r>
          </w:p>
        </w:tc>
        <w:tc>
          <w:tcPr>
            <w:tcW w:w="1280" w:type="dxa"/>
            <w:vAlign w:val="bottom"/>
            <w:gridSpan w:val="3"/>
            <w:vMerge w:val="restart"/>
          </w:tcPr>
          <w:p>
            <w:pPr>
              <w:jc w:val="right"/>
              <w:ind w:right="219"/>
              <w:spacing w:after="0"/>
              <w:rPr>
                <w:sz w:val="20"/>
                <w:szCs w:val="20"/>
                <w:color w:val="auto"/>
              </w:rPr>
            </w:pPr>
            <w:r>
              <w:rPr>
                <w:rFonts w:ascii="Arial" w:cs="Arial" w:eastAsia="Arial" w:hAnsi="Arial"/>
                <w:sz w:val="18"/>
                <w:szCs w:val="18"/>
                <w:color w:val="0000FF"/>
              </w:rPr>
              <w:t>5,298,447</w:t>
            </w:r>
          </w:p>
        </w:tc>
        <w:tc>
          <w:tcPr>
            <w:tcW w:w="34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(6)(7)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8"/>
                <w:szCs w:val="18"/>
                <w:color w:val="0000FF"/>
              </w:rPr>
              <w:t>09/19/2016</w:t>
            </w: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9"/>
              </w:rPr>
              <w:t>78</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60.81</w:t>
            </w:r>
          </w:p>
        </w:tc>
        <w:tc>
          <w:tcPr>
            <w:tcW w:w="4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3"/>
            <w:vMerge w:val="restart"/>
          </w:tcPr>
          <w:p>
            <w:pPr>
              <w:jc w:val="right"/>
              <w:ind w:right="219"/>
              <w:spacing w:after="0"/>
              <w:rPr>
                <w:sz w:val="20"/>
                <w:szCs w:val="20"/>
                <w:color w:val="auto"/>
              </w:rPr>
            </w:pPr>
            <w:r>
              <w:rPr>
                <w:rFonts w:ascii="Arial" w:cs="Arial" w:eastAsia="Arial" w:hAnsi="Arial"/>
                <w:sz w:val="18"/>
                <w:szCs w:val="18"/>
                <w:color w:val="0000FF"/>
              </w:rPr>
              <w:t>5,298,369</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8"/>
                <w:szCs w:val="18"/>
                <w:color w:val="0000FF"/>
              </w:rPr>
              <w:t>09/20/2016</w:t>
            </w: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55,394</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60.4109</w:t>
            </w:r>
            <w:r>
              <w:rPr>
                <w:rFonts w:ascii="Arial" w:cs="Arial" w:eastAsia="Arial" w:hAnsi="Arial"/>
                <w:sz w:val="22"/>
                <w:szCs w:val="22"/>
                <w:color w:val="008000"/>
                <w:w w:val="85"/>
                <w:vertAlign w:val="superscript"/>
              </w:rPr>
              <w:t>(2)</w:t>
            </w:r>
          </w:p>
        </w:tc>
        <w:tc>
          <w:tcPr>
            <w:tcW w:w="1280" w:type="dxa"/>
            <w:vAlign w:val="bottom"/>
            <w:tcBorders>
              <w:top w:val="single" w:sz="8" w:color="2C2C2C"/>
            </w:tcBorders>
            <w:gridSpan w:val="3"/>
            <w:vMerge w:val="restart"/>
          </w:tcPr>
          <w:p>
            <w:pPr>
              <w:jc w:val="right"/>
              <w:ind w:right="219"/>
              <w:spacing w:after="0"/>
              <w:rPr>
                <w:sz w:val="20"/>
                <w:szCs w:val="20"/>
                <w:color w:val="auto"/>
              </w:rPr>
            </w:pPr>
            <w:r>
              <w:rPr>
                <w:rFonts w:ascii="Arial" w:cs="Arial" w:eastAsia="Arial" w:hAnsi="Arial"/>
                <w:sz w:val="18"/>
                <w:szCs w:val="18"/>
                <w:color w:val="0000FF"/>
              </w:rPr>
              <w:t>5,242,975</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(6)(7)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8"/>
                <w:szCs w:val="18"/>
                <w:color w:val="0000FF"/>
              </w:rPr>
              <w:t>09/20/2016</w:t>
            </w: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79,606</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61.0225</w:t>
            </w:r>
            <w:r>
              <w:rPr>
                <w:rFonts w:ascii="Arial" w:cs="Arial" w:eastAsia="Arial" w:hAnsi="Arial"/>
                <w:sz w:val="22"/>
                <w:szCs w:val="22"/>
                <w:color w:val="008000"/>
                <w:w w:val="85"/>
                <w:vertAlign w:val="superscript"/>
              </w:rPr>
              <w:t>(3)</w:t>
            </w:r>
          </w:p>
        </w:tc>
        <w:tc>
          <w:tcPr>
            <w:tcW w:w="1280" w:type="dxa"/>
            <w:vAlign w:val="bottom"/>
            <w:tcBorders>
              <w:top w:val="single" w:sz="8" w:color="2C2C2C"/>
            </w:tcBorders>
            <w:gridSpan w:val="3"/>
            <w:vMerge w:val="restart"/>
          </w:tcPr>
          <w:p>
            <w:pPr>
              <w:jc w:val="right"/>
              <w:ind w:right="219"/>
              <w:spacing w:after="0"/>
              <w:rPr>
                <w:sz w:val="20"/>
                <w:szCs w:val="20"/>
                <w:color w:val="auto"/>
              </w:rPr>
            </w:pPr>
            <w:r>
              <w:rPr>
                <w:rFonts w:ascii="Arial" w:cs="Arial" w:eastAsia="Arial" w:hAnsi="Arial"/>
                <w:sz w:val="18"/>
                <w:szCs w:val="18"/>
                <w:color w:val="0000FF"/>
              </w:rPr>
              <w:t>5,163,369</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(6)(7)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8"/>
                <w:szCs w:val="18"/>
                <w:color w:val="0000FF"/>
              </w:rPr>
              <w:t>09/21/2016</w:t>
            </w: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85,915</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60.9012</w:t>
            </w:r>
            <w:r>
              <w:rPr>
                <w:rFonts w:ascii="Arial" w:cs="Arial" w:eastAsia="Arial" w:hAnsi="Arial"/>
                <w:sz w:val="22"/>
                <w:szCs w:val="22"/>
                <w:color w:val="008000"/>
                <w:w w:val="85"/>
                <w:vertAlign w:val="superscript"/>
              </w:rPr>
              <w:t>(4)</w:t>
            </w:r>
          </w:p>
        </w:tc>
        <w:tc>
          <w:tcPr>
            <w:tcW w:w="1280" w:type="dxa"/>
            <w:vAlign w:val="bottom"/>
            <w:tcBorders>
              <w:top w:val="single" w:sz="8" w:color="2C2C2C"/>
            </w:tcBorders>
            <w:gridSpan w:val="3"/>
            <w:vMerge w:val="restart"/>
          </w:tcPr>
          <w:p>
            <w:pPr>
              <w:jc w:val="right"/>
              <w:ind w:right="219"/>
              <w:spacing w:after="0"/>
              <w:rPr>
                <w:sz w:val="20"/>
                <w:szCs w:val="20"/>
                <w:color w:val="auto"/>
              </w:rPr>
            </w:pPr>
            <w:r>
              <w:rPr>
                <w:rFonts w:ascii="Arial" w:cs="Arial" w:eastAsia="Arial" w:hAnsi="Arial"/>
                <w:sz w:val="18"/>
                <w:szCs w:val="18"/>
                <w:color w:val="0000FF"/>
              </w:rPr>
              <w:t>5,077,454</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(6)(7)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Ordinary Shares</w:t>
            </w:r>
          </w:p>
        </w:tc>
        <w:tc>
          <w:tcPr>
            <w:tcW w:w="7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8"/>
                <w:szCs w:val="18"/>
                <w:color w:val="0000FF"/>
              </w:rPr>
              <w:t>09/21/2016</w:t>
            </w: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4"/>
                <w:szCs w:val="14"/>
                <w:color w:val="0000FF"/>
              </w:rPr>
              <w:t>S</w:t>
            </w:r>
          </w:p>
        </w:tc>
        <w:tc>
          <w:tcPr>
            <w:tcW w:w="5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29,085</w:t>
            </w: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0000FF"/>
              </w:rPr>
              <w:t>D</w:t>
            </w:r>
          </w:p>
        </w:tc>
        <w:tc>
          <w:tcPr>
            <w:tcW w:w="82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61.2925</w:t>
            </w:r>
            <w:r>
              <w:rPr>
                <w:rFonts w:ascii="Arial" w:cs="Arial" w:eastAsia="Arial" w:hAnsi="Arial"/>
                <w:sz w:val="22"/>
                <w:szCs w:val="22"/>
                <w:color w:val="008000"/>
                <w:w w:val="85"/>
                <w:vertAlign w:val="superscript"/>
              </w:rPr>
              <w:t>(5)</w:t>
            </w:r>
          </w:p>
        </w:tc>
        <w:tc>
          <w:tcPr>
            <w:tcW w:w="1280" w:type="dxa"/>
            <w:vAlign w:val="bottom"/>
            <w:tcBorders>
              <w:top w:val="single" w:sz="8" w:color="2C2C2C"/>
            </w:tcBorders>
            <w:gridSpan w:val="3"/>
            <w:vMerge w:val="restart"/>
          </w:tcPr>
          <w:p>
            <w:pPr>
              <w:jc w:val="right"/>
              <w:ind w:right="219"/>
              <w:spacing w:after="0"/>
              <w:rPr>
                <w:sz w:val="20"/>
                <w:szCs w:val="20"/>
                <w:color w:val="auto"/>
              </w:rPr>
            </w:pPr>
            <w:r>
              <w:rPr>
                <w:rFonts w:ascii="Arial" w:cs="Arial" w:eastAsia="Arial" w:hAnsi="Arial"/>
                <w:sz w:val="18"/>
                <w:szCs w:val="18"/>
                <w:color w:val="0000FF"/>
              </w:rPr>
              <w:t>5,048,369</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74"/>
              </w:rPr>
              <w:t>See</w:t>
            </w:r>
          </w:p>
        </w:tc>
        <w:tc>
          <w:tcPr>
            <w:tcW w:w="7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footnotes</w:t>
            </w:r>
            <w:r>
              <w:rPr>
                <w:rFonts w:ascii="Arial" w:cs="Arial" w:eastAsia="Arial" w:hAnsi="Arial"/>
                <w:sz w:val="22"/>
                <w:szCs w:val="22"/>
                <w:color w:val="008000"/>
                <w:w w:val="89"/>
                <w:vertAlign w:val="superscript"/>
              </w:rPr>
              <w:t>(6)(7)</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8"/>
          </w:tcPr>
          <w:p>
            <w:pPr>
              <w:ind w:left="2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60" w:type="dxa"/>
            <w:vAlign w:val="bottom"/>
            <w:gridSpan w:val="15"/>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EQUINOX TWO S.C.A.</w:t>
              </w:r>
            </w:hyperlink>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RIVA ALBERTOLLI, 1</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LUGANO</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V8</w:t>
            </w:r>
          </w:p>
        </w:tc>
        <w:tc>
          <w:tcPr>
            <w:tcW w:w="1120" w:type="dxa"/>
            <w:vAlign w:val="bottom"/>
          </w:tcPr>
          <w:p>
            <w:pPr>
              <w:ind w:left="300"/>
              <w:spacing w:after="0"/>
              <w:rPr>
                <w:sz w:val="20"/>
                <w:szCs w:val="20"/>
                <w:color w:val="auto"/>
              </w:rPr>
            </w:pPr>
            <w:r>
              <w:rPr>
                <w:rFonts w:ascii="Arial" w:cs="Arial" w:eastAsia="Arial" w:hAnsi="Arial"/>
                <w:sz w:val="18"/>
                <w:szCs w:val="18"/>
                <w:color w:val="0000FF"/>
              </w:rPr>
              <w:t>6900</w:t>
            </w: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Tower 6 S. a r.l.</w:t>
              </w:r>
            </w:hyperlink>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5, PLACE DU THEATRE</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14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60" w:type="dxa"/>
            <w:vAlign w:val="bottom"/>
          </w:tcPr>
          <w:p>
            <w:pPr>
              <w:spacing w:after="0"/>
              <w:rPr>
                <w:sz w:val="20"/>
                <w:szCs w:val="20"/>
                <w:color w:val="auto"/>
              </w:rPr>
            </w:pPr>
            <w:r>
              <w:rPr>
                <w:rFonts w:ascii="Arial" w:cs="Arial" w:eastAsia="Arial" w:hAnsi="Arial"/>
                <w:sz w:val="18"/>
                <w:szCs w:val="18"/>
                <w:color w:val="0000FF"/>
              </w:rPr>
              <w:t>LUXEMBOURG</w:t>
            </w:r>
          </w:p>
        </w:tc>
        <w:tc>
          <w:tcPr>
            <w:tcW w:w="1040" w:type="dxa"/>
            <w:vAlign w:val="bottom"/>
          </w:tcPr>
          <w:p>
            <w:pPr>
              <w:ind w:left="100"/>
              <w:spacing w:after="0"/>
              <w:rPr>
                <w:sz w:val="20"/>
                <w:szCs w:val="20"/>
                <w:color w:val="auto"/>
              </w:rPr>
            </w:pPr>
            <w:r>
              <w:rPr>
                <w:rFonts w:ascii="Arial" w:cs="Arial" w:eastAsia="Arial" w:hAnsi="Arial"/>
                <w:sz w:val="18"/>
                <w:szCs w:val="18"/>
                <w:color w:val="0000FF"/>
              </w:rPr>
              <w:t>N4</w:t>
            </w:r>
          </w:p>
        </w:tc>
        <w:tc>
          <w:tcPr>
            <w:tcW w:w="1940" w:type="dxa"/>
            <w:vAlign w:val="bottom"/>
          </w:tcPr>
          <w:p>
            <w:pPr>
              <w:ind w:left="520"/>
              <w:spacing w:after="0"/>
              <w:rPr>
                <w:sz w:val="20"/>
                <w:szCs w:val="20"/>
                <w:color w:val="auto"/>
              </w:rPr>
            </w:pPr>
            <w:r>
              <w:rPr>
                <w:rFonts w:ascii="Arial" w:cs="Arial" w:eastAsia="Arial" w:hAnsi="Arial"/>
                <w:sz w:val="18"/>
                <w:szCs w:val="18"/>
                <w:color w:val="0000FF"/>
              </w:rPr>
              <w:t>2613</w:t>
            </w:r>
          </w:p>
        </w:tc>
      </w:tr>
      <w:tr>
        <w:trPr>
          <w:trHeight w:val="158"/>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1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47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647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20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$59.80 to $60.76, inclusive. Upon request, the Reporting Persons (defined below) undertake to provide the Issuer, any security holder of the Issuer, or the Securities and Exchange Commission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$59.80 to $60.795,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$60.80 to $61.19,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$60.15 to $61.14,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Ordinary Shares of the Issuer were sold by Bios S.p.A. in multiple transactions at prices ranging from $61.16 to $61.595, inclusive. Upon request, the Reporting Persons (defined below) undertake to provide the Issuer, any security holder of the Issuer, or the SEC full information regarding the Ordinary Shares sold at each separate price within the range set forth in this footnote.</w:t>
      </w:r>
    </w:p>
    <w:p>
      <w:pPr>
        <w:spacing w:after="0" w:line="30"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Ordinary Shares sold in connection with the transactions reported on this Form 4 were held by Bios S.p.A. Following the transactions reported on this Form 4, Bios S.p.A. and Tower 6 Bis S. a r.l. are the record holders of 3,562,285 and 1,486,084 Ordinary Shares, respectively. Mittel S.p.A. ("Mittel") and Equinox Two S.c.a. ("Equinox") are the 50:50 beneficial owners of the special purpose vehicle Bios S.p.A, in which each of Mittel and Equinox owns 50% of the outstanding voting shares and holds two board of director seats. Equinox is the owner of 100% of the membership interests in Tower 6 S. a r.l. ("Tower 6" and, together with Equinox, the "Reporting Persons"). Tower 6 (and Equinox indirectly through Tower 6) owns 51%, and Mittel owns 49%, of the membership interests in Tower 6 Bis S. a r.l.</w:t>
      </w:r>
    </w:p>
    <w:p>
      <w:pPr>
        <w:spacing w:after="0" w:line="8" w:lineRule="exact"/>
        <w:rPr>
          <w:rFonts w:ascii="Arial" w:cs="Arial" w:eastAsia="Arial" w:hAnsi="Arial"/>
          <w:sz w:val="12"/>
          <w:szCs w:val="12"/>
          <w:color w:val="008000"/>
        </w:rPr>
      </w:pPr>
    </w:p>
    <w:p>
      <w:pPr>
        <w:ind w:right="22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report on Form 4 is filed jointly by Equinox and Tower 6. Each of the Reporting Persons disclaims beneficial ownership of the securities reported herein for purposes of Rule 16a-1(a) under the Securities Exchange Act of 1934, as amended (the "Exchange Act"), except to the extent of its pecuniary interest therein. This report on Form 4 shall not be deemed an admission that either of the Reporting Persons is a beneficial owner of such securities for the purpose of Section 16 of the Exchange Act, or for any other purpose.</w:t>
      </w:r>
    </w:p>
    <w:p>
      <w:pPr>
        <w:sectPr>
          <w:pgSz w:w="11900" w:h="16838" w:orient="portrait"/>
          <w:cols w:equalWidth="0" w:num="1">
            <w:col w:w="11340"/>
          </w:cols>
          <w:pgMar w:left="280" w:top="140" w:right="27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7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Equinox Two S.c.a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7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379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Salvatore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98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Mancuso,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988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 for 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2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1328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Baravini,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356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83566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Tower 6 S. 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988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Massimiliano Seliziato,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28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Giorgio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3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2236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Mercogliano,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17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021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09/21/2016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09/21/2016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880" w:space="240"/>
            <w:col w:w="2220"/>
          </w:cols>
          <w:pgMar w:left="280" w:top="140"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4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12" Type="http://schemas.openxmlformats.org/officeDocument/2006/relationships/hyperlink" Target="http://www.sec.gov/cgi-bin/browse-edgar?action=getcompany&amp;CIK=0001667696" TargetMode="External"/><Relationship Id="rId13" Type="http://schemas.openxmlformats.org/officeDocument/2006/relationships/hyperlink" Target="http://www.sec.gov/cgi-bin/browse-edgar?action=getcompany&amp;CIK=0001639691" TargetMode="External"/><Relationship Id="rId14" Type="http://schemas.openxmlformats.org/officeDocument/2006/relationships/hyperlink" Target="http://www.sec.gov/cgi-bin/browse-edgar?action=getcompany&amp;CIK=0001673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2019-12-09T02:25:49Z</dcterms:created>
  <dcterms:modified xsi:type="dcterms:W3CDTF">2019-12-09T02:25:49Z</dcterms:modified>
</cp:coreProperties>
</file>