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486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8602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Bianchi Francesco</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06/29/2021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06/29/2021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0"/>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2,337</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32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5,292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2,337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vMerge w:val="restart"/>
          </w:tcPr>
          <w:p>
            <w:pPr>
              <w:ind w:left="32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06/29/2021</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2,337</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29, 2020, reporting person was granted RSUs to vest and forfeiture restrictions thereon to lapse on June 29, 2021, subject to continued service during the vesting period and the RSU Agreement.</w:t>
      </w:r>
    </w:p>
    <w:p>
      <w:pPr>
        <w:spacing w:after="0" w:line="57"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07/01/2021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60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2021-07-01T17:49:37Z</dcterms:created>
  <dcterms:modified xsi:type="dcterms:W3CDTF">2021-07-01T17:49:37Z</dcterms:modified>
</cp:coreProperties>
</file>