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18"/>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296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80"/>
        <w:spacing w:after="0" w:line="301" w:lineRule="exact"/>
        <w:tabs>
          <w:tab w:leader="none" w:pos="10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7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LivaNova PLC (the “Company’) held its 2020 Annual General Meeting of shareholders (“AGM”) on June 29, 2020. A total of 42,969,022 of the Company’s ordinary shares, representing approximately 88.44% of the shares outstanding and eligible to vote and constituting a quorum, were present virtually or by proxy at the AGM.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Company’s AGM, LivaNova’s shareholders considered ten proposals as more fully described in the Company’s 2020 Proxy Statement and as summarized below. All of the proposals were adopted. The final results for each of the matters submitted to a vote of shareholders at the AGM were as follows:</w:t>
      </w:r>
    </w:p>
    <w:p>
      <w:pPr>
        <w:spacing w:after="0" w:line="184" w:lineRule="exact"/>
        <w:rPr>
          <w:sz w:val="20"/>
          <w:szCs w:val="20"/>
          <w:color w:val="auto"/>
        </w:rPr>
      </w:pPr>
    </w:p>
    <w:p>
      <w:pPr>
        <w:ind w:firstLine="8"/>
        <w:spacing w:after="0" w:line="277" w:lineRule="auto"/>
        <w:tabs>
          <w:tab w:leader="none" w:pos="356"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elect, by separate resolutions, each of the following ten (10) directors for a term expiring at the AGM to be held in 2021. All nominees were elected.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Mr. Francesco Bianchi</w:t>
            </w: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39,819,236</w:t>
            </w:r>
          </w:p>
        </w:tc>
        <w:tc>
          <w:tcPr>
            <w:tcW w:w="14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1,732,586</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20,922</w:t>
            </w:r>
          </w:p>
        </w:tc>
        <w:tc>
          <w:tcPr>
            <w:tcW w:w="1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Ms. Stacy Enxing Seng</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594"/>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3240" w:type="dxa"/>
            <w:vAlign w:val="bottom"/>
            <w:gridSpan w:val="3"/>
          </w:tcPr>
          <w:p>
            <w:pPr>
              <w:spacing w:after="0"/>
              <w:rPr>
                <w:sz w:val="2"/>
                <w:szCs w:val="2"/>
                <w:color w:val="auto"/>
              </w:rPr>
            </w:pPr>
          </w:p>
        </w:tc>
        <w:tc>
          <w:tcPr>
            <w:tcW w:w="2800" w:type="dxa"/>
            <w:vAlign w:val="bottom"/>
            <w:gridSpan w:val="2"/>
          </w:tcPr>
          <w:p>
            <w:pPr>
              <w:spacing w:after="0"/>
              <w:rPr>
                <w:sz w:val="2"/>
                <w:szCs w:val="2"/>
                <w:color w:val="auto"/>
              </w:rPr>
            </w:pPr>
          </w:p>
        </w:tc>
      </w:tr>
      <w:tr>
        <w:trPr>
          <w:trHeight w:val="243"/>
        </w:trPr>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40,659,781</w:t>
            </w:r>
          </w:p>
        </w:tc>
        <w:tc>
          <w:tcPr>
            <w:tcW w:w="1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894,985</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17,978</w:t>
            </w:r>
          </w:p>
        </w:tc>
        <w:tc>
          <w:tcPr>
            <w:tcW w:w="120" w:type="dxa"/>
            <w:vAlign w:val="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Mr. William A. Kozy</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3240" w:type="dxa"/>
            <w:vAlign w:val="bottom"/>
            <w:gridSpan w:val="3"/>
          </w:tcPr>
          <w:p>
            <w:pPr>
              <w:spacing w:after="0"/>
              <w:rPr>
                <w:sz w:val="2"/>
                <w:szCs w:val="2"/>
                <w:color w:val="auto"/>
              </w:rPr>
            </w:pPr>
          </w:p>
        </w:tc>
        <w:tc>
          <w:tcPr>
            <w:tcW w:w="2800" w:type="dxa"/>
            <w:vAlign w:val="bottom"/>
            <w:gridSpan w:val="2"/>
          </w:tcPr>
          <w:p>
            <w:pPr>
              <w:spacing w:after="0"/>
              <w:rPr>
                <w:sz w:val="2"/>
                <w:szCs w:val="2"/>
                <w:color w:val="auto"/>
              </w:rPr>
            </w:pPr>
          </w:p>
        </w:tc>
      </w:tr>
      <w:tr>
        <w:trPr>
          <w:trHeight w:val="244"/>
        </w:trPr>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41,259,577</w:t>
            </w:r>
          </w:p>
        </w:tc>
        <w:tc>
          <w:tcPr>
            <w:tcW w:w="1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295,189</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17,978</w:t>
            </w:r>
          </w:p>
        </w:tc>
        <w:tc>
          <w:tcPr>
            <w:tcW w:w="120" w:type="dxa"/>
            <w:vAlign w:val="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Mr. Damien McDonald</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3240" w:type="dxa"/>
            <w:vAlign w:val="bottom"/>
            <w:gridSpan w:val="3"/>
          </w:tcPr>
          <w:p>
            <w:pPr>
              <w:spacing w:after="0"/>
              <w:rPr>
                <w:sz w:val="2"/>
                <w:szCs w:val="2"/>
                <w:color w:val="auto"/>
              </w:rPr>
            </w:pPr>
          </w:p>
        </w:tc>
        <w:tc>
          <w:tcPr>
            <w:tcW w:w="2800" w:type="dxa"/>
            <w:vAlign w:val="bottom"/>
            <w:gridSpan w:val="2"/>
          </w:tcPr>
          <w:p>
            <w:pPr>
              <w:spacing w:after="0"/>
              <w:rPr>
                <w:sz w:val="2"/>
                <w:szCs w:val="2"/>
                <w:color w:val="auto"/>
              </w:rPr>
            </w:pPr>
          </w:p>
        </w:tc>
      </w:tr>
      <w:tr>
        <w:trPr>
          <w:trHeight w:val="243"/>
        </w:trPr>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40,039,180</w:t>
            </w:r>
          </w:p>
        </w:tc>
        <w:tc>
          <w:tcPr>
            <w:tcW w:w="1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1,511,263</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22,301</w:t>
            </w:r>
          </w:p>
        </w:tc>
        <w:tc>
          <w:tcPr>
            <w:tcW w:w="120" w:type="dxa"/>
            <w:vAlign w:val="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Mr. Daniel J. Moore</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3240" w:type="dxa"/>
            <w:vAlign w:val="bottom"/>
            <w:gridSpan w:val="3"/>
          </w:tcPr>
          <w:p>
            <w:pPr>
              <w:spacing w:after="0"/>
              <w:rPr>
                <w:sz w:val="2"/>
                <w:szCs w:val="2"/>
                <w:color w:val="auto"/>
              </w:rPr>
            </w:pPr>
          </w:p>
        </w:tc>
        <w:tc>
          <w:tcPr>
            <w:tcW w:w="2800" w:type="dxa"/>
            <w:vAlign w:val="bottom"/>
            <w:gridSpan w:val="2"/>
          </w:tcPr>
          <w:p>
            <w:pPr>
              <w:spacing w:after="0"/>
              <w:rPr>
                <w:sz w:val="2"/>
                <w:szCs w:val="2"/>
                <w:color w:val="auto"/>
              </w:rPr>
            </w:pPr>
          </w:p>
        </w:tc>
      </w:tr>
      <w:tr>
        <w:trPr>
          <w:trHeight w:val="244"/>
        </w:trPr>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37,555,524</w:t>
            </w:r>
          </w:p>
        </w:tc>
        <w:tc>
          <w:tcPr>
            <w:tcW w:w="1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3,331,143</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686,077</w:t>
            </w:r>
          </w:p>
        </w:tc>
        <w:tc>
          <w:tcPr>
            <w:tcW w:w="120" w:type="dxa"/>
            <w:vAlign w:val="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Mr. Hugh M. Morrison</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3240" w:type="dxa"/>
            <w:vAlign w:val="bottom"/>
            <w:gridSpan w:val="3"/>
          </w:tcPr>
          <w:p>
            <w:pPr>
              <w:spacing w:after="0"/>
              <w:rPr>
                <w:sz w:val="2"/>
                <w:szCs w:val="2"/>
                <w:color w:val="auto"/>
              </w:rPr>
            </w:pPr>
          </w:p>
        </w:tc>
        <w:tc>
          <w:tcPr>
            <w:tcW w:w="2800" w:type="dxa"/>
            <w:vAlign w:val="bottom"/>
            <w:gridSpan w:val="2"/>
          </w:tcPr>
          <w:p>
            <w:pPr>
              <w:spacing w:after="0"/>
              <w:rPr>
                <w:sz w:val="2"/>
                <w:szCs w:val="2"/>
                <w:color w:val="auto"/>
              </w:rPr>
            </w:pPr>
          </w:p>
        </w:tc>
      </w:tr>
      <w:tr>
        <w:trPr>
          <w:trHeight w:val="244"/>
        </w:trPr>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39,210,489</w:t>
            </w:r>
          </w:p>
        </w:tc>
        <w:tc>
          <w:tcPr>
            <w:tcW w:w="1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2,344,277</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17,978</w:t>
            </w:r>
          </w:p>
        </w:tc>
        <w:tc>
          <w:tcPr>
            <w:tcW w:w="120" w:type="dxa"/>
            <w:vAlign w:val="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Mr. Alfred J. Novak</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240" w:type="dxa"/>
            <w:vAlign w:val="bottom"/>
          </w:tcPr>
          <w:p>
            <w:pPr>
              <w:ind w:left="82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72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3240" w:type="dxa"/>
            <w:vAlign w:val="bottom"/>
            <w:gridSpan w:val="3"/>
          </w:tcPr>
          <w:p>
            <w:pPr>
              <w:spacing w:after="0"/>
              <w:rPr>
                <w:sz w:val="2"/>
                <w:szCs w:val="2"/>
                <w:color w:val="auto"/>
              </w:rPr>
            </w:pPr>
          </w:p>
        </w:tc>
        <w:tc>
          <w:tcPr>
            <w:tcW w:w="2800" w:type="dxa"/>
            <w:vAlign w:val="bottom"/>
            <w:gridSpan w:val="2"/>
          </w:tcPr>
          <w:p>
            <w:pPr>
              <w:spacing w:after="0"/>
              <w:rPr>
                <w:sz w:val="2"/>
                <w:szCs w:val="2"/>
                <w:color w:val="auto"/>
              </w:rPr>
            </w:pPr>
          </w:p>
        </w:tc>
      </w:tr>
      <w:tr>
        <w:trPr>
          <w:trHeight w:val="243"/>
        </w:trPr>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38,482,759</w:t>
            </w:r>
          </w:p>
        </w:tc>
        <w:tc>
          <w:tcPr>
            <w:tcW w:w="140" w:type="dxa"/>
            <w:vAlign w:val="bottom"/>
          </w:tcPr>
          <w:p>
            <w:pPr>
              <w:spacing w:after="0"/>
              <w:rPr>
                <w:sz w:val="21"/>
                <w:szCs w:val="21"/>
                <w:color w:val="auto"/>
              </w:rPr>
            </w:pPr>
          </w:p>
        </w:tc>
        <w:tc>
          <w:tcPr>
            <w:tcW w:w="224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3,069,163</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20,822</w:t>
            </w:r>
          </w:p>
        </w:tc>
        <w:tc>
          <w:tcPr>
            <w:tcW w:w="120" w:type="dxa"/>
            <w:vAlign w:val="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648"/>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Dr. Sharon O’Kane</w:t>
            </w: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86"/>
        </w:trPr>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70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40,553,111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1,001,655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17,978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54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Dr. Arthur L. Rosenthal</w:t>
            </w: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6"/>
        </w:trPr>
        <w:tc>
          <w:tcPr>
            <w:tcW w:w="2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4"/>
                <w:szCs w:val="24"/>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CCEEFF"/>
            </w:tcBorders>
            <w:gridSpan w:val="2"/>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38,351,976</w:t>
            </w:r>
          </w:p>
        </w:tc>
        <w:tc>
          <w:tcPr>
            <w:tcW w:w="120" w:type="dxa"/>
            <w:vAlign w:val="bottom"/>
          </w:tcPr>
          <w:p>
            <w:pPr>
              <w:spacing w:after="0"/>
              <w:rPr>
                <w:sz w:val="21"/>
                <w:szCs w:val="21"/>
                <w:color w:val="auto"/>
              </w:rPr>
            </w:pPr>
          </w:p>
        </w:tc>
        <w:tc>
          <w:tcPr>
            <w:tcW w:w="270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3,202,843</w:t>
            </w:r>
          </w:p>
        </w:tc>
        <w:tc>
          <w:tcPr>
            <w:tcW w:w="140" w:type="dxa"/>
            <w:vAlign w:val="bottom"/>
            <w:tcBorders>
              <w:right w:val="single" w:sz="8" w:color="CCEEFF"/>
            </w:tcBorders>
          </w:tcPr>
          <w:p>
            <w:pPr>
              <w:spacing w:after="0"/>
              <w:rPr>
                <w:sz w:val="21"/>
                <w:szCs w:val="21"/>
                <w:color w:val="auto"/>
              </w:rPr>
            </w:pPr>
          </w:p>
        </w:tc>
        <w:tc>
          <w:tcPr>
            <w:tcW w:w="2660" w:type="dxa"/>
            <w:vAlign w:val="bottom"/>
            <w:tcBorders>
              <w:bottom w:val="single" w:sz="8" w:color="CCEEFF"/>
            </w:tcBorders>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17,925</w:t>
            </w:r>
          </w:p>
        </w:tc>
        <w:tc>
          <w:tcPr>
            <w:tcW w:w="140" w:type="dxa"/>
            <w:vAlign w:val="bottom"/>
            <w:tcBorders>
              <w:right w:val="single" w:sz="8" w:color="CCEEFF"/>
            </w:tcBorders>
          </w:tcPr>
          <w:p>
            <w:pPr>
              <w:spacing w:after="0"/>
              <w:rPr>
                <w:sz w:val="21"/>
                <w:szCs w:val="21"/>
                <w:color w:val="auto"/>
              </w:rPr>
            </w:pPr>
          </w:p>
        </w:tc>
        <w:tc>
          <w:tcPr>
            <w:tcW w:w="278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1,396,278</w:t>
            </w: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Ms. Andrea L. Saia</w:t>
            </w: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594"/>
        </w:trPr>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70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r>
      <w:tr>
        <w:trPr>
          <w:trHeight w:val="237"/>
        </w:trPr>
        <w:tc>
          <w:tcPr>
            <w:tcW w:w="270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40,746,465</w:t>
            </w:r>
          </w:p>
        </w:tc>
        <w:tc>
          <w:tcPr>
            <w:tcW w:w="120" w:type="dxa"/>
            <w:vAlign w:val="bottom"/>
            <w:tcBorders>
              <w:top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808,276</w:t>
            </w: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18,003</w:t>
            </w: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1,396,278</w:t>
            </w:r>
          </w:p>
        </w:tc>
      </w:tr>
      <w:tr>
        <w:trPr>
          <w:trHeight w:val="27"/>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Ordinary resolution to approve, on an advisory basis, the Company’s compensation of its named executive officers (“U.S. Say-on-Pay”).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r>
      <w:tr>
        <w:trPr>
          <w:trHeight w:val="237"/>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38,120,145</w:t>
            </w:r>
          </w:p>
        </w:tc>
        <w:tc>
          <w:tcPr>
            <w:tcW w:w="120" w:type="dxa"/>
            <w:vAlign w:val="bottom"/>
          </w:tcPr>
          <w:p>
            <w:pPr>
              <w:spacing w:after="0"/>
              <w:rPr>
                <w:sz w:val="20"/>
                <w:szCs w:val="20"/>
                <w:color w:val="auto"/>
              </w:rPr>
            </w:pPr>
          </w:p>
        </w:tc>
        <w:tc>
          <w:tcPr>
            <w:tcW w:w="2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3,428,837</w:t>
            </w:r>
          </w:p>
        </w:tc>
        <w:tc>
          <w:tcPr>
            <w:tcW w:w="120" w:type="dxa"/>
            <w:vAlign w:val="bottom"/>
          </w:tcPr>
          <w:p>
            <w:pPr>
              <w:spacing w:after="0"/>
              <w:rPr>
                <w:sz w:val="20"/>
                <w:szCs w:val="20"/>
                <w:color w:val="auto"/>
              </w:rPr>
            </w:pPr>
          </w:p>
        </w:tc>
        <w:tc>
          <w:tcPr>
            <w:tcW w:w="26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23,762</w:t>
            </w:r>
          </w:p>
        </w:tc>
        <w:tc>
          <w:tcPr>
            <w:tcW w:w="120" w:type="dxa"/>
            <w:vAlign w:val="bottom"/>
          </w:tcPr>
          <w:p>
            <w:pPr>
              <w:spacing w:after="0"/>
              <w:rPr>
                <w:sz w:val="20"/>
                <w:szCs w:val="20"/>
                <w:color w:val="auto"/>
              </w:rPr>
            </w:pPr>
          </w:p>
        </w:tc>
        <w:tc>
          <w:tcPr>
            <w:tcW w:w="28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1,396,278</w:t>
            </w:r>
          </w:p>
        </w:tc>
      </w:tr>
      <w:tr>
        <w:trPr>
          <w:trHeight w:val="27"/>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77" w:lineRule="auto"/>
        <w:tabs>
          <w:tab w:leader="none" w:pos="469"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LLP, a Delaware limited liability partnership ("PwC USA"), as the Company’s independent registered public accounting firm.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27"/>
        </w:trPr>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36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42,920,775</w:t>
            </w:r>
          </w:p>
        </w:tc>
        <w:tc>
          <w:tcPr>
            <w:tcW w:w="120" w:type="dxa"/>
            <w:vAlign w:val="bottom"/>
          </w:tcPr>
          <w:p>
            <w:pPr>
              <w:spacing w:after="0"/>
              <w:rPr>
                <w:sz w:val="20"/>
                <w:szCs w:val="20"/>
                <w:color w:val="auto"/>
              </w:rPr>
            </w:pPr>
          </w:p>
        </w:tc>
        <w:tc>
          <w:tcPr>
            <w:tcW w:w="3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27,290</w:t>
            </w:r>
          </w:p>
        </w:tc>
        <w:tc>
          <w:tcPr>
            <w:tcW w:w="100" w:type="dxa"/>
            <w:vAlign w:val="bottom"/>
          </w:tcPr>
          <w:p>
            <w:pPr>
              <w:spacing w:after="0"/>
              <w:rPr>
                <w:sz w:val="20"/>
                <w:szCs w:val="20"/>
                <w:color w:val="auto"/>
              </w:rPr>
            </w:pPr>
          </w:p>
        </w:tc>
        <w:tc>
          <w:tcPr>
            <w:tcW w:w="3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20,957</w:t>
            </w:r>
          </w:p>
        </w:tc>
      </w:tr>
      <w:tr>
        <w:trPr>
          <w:trHeight w:val="27"/>
        </w:trPr>
        <w:tc>
          <w:tcPr>
            <w:tcW w:w="36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63" w:lineRule="auto"/>
        <w:tabs>
          <w:tab w:leader="none" w:pos="457"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resolution to generally and unconditionally authorize the directors for the purposes of section 551 of the Companies Act 2006 (the “Companies Act”) to exercise all the powers of the Company to allot shares in the Company and to grant rights to subscribe for, or to convert any security into, shares in the Company.</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up to an aggregate nominal amount of £9,882,722,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addition to the amount set out under (a) above), up to an aggregate nominal amount of £3,218,206 in connection with the grant or exercise of awards made under the Company’s incentive plans from time to time,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provided that, in each case:</w:t>
      </w:r>
    </w:p>
    <w:p>
      <w:pPr>
        <w:spacing w:after="0" w:line="225" w:lineRule="exact"/>
        <w:rPr>
          <w:sz w:val="20"/>
          <w:szCs w:val="20"/>
          <w:color w:val="auto"/>
        </w:rPr>
      </w:pPr>
    </w:p>
    <w:p>
      <w:pPr>
        <w:ind w:left="820" w:right="280" w:hanging="218"/>
        <w:spacing w:after="0" w:line="257" w:lineRule="auto"/>
        <w:tabs>
          <w:tab w:leader="none" w:pos="819"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previously revoked, varied or renewed by the Company) this authority will expire on the date that is five (5) years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ind w:left="820" w:right="40" w:hanging="218"/>
        <w:spacing w:after="0" w:line="281" w:lineRule="auto"/>
        <w:tabs>
          <w:tab w:leader="none" w:pos="8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authority is in addition to (and does not replace) all subsisting authorities previously granted to the directors for the purposes of section 551 of the Companies Act to the extent unused at the date of this resolution.</w:t>
      </w:r>
      <w:r>
        <w:rPr>
          <w:rFonts w:ascii="Arial" w:cs="Arial" w:eastAsia="Arial" w:hAnsi="Arial"/>
          <w:sz w:val="25"/>
          <w:szCs w:val="25"/>
          <w:color w:val="auto"/>
          <w:vertAlign w:val="superscript"/>
        </w:rPr>
        <w:t>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27"/>
        </w:trPr>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6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39,823,663</w:t>
            </w:r>
          </w:p>
        </w:tc>
        <w:tc>
          <w:tcPr>
            <w:tcW w:w="120" w:type="dxa"/>
            <w:vAlign w:val="bottom"/>
          </w:tcPr>
          <w:p>
            <w:pPr>
              <w:spacing w:after="0"/>
              <w:rPr>
                <w:sz w:val="20"/>
                <w:szCs w:val="20"/>
                <w:color w:val="auto"/>
              </w:rPr>
            </w:pPr>
          </w:p>
        </w:tc>
        <w:tc>
          <w:tcPr>
            <w:tcW w:w="370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3,117,016</w:t>
            </w:r>
          </w:p>
        </w:tc>
        <w:tc>
          <w:tcPr>
            <w:tcW w:w="100" w:type="dxa"/>
            <w:vAlign w:val="bottom"/>
          </w:tcPr>
          <w:p>
            <w:pPr>
              <w:spacing w:after="0"/>
              <w:rPr>
                <w:sz w:val="20"/>
                <w:szCs w:val="20"/>
                <w:color w:val="auto"/>
              </w:rPr>
            </w:pPr>
          </w:p>
        </w:tc>
        <w:tc>
          <w:tcPr>
            <w:tcW w:w="3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28,343</w:t>
            </w:r>
          </w:p>
        </w:tc>
      </w:tr>
      <w:tr>
        <w:trPr>
          <w:trHeight w:val="27"/>
        </w:trPr>
        <w:tc>
          <w:tcPr>
            <w:tcW w:w="36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57" w:lineRule="auto"/>
        <w:tabs>
          <w:tab w:leader="none" w:pos="382"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 resolution, subject to the passing of resolution 4 and in accordance with sections 570 and 573 of the Companies Act, to give the directors power to allot equity securities (as defined in section 560 of the Companies Act) of the Company pursuant to the authority conferred by resolution 4 and/or to sell ordinary shares (as defined in section 560 of the Companies Act) held by the Company as treasury shares as if section 561 of the Companies Act (existing shareholders’ pre-emption rights) did not apply to any such allotment or sale, provided that this power is limited to the allotment of equity securities or sale of treasury shares:</w:t>
      </w:r>
    </w:p>
    <w:p>
      <w:pPr>
        <w:spacing w:after="0" w:line="187" w:lineRule="exact"/>
        <w:rPr>
          <w:rFonts w:ascii="Arial" w:cs="Arial" w:eastAsia="Arial" w:hAnsi="Arial"/>
          <w:sz w:val="18"/>
          <w:szCs w:val="18"/>
          <w:color w:val="auto"/>
        </w:rPr>
      </w:pPr>
    </w:p>
    <w:p>
      <w:pPr>
        <w:ind w:left="840" w:hanging="238"/>
        <w:spacing w:after="0"/>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up to an aggregate nominal amount of £9,882,722; and</w:t>
      </w:r>
    </w:p>
    <w:p>
      <w:pPr>
        <w:spacing w:after="0" w:line="225" w:lineRule="exact"/>
        <w:rPr>
          <w:rFonts w:ascii="Arial" w:cs="Arial" w:eastAsia="Arial" w:hAnsi="Arial"/>
          <w:sz w:val="18"/>
          <w:szCs w:val="18"/>
          <w:color w:val="auto"/>
        </w:rPr>
      </w:pPr>
    </w:p>
    <w:p>
      <w:pPr>
        <w:ind w:left="820" w:right="180" w:hanging="218"/>
        <w:spacing w:after="0" w:line="277" w:lineRule="auto"/>
        <w:tabs>
          <w:tab w:leader="none" w:pos="859"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the amount set out under (a) above), up to an aggregate nominal amount of £3,218,206 in connection with the grant or exercise of awards made under the Company’s incentive plans from time to time,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provided that, in each case:</w:t>
      </w:r>
    </w:p>
    <w:p>
      <w:pPr>
        <w:spacing w:after="0" w:line="225" w:lineRule="exact"/>
        <w:rPr>
          <w:sz w:val="20"/>
          <w:szCs w:val="20"/>
          <w:color w:val="auto"/>
        </w:rPr>
      </w:pPr>
    </w:p>
    <w:p>
      <w:pPr>
        <w:ind w:left="820" w:right="100" w:hanging="218"/>
        <w:spacing w:after="0" w:line="259" w:lineRule="auto"/>
        <w:tabs>
          <w:tab w:leader="none" w:pos="819"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previously revoked, varied or renewed by the Company) this power will expire on the date that is five (5) years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agreements as if this power had not expired; and</w:t>
      </w:r>
    </w:p>
    <w:p>
      <w:pPr>
        <w:spacing w:after="0" w:line="186" w:lineRule="exact"/>
        <w:rPr>
          <w:rFonts w:ascii="Arial" w:cs="Arial" w:eastAsia="Arial" w:hAnsi="Arial"/>
          <w:sz w:val="18"/>
          <w:szCs w:val="18"/>
          <w:color w:val="auto"/>
        </w:rPr>
      </w:pPr>
    </w:p>
    <w:p>
      <w:pPr>
        <w:ind w:left="820" w:right="160" w:hanging="218"/>
        <w:spacing w:after="0" w:line="281" w:lineRule="auto"/>
        <w:tabs>
          <w:tab w:leader="none" w:pos="86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power is in addition to (and does not replace) all subsisting powers previously given to the directors for the purposes of section 570 of the Companies Act to the extent unused at the date of this resolution.</w:t>
      </w:r>
      <w:r>
        <w:rPr>
          <w:rFonts w:ascii="Arial" w:cs="Arial" w:eastAsia="Arial" w:hAnsi="Arial"/>
          <w:sz w:val="25"/>
          <w:szCs w:val="25"/>
          <w:color w:val="auto"/>
          <w:vertAlign w:val="superscript"/>
        </w:rPr>
        <w:t>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27"/>
        </w:trPr>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6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32,903,540</w:t>
            </w:r>
          </w:p>
        </w:tc>
        <w:tc>
          <w:tcPr>
            <w:tcW w:w="120" w:type="dxa"/>
            <w:vAlign w:val="bottom"/>
          </w:tcPr>
          <w:p>
            <w:pPr>
              <w:spacing w:after="0"/>
              <w:rPr>
                <w:sz w:val="20"/>
                <w:szCs w:val="20"/>
                <w:color w:val="auto"/>
              </w:rPr>
            </w:pPr>
          </w:p>
        </w:tc>
        <w:tc>
          <w:tcPr>
            <w:tcW w:w="37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10,025,267</w:t>
            </w:r>
          </w:p>
        </w:tc>
        <w:tc>
          <w:tcPr>
            <w:tcW w:w="100" w:type="dxa"/>
            <w:vAlign w:val="bottom"/>
          </w:tcPr>
          <w:p>
            <w:pPr>
              <w:spacing w:after="0"/>
              <w:rPr>
                <w:sz w:val="20"/>
                <w:szCs w:val="20"/>
                <w:color w:val="auto"/>
              </w:rPr>
            </w:pPr>
          </w:p>
        </w:tc>
        <w:tc>
          <w:tcPr>
            <w:tcW w:w="3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40,215</w:t>
            </w:r>
          </w:p>
        </w:tc>
      </w:tr>
      <w:tr>
        <w:trPr>
          <w:trHeight w:val="27"/>
        </w:trPr>
        <w:tc>
          <w:tcPr>
            <w:tcW w:w="36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0" w:firstLine="8"/>
        <w:spacing w:after="0" w:line="263"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Special resolution to </w:t>
      </w:r>
      <w:r>
        <w:rPr>
          <w:rFonts w:ascii="Arial" w:cs="Arial" w:eastAsia="Arial" w:hAnsi="Arial"/>
          <w:sz w:val="18"/>
          <w:szCs w:val="18"/>
          <w:color w:val="363435"/>
        </w:rPr>
        <w:t>approve and adopt the draft regulations which are tabled at the AGM and labeled the “New Articles” and initialed by the</w:t>
      </w:r>
      <w:r>
        <w:rPr>
          <w:rFonts w:ascii="Arial" w:cs="Arial" w:eastAsia="Arial" w:hAnsi="Arial"/>
          <w:sz w:val="18"/>
          <w:szCs w:val="18"/>
          <w:color w:val="auto"/>
        </w:rPr>
        <w:t xml:space="preserve"> </w:t>
      </w:r>
      <w:r>
        <w:rPr>
          <w:rFonts w:ascii="Arial" w:cs="Arial" w:eastAsia="Arial" w:hAnsi="Arial"/>
          <w:sz w:val="18"/>
          <w:szCs w:val="18"/>
          <w:color w:val="363435"/>
        </w:rPr>
        <w:t>Chairman of the AGM (the “New Articles”) as the articles of association of the Company in substitution for, and to the exclusion of, the existing articles of association of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41,536,720</w:t>
            </w:r>
          </w:p>
        </w:tc>
        <w:tc>
          <w:tcPr>
            <w:tcW w:w="1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8,403</w:t>
            </w:r>
          </w:p>
        </w:tc>
        <w:tc>
          <w:tcPr>
            <w:tcW w:w="1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27,621</w:t>
            </w:r>
          </w:p>
        </w:tc>
        <w:tc>
          <w:tcPr>
            <w:tcW w:w="12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1,396,278</w:t>
            </w:r>
          </w:p>
        </w:tc>
      </w:tr>
      <w:tr>
        <w:trPr>
          <w:trHeight w:val="860"/>
        </w:trPr>
        <w:tc>
          <w:tcPr>
            <w:tcW w:w="2700" w:type="dxa"/>
            <w:vAlign w:val="bottom"/>
          </w:tcPr>
          <w:p>
            <w:pPr>
              <w:jc w:val="center"/>
              <w:spacing w:after="0"/>
              <w:rPr>
                <w:sz w:val="20"/>
                <w:szCs w:val="20"/>
                <w:color w:val="auto"/>
              </w:rPr>
            </w:pPr>
            <w:r>
              <w:rPr>
                <w:rFonts w:ascii="Arial" w:cs="Arial" w:eastAsia="Arial" w:hAnsi="Arial"/>
                <w:sz w:val="18"/>
                <w:szCs w:val="18"/>
                <w:color w:val="auto"/>
                <w:w w:val="89"/>
              </w:rPr>
              <w:t>______________________________</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ind w:right="220"/>
        <w:spacing w:after="0" w:line="209"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Per DEFA14A, filed on June 15, 2020, LivaNova committed that it would not utilize these authorities for more than 18 months after the 2020 AGM and will seek renewal of these authorities at its annual general meeting of shareholders to be held in 2021.</w:t>
      </w:r>
    </w:p>
    <w:p>
      <w:pPr>
        <w:spacing w:after="0" w:line="1"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6"/>
          <w:szCs w:val="16"/>
          <w:color w:val="auto"/>
        </w:rPr>
        <w:t>Per DEFA14A, filed on June 15, 2020, LivaNova committed that it would not utilize the power granted under Proposal 5 to allot new equity securities (otherwise than in accordance with existing shareholders’ pre-emption rights) in excess of an amount equal to 10% of our share capital.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41" w:right="339" w:bottom="1440" w:gutter="0" w:footer="0" w:header="0"/>
        </w:sectPr>
      </w:pPr>
    </w:p>
    <w:bookmarkStart w:id="4" w:name="page5"/>
    <w:bookmarkEnd w:id="4"/>
    <w:p>
      <w:pPr>
        <w:ind w:firstLine="8"/>
        <w:spacing w:after="0" w:line="277" w:lineRule="auto"/>
        <w:tabs>
          <w:tab w:leader="none" w:pos="3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the directors’ Remuneration Policy as set out in the UK Annual Report for the period ended December 31,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r>
      <w:tr>
        <w:trPr>
          <w:trHeight w:val="237"/>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39,698,424</w:t>
            </w:r>
          </w:p>
        </w:tc>
        <w:tc>
          <w:tcPr>
            <w:tcW w:w="120" w:type="dxa"/>
            <w:vAlign w:val="bottom"/>
          </w:tcPr>
          <w:p>
            <w:pPr>
              <w:spacing w:after="0"/>
              <w:rPr>
                <w:sz w:val="20"/>
                <w:szCs w:val="20"/>
                <w:color w:val="auto"/>
              </w:rPr>
            </w:pPr>
          </w:p>
        </w:tc>
        <w:tc>
          <w:tcPr>
            <w:tcW w:w="2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1,826,770</w:t>
            </w:r>
          </w:p>
        </w:tc>
        <w:tc>
          <w:tcPr>
            <w:tcW w:w="120" w:type="dxa"/>
            <w:vAlign w:val="bottom"/>
          </w:tcPr>
          <w:p>
            <w:pPr>
              <w:spacing w:after="0"/>
              <w:rPr>
                <w:sz w:val="20"/>
                <w:szCs w:val="20"/>
                <w:color w:val="auto"/>
              </w:rPr>
            </w:pPr>
          </w:p>
        </w:tc>
        <w:tc>
          <w:tcPr>
            <w:tcW w:w="26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47,550</w:t>
            </w:r>
          </w:p>
        </w:tc>
        <w:tc>
          <w:tcPr>
            <w:tcW w:w="120" w:type="dxa"/>
            <w:vAlign w:val="bottom"/>
          </w:tcPr>
          <w:p>
            <w:pPr>
              <w:spacing w:after="0"/>
              <w:rPr>
                <w:sz w:val="20"/>
                <w:szCs w:val="20"/>
                <w:color w:val="auto"/>
              </w:rPr>
            </w:pPr>
          </w:p>
        </w:tc>
        <w:tc>
          <w:tcPr>
            <w:tcW w:w="28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1,396,278</w:t>
            </w:r>
          </w:p>
        </w:tc>
      </w:tr>
      <w:tr>
        <w:trPr>
          <w:trHeight w:val="27"/>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year ended December 31, 2019, together with the reports of the directors and the auditors thereon.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27"/>
        </w:trPr>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6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42,712,335</w:t>
            </w:r>
          </w:p>
        </w:tc>
        <w:tc>
          <w:tcPr>
            <w:tcW w:w="120" w:type="dxa"/>
            <w:vAlign w:val="bottom"/>
          </w:tcPr>
          <w:p>
            <w:pPr>
              <w:spacing w:after="0"/>
              <w:rPr>
                <w:sz w:val="20"/>
                <w:szCs w:val="20"/>
                <w:color w:val="auto"/>
              </w:rPr>
            </w:pPr>
          </w:p>
        </w:tc>
        <w:tc>
          <w:tcPr>
            <w:tcW w:w="3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27,607</w:t>
            </w:r>
          </w:p>
        </w:tc>
        <w:tc>
          <w:tcPr>
            <w:tcW w:w="100" w:type="dxa"/>
            <w:vAlign w:val="bottom"/>
          </w:tcPr>
          <w:p>
            <w:pPr>
              <w:spacing w:after="0"/>
              <w:rPr>
                <w:sz w:val="20"/>
                <w:szCs w:val="20"/>
                <w:color w:val="auto"/>
              </w:rPr>
            </w:pPr>
          </w:p>
        </w:tc>
        <w:tc>
          <w:tcPr>
            <w:tcW w:w="370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rPr>
              <w:t>229,080</w:t>
            </w:r>
          </w:p>
        </w:tc>
      </w:tr>
      <w:tr>
        <w:trPr>
          <w:trHeight w:val="27"/>
        </w:trPr>
        <w:tc>
          <w:tcPr>
            <w:tcW w:w="36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8"/>
        <w:spacing w:after="0" w:line="277"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resolution to re-appoint PricewaterhouseCoopers UK, a limited liability partnership organized under the laws of England as the Company’s UK statutory auditor.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27"/>
        </w:trPr>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6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42,833,122</w:t>
            </w:r>
          </w:p>
        </w:tc>
        <w:tc>
          <w:tcPr>
            <w:tcW w:w="120" w:type="dxa"/>
            <w:vAlign w:val="bottom"/>
          </w:tcPr>
          <w:p>
            <w:pPr>
              <w:spacing w:after="0"/>
              <w:rPr>
                <w:sz w:val="20"/>
                <w:szCs w:val="20"/>
                <w:color w:val="auto"/>
              </w:rPr>
            </w:pPr>
          </w:p>
        </w:tc>
        <w:tc>
          <w:tcPr>
            <w:tcW w:w="3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27,544</w:t>
            </w:r>
          </w:p>
        </w:tc>
        <w:tc>
          <w:tcPr>
            <w:tcW w:w="100" w:type="dxa"/>
            <w:vAlign w:val="bottom"/>
          </w:tcPr>
          <w:p>
            <w:pPr>
              <w:spacing w:after="0"/>
              <w:rPr>
                <w:sz w:val="20"/>
                <w:szCs w:val="20"/>
                <w:color w:val="auto"/>
              </w:rPr>
            </w:pPr>
          </w:p>
        </w:tc>
        <w:tc>
          <w:tcPr>
            <w:tcW w:w="370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rPr>
              <w:t>108,356</w:t>
            </w:r>
          </w:p>
        </w:tc>
      </w:tr>
      <w:tr>
        <w:trPr>
          <w:trHeight w:val="27"/>
        </w:trPr>
        <w:tc>
          <w:tcPr>
            <w:tcW w:w="36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20" w:firstLine="8"/>
        <w:spacing w:after="0" w:line="277" w:lineRule="auto"/>
        <w:tabs>
          <w:tab w:leader="none" w:pos="4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resolution to authorize the directors and/or the Audit &amp; Compliance Committee of the Company to determine the remuneration of the Company’s UK statutory auditor.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41,525,834</w:t>
            </w:r>
          </w:p>
        </w:tc>
        <w:tc>
          <w:tcPr>
            <w:tcW w:w="1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44,456</w:t>
            </w:r>
          </w:p>
        </w:tc>
        <w:tc>
          <w:tcPr>
            <w:tcW w:w="28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1,396,278</w:t>
            </w:r>
          </w:p>
        </w:tc>
      </w:tr>
      <w:tr>
        <w:trPr>
          <w:trHeight w:val="648"/>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60" w:type="dxa"/>
            <w:vAlign w:val="bottom"/>
            <w:gridSpan w:val="2"/>
          </w:tcPr>
          <w:p>
            <w:pPr>
              <w:jc w:val="right"/>
              <w:ind w:right="2630"/>
              <w:spacing w:after="0"/>
              <w:rPr>
                <w:sz w:val="20"/>
                <w:szCs w:val="20"/>
                <w:color w:val="auto"/>
              </w:rPr>
            </w:pPr>
            <w:r>
              <w:rPr>
                <w:rFonts w:ascii="Arial" w:cs="Arial" w:eastAsia="Arial" w:hAnsi="Arial"/>
                <w:sz w:val="18"/>
                <w:szCs w:val="18"/>
                <w:color w:val="auto"/>
              </w:rPr>
              <w:t>5</w:t>
            </w:r>
          </w:p>
        </w:tc>
        <w:tc>
          <w:tcPr>
            <w:tcW w:w="286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June 30,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sectPr>
      <w:pgSz w:w="11900" w:h="16838" w:orient="portrait"/>
      <w:cols w:equalWidth="0" w:num="1">
        <w:col w:w="10980"/>
      </w:cols>
      <w:pgMar w:left="32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lvl w:ilvl="1">
      <w:lvlJc w:val="left"/>
      <w:lvlText w:val="(%2)"/>
      <w:numFmt w:val="lowerLetter"/>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lowerRoman"/>
      <w:start w:val="2"/>
    </w:lvl>
  </w:abstractNum>
  <w:abstractNum w:abstractNumId="6">
    <w:nsid w:val="4DB127F8"/>
    <w:multiLevelType w:val="hybridMultilevel"/>
    <w:lvl w:ilvl="0">
      <w:lvlJc w:val="left"/>
      <w:lvlText w:val="%1."/>
      <w:numFmt w:val="decimal"/>
      <w:start w:val="5"/>
    </w:lvl>
    <w:lvl w:ilvl="1">
      <w:lvlJc w:val="left"/>
      <w:lvlText w:val="(%2)"/>
      <w:numFmt w:val="lowerLetter"/>
      <w:start w:val="1"/>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2020-06-30T15:53:31Z</dcterms:created>
  <dcterms:modified xsi:type="dcterms:W3CDTF">2020-06-30T15:53:31Z</dcterms:modified>
</cp:coreProperties>
</file>