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Skeffington Keyna Pidcock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12/31/2019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72"/>
              <w:spacing w:after="0"/>
              <w:rPr>
                <w:sz w:val="20"/>
                <w:szCs w:val="20"/>
                <w:color w:val="auto"/>
              </w:rPr>
            </w:pPr>
            <w:r>
              <w:rPr>
                <w:rFonts w:ascii="Arial" w:cs="Arial" w:eastAsia="Arial" w:hAnsi="Arial"/>
                <w:sz w:val="18"/>
                <w:szCs w:val="18"/>
                <w:color w:val="0000FF"/>
              </w:rPr>
              <w:t>18</w:t>
            </w:r>
          </w:p>
        </w:tc>
        <w:tc>
          <w:tcPr>
            <w:tcW w:w="5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w w:val="82"/>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72.26</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1,658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12/31/2019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9</w:t>
            </w:r>
          </w:p>
        </w:tc>
        <w:tc>
          <w:tcPr>
            <w:tcW w:w="5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w w:val="82"/>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1"/>
                <w:szCs w:val="11"/>
                <w:color w:val="008000"/>
              </w:rPr>
              <w:t>(2)</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1,667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jc w:val="right"/>
              <w:ind w:right="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acquired under the LivaNova Employee Share Program Plan (the "ESPP") from contributions by the reporting person.</w:t>
      </w:r>
    </w:p>
    <w:p>
      <w:pPr>
        <w:spacing w:after="0" w:line="41" w:lineRule="exact"/>
        <w:rPr>
          <w:rFonts w:ascii="Arial" w:cs="Arial" w:eastAsia="Arial" w:hAnsi="Arial"/>
          <w:sz w:val="14"/>
          <w:szCs w:val="14"/>
          <w:color w:val="008000"/>
        </w:rPr>
      </w:pPr>
    </w:p>
    <w:p>
      <w:pPr>
        <w:ind w:left="40" w:right="2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Matching Shares acquired under the ESPP where LivaNova grants one Ordinary Share for every two Ordinary Shares purchased under the ESPP to participants located in certain countries. The Matching Shares are subject to a three year restriction on selling such shares and three year forfeiture period if the participant ceases to be employed by LivaNova (with certain exclusions under the ESPP).</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01/03/2020</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28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2020-01-03T12:08:04Z</dcterms:created>
  <dcterms:modified xsi:type="dcterms:W3CDTF">2020-01-03T12:08:04Z</dcterms:modified>
</cp:coreProperties>
</file>