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Arial" w:cs="Arial" w:eastAsia="Arial" w:hAnsi="Arial"/>
          <w:sz w:val="19"/>
          <w:szCs w:val="19"/>
          <w:b w:val="1"/>
          <w:bCs w:val="1"/>
          <w:color w:val="auto"/>
        </w:rPr>
        <w:t>As filed with the Securities and Exchange Commission on May 28, 2019</w:t>
      </w:r>
    </w:p>
    <w:p>
      <w:pPr>
        <w:spacing w:after="0" w:line="200"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FORM SD</w:t>
      </w:r>
    </w:p>
    <w:p>
      <w:pPr>
        <w:spacing w:after="0" w:line="28"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270510</wp:posOffset>
            </wp:positionV>
            <wp:extent cx="240093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93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4880"/>
        <w:spacing w:after="0"/>
        <w:rPr>
          <w:sz w:val="20"/>
          <w:szCs w:val="20"/>
          <w:color w:val="auto"/>
        </w:rPr>
      </w:pPr>
      <w:r>
        <w:rPr>
          <w:rFonts w:ascii="Arial" w:cs="Arial" w:eastAsia="Arial" w:hAnsi="Arial"/>
          <w:sz w:val="29"/>
          <w:szCs w:val="29"/>
          <w:b w:val="1"/>
          <w:bCs w:val="1"/>
          <w:color w:val="auto"/>
        </w:rPr>
        <w:t>LivaNova PLC</w:t>
      </w:r>
    </w:p>
    <w:p>
      <w:pPr>
        <w:sectPr>
          <w:pgSz w:w="11900" w:h="16838" w:orient="portrait"/>
          <w:cols w:equalWidth="0" w:num="1">
            <w:col w:w="10960"/>
          </w:cols>
          <w:pgMar w:left="240" w:top="558" w:right="6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920"/>
        <w:spacing w:after="0"/>
        <w:rPr>
          <w:sz w:val="20"/>
          <w:szCs w:val="20"/>
          <w:color w:val="auto"/>
        </w:rPr>
      </w:pPr>
      <w:r>
        <w:rPr>
          <w:rFonts w:ascii="Arial" w:cs="Arial" w:eastAsia="Arial" w:hAnsi="Arial"/>
          <w:sz w:val="19"/>
          <w:szCs w:val="19"/>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2140"/>
        <w:spacing w:after="0"/>
        <w:rPr>
          <w:sz w:val="20"/>
          <w:szCs w:val="20"/>
          <w:color w:val="auto"/>
        </w:rPr>
      </w:pPr>
      <w:r>
        <w:rPr>
          <w:rFonts w:ascii="Arial" w:cs="Arial" w:eastAsia="Arial" w:hAnsi="Arial"/>
          <w:sz w:val="19"/>
          <w:szCs w:val="19"/>
          <w:b w:val="1"/>
          <w:bCs w:val="1"/>
          <w:color w:val="auto"/>
        </w:rPr>
        <w:t>001-37599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98-1268150</w:t>
      </w:r>
    </w:p>
    <w:p>
      <w:pPr>
        <w:spacing w:after="0" w:line="62" w:lineRule="exact"/>
        <w:rPr>
          <w:sz w:val="24"/>
          <w:szCs w:val="24"/>
          <w:color w:val="auto"/>
        </w:rPr>
      </w:pPr>
    </w:p>
    <w:p>
      <w:pPr>
        <w:sectPr>
          <w:pgSz w:w="11900" w:h="16838" w:orient="portrait"/>
          <w:cols w:equalWidth="0" w:num="3">
            <w:col w:w="4600" w:space="720"/>
            <w:col w:w="3060" w:space="720"/>
            <w:col w:w="1860"/>
          </w:cols>
          <w:pgMar w:left="240" w:top="558" w:right="69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1" w:lineRule="exact"/>
        <w:rPr>
          <w:sz w:val="24"/>
          <w:szCs w:val="24"/>
          <w:color w:val="auto"/>
        </w:rPr>
      </w:pPr>
    </w:p>
    <w:p>
      <w:pPr>
        <w:sectPr>
          <w:pgSz w:w="11900" w:h="16838" w:orient="portrait"/>
          <w:cols w:equalWidth="0" w:num="3">
            <w:col w:w="4060" w:space="720"/>
            <w:col w:w="2840" w:space="720"/>
            <w:col w:w="2620"/>
          </w:cols>
          <w:pgMar w:left="240" w:top="558" w:right="699" w:bottom="1440" w:gutter="0" w:footer="0" w:header="0"/>
          <w:type w:val="continuous"/>
        </w:sectPr>
      </w:pPr>
    </w:p>
    <w:p>
      <w:pPr>
        <w:ind w:left="760"/>
        <w:spacing w:after="0"/>
        <w:rPr>
          <w:sz w:val="20"/>
          <w:szCs w:val="20"/>
          <w:color w:val="auto"/>
        </w:rPr>
      </w:pPr>
      <w:r>
        <w:rPr>
          <w:rFonts w:ascii="Arial" w:cs="Arial" w:eastAsia="Arial" w:hAnsi="Arial"/>
          <w:sz w:val="18"/>
          <w:szCs w:val="18"/>
          <w:color w:val="auto"/>
        </w:rPr>
        <w:t>incorporation or organization)</w:t>
      </w:r>
    </w:p>
    <w:p>
      <w:pPr>
        <w:spacing w:after="0" w:line="238"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20 Eastbourne Terrace</w:t>
      </w:r>
    </w:p>
    <w:p>
      <w:pPr>
        <w:jc w:val="center"/>
        <w:ind w:right="-459"/>
        <w:spacing w:after="0" w:line="218" w:lineRule="auto"/>
        <w:rPr>
          <w:sz w:val="20"/>
          <w:szCs w:val="20"/>
          <w:color w:val="auto"/>
        </w:rPr>
      </w:pPr>
      <w:r>
        <w:rPr>
          <w:rFonts w:ascii="Arial" w:cs="Arial" w:eastAsia="Arial" w:hAnsi="Arial"/>
          <w:sz w:val="22"/>
          <w:szCs w:val="22"/>
          <w:b w:val="1"/>
          <w:bCs w:val="1"/>
          <w:color w:val="auto"/>
        </w:rPr>
        <w:t>London, United Kingdom</w:t>
      </w:r>
    </w:p>
    <w:p>
      <w:pPr>
        <w:jc w:val="center"/>
        <w:ind w:right="-459"/>
        <w:spacing w:after="0" w:line="210" w:lineRule="auto"/>
        <w:rPr>
          <w:sz w:val="20"/>
          <w:szCs w:val="20"/>
          <w:color w:val="auto"/>
        </w:rPr>
      </w:pPr>
      <w:r>
        <w:rPr>
          <w:rFonts w:ascii="Arial" w:cs="Arial" w:eastAsia="Arial" w:hAnsi="Arial"/>
          <w:sz w:val="22"/>
          <w:szCs w:val="22"/>
          <w:b w:val="1"/>
          <w:bCs w:val="1"/>
          <w:color w:val="auto"/>
        </w:rPr>
        <w:t>W2 6LG</w:t>
      </w:r>
    </w:p>
    <w:p>
      <w:pPr>
        <w:ind w:left="382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0960"/>
          </w:cols>
          <w:pgMar w:left="240" w:top="558" w:right="69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Catherine Moroz</w:t>
      </w:r>
    </w:p>
    <w:p>
      <w:pPr>
        <w:spacing w:after="0" w:line="28"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Company Secretary</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+44 20 3325 0660</w:t>
      </w:r>
    </w:p>
    <w:p>
      <w:pPr>
        <w:spacing w:after="0" w:line="195" w:lineRule="exact"/>
        <w:rPr>
          <w:sz w:val="24"/>
          <w:szCs w:val="24"/>
          <w:color w:val="auto"/>
        </w:rPr>
      </w:pPr>
    </w:p>
    <w:p>
      <w:pPr>
        <w:ind w:left="1900"/>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347" w:lineRule="exact"/>
        <w:rPr>
          <w:sz w:val="24"/>
          <w:szCs w:val="24"/>
          <w:color w:val="auto"/>
        </w:rPr>
      </w:pPr>
    </w:p>
    <w:p>
      <w:pPr>
        <w:ind w:right="4600"/>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3"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Rule 13p-1 under the Securities Exchange Act (17 CFR 240.13p-1) for the reporting period from January 1 to December 31, 2018.</w:t>
      </w:r>
    </w:p>
    <w:p>
      <w:pPr>
        <w:sectPr>
          <w:pgSz w:w="11900" w:h="16838" w:orient="portrait"/>
          <w:cols w:equalWidth="0" w:num="1">
            <w:col w:w="10960"/>
          </w:cols>
          <w:pgMar w:left="240" w:top="558" w:right="6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INFORMATION TO BE INCLUDED IN THE REPORT</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1—Conflict Minerals Disclosure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172" w:lineRule="exact"/>
        <w:rPr>
          <w:sz w:val="20"/>
          <w:szCs w:val="20"/>
          <w:color w:val="auto"/>
        </w:rPr>
      </w:pPr>
    </w:p>
    <w:p>
      <w:pPr>
        <w:ind w:right="80" w:firstLine="648"/>
        <w:spacing w:after="0" w:line="261" w:lineRule="auto"/>
        <w:rPr>
          <w:sz w:val="20"/>
          <w:szCs w:val="20"/>
          <w:color w:val="auto"/>
        </w:rPr>
      </w:pPr>
      <w:r>
        <w:rPr>
          <w:rFonts w:ascii="Arial" w:cs="Arial" w:eastAsia="Arial" w:hAnsi="Arial"/>
          <w:sz w:val="21"/>
          <w:szCs w:val="21"/>
          <w:color w:val="auto"/>
        </w:rPr>
        <w:t>LivaNova PLC, headquartered in London, (collectively with its subsidiaries, the “Company”, “LivaNova”, “we” or “our”), is a global medical device company focused on the development and delivery of important therapeutic solutions for the benefit of patients, healthcare professionals and healthcare systems throughout the world. Working closely with our global team of medical professionals in the fields of Cardiac Surgery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126"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We were organized under the laws of England and Wales on February 20, 2015 for the purpose of facilitating the business combination of Cyberonics, Inc., a Delaware corporation (“Cyberonics”) and Sorin S.p.A., a joint stock company organized under the laws of Italy (“Sorin”). The business combination of Cyberonics and Sorin (the “Merger”) became effective on October 19, 2015.</w:t>
      </w:r>
    </w:p>
    <w:p>
      <w:pPr>
        <w:spacing w:after="0" w:line="6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LivaNova is filing this Specialized Disclosure report on Form SD (this “Form SD”) for LivaNova’s Neuromodulation, Cardiac Rhythm Management, and Cardiac Surgery supply chain operations for the year ended December 31, 2018. This Form SD is presented in compliance with Rule 13p-1 under the Securities Exchange Act of 1934, as amended, for the reporting period from January 1, 2018 to December 31, 2018.</w:t>
      </w:r>
    </w:p>
    <w:p>
      <w:pPr>
        <w:spacing w:after="0" w:line="14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21"/>
          <w:szCs w:val="21"/>
          <w:color w:val="auto"/>
        </w:rPr>
        <w:t>A copy of our Conflict Minerals Report is filed as a part of this Form SD. In accordance with Rule 12b-12 (17 CFR 240.12b-12), a copy of this Form SD may be found on our website at http://www.livanova.com/investor-relations/sec-filings.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LivaNova has filed, as an exhibit to this Form SD, the Conflict Minerals Report required by Item 1.01.</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 is filed as part of this report.</w:t>
      </w:r>
    </w:p>
    <w:p>
      <w:pPr>
        <w:spacing w:after="0" w:line="227"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22"/>
          <w:szCs w:val="22"/>
          <w:b w:val="1"/>
          <w:bCs w:val="1"/>
          <w:u w:val="single" w:color="auto"/>
          <w:color w:val="auto"/>
        </w:rPr>
        <w:t>Exhibit</w:t>
      </w:r>
      <w:r>
        <w:rPr>
          <w:sz w:val="20"/>
          <w:szCs w:val="20"/>
          <w:color w:val="auto"/>
        </w:rPr>
        <w:tab/>
      </w:r>
      <w:r>
        <w:rPr>
          <w:rFonts w:ascii="Arial" w:cs="Arial" w:eastAsia="Arial" w:hAnsi="Arial"/>
          <w:sz w:val="22"/>
          <w:szCs w:val="22"/>
          <w:b w:val="1"/>
          <w:bCs w:val="1"/>
          <w:u w:val="single" w:color="auto"/>
          <w:color w:val="auto"/>
        </w:rPr>
        <w:t>Description</w:t>
      </w:r>
    </w:p>
    <w:p>
      <w:pPr>
        <w:spacing w:after="0" w:line="347"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0000FF"/>
        </w:rPr>
        <w:t>Conflict Minerals Report as required by Items 1.01 and 1.02 of this Form.</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0"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18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color w:val="auto"/>
        </w:rPr>
        <w:t>Date: May 28, 2019</w:t>
      </w:r>
      <w:r>
        <w:rPr>
          <w:sz w:val="20"/>
          <w:szCs w:val="20"/>
          <w:color w:val="auto"/>
        </w:rPr>
        <w:tab/>
      </w:r>
      <w:r>
        <w:rPr>
          <w:rFonts w:ascii="Arial" w:cs="Arial" w:eastAsia="Arial" w:hAnsi="Arial"/>
          <w:sz w:val="19"/>
          <w:szCs w:val="19"/>
          <w:color w:val="auto"/>
        </w:rPr>
        <w:t>By:</w:t>
      </w:r>
      <w:r>
        <w:rPr>
          <w:rFonts w:ascii="Arial" w:cs="Arial" w:eastAsia="Arial" w:hAnsi="Arial"/>
          <w:sz w:val="19"/>
          <w:szCs w:val="19"/>
          <w:u w:val="single" w:color="auto"/>
          <w:color w:val="auto"/>
        </w:rPr>
        <w:t>/s/ Catherine Moroz</w:t>
      </w:r>
    </w:p>
    <w:p>
      <w:pPr>
        <w:spacing w:after="0" w:line="4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Name: Catherine Moroz</w:t>
      </w:r>
    </w:p>
    <w:p>
      <w:pPr>
        <w:spacing w:after="0" w:line="4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382" w:right="37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u w:val="single" w:color="auto"/>
          <w:color w:val="auto"/>
        </w:rPr>
        <w:t>Exhibit 1.01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This Conflict Minerals Report of LivaNova PLC (this “Report”) has been prepared for the reporting period from January 1, 2018 to December 31, 2018 pursuant to Rule 13p-1 under the Securities Exchange Act of 1934 (the “Rule”). The Rule was adopted by the Securities and Exchange Commission (“SEC”) to implement disclosure and reporting requirements pursuant to Section 1502 of the Dodd-Frank Wall Street Reform and Consumer Protection Act (the “Act”). The Act defines conflict minerals as cassiterite (tin), columbite-tanlite (tantalum), gold, wolframite (tungsten), (together, “3TG”) or their derivatives (“Conflict Minerals”). The “Covered Countries” for the purposes of the Rule are the Democratic Republic of the Congo, the Republic of the Congo, the Central African Republic, South Sudan, Uganda, Rwanda, Burundi, Tanzania, Zambia and Angola. The Rule imposes certain reporting requirements on SEC registrants who manufacture or contract to manufacture products that include Conflict Minerals, if such Conflict Minerals are necessary to the functionality or production of the products.</w:t>
      </w:r>
    </w:p>
    <w:p>
      <w:pPr>
        <w:spacing w:after="0" w:line="150"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w:t>
      </w:r>
    </w:p>
    <w:p>
      <w:pPr>
        <w:spacing w:after="0" w:line="283" w:lineRule="exact"/>
        <w:rPr>
          <w:sz w:val="20"/>
          <w:szCs w:val="20"/>
          <w:color w:val="auto"/>
        </w:rPr>
      </w:pPr>
    </w:p>
    <w:p>
      <w:pPr>
        <w:ind w:firstLine="648"/>
        <w:spacing w:after="0" w:line="309" w:lineRule="auto"/>
        <w:rPr>
          <w:sz w:val="20"/>
          <w:szCs w:val="20"/>
          <w:color w:val="auto"/>
        </w:rPr>
      </w:pPr>
      <w:r>
        <w:rPr>
          <w:rFonts w:ascii="Arial" w:cs="Arial" w:eastAsia="Arial" w:hAnsi="Arial"/>
          <w:sz w:val="18"/>
          <w:szCs w:val="18"/>
          <w:color w:val="auto"/>
        </w:rPr>
        <w:t>This Report has been prepared by the management of LivaNova PLC (“LivaNova,” “we,” “us,” “registrant,” or “our”). It does not include the activities of variable interest entities that are not required to be consolidated.</w:t>
      </w:r>
    </w:p>
    <w:p>
      <w:pPr>
        <w:spacing w:after="0" w:line="129" w:lineRule="exact"/>
        <w:rPr>
          <w:sz w:val="20"/>
          <w:szCs w:val="20"/>
          <w:color w:val="auto"/>
        </w:rPr>
      </w:pPr>
    </w:p>
    <w:p>
      <w:pPr>
        <w:ind w:firstLine="648"/>
        <w:spacing w:after="0" w:line="309" w:lineRule="auto"/>
        <w:rPr>
          <w:sz w:val="20"/>
          <w:szCs w:val="20"/>
          <w:color w:val="auto"/>
        </w:rPr>
      </w:pPr>
      <w:r>
        <w:rPr>
          <w:rFonts w:ascii="Arial" w:cs="Arial" w:eastAsia="Arial" w:hAnsi="Arial"/>
          <w:sz w:val="18"/>
          <w:szCs w:val="18"/>
          <w:color w:val="auto"/>
        </w:rPr>
        <w:t>This Conflict Minerals Report, reports the results for LivaNova Neuromodulation, Cardiac Rhythm Management, and Cardiac Surgery supply chain operations for the year ended December 31, 2018.</w:t>
      </w:r>
    </w:p>
    <w:p>
      <w:pPr>
        <w:spacing w:after="0" w:line="129" w:lineRule="exact"/>
        <w:rPr>
          <w:sz w:val="20"/>
          <w:szCs w:val="20"/>
          <w:color w:val="auto"/>
        </w:rPr>
      </w:pPr>
    </w:p>
    <w:p>
      <w:pPr>
        <w:ind w:firstLine="648"/>
        <w:spacing w:after="0" w:line="377" w:lineRule="auto"/>
        <w:rPr>
          <w:sz w:val="20"/>
          <w:szCs w:val="20"/>
          <w:color w:val="auto"/>
        </w:rPr>
      </w:pPr>
      <w:r>
        <w:rPr>
          <w:rFonts w:ascii="Arial" w:cs="Arial" w:eastAsia="Arial" w:hAnsi="Arial"/>
          <w:sz w:val="16"/>
          <w:szCs w:val="16"/>
          <w:color w:val="auto"/>
        </w:rPr>
        <w:t>At LivaNova, we understand the importance of bringing both clinical and economic value to our customers. We are a strong, market-leading medical technology and services company, offering a diverse product portfolio and global reach. In fiscal year 2018, LivaNova operated as three business franchises:</w:t>
      </w:r>
    </w:p>
    <w:p>
      <w:pPr>
        <w:spacing w:after="0" w:line="66" w:lineRule="exact"/>
        <w:rPr>
          <w:sz w:val="20"/>
          <w:szCs w:val="20"/>
          <w:color w:val="auto"/>
        </w:rPr>
      </w:pPr>
    </w:p>
    <w:p>
      <w:pPr>
        <w:jc w:val="both"/>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Cardiac Surgery: </w:t>
      </w:r>
      <w:r>
        <w:rPr>
          <w:rFonts w:ascii="Arial" w:cs="Arial" w:eastAsia="Arial" w:hAnsi="Arial"/>
          <w:sz w:val="18"/>
          <w:szCs w:val="18"/>
          <w:color w:val="auto"/>
        </w:rPr>
        <w:t>Our Cardiac Surgery Business Franchise is engaged in the development, production and sale of cardiac surgery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oxygenators, heart-lung machines, perfusion tubing systems, cannulae and other accessories used for extracorporeal circulation, systems for autologous blood transfusion and blood washing, as well as a complete line of surgical tissue and mechanical heart valve replacements and repair products.</w:t>
      </w:r>
    </w:p>
    <w:p>
      <w:pPr>
        <w:spacing w:after="0" w:line="71"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Neuromodulation: </w:t>
      </w:r>
      <w:r>
        <w:rPr>
          <w:rFonts w:ascii="Arial" w:cs="Arial" w:eastAsia="Arial" w:hAnsi="Arial"/>
          <w:sz w:val="18"/>
          <w:szCs w:val="18"/>
          <w:color w:val="auto"/>
        </w:rPr>
        <w:t>Our Neuromodulation Business Franchise designs, develops and markets neuromodulation-based medical devices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epilepsy and depression.</w:t>
      </w:r>
    </w:p>
    <w:p>
      <w:pPr>
        <w:spacing w:after="0" w:line="71" w:lineRule="exact"/>
        <w:rPr>
          <w:rFonts w:ascii="Arial" w:cs="Arial" w:eastAsia="Arial" w:hAnsi="Arial"/>
          <w:sz w:val="18"/>
          <w:szCs w:val="18"/>
          <w:color w:val="auto"/>
        </w:rPr>
      </w:pPr>
    </w:p>
    <w:p>
      <w:pPr>
        <w:jc w:val="both"/>
        <w:ind w:left="660"/>
        <w:spacing w:after="0" w:line="305" w:lineRule="auto"/>
        <w:rPr>
          <w:rFonts w:ascii="Arial" w:cs="Arial" w:eastAsia="Arial" w:hAnsi="Arial"/>
          <w:sz w:val="18"/>
          <w:szCs w:val="18"/>
          <w:color w:val="auto"/>
        </w:rPr>
      </w:pPr>
      <w:r>
        <w:rPr>
          <w:rFonts w:ascii="Arial" w:cs="Arial" w:eastAsia="Arial" w:hAnsi="Arial"/>
          <w:sz w:val="17"/>
          <w:szCs w:val="17"/>
          <w:color w:val="auto"/>
        </w:rPr>
        <w:t>Our seminal neuromodulation product, the VNS Therapy® System, is an implantable device authorized for the treatment of drug-resistant epilepsy and treatment-resistant depression (“TRD”). The VNS Therapy System consists of an implantable pulse generator and connective lead that work to stimulate the vagus nerve; surgical equipment to assist with the implant procedure; equipment and instruction manuals enabling a treating physician to set parameters for a patient’s pulse generator; and for epilepsy, magnets to manually suspend or induce nerve stimulation. The VNS Therapy pulse generator and lead are surgically implanted in a subcutaneous pocket in the upper left chest area, generally during an out-patient procedure; the lead (which does not need to be removed to replace a generator with a depleted battery) is connected to the pulse generator and tunneled under the skin to the vagus nerve in the lower left side of the patient’s neck.</w:t>
      </w:r>
    </w:p>
    <w:p>
      <w:pPr>
        <w:spacing w:after="0" w:line="120"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Cardiac Rhythm Management: </w:t>
      </w:r>
      <w:r>
        <w:rPr>
          <w:rFonts w:ascii="Arial" w:cs="Arial" w:eastAsia="Arial" w:hAnsi="Arial"/>
          <w:sz w:val="18"/>
          <w:szCs w:val="18"/>
          <w:color w:val="auto"/>
        </w:rPr>
        <w:t>The Cardiac Rhythm Management Business Franchise developed, manufactured, and marketed goods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diagnosis, treatment, and management of heart rhythm disorders and heart failure. These products included implantable devices, leads and delivery systems and information</w:t>
      </w:r>
    </w:p>
    <w:p>
      <w:pPr>
        <w:sectPr>
          <w:pgSz w:w="11900" w:h="16838" w:orient="portrait"/>
          <w:cols w:equalWidth="0" w:num="1">
            <w:col w:w="11420"/>
          </w:cols>
          <w:pgMar w:left="240" w:top="378" w:right="239" w:bottom="1440" w:gutter="0" w:footer="0" w:header="0"/>
        </w:sectPr>
      </w:pPr>
    </w:p>
    <w:bookmarkStart w:id="4" w:name="page5"/>
    <w:bookmarkEnd w:id="4"/>
    <w:p>
      <w:pPr>
        <w:ind w:left="660"/>
        <w:spacing w:after="0" w:line="357" w:lineRule="auto"/>
        <w:rPr>
          <w:sz w:val="20"/>
          <w:szCs w:val="20"/>
          <w:color w:val="auto"/>
        </w:rPr>
      </w:pPr>
      <w:r>
        <w:rPr>
          <w:rFonts w:ascii="Arial" w:cs="Arial" w:eastAsia="Arial" w:hAnsi="Arial"/>
          <w:sz w:val="17"/>
          <w:szCs w:val="17"/>
          <w:color w:val="auto"/>
        </w:rPr>
        <w:t>systems for the management of patients with cardiac rhythm management devices. LivaNova divested the CRM business in the second quarter of 2018. This report only includes results on the CRM products distributed while LivaNova had operational and financial control.</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broad and complex product range may contain conflict minerals within the following components:</w:t>
      </w:r>
    </w:p>
    <w:p>
      <w:pPr>
        <w:spacing w:after="0" w:line="13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Tantalum, used in capacitors;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Tin, used in electrical components, printed circuit board assembly (PCBA), hardware, and equipment;</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Tungsten, used in coatings, alloys, heating elements and electrodes;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Gold, used in circuit boards, electrodes and electronic components.</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on LivaNova is available at www.livanova.com.</w:t>
      </w:r>
    </w:p>
    <w:p>
      <w:pPr>
        <w:spacing w:after="0" w:line="20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General Policy and Team</w:t>
      </w:r>
    </w:p>
    <w:p>
      <w:pPr>
        <w:spacing w:after="0" w:line="283"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6"/>
          <w:szCs w:val="16"/>
          <w:color w:val="auto"/>
        </w:rPr>
        <w:t>We strive to conduct our activities in a manner that reflects our mission and Code of Business Conduct and Ethics – which includes being a good corporate citizen, dealing fairly in business, behaving ethically, supporting a safe and healthy workplace, doing business in an environmentally responsible manner, and complying with applicable law. We are committed to ensuring that our supply chain reflects our values and beliefs, including adherence to principles of responsible sourcing for materials for our products. As part of our commitment, LivaNova supports the goals and objectives of Section 1502 of the Dodd Frank Act that requires public companies to determine the sourcing of conflict minerals used in their products. We expect our suppliers to support our efforts to comply with the Dodd Frank Act and to proactively identify and work towards eliminating the use of any minerals that fund or benefit armed groups from within our supply chain. In addition, we expect our suppliers to conduct business operations in an ethical manner and to comply with our Code of Conduct and all applicable laws related to environmental responsibility, workplace health and safety, and human resources.</w:t>
      </w:r>
    </w:p>
    <w:p>
      <w:pPr>
        <w:spacing w:after="0" w:line="168"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8"/>
          <w:szCs w:val="18"/>
          <w:color w:val="auto"/>
        </w:rPr>
        <w:t>We have established a cross-functional team to implement our conflict mineral compliance strategy and policy. This team has executive level involvement and access to various subject matter experts from such areas as sourcing, procurement, legal and finance.</w:t>
      </w:r>
    </w:p>
    <w:p>
      <w:pPr>
        <w:spacing w:after="0" w:line="1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83"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In beginning our analysis in conjunction with our partners at Assent Compliance, we first determined which of our products contained 3TGs necessary to the functionality or production of such products. We then conducted a good faith reasonable country of origin inquiry (“RCOI”) with respect to 3TGs contained in our products by assessing our supply chain in accordance with the OECD Guidance (as defined below).</w:t>
      </w:r>
    </w:p>
    <w:p>
      <w:pPr>
        <w:spacing w:after="0" w:line="19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The RCOI was designed to determine whether any 3TGs contained in our products originated in the Covered Countries. We do not purchase minerals directly from mines, smelters or refiners and therefore must rely on our direct suppliers to provide information on the origin of the minerals contained in components and materials supplied to us or products manufactured for us.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began our supplier scoping process by:</w:t>
      </w:r>
    </w:p>
    <w:p>
      <w:pPr>
        <w:spacing w:after="0" w:line="239" w:lineRule="exact"/>
        <w:rPr>
          <w:sz w:val="20"/>
          <w:szCs w:val="20"/>
          <w:color w:val="auto"/>
        </w:rPr>
      </w:pPr>
    </w:p>
    <w:p>
      <w:pPr>
        <w:ind w:left="5660" w:right="2840" w:hanging="5004"/>
        <w:spacing w:after="0" w:line="810" w:lineRule="auto"/>
        <w:tabs>
          <w:tab w:leader="none" w:pos="971"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Determining which of our products commercially distributed in 2018 contained one or more of the 3TGs; 2</w:t>
      </w:r>
    </w:p>
    <w:p>
      <w:pPr>
        <w:sectPr>
          <w:pgSz w:w="11900" w:h="16838" w:orient="portrait"/>
          <w:cols w:equalWidth="0" w:num="1">
            <w:col w:w="11420"/>
          </w:cols>
          <w:pgMar w:left="240" w:top="395" w:right="239" w:bottom="1440" w:gutter="0" w:footer="0" w:header="0"/>
        </w:sectPr>
      </w:pPr>
    </w:p>
    <w:bookmarkStart w:id="5" w:name="page6"/>
    <w:bookmarkEnd w:id="5"/>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our suppliers that manufactured or contracted to manufacture components or products containing 3TGs;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suppliers that provide product or service that are deemed out of scope (provide material that does not ship with or does not impact functionality of the final product).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supply chain survey, and the conflict minerals program as a whole, has been developed and implemented in cooperation with Assent Compliance.</w:t>
      </w:r>
    </w:p>
    <w:p>
      <w:pPr>
        <w:spacing w:after="0" w:line="197" w:lineRule="exact"/>
        <w:rPr>
          <w:sz w:val="20"/>
          <w:szCs w:val="20"/>
          <w:color w:val="auto"/>
        </w:rPr>
      </w:pPr>
    </w:p>
    <w:p>
      <w:pPr>
        <w:ind w:right="40" w:firstLine="648"/>
        <w:spacing w:after="0" w:line="363" w:lineRule="auto"/>
        <w:rPr>
          <w:sz w:val="20"/>
          <w:szCs w:val="20"/>
          <w:color w:val="auto"/>
        </w:rPr>
      </w:pPr>
      <w:r>
        <w:rPr>
          <w:rFonts w:ascii="Arial" w:cs="Arial" w:eastAsia="Arial" w:hAnsi="Arial"/>
          <w:sz w:val="16"/>
          <w:szCs w:val="16"/>
          <w:color w:val="auto"/>
        </w:rPr>
        <w:t>Our primary means of determining country of origin information for the necessary 3TGs was by conducting a supply chain survey using the Conflict Minerals Reporting Template (CMRT), developed by the Responsible Business Alliance – RBA GeSI. Only suppliers, who were identified as possibly providing components or products containing 3TGs, were asked to complete the CMRT. The CMRT was developed to facilitate disclosure and communication of information regarding smelters and refiners that provide material to a company’s supply chain. It includes questions regarding a direct supplier’s conflict minerals policy, engagement with its direct suppliers, and a listing of the smelters and refiners that the direct supplier and its suppliers source from. In addition, the CMRT contains questions about the origin of conflict minerals included in the direct supplier’s products, as well as supplier due diligence. Written instructions and recorded training illustrating the use of the tool are available on RBA’s website as well as provided by Assent Compliance. The CMRT version 5.11 or higher was the industry standard template used for conflict minerals data collection for our 2019 report.</w:t>
      </w:r>
    </w:p>
    <w:p>
      <w:pPr>
        <w:spacing w:after="0" w:line="11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We surveyed 416 suppliers based on the scoping process noted above. Responses were tracked and supplier statuses reported regularly by Assent Compliance to LivaNova. As of May 13th, 2019, we had received responses from 247 of the suppliers surveyed. Assent Compliance reached out to our suppliers a minimum of three times and then sent at least two escalated campaigns to those suppliers who had still not responded. In addition, LivaNova reached out to the non-responsive suppliers multiple times requesting they fulfill the request.</w:t>
      </w:r>
    </w:p>
    <w:p>
      <w:pPr>
        <w:spacing w:after="0" w:line="215"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8"/>
          <w:szCs w:val="18"/>
          <w:color w:val="auto"/>
        </w:rPr>
        <w:t>During the survey, Assent Compliance assessed the supplier list and received information from suppliers in the following groups that could be deemed as out of scope:</w:t>
      </w:r>
    </w:p>
    <w:p>
      <w:pPr>
        <w:spacing w:after="0" w:line="196"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 providers/suppliers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Indirect materials suppliers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Inactive suppliers (minimum 5 years since last purchase)</w:t>
      </w:r>
    </w:p>
    <w:p>
      <w:pPr>
        <w:spacing w:after="0" w:line="279" w:lineRule="exact"/>
        <w:rPr>
          <w:sz w:val="20"/>
          <w:szCs w:val="20"/>
          <w:color w:val="auto"/>
        </w:rPr>
      </w:pPr>
    </w:p>
    <w:p>
      <w:pPr>
        <w:jc w:val="both"/>
        <w:ind w:firstLine="648"/>
        <w:spacing w:after="0" w:line="377" w:lineRule="auto"/>
        <w:rPr>
          <w:sz w:val="20"/>
          <w:szCs w:val="20"/>
          <w:color w:val="auto"/>
        </w:rPr>
      </w:pPr>
      <w:r>
        <w:rPr>
          <w:rFonts w:ascii="Arial" w:cs="Arial" w:eastAsia="Arial" w:hAnsi="Arial"/>
          <w:sz w:val="16"/>
          <w:szCs w:val="16"/>
          <w:color w:val="auto"/>
        </w:rPr>
        <w:t>Once Assent received confirmation from LivaNova on these designations, the suppliers were classified as Out of Scope in the Assent Compliance Manager (“ACM”), which is the software tool used to manage the conflict minerals program. Through this process, one supplier was deemed out of scope.</w:t>
      </w:r>
    </w:p>
    <w:p>
      <w:pPr>
        <w:spacing w:after="0" w:line="1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Our program continues to include automated data validation on all submitted CMRTs. The goal of data validation is to increase the accuracy of submissions, identify submissions not including smelter lists and identify any contradictory answers in the CMRT. All submitted forms are accepted and classified as valid or invalid so that data is still retained. Suppliers were contacted in regards to invalid forms and were encouraged to resubmit a valid form. As of the 13</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May 2019, we still had 14 invalid supplier submissions that were not yet corrected.</w:t>
      </w:r>
    </w:p>
    <w:p>
      <w:pPr>
        <w:spacing w:after="0" w:line="133"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There were some suppliers who were unable to provide smelter or refiner lists and suppliers who could not provide full smelter lists. Accordingly, before conducting an in-depth examination of the smelter information itself, it is important to note that since LivaNova was unable to obtain full smelter information from all in-scope suppliers, LivaNova is unable to confidently state the countries of origin for all 3TGs contained in our products.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6" w:name="page7"/>
    <w:bookmarkEnd w:id="6"/>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 Design of Due Diligence</w:t>
      </w:r>
    </w:p>
    <w:p>
      <w:pPr>
        <w:spacing w:after="0" w:line="28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LivaNova designed its due diligence process to be in conformity, in all material respects, with the due diligence framework of the Organization of Economic Co-operation and Development Due Diligence Guidance for Responsible Supply Chains of Minerals from Conflict-Affected and High-Risk Areas, Second Edition and related Supplements on Tin, Tantalum and Tungsten and on Gold (collectively the “OECD Guidance”). LivaNova’s due diligence process is based on multi-industry initiatives with the smelters and refiners who provide conflict minerals within global supply chains.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4.1.1 Establish Strong Company Management and Control Systems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Conflict Minerals Policy</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LivaNova has adopted a Conflict Minerals Policy, which is provided in section 2 of this report.</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Internal Team and Training</w:t>
      </w:r>
    </w:p>
    <w:p>
      <w:pPr>
        <w:spacing w:after="0" w:line="283"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7"/>
          <w:szCs w:val="17"/>
          <w:color w:val="auto"/>
        </w:rPr>
        <w:t>LivaNova has established a management team relating to conflict minerals. In 2018, our management team was overseen by the Senior Vice President Global Operations and a team of subject matter experts from relevant functions such as, supply chain, operations, finance and legal. The team of subject matter experts is responsible for implementing our conflict minerals compliance strategy and was led by the VP of Global Supply Chain, who acts as the Conflict Minerals Program Manager. Some members of this team have attended external workshops involving this subject matter and have used this information to train those internally responsible for assisting with component review and data collection.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Control Systems</w:t>
      </w:r>
    </w:p>
    <w:p>
      <w:pPr>
        <w:spacing w:after="0" w:line="28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Controls include, but are not limited to, our Code of Business Conduct and Ethics which outlines certain expected behaviors for all employees. In addition, we rely on our direct suppliers to provide information on the origin of the 3TGs contained in components and materials supplied to us, including sources of 3TGs that are supplied to them from lower tier suppliers.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Supplier Engagement</w:t>
      </w:r>
    </w:p>
    <w:p>
      <w:pPr>
        <w:spacing w:after="0" w:line="28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As we do not have a direct relationship with 3TGs smelters and refiners, we are engaged and actively cooperate with other manufacturers in our industry and other sectors. We rely primarily on our direct suppliers to provide information on the origin of the 3TGs contained in components and materials supplied to us, including sources of 3TGs that are supplied to them from lower tier suppliers.</w:t>
      </w:r>
    </w:p>
    <w:p>
      <w:pPr>
        <w:spacing w:after="0" w:line="20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We have leveraged the existing communications within the Company, specifically through our procurement personnel, to encourage supplier interactions with Assent Compliance as well for them to understand the need for completion of the surveys. Feedback from this process has allowed us to enhance the training, focus it and adapt it to each user’s needs. It has also allowed for our supplier communications to be more focused and ensure expectations are clear.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21"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b w:val="1"/>
          <w:bCs w:val="1"/>
          <w:color w:val="auto"/>
        </w:rPr>
        <w:t>Grievance Mechanism</w:t>
      </w:r>
    </w:p>
    <w:p>
      <w:pPr>
        <w:spacing w:after="0" w:line="283"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8"/>
          <w:szCs w:val="18"/>
          <w:color w:val="auto"/>
        </w:rPr>
        <w:t>We have longstanding grievance mechanisms whereby employees and suppliers can report violations of the Company’s policies, including our Code of Business Conduct and Ethics policy.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Records Maintenance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retained all relevant documentation from our RCOI and due diligence process.</w:t>
      </w:r>
    </w:p>
    <w:p>
      <w:pPr>
        <w:spacing w:after="0" w:line="27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Identify and Assess Risk in Our Supply Chain</w:t>
      </w:r>
    </w:p>
    <w:p>
      <w:pPr>
        <w:spacing w:after="0" w:line="283" w:lineRule="exact"/>
        <w:rPr>
          <w:sz w:val="20"/>
          <w:szCs w:val="20"/>
          <w:color w:val="auto"/>
        </w:rPr>
      </w:pPr>
    </w:p>
    <w:p>
      <w:pPr>
        <w:jc w:val="both"/>
        <w:ind w:right="20" w:firstLine="648"/>
        <w:spacing w:after="0" w:line="309" w:lineRule="auto"/>
        <w:rPr>
          <w:sz w:val="20"/>
          <w:szCs w:val="20"/>
          <w:color w:val="auto"/>
        </w:rPr>
      </w:pPr>
      <w:r>
        <w:rPr>
          <w:rFonts w:ascii="Arial" w:cs="Arial" w:eastAsia="Arial" w:hAnsi="Arial"/>
          <w:sz w:val="18"/>
          <w:szCs w:val="18"/>
          <w:color w:val="auto"/>
        </w:rPr>
        <w:t>Because of our size, the complexity of our products, and the depth, breadth, and constant evolution of our supply chain, it is difficult for us to identify actors upstream from our direct suppliers.</w:t>
      </w:r>
    </w:p>
    <w:p>
      <w:pPr>
        <w:spacing w:after="0" w:line="1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As a result of a thorough review of the bill of materials (BOMs) of the products we distributed in 2018, for which we manufactured or contracted out manufacturing, we identified 416 direct suppliers to the company that may provide materials which contain any of the 3TGs. Out of those 416 suppliers, we initially deemed one as out of scope based upon the criteria listed above. We then based our RCOI on the remaining 415 suppliers. We rely on suppliers whose materials or components contain 3TGs to provide us with information about the source of 3TGs contained in those materials or components. Our direct suppliers similarly rely upon information provided by their suppliers. Many of the largest suppliers either are SEC registrants and subject to the Rule or are suppliers to other SEC registrants that are subject to the Rule.</w:t>
      </w:r>
    </w:p>
    <w:p>
      <w:pPr>
        <w:spacing w:after="0" w:line="2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In accordance with OECD Guidelines, it is important to understand risk levels associated with 3TGs in the supply chain. Smelter(s) or refiner(s) (“SORs”) that are not certified as DRC-Conflict Free by third party sources such as the Responsible Minerals Initiative – RMI pose a potential risk. Where a smelter is not identified as Conflict Free, it is assigned a risk rating of High, Medium or Low. This rating is based on various factors, including the SOR’s geographic location, including proximity to the Covered Countries, the SOR’s Responsible Minerals Assurance Process – RMAP audit status, and any known or plausible evidence of unethical or conflicting sourcing.</w:t>
      </w:r>
    </w:p>
    <w:p>
      <w:pPr>
        <w:spacing w:after="0" w:line="217" w:lineRule="exact"/>
        <w:rPr>
          <w:sz w:val="20"/>
          <w:szCs w:val="20"/>
          <w:color w:val="auto"/>
        </w:rPr>
      </w:pPr>
    </w:p>
    <w:p>
      <w:pPr>
        <w:jc w:val="both"/>
        <w:ind w:right="160" w:firstLine="648"/>
        <w:spacing w:after="0" w:line="295" w:lineRule="auto"/>
        <w:rPr>
          <w:sz w:val="20"/>
          <w:szCs w:val="20"/>
          <w:color w:val="auto"/>
        </w:rPr>
      </w:pPr>
      <w:r>
        <w:rPr>
          <w:rFonts w:ascii="Arial" w:cs="Arial" w:eastAsia="Arial" w:hAnsi="Arial"/>
          <w:sz w:val="18"/>
          <w:szCs w:val="18"/>
          <w:color w:val="auto"/>
        </w:rPr>
        <w:t>We calculate supplier risk based on the chances that a supplier provides 3TGs that may originate from Non-Conflict Free sources. The value of this risk is calculated based on the risk ratings of the smelters declared by that supplier on their CMRT. Based on the above criteria, the following facilities have been identified as being of highest concern to the supply chain:</w:t>
      </w:r>
    </w:p>
    <w:p>
      <w:pPr>
        <w:spacing w:after="0" w:line="155" w:lineRule="exact"/>
        <w:rPr>
          <w:sz w:val="20"/>
          <w:szCs w:val="20"/>
          <w:color w:val="auto"/>
        </w:rPr>
      </w:pPr>
    </w:p>
    <w:p>
      <w:pPr>
        <w:ind w:left="1360" w:hanging="704"/>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Tony Goetz NV - CID002587</w:t>
      </w:r>
    </w:p>
    <w:p>
      <w:pPr>
        <w:spacing w:after="0" w:line="63" w:lineRule="exact"/>
        <w:rPr>
          <w:rFonts w:ascii="Arial" w:cs="Arial" w:eastAsia="Arial" w:hAnsi="Arial"/>
          <w:sz w:val="18"/>
          <w:szCs w:val="18"/>
          <w:color w:val="auto"/>
        </w:rPr>
      </w:pPr>
    </w:p>
    <w:p>
      <w:pPr>
        <w:ind w:left="1360" w:hanging="704"/>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Kaloti Precious Metals - CID002563</w:t>
      </w:r>
    </w:p>
    <w:p>
      <w:pPr>
        <w:spacing w:after="0" w:line="63" w:lineRule="exact"/>
        <w:rPr>
          <w:rFonts w:ascii="Arial" w:cs="Arial" w:eastAsia="Arial" w:hAnsi="Arial"/>
          <w:sz w:val="18"/>
          <w:szCs w:val="18"/>
          <w:color w:val="auto"/>
        </w:rPr>
      </w:pPr>
    </w:p>
    <w:p>
      <w:pPr>
        <w:ind w:left="1360" w:hanging="704"/>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Universal Precious Metals Refining Zambia - CID002854</w:t>
      </w:r>
    </w:p>
    <w:p>
      <w:pPr>
        <w:spacing w:after="0" w:line="63" w:lineRule="exact"/>
        <w:rPr>
          <w:rFonts w:ascii="Arial" w:cs="Arial" w:eastAsia="Arial" w:hAnsi="Arial"/>
          <w:sz w:val="18"/>
          <w:szCs w:val="18"/>
          <w:color w:val="auto"/>
        </w:rPr>
      </w:pPr>
    </w:p>
    <w:p>
      <w:pPr>
        <w:ind w:left="1360" w:hanging="704"/>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Fidelity Printers and Refiners - CID002515</w:t>
      </w:r>
    </w:p>
    <w:p>
      <w:pPr>
        <w:spacing w:after="0" w:line="63" w:lineRule="exact"/>
        <w:rPr>
          <w:rFonts w:ascii="Arial" w:cs="Arial" w:eastAsia="Arial" w:hAnsi="Arial"/>
          <w:sz w:val="18"/>
          <w:szCs w:val="18"/>
          <w:color w:val="auto"/>
        </w:rPr>
      </w:pPr>
    </w:p>
    <w:p>
      <w:pPr>
        <w:ind w:left="1360" w:hanging="704"/>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Sudan Gold Refinery - CID002567</w:t>
      </w:r>
    </w:p>
    <w:p>
      <w:pPr>
        <w:spacing w:after="0" w:line="63" w:lineRule="exact"/>
        <w:rPr>
          <w:rFonts w:ascii="Arial" w:cs="Arial" w:eastAsia="Arial" w:hAnsi="Arial"/>
          <w:sz w:val="18"/>
          <w:szCs w:val="18"/>
          <w:color w:val="auto"/>
        </w:rPr>
      </w:pPr>
    </w:p>
    <w:p>
      <w:pPr>
        <w:ind w:left="1360" w:hanging="704"/>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African Gold Refinery Limited (AGR) - CID003185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21" w:right="239" w:bottom="1440" w:gutter="0" w:footer="0" w:header="0"/>
        </w:sectPr>
      </w:pPr>
    </w:p>
    <w:bookmarkStart w:id="8" w:name="page9"/>
    <w:bookmarkEnd w:id="8"/>
    <w:p>
      <w:pPr>
        <w:ind w:right="160" w:firstLine="648"/>
        <w:spacing w:after="0" w:line="290" w:lineRule="auto"/>
        <w:rPr>
          <w:sz w:val="20"/>
          <w:szCs w:val="20"/>
          <w:color w:val="auto"/>
        </w:rPr>
      </w:pPr>
      <w:r>
        <w:rPr>
          <w:rFonts w:ascii="Arial" w:cs="Arial" w:eastAsia="Arial" w:hAnsi="Arial"/>
          <w:sz w:val="18"/>
          <w:szCs w:val="18"/>
          <w:color w:val="auto"/>
        </w:rPr>
        <w:t>When these facilities were reported on a CMRT by one of the suppliers surveyed, risk mitigation activities are initiated. Through our third-party vendor, Assent Compliance, submissions that include any of the above facilities immediately produce a receipt instructing the supplier to take their own risk mitigation actions, including submission of a product specific CMRT to better identify the connection to products that they supply to the Company, and escalating up to removal of these high-risk smelters from their supply chain.</w:t>
      </w:r>
    </w:p>
    <w:p>
      <w:pPr>
        <w:spacing w:after="0" w:line="148" w:lineRule="exact"/>
        <w:rPr>
          <w:sz w:val="20"/>
          <w:szCs w:val="20"/>
          <w:color w:val="auto"/>
        </w:rPr>
      </w:pPr>
    </w:p>
    <w:p>
      <w:pPr>
        <w:ind w:right="480" w:firstLine="648"/>
        <w:spacing w:after="0" w:line="295" w:lineRule="auto"/>
        <w:rPr>
          <w:sz w:val="20"/>
          <w:szCs w:val="20"/>
          <w:color w:val="auto"/>
        </w:rPr>
      </w:pPr>
      <w:r>
        <w:rPr>
          <w:rFonts w:ascii="Arial" w:cs="Arial" w:eastAsia="Arial" w:hAnsi="Arial"/>
          <w:sz w:val="18"/>
          <w:szCs w:val="18"/>
          <w:color w:val="auto"/>
        </w:rPr>
        <w:t>Additionally, suppliers are evaluated on program strength (further assisting in identifying risk in the supply chain). Evaluating and tracking the strength of the program can assist in making key risk mitigation decisions as the program progresses. The criteria used to evaluate the strength of the supplier’s program are:</w:t>
      </w:r>
    </w:p>
    <w:p>
      <w:pPr>
        <w:spacing w:after="0" w:line="169" w:lineRule="exact"/>
        <w:rPr>
          <w:sz w:val="20"/>
          <w:szCs w:val="20"/>
          <w:color w:val="auto"/>
        </w:rPr>
      </w:pPr>
    </w:p>
    <w:p>
      <w:pPr>
        <w:ind w:left="1360" w:hanging="704"/>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 you have a policy in place that includes DRC conflict-free sourcing?</w:t>
      </w:r>
    </w:p>
    <w:p>
      <w:pPr>
        <w:spacing w:after="0" w:line="103" w:lineRule="exact"/>
        <w:rPr>
          <w:rFonts w:ascii="Arial" w:cs="Arial" w:eastAsia="Arial" w:hAnsi="Arial"/>
          <w:sz w:val="18"/>
          <w:szCs w:val="18"/>
          <w:color w:val="auto"/>
        </w:rPr>
      </w:pPr>
    </w:p>
    <w:p>
      <w:pPr>
        <w:ind w:left="1380" w:hanging="724"/>
        <w:spacing w:after="0"/>
        <w:tabs>
          <w:tab w:leader="none" w:pos="1380" w:val="left"/>
        </w:tabs>
        <w:numPr>
          <w:ilvl w:val="0"/>
          <w:numId w:val="12"/>
        </w:numPr>
        <w:rPr>
          <w:rFonts w:ascii="Arial" w:cs="Arial" w:eastAsia="Arial" w:hAnsi="Arial"/>
          <w:sz w:val="20"/>
          <w:szCs w:val="20"/>
          <w:color w:val="auto"/>
        </w:rPr>
      </w:pPr>
      <w:r>
        <w:rPr>
          <w:rFonts w:ascii="Arial" w:cs="Arial" w:eastAsia="Arial" w:hAnsi="Arial"/>
          <w:sz w:val="18"/>
          <w:szCs w:val="18"/>
          <w:color w:val="auto"/>
        </w:rPr>
        <w:t>Have you implemented due diligence measures for conflict-free sourcing?</w:t>
      </w:r>
    </w:p>
    <w:p>
      <w:pPr>
        <w:spacing w:after="0" w:line="67" w:lineRule="exact"/>
        <w:rPr>
          <w:rFonts w:ascii="Arial" w:cs="Arial" w:eastAsia="Arial" w:hAnsi="Arial"/>
          <w:sz w:val="20"/>
          <w:szCs w:val="20"/>
          <w:color w:val="auto"/>
        </w:rPr>
      </w:pPr>
    </w:p>
    <w:p>
      <w:pPr>
        <w:ind w:left="1360" w:hanging="704"/>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 you review due diligence information received from your suppliers against your company’s expectations?</w:t>
      </w:r>
    </w:p>
    <w:p>
      <w:pPr>
        <w:spacing w:after="0" w:line="90" w:lineRule="exact"/>
        <w:rPr>
          <w:rFonts w:ascii="Arial" w:cs="Arial" w:eastAsia="Arial" w:hAnsi="Arial"/>
          <w:sz w:val="18"/>
          <w:szCs w:val="18"/>
          <w:color w:val="auto"/>
        </w:rPr>
      </w:pPr>
    </w:p>
    <w:p>
      <w:pPr>
        <w:ind w:left="1360" w:hanging="704"/>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 you verify due diligence information received from your suppliers?</w:t>
      </w:r>
    </w:p>
    <w:p>
      <w:pPr>
        <w:spacing w:after="0" w:line="306"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8"/>
          <w:szCs w:val="18"/>
          <w:color w:val="auto"/>
        </w:rPr>
        <w:t>When suppliers answer yes, they are deemed to have a strong program. When suppliers do not meet those criteria, they are deemed to have a weak program.</w:t>
      </w:r>
    </w:p>
    <w:p>
      <w:pPr>
        <w:spacing w:after="0" w:line="19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The SORs listed by suppliers in their CMRTs were matched against a database of verified SORs. Verified SORs were matched against available lists of processors that have been certified by internationally-recognized industry validation schemes, such as the RMI’s Responsible Minerals Assurance Process – RMAP.</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cases where suppliers and products were associated with certified SORs, they were categorized by the Company as “DRC Conflict Free.”</w:t>
      </w:r>
    </w:p>
    <w:p>
      <w:pPr>
        <w:spacing w:after="0" w:line="27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If the SOR was not certified by an internationally-recognized organization, research was conducted to gain more information about the SOR’s sourcing practices, including countries of origin and transfer, and whether there were any internal due diligence procedures in place or other processes the SOR had taken to track the chain-of-custody on the source of its mineral ores.</w:t>
      </w:r>
    </w:p>
    <w:p>
      <w:pPr>
        <w:spacing w:after="0" w:line="209"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color w:val="auto"/>
        </w:rPr>
        <w:t>Tracing materials back to their mine of origin is a complex aspect of responsible sourcing in our supply chain. We have determined that seeking information about 3TG SORs in our supply chain represents the most reasonable effort we can make to determine the mines or locations of origin of the 3TGs in our supply chain. This was done by adopting methodology outlined by the RMI’s joint industry programs and outreach initiatives and requiring our suppliers to conform with the same standards to meet the OECD Guidelines, and report to us using the CMRT. Through this industry joint effort, we made reasonable determination of the mines or locations of origin of the 3TGs in our supply chain. We also requested that all of our suppliers support the initiative by following the sourcing initiative and working to align their declared sources with the “Known” and “Conflict Free” lists of sourced metals.</w:t>
      </w:r>
    </w:p>
    <w:p>
      <w:pPr>
        <w:spacing w:after="0" w:line="19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6"/>
          <w:szCs w:val="16"/>
          <w:b w:val="1"/>
          <w:bCs w:val="1"/>
          <w:color w:val="auto"/>
        </w:rPr>
        <w:t>Design and Implement a Strategy to Respond to Risks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designing and implementing our strategy to respond to the supply chain risks that we identified, LivaNova analyzed various industry approaches.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LivaNova has established a risk management plan through which the conflict minerals program is implemented, managed and monitored.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82" w:right="239" w:bottom="1440" w:gutter="0" w:footer="0" w:header="0"/>
        </w:sectPr>
      </w:pPr>
    </w:p>
    <w:bookmarkStart w:id="9" w:name="page10"/>
    <w:bookmarkEnd w:id="9"/>
    <w:p>
      <w:pPr>
        <w:jc w:val="both"/>
        <w:ind w:firstLine="648"/>
        <w:spacing w:after="0" w:line="337" w:lineRule="auto"/>
        <w:rPr>
          <w:sz w:val="20"/>
          <w:szCs w:val="20"/>
          <w:color w:val="auto"/>
        </w:rPr>
      </w:pPr>
      <w:r>
        <w:rPr>
          <w:rFonts w:ascii="Arial" w:cs="Arial" w:eastAsia="Arial" w:hAnsi="Arial"/>
          <w:sz w:val="16"/>
          <w:szCs w:val="16"/>
          <w:color w:val="auto"/>
        </w:rPr>
        <w:t>As part of our risk management plan, to ensure suppliers understand our expectations, we have provided both video, online training courses and documented instructions through Assent Compliance. We answered all questions or requests for clarification from suppliers, assistance completing the CMRT and one-on-one email or phone discussions with supplier personnel. We then provided each supplier a copy of the CMRT to complete for purposes of conflict minerals tracking. Furthermore, we reviewed responses to the reporting CMRT with specific suppliers where we needed clarification.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4.1.4 Carry out Independent Third Party Audit of Supply Chain Due Diligence at Identified Points in the Supply Chain</w:t>
      </w:r>
    </w:p>
    <w:p>
      <w:pPr>
        <w:spacing w:after="0" w:line="28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LivaNova does not have a direct relationship with SORs of 3TGs and as a result, LivaNova does not perform direct audits of these entities in its supply chain. LivaNova relies on the efforts of the industry associations that administer independent third-party SOR audit programs and encourages suppliers with more direct relationships with SORs to participate in comparable due diligence validation activities.</w:t>
      </w:r>
    </w:p>
    <w:p>
      <w:pPr>
        <w:spacing w:after="0" w:line="20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6"/>
          <w:szCs w:val="16"/>
          <w:b w:val="1"/>
          <w:bCs w:val="1"/>
          <w:color w:val="auto"/>
        </w:rPr>
        <w:t>Report on Supply Chain Due Diligence</w:t>
      </w:r>
    </w:p>
    <w:p>
      <w:pPr>
        <w:spacing w:after="0" w:line="283" w:lineRule="exact"/>
        <w:rPr>
          <w:sz w:val="20"/>
          <w:szCs w:val="20"/>
          <w:color w:val="auto"/>
        </w:rPr>
      </w:pPr>
    </w:p>
    <w:p>
      <w:pPr>
        <w:jc w:val="both"/>
        <w:ind w:right="20" w:firstLine="648"/>
        <w:spacing w:after="0" w:line="309" w:lineRule="auto"/>
        <w:rPr>
          <w:sz w:val="20"/>
          <w:szCs w:val="20"/>
          <w:color w:val="auto"/>
        </w:rPr>
      </w:pPr>
      <w:r>
        <w:rPr>
          <w:rFonts w:ascii="Arial" w:cs="Arial" w:eastAsia="Arial" w:hAnsi="Arial"/>
          <w:sz w:val="18"/>
          <w:szCs w:val="18"/>
          <w:color w:val="auto"/>
        </w:rPr>
        <w:t>This Conflict Minerals Report is being filed with the SEC as an exhibit to our specialized disclosure report on Form SD and is available on our website at http://www.livanova.com/investor-relations/sec-filings.</w:t>
      </w:r>
    </w:p>
    <w:p>
      <w:pPr>
        <w:spacing w:after="0" w:line="152" w:lineRule="exact"/>
        <w:rPr>
          <w:sz w:val="20"/>
          <w:szCs w:val="20"/>
          <w:color w:val="auto"/>
        </w:rPr>
      </w:pPr>
    </w:p>
    <w:p>
      <w:pPr>
        <w:ind w:left="1440" w:hanging="784"/>
        <w:spacing w:after="0"/>
        <w:tabs>
          <w:tab w:leader="none" w:pos="1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Results</w:t>
      </w:r>
    </w:p>
    <w:p>
      <w:pPr>
        <w:spacing w:after="0" w:line="31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During our due diligence efforts, members of Assent Compliance and/or members of the LivaNova supply chain team made at least three follow-up inquiries to each “non-responsive” supplier who did not respond to our initial survey, by phone or email. Assent Compliance reviewed the responses against criteria developed to determine which required further engagement with our suppliers. These criteria included incomplete responses as well as inconsistencies within the data reported in the CMRT. Assent Compliance worked directly with those suppliers to provide revised responses.</w:t>
      </w:r>
    </w:p>
    <w:p>
      <w:pPr>
        <w:spacing w:after="0" w:line="19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The large majority of the responses received provided data at the supplier company level or a division/segment level relative to the supplier, rather than at a level directly relating to a part number that the supplier supplies to us, or were otherwise unable to specify the SORs used for components supplied to us. We were therefore unable to determine whether any of the 3TGs that these suppliers reported was contained in components or parts supplied to us are actually in our supply chain.</w:t>
      </w:r>
    </w:p>
    <w:p>
      <w:pPr>
        <w:spacing w:after="0" w:line="215"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7"/>
          <w:szCs w:val="17"/>
          <w:color w:val="auto"/>
        </w:rPr>
        <w:t xml:space="preserve">As noted above, we received 247 responses from our in-scope suppliers as of May 13th, 2019. Based on these responses, for all responses that indicated a SOR, our third party consultant compared the facilities listed to the list of SORs maintained by the RMI. If a supplier indicated that the facility was certified as “Conflict-Free,” Assent Compliance confirmed that the name was listed by RMI as a certified SOR. No violations were identified. As of May 13th, 2019, we have validated 322 SORs and we are working to validate the additional SOR entries from the submitted CMRTs.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lists all legitimate smelters and refiners that the suppliers we surveyed reported as being in their supply chains. We have not listed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any smelters or refiners that we have not been able to validate.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includes an aggregated list of the potential countries of origin from which the reported facilities collectively source conflict minerals, based upon information provided by suppliers and RMI.</w:t>
      </w:r>
    </w:p>
    <w:p>
      <w:pPr>
        <w:spacing w:after="0" w:line="206"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8"/>
          <w:szCs w:val="18"/>
          <w:color w:val="auto"/>
        </w:rPr>
        <w:t>Based on the smelter lists provided by suppliers via the CMRTs and publicly available information, we have identified 254 SORs that are certified conflict free smelters by the RMI.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82"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color w:val="auto"/>
        </w:rPr>
        <w:t>Efforts to Determine Mine or Location of Origin</w:t>
      </w:r>
    </w:p>
    <w:p>
      <w:pPr>
        <w:spacing w:after="0" w:line="2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By requesting our suppliers to complete the CMRT, and, as the program progresses, requiring full completion of all necessary smelter identification information which will enable the validation and disclosure of the SORs as well as the tracing of the 3TGs to their location of origin, we have determined that seeking information about 3TGs SORs in our supply chain represents the most reasonable effort we can make to determine the mines or locations of origin of the 3TGs in our supply chain.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Planned Process Improvements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take the following steps to improve our conflict minerals program:</w:t>
      </w:r>
    </w:p>
    <w:p>
      <w:pPr>
        <w:spacing w:after="0" w:line="306" w:lineRule="exact"/>
        <w:rPr>
          <w:sz w:val="20"/>
          <w:szCs w:val="20"/>
          <w:color w:val="auto"/>
        </w:rPr>
      </w:pPr>
    </w:p>
    <w:p>
      <w:pPr>
        <w:ind w:left="1360" w:hanging="704"/>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Track and add new suppliers as they enter our supply chain to the Company’s Conflict Minerals program.</w:t>
      </w:r>
    </w:p>
    <w:p>
      <w:pPr>
        <w:spacing w:after="0" w:line="333" w:lineRule="exact"/>
        <w:rPr>
          <w:rFonts w:ascii="Arial" w:cs="Arial" w:eastAsia="Arial" w:hAnsi="Arial"/>
          <w:sz w:val="18"/>
          <w:szCs w:val="18"/>
          <w:color w:val="auto"/>
        </w:rPr>
      </w:pPr>
    </w:p>
    <w:p>
      <w:pPr>
        <w:ind w:left="1360" w:hanging="704"/>
        <w:spacing w:after="0"/>
        <w:tabs>
          <w:tab w:leader="none" w:pos="1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Engage with suppliers and direct them to training resources to attempt to increase the response rate and improve the content of the supplier</w:t>
      </w:r>
    </w:p>
    <w:p>
      <w:pPr>
        <w:spacing w:after="0" w:line="11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survey responses.</w:t>
      </w:r>
    </w:p>
    <w:p>
      <w:pPr>
        <w:spacing w:after="0" w:line="333" w:lineRule="exact"/>
        <w:rPr>
          <w:rFonts w:ascii="Arial" w:cs="Arial" w:eastAsia="Arial" w:hAnsi="Arial"/>
          <w:sz w:val="16"/>
          <w:szCs w:val="16"/>
          <w:color w:val="auto"/>
        </w:rPr>
      </w:pPr>
    </w:p>
    <w:p>
      <w:pPr>
        <w:ind w:firstLine="656"/>
        <w:spacing w:after="0" w:line="371" w:lineRule="auto"/>
        <w:tabs>
          <w:tab w:leader="none" w:pos="13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any of our suppliers found to be supplying us with 3TG from sources in the DRC or any adjoining country that they cannot demonstrate are “DRC conflict free” to establish an alternative source of 3TG that they can demonstrate are “DRC conflict free”.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8"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u w:val="single" w:color="auto"/>
          <w:color w:val="auto"/>
        </w:rPr>
        <w:t>Appendix A 2018 Smelter or Refiner (SOR) List</w:t>
      </w:r>
    </w:p>
    <w:p>
      <w:pPr>
        <w:spacing w:after="0" w:line="216" w:lineRule="exact"/>
        <w:rPr>
          <w:sz w:val="20"/>
          <w:szCs w:val="20"/>
          <w:color w:val="auto"/>
        </w:rPr>
      </w:pPr>
    </w:p>
    <w:p>
      <w:pPr>
        <w:ind w:right="140" w:firstLine="648"/>
        <w:spacing w:after="0" w:line="309" w:lineRule="auto"/>
        <w:rPr>
          <w:sz w:val="20"/>
          <w:szCs w:val="20"/>
          <w:color w:val="auto"/>
        </w:rPr>
      </w:pPr>
      <w:r>
        <w:rPr>
          <w:rFonts w:ascii="Arial" w:cs="Arial" w:eastAsia="Arial" w:hAnsi="Arial"/>
          <w:sz w:val="18"/>
          <w:szCs w:val="18"/>
          <w:color w:val="auto"/>
        </w:rPr>
        <w:t>The following smelters and refiners were reported by our suppliers as being in their supply chains. Facilities that have been certified as conflict-free by an internationally-recognized validation scheme (RMI) for 3TGs smelters and refiners are identified below.</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Metal</w:t>
            </w:r>
          </w:p>
        </w:tc>
        <w:tc>
          <w:tcPr>
            <w:tcW w:w="60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Standard Smelter Name</w:t>
            </w:r>
          </w:p>
        </w:tc>
        <w:tc>
          <w:tcPr>
            <w:tcW w:w="2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Smelter Facility Location</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Smelter ID</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8853 S.p.A.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CID002763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Abington Reldan Metals, LLC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CID002708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Advanced Chemical Company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CID000015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African Gold Refinery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UGANDA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CID003185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Aida Chemical Industries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CID000019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 Etihad Gold LLC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ARAB EMIRATES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Allgemeine Gold-und Silberscheideanstalt A.G.</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CID000035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Almalyk Mining and Metallurgical Complex (AMMC)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UZBEKISTAN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CID000041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AngloGold Ashanti Córrego do Sítio Mineração</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CID000058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Argor-Heraeus 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CID000077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Asahi Pretec Corp.</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CID000082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Asahi Refining Canada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CID000924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Asahi Refining USA Inc.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CID000920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Asaka Riken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CID000090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Atasay Kuyumculuk Sanayi Ve Ticaret A.S.</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TURKEY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CID000103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 Traders and Refiners</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SOUTH AFRICA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Aurubis AG</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CID000113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Bangalore Refinery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CID002863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Bangko Sentral ng Pilipinas (Central Bank of the Philippines)</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CID000128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Boliden AB</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SWEDEN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CID000157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 Hafner GmbH + Co. KG</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CID000176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Caridad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MEXICO</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CID000180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CCR Refinery - Glencore Canada Corporation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CID000185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Cendres + Métaux 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CID000189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CGR Metalloys Pvt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CID003382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Chimet S.p.A.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CID000233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Chugai Mining</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CID000264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Daejin Indus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CID000328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Daye Non-Ferrous Metals Mining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CID000343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Degussa Sonne / Mond Goldhandel GmbH</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CID002867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Dijllah Gold Refinery FZC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ARAB EMIRATES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CID003348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DODUCO Contacts and Refining GmbH</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CID000362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Dowa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CID000401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DS PRETECH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CID003195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DSC (Do Sung Corporation)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CID000359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453"/>
        </w:trPr>
        <w:tc>
          <w:tcPr>
            <w:tcW w:w="1280" w:type="dxa"/>
            <w:vAlign w:val="bottom"/>
          </w:tcPr>
          <w:p>
            <w:pPr>
              <w:spacing w:after="0"/>
              <w:rPr>
                <w:sz w:val="24"/>
                <w:szCs w:val="24"/>
                <w:color w:val="auto"/>
              </w:rPr>
            </w:pPr>
          </w:p>
        </w:tc>
        <w:tc>
          <w:tcPr>
            <w:tcW w:w="6060" w:type="dxa"/>
            <w:vAlign w:val="bottom"/>
          </w:tcPr>
          <w:p>
            <w:pPr>
              <w:ind w:left="4380"/>
              <w:spacing w:after="0"/>
              <w:rPr>
                <w:sz w:val="20"/>
                <w:szCs w:val="20"/>
                <w:color w:val="auto"/>
              </w:rPr>
            </w:pPr>
            <w:r>
              <w:rPr>
                <w:rFonts w:ascii="Arial" w:cs="Arial" w:eastAsia="Arial" w:hAnsi="Arial"/>
                <w:sz w:val="18"/>
                <w:szCs w:val="18"/>
                <w:color w:val="auto"/>
              </w:rPr>
              <w:t>9</w:t>
            </w:r>
          </w:p>
        </w:tc>
        <w:tc>
          <w:tcPr>
            <w:tcW w:w="27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40"/>
          </w:cols>
          <w:pgMar w:left="240" w:top="378" w:right="2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Eco-System Recycling Co., Ltd.</w:t>
            </w:r>
          </w:p>
        </w:tc>
        <w:tc>
          <w:tcPr>
            <w:tcW w:w="2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CID000425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Emirates Gold DMCC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ARAB EMIRATES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Fidelity Printers and Refiners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ZIMBABWE</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Fujairah Gold FZE</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ARAB EMIRATES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CID002584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GCC Gujrat Gold Centre Pvt.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Geib Refining Corporation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CID002459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Gold Refinery of Zijin Mining Group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CID002243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Great Wall Precious Metals Co., Ltd. of CBPM</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CID001909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Jinding Gold Limited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Guoda Safina High-Tech Environmental Refinery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CID000651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Hangzhou Fuchunjiang Smelting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CID000671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HeeSung</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CID000689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Heimerle + Meule GmbH</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CID000694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Heraeus Metals Hong Kong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CID000707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Heraeus Precious Metals GmbH &amp; Co. KG</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CID000711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Guiyang yinxing Nonferrous Smelting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CID000773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Hwasung CJ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CID000778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Inner Mongolia Qiankun Gold and Silver Refinery Share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CID000801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International Precious Metal Refiners</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ARAB EMIRATES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Ishifuku Metal Industry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CID000807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Istanbul Gold Refinery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TURKEY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CID000814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Italpreziosi</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CID002765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 Mint</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CID000823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Copper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CID000855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JSC Ekaterinburg Non-Ferrous Metal Processing Plant</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CID000927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JSC Uralelectromed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CID000929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JX Nippon Mining &amp; Metals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CID000937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Kaloti Precious Metals</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ARAB EMIRATES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Kazakhmys Smelting LLC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CID000956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Kazzinc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CID000957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Kennecott Utah Copper LLC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CID000969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KGHM Polska Miedz Spolka Akcyjna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Kojima Chemicals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CID000981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Zinc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CID002605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Kyrgyzaltyn JSC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KYRGYZSTAN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CID001029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Kyshtym Copper-Electrolytic Plant ZAO</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CID002865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L'azurde Company For Jewelry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SAUDI ARABIA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CID001032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Lingbao Gold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CID001056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Lingbao Jinyuan Tonghui Refinery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CID001058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L'Orfebre 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ANDORRA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CID002762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453"/>
        </w:trPr>
        <w:tc>
          <w:tcPr>
            <w:tcW w:w="1280" w:type="dxa"/>
            <w:vAlign w:val="bottom"/>
          </w:tcPr>
          <w:p>
            <w:pPr>
              <w:spacing w:after="0"/>
              <w:rPr>
                <w:sz w:val="24"/>
                <w:szCs w:val="24"/>
                <w:color w:val="auto"/>
              </w:rPr>
            </w:pPr>
          </w:p>
        </w:tc>
        <w:tc>
          <w:tcPr>
            <w:tcW w:w="6060" w:type="dxa"/>
            <w:vAlign w:val="bottom"/>
          </w:tcPr>
          <w:p>
            <w:pPr>
              <w:ind w:left="4340"/>
              <w:spacing w:after="0"/>
              <w:rPr>
                <w:sz w:val="20"/>
                <w:szCs w:val="20"/>
                <w:color w:val="auto"/>
              </w:rPr>
            </w:pPr>
            <w:r>
              <w:rPr>
                <w:rFonts w:ascii="Arial" w:cs="Arial" w:eastAsia="Arial" w:hAnsi="Arial"/>
                <w:sz w:val="18"/>
                <w:szCs w:val="18"/>
                <w:color w:val="auto"/>
              </w:rPr>
              <w:t>10</w:t>
            </w:r>
          </w:p>
        </w:tc>
        <w:tc>
          <w:tcPr>
            <w:tcW w:w="27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LS-NIKKO Copper Inc.</w:t>
            </w:r>
          </w:p>
        </w:tc>
        <w:tc>
          <w:tcPr>
            <w:tcW w:w="2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CID001078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Luoyang Zijin Yinhui Gold Refinery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CID001093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Marsam Metals</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CID002606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Materion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CID001113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Matsuda Sangyo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CID001119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Technologies (Hong Kong)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CID001149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Technologies (Singapore) Pte.,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SINGAPORE</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CID001152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Technologies (Suzhou)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CID001147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Technologies 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CID001153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USA Refining Corporation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CID001157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Metalúrgica Met-Mex Peñoles S.A. De C.V.</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MEXICO</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CID001161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CID001188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Mitsui Mining and Smelting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CID001193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MMTC-PAMP India Pvt.,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Modeltech Sdn Bhd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Morris and Watson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NEW ZEALAND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CID002282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Morris and Watson Gold Coast</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AUSTRALIA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CID002866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Moscow Special Alloys Processing Plant</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CID001204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Nadir Metal Rafineri San. Ve Tic. A.Ş.</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TURKEY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CID001220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Navoi Mining and Metallurgical Combinat</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UZBEKISTAN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CID001236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NH Recytech Company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CID003189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Nihon Material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CID001259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Ögussa Österreichische Gold- und Silber-Scheideanstalt GmbH</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AUSTRIA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Ohura Precious Metal Industry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CID001325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1"/>
              </w:rPr>
              <w:t>OJSC "The Gulidov Krasnoyarsk Non-Ferrous Metals Plant" (OJSC Krastsvetmet)</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CID001326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OJSC Novosibirsk Refinery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CID000493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PAMP 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CID001352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Pease &amp; Curren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CID002872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Penglai Penggang Gold Industry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CID001362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Planta Recuperadora de Metales SpA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CHILE</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CID002919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Prioksky Plant of Non-Ferrous Metals</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CID001386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Aneka Tambang (Persero) Tbk</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CID001397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PX Précinox 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CID001498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QG Refining, LLC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CID003324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Rand Refinery (Pty)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SOUTH AFRICA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CID001512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Refinery of Seemine Gold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CID000522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Remondis Argentia B.V.</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NETHERLANDS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CID002582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Metals Corporation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Royal Canadian Mint</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CID001534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SAAMP</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FRANCE</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CID002761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453"/>
        </w:trPr>
        <w:tc>
          <w:tcPr>
            <w:tcW w:w="1280" w:type="dxa"/>
            <w:vAlign w:val="bottom"/>
          </w:tcPr>
          <w:p>
            <w:pPr>
              <w:spacing w:after="0"/>
              <w:rPr>
                <w:sz w:val="24"/>
                <w:szCs w:val="24"/>
                <w:color w:val="auto"/>
              </w:rPr>
            </w:pPr>
          </w:p>
        </w:tc>
        <w:tc>
          <w:tcPr>
            <w:tcW w:w="6060" w:type="dxa"/>
            <w:vAlign w:val="bottom"/>
          </w:tcPr>
          <w:p>
            <w:pPr>
              <w:ind w:left="4340"/>
              <w:spacing w:after="0"/>
              <w:rPr>
                <w:sz w:val="20"/>
                <w:szCs w:val="20"/>
                <w:color w:val="auto"/>
              </w:rPr>
            </w:pPr>
            <w:r>
              <w:rPr>
                <w:rFonts w:ascii="Arial" w:cs="Arial" w:eastAsia="Arial" w:hAnsi="Arial"/>
                <w:sz w:val="18"/>
                <w:szCs w:val="18"/>
                <w:color w:val="auto"/>
              </w:rPr>
              <w:t>11</w:t>
            </w:r>
          </w:p>
        </w:tc>
        <w:tc>
          <w:tcPr>
            <w:tcW w:w="27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Sabin Metal Corp.</w:t>
            </w:r>
          </w:p>
        </w:tc>
        <w:tc>
          <w:tcPr>
            <w:tcW w:w="2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CID001546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Safimet S.p.A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CID002973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SAFINA A.S.</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CZECH REPUBLIC</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CID002290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Sai Refinery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Samduck Precious Metals</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CID001555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SAMWON Metals Corp.</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CID001562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SAXONIA Edelmetalle GmbH</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SEMPSA Joyería Platería 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SPAIN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CID001585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Shandong Tiancheng Biological Gold Industrial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CID001619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Shandong Zhaojin Gold &amp; Silver Refinery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CID001622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Shangdong Humon Smelting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CID002525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Sichuan Tianze Precious Metals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CID001736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Singway Technology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TAIWAN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SOE Shyolkovsky Factory of Secondary Precious Metals</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CID001756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Solar Applied Materials Technology Corp.</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TAIWAN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CID001761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Sovereign Metals</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CID003383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State Research Institute Center for Physical Sciences and Technology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LITHUANIA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CID003153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Sudan Gold Refinery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SUDAN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Sumitomo Metal Mining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CID001798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SungEel HiTech</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CID002918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T.C.A S.p.A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CID002580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Tanaka Kikinzoku Kogyo K.K.</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CID001875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The Refinery of Shandong Gold Mining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CID001916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Tokuriki Honten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CID001938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Tongling Nonferrous Metals Group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CID001947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Tony Goetz NV</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BELGIUM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CID002587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TOO Tau-Ken-Altyn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CID002615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Torecom</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CID001955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Umicore Brasil Ltda.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CID001977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Umicore Precious Metals Thailand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Umicore S.A. Business Unit Precious Metals Refining</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BELGIUM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CID001980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Precious Metal Refining, Inc.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CID001993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Universal Precious Metals Refining Zambia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ZAMBIA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Valcambi 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CID002003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Western Australian Mint trading as The Perth Mint</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AUSTRALIA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CID002030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WIELAND Edelmetalle GmbH</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Yamamoto Precious Metal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CID002100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Yokohama Metal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CID002129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Yunnan Copper Industry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CID000197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Gold</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Zhongyuan Gold Smelter of Zhongjin Gold Corporation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CID002224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Asaka Riken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CID000092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Changsha South Tantalum Niobium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CID000211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CP Metals Inc.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CID003402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453"/>
        </w:trPr>
        <w:tc>
          <w:tcPr>
            <w:tcW w:w="1280" w:type="dxa"/>
            <w:vAlign w:val="bottom"/>
          </w:tcPr>
          <w:p>
            <w:pPr>
              <w:spacing w:after="0"/>
              <w:rPr>
                <w:sz w:val="24"/>
                <w:szCs w:val="24"/>
                <w:color w:val="auto"/>
              </w:rPr>
            </w:pPr>
          </w:p>
        </w:tc>
        <w:tc>
          <w:tcPr>
            <w:tcW w:w="6060" w:type="dxa"/>
            <w:vAlign w:val="bottom"/>
          </w:tcPr>
          <w:p>
            <w:pPr>
              <w:ind w:left="4340"/>
              <w:spacing w:after="0"/>
              <w:rPr>
                <w:sz w:val="20"/>
                <w:szCs w:val="20"/>
                <w:color w:val="auto"/>
              </w:rPr>
            </w:pPr>
            <w:r>
              <w:rPr>
                <w:rFonts w:ascii="Arial" w:cs="Arial" w:eastAsia="Arial" w:hAnsi="Arial"/>
                <w:sz w:val="18"/>
                <w:szCs w:val="18"/>
                <w:color w:val="auto"/>
              </w:rPr>
              <w:t>12</w:t>
            </w:r>
          </w:p>
        </w:tc>
        <w:tc>
          <w:tcPr>
            <w:tcW w:w="27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 Block Metals, LLC</w:t>
            </w:r>
          </w:p>
        </w:tc>
        <w:tc>
          <w:tcPr>
            <w:tcW w:w="1940" w:type="dxa"/>
            <w:vAlign w:val="bottom"/>
            <w:tcBorders>
              <w:top w:val="single" w:sz="8" w:color="00000A"/>
              <w:right w:val="single" w:sz="8" w:color="00000A"/>
            </w:tcBorders>
          </w:tcPr>
          <w:p>
            <w:pPr>
              <w:spacing w:after="0"/>
              <w:rPr>
                <w:sz w:val="22"/>
                <w:szCs w:val="22"/>
                <w:color w:val="auto"/>
              </w:rPr>
            </w:pPr>
          </w:p>
        </w:tc>
        <w:tc>
          <w:tcPr>
            <w:tcW w:w="2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CID002504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Exotech Inc.</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CID000456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F&amp;X Electro-Materials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CID000460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FIR Metals &amp; Resource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Global Advanced Metals Aizu</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Global Advanced Metals Boyertown</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Guangdong Rising Rare Metals-EO Materials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CID000291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Guangdong Zhiyuan New Material Co.,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CID000616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H.C. Starck Co.,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H.C. Starck Hermsdorf GmbH</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H.C. Starck Inc.</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H.C. Starck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H.C. Starck Smelting GmbH &amp; Co. KG</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H.C. Starck Tantalum and Niobium GmbH</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w w:val="99"/>
              </w:rPr>
              <w:t>Hengyang King Xing Lifeng New Materials Co.,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CID002492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Jiangxi Dinghai Tantalum &amp; Niobium Co.,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Jiangxi Tuohong New Raw Material</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Jiujiang Janny New Material Co.,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CID003191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JiuJiang JinXin Nonferrous Metals Co.,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CID000914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Jiujiang Tanbre Co.,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CID000917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Jiujiang Zhongao Tantalum &amp; Niobium Co.,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KEMET Blue Metals</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MEXICO</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CID002539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KEMET Blue Powder</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LSM Brasil S.A.</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CID001076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Metallurgical Products India Pvt.,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CID001163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Mineracao Taboca S.A.</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CID001175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Mitsui Mining and Smelting Co.,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CID001192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Ningxia Orient Tantalum Industry Co.,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CID001277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NPM Silmet AS</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ESTONIA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CID001200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Power Resources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MACEDONIA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QuantumClean</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CID001508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Resind Industria e Comercio Ltda.</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CID002707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RFH Tantalum Smeltry Co.,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CID001522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Solikamsk Magnesium Works OAO</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CID001769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Taki Chemicals</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CID001869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Telex Metals</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CID001891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Ulba Metallurgical Plant JSC</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CID001969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0"/>
              <w:spacing w:after="0"/>
              <w:rPr>
                <w:sz w:val="20"/>
                <w:szCs w:val="20"/>
                <w:color w:val="auto"/>
              </w:rPr>
            </w:pPr>
            <w:r>
              <w:rPr>
                <w:rFonts w:ascii="Arial" w:cs="Arial" w:eastAsia="Arial" w:hAnsi="Arial"/>
                <w:sz w:val="18"/>
                <w:szCs w:val="18"/>
                <w:color w:val="auto"/>
              </w:rPr>
              <w:t>XinXing HaoRong Electronic Material Co., Ltd.</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4120" w:type="dxa"/>
            <w:vAlign w:val="bottom"/>
          </w:tcPr>
          <w:p>
            <w:pPr>
              <w:ind w:left="20"/>
              <w:spacing w:after="0"/>
              <w:rPr>
                <w:sz w:val="20"/>
                <w:szCs w:val="20"/>
                <w:color w:val="auto"/>
              </w:rPr>
            </w:pPr>
            <w:r>
              <w:rPr>
                <w:rFonts w:ascii="Arial" w:cs="Arial" w:eastAsia="Arial" w:hAnsi="Arial"/>
                <w:sz w:val="18"/>
                <w:szCs w:val="18"/>
                <w:color w:val="auto"/>
              </w:rPr>
              <w:t>Alpha</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CID000292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4120" w:type="dxa"/>
            <w:vAlign w:val="bottom"/>
          </w:tcPr>
          <w:p>
            <w:pPr>
              <w:ind w:left="20"/>
              <w:spacing w:after="0"/>
              <w:rPr>
                <w:sz w:val="20"/>
                <w:szCs w:val="20"/>
                <w:color w:val="auto"/>
              </w:rPr>
            </w:pPr>
            <w:r>
              <w:rPr>
                <w:rFonts w:ascii="Arial" w:cs="Arial" w:eastAsia="Arial" w:hAnsi="Arial"/>
                <w:sz w:val="18"/>
                <w:szCs w:val="18"/>
                <w:color w:val="auto"/>
              </w:rPr>
              <w:t>An Vinh Joint Stock Mineral Processing Company</w:t>
            </w:r>
          </w:p>
        </w:tc>
        <w:tc>
          <w:tcPr>
            <w:tcW w:w="1940" w:type="dxa"/>
            <w:vAlign w:val="bottom"/>
            <w:tcBorders>
              <w:right w:val="single" w:sz="8" w:color="00000A"/>
            </w:tcBorders>
          </w:tcPr>
          <w:p>
            <w:pPr>
              <w:spacing w:after="0"/>
              <w:rPr>
                <w:sz w:val="20"/>
                <w:szCs w:val="20"/>
                <w:color w:val="auto"/>
              </w:rPr>
            </w:pP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CID002703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4120" w:type="dxa"/>
            <w:vAlign w:val="bottom"/>
            <w:tcBorders>
              <w:bottom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453"/>
        </w:trPr>
        <w:tc>
          <w:tcPr>
            <w:tcW w:w="12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40" w:type="dxa"/>
            <w:vAlign w:val="bottom"/>
          </w:tcPr>
          <w:p>
            <w:pPr>
              <w:jc w:val="right"/>
              <w:ind w:right="1450"/>
              <w:spacing w:after="0"/>
              <w:rPr>
                <w:sz w:val="20"/>
                <w:szCs w:val="20"/>
                <w:color w:val="auto"/>
              </w:rPr>
            </w:pPr>
            <w:r>
              <w:rPr>
                <w:rFonts w:ascii="Arial" w:cs="Arial" w:eastAsia="Arial" w:hAnsi="Arial"/>
                <w:sz w:val="18"/>
                <w:szCs w:val="18"/>
                <w:color w:val="auto"/>
              </w:rPr>
              <w:t>13</w:t>
            </w:r>
          </w:p>
        </w:tc>
        <w:tc>
          <w:tcPr>
            <w:tcW w:w="27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Chenzhou Yunxiang Mining and Metallurgy Co., Ltd.</w:t>
            </w:r>
          </w:p>
        </w:tc>
        <w:tc>
          <w:tcPr>
            <w:tcW w:w="2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CID000228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Chifeng Dajingzi Tin Industry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CID003190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 Tin Group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CID001070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Ayi Jaya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Dua Sekawan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CID002592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Gita Pesona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CID000306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Tiga Sekawan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CID002593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United Smelting</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CID000315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Venus Inti Perkasa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CID002455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Dowa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CID000402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22"/>
        </w:trPr>
        <w:tc>
          <w:tcPr>
            <w:tcW w:w="1280" w:type="dxa"/>
            <w:vAlign w:val="bottom"/>
            <w:tcBorders>
              <w:left w:val="single" w:sz="8" w:color="00000A"/>
              <w:right w:val="single" w:sz="8" w:color="00000A"/>
            </w:tcBorders>
          </w:tcPr>
          <w:p>
            <w:pPr>
              <w:spacing w:after="0"/>
              <w:rPr>
                <w:sz w:val="19"/>
                <w:szCs w:val="19"/>
                <w:color w:val="auto"/>
              </w:rPr>
            </w:pP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6"/>
              </w:rPr>
              <w:t>Electro-Mechanical Facility of the Cao Bang Minerals &amp; Metallurgy Joint Stock</w:t>
            </w:r>
          </w:p>
        </w:tc>
        <w:tc>
          <w:tcPr>
            <w:tcW w:w="2740" w:type="dxa"/>
            <w:vAlign w:val="bottom"/>
            <w:tcBorders>
              <w:right w:val="single" w:sz="8" w:color="00000A"/>
            </w:tcBorders>
          </w:tcPr>
          <w:p>
            <w:pPr>
              <w:spacing w:after="0"/>
              <w:rPr>
                <w:sz w:val="19"/>
                <w:szCs w:val="19"/>
                <w:color w:val="auto"/>
              </w:rPr>
            </w:pPr>
          </w:p>
        </w:tc>
        <w:tc>
          <w:tcPr>
            <w:tcW w:w="1360" w:type="dxa"/>
            <w:vAlign w:val="bottom"/>
            <w:tcBorders>
              <w:right w:val="single" w:sz="8" w:color="00000A"/>
            </w:tcBorders>
          </w:tcPr>
          <w:p>
            <w:pPr>
              <w:spacing w:after="0"/>
              <w:rPr>
                <w:sz w:val="19"/>
                <w:szCs w:val="19"/>
                <w:color w:val="auto"/>
              </w:rPr>
            </w:pPr>
          </w:p>
        </w:tc>
      </w:tr>
      <w:tr>
        <w:trPr>
          <w:trHeight w:val="230"/>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Company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EM Vinto</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BOLIVIA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CID000438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Estanho de Rondônia 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CID000448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Fenix Metals</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CID000468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Fengming Metallurgy Chemical Plant</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Kai Meng Industry and Trade LLC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CID000942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Non-Ferrous Metal Processing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CID000538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Yunxin Nonferrous Electrolysis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CID001908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Zili Mining And Metallurgy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CID000555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Hanhe Non-ferrous Metal Limited Company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CID003116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Guanyang Guida Nonferrous Metal Smelting Plant</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HuiChang Hill Tin Industry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Huichang Jinshunda Tin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New Nanshan Technology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CID001231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Magnu's Minerais Metais e Ligas Ltda.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CID002468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 Smelting Corporation (MSC)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CID001105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Melt Metais e Ligas 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Metallic Resources, Inc.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CID001142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Metallo Belgium N.V.</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BELGIUM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Metallo Spain S.L.U.</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SPAIN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Mineracao Taboca 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CID001173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Minsur</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PERU</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CID001182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CID001191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Modeltech Sdn Bhd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Nghe Tinh Non-Ferrous Metals Joint Stock Company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O.M. Manufacturing (Thailand)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CID001314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O.M. Manufacturing Philippines, Inc.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Operaciones Metalurgical 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BOLIVIA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CID001337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Pongpipat Company Limited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MYANMAR</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CID003208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Aries Kencana Sejahtera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CID000309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Artha Cipta Langgeng</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CID001399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ATD Makmur Mandiri Jaya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Babel Inti Perkasa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CID001402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Babel Surya Alam Lestari</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CID001406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40"/>
          </w:cols>
          <w:pgMar w:left="240" w:top="498" w:right="2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498" w:right="219" w:bottom="1440" w:gutter="0" w:footer="0" w:header="0"/>
          <w:type w:val="continuous"/>
        </w:sectPr>
      </w:pPr>
    </w:p>
    <w:bookmarkStart w:id="17" w:name="page18"/>
    <w:bookmarkEnd w:id="17"/>
    <w:tbl>
      <w:tblPr>
        <w:tblLayout w:type="fixed"/>
        <w:tblInd w:w="10" w:type="dxa"/>
        <w:tblCellMar>
          <w:top w:w="0" w:type="dxa"/>
          <w:left w:w="0" w:type="dxa"/>
          <w:bottom w:w="0" w:type="dxa"/>
          <w:right w:w="0" w:type="dxa"/>
        </w:tblCellMar>
      </w:tblPr>
      <w:tr>
        <w:trPr>
          <w:trHeight w:val="257"/>
        </w:trPr>
        <w:tc>
          <w:tcPr>
            <w:tcW w:w="12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PT Bangka Prima Tin</w:t>
            </w:r>
          </w:p>
        </w:tc>
        <w:tc>
          <w:tcPr>
            <w:tcW w:w="2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CID002776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Bangka Serumpun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CID003205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Bangka Tin Industry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CID001419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Belitung Industri Sejahtera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CID001421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Bukit Timah</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CID001428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DS Jaya Abadi</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CID001434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Inti Stania Prima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CID002530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Karimun Mining</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CID001448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Kijang Jaya Mandiri</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CID002829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Menara Cipta Mulia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CID002835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Mitra Stania Prima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CID001453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Panca Mega Persada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CID001457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Premium Tin Indonesia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CID000313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Prima Timah Utama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CID001458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Refined Bangka Tin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CID001460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Sariwiguna Binasentosa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CID001463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Stanindo Inti Perkasa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CID001468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Sukses Inti Makmur</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CID002816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Sumber Jaya Indah</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CID001471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Timah (Persero) Tbk Kundur</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CID001477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Timah (Persero) Tbk Mentok</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CID001482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Tinindo Inter Nusa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CID001490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Tirus Putra Mandiri</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CID002478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Tommy Utama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CID001493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Resind Industria e Comercio Ltda.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CID002706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Rui Da Hung</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TAIWAN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CID001539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Soft Metais Ltda.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CID001758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Super Ligas</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CID002756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Thaisarco</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CID001898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Tin Technology &amp; Refining</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CID003325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Tuyen Quang Non-Ferrous Metals Joint Stock Company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White Solder Metalurgia e Mineração Ltda.</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CID002036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Yunnan Chengfeng Non-ferrous Metals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CID002158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Yunnan Tin Company Limited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CID002180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A.L.M.T. TUNGSTEN Corp.</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CID000004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ACL Metais Eireli</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CID002833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Asia Tungsten Products Vietnam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Chenzhou Diamond Tungsten Products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Chongyi Zhangyuan Tungsten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CID000258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CNMC (Guangxi) PGMA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CID000281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Fujian Jinxin Tungsten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CID000499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Haichuang Tungsten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CID002645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Huaxing Tungsten Products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CID000875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Jiangwu Ferrotungsten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Seadragon W &amp; Mo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CID002494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40"/>
          </w:cols>
          <w:pgMar w:left="240" w:top="498" w:right="2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498" w:right="219" w:bottom="1440" w:gutter="0" w:footer="0" w:header="0"/>
          <w:type w:val="continuous"/>
        </w:sectPr>
      </w:pPr>
    </w:p>
    <w:bookmarkStart w:id="18" w:name="page19"/>
    <w:bookmarkEnd w:id="18"/>
    <w:tbl>
      <w:tblPr>
        <w:tblLayout w:type="fixed"/>
        <w:tblInd w:w="10" w:type="dxa"/>
        <w:tblCellMar>
          <w:top w:w="0" w:type="dxa"/>
          <w:left w:w="0" w:type="dxa"/>
          <w:bottom w:w="0" w:type="dxa"/>
          <w:right w:w="0" w:type="dxa"/>
        </w:tblCellMar>
      </w:tblPr>
      <w:tr>
        <w:trPr>
          <w:trHeight w:val="257"/>
        </w:trPr>
        <w:tc>
          <w:tcPr>
            <w:tcW w:w="12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Ganzhou Yatai Tungsten Co., Ltd.</w:t>
            </w:r>
          </w:p>
        </w:tc>
        <w:tc>
          <w:tcPr>
            <w:tcW w:w="2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CID002536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Global Tungsten &amp; Powders Corp.</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CID000568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Xianglu Tungsten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CID000218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Smelting GmbH &amp; Co.KG</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Tungsten GmbH</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Chuangda Vanadium Tungsten Co., Ltd. Wuji</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Chunchang Nonferrous Metals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Litian Tungsten Industry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CID003182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Hydrometallurg, JSC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CID002649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 New Metals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CID000825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Jiangwu H.C. Starck Tungsten Products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Dayu Longxintai Tungsten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CID002647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Gan Bei Tungsten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CID002321</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Minmetals Gao'an Non-ferrous Metals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Tonggu Non-ferrous Metallurgical &amp; Chemical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CID002318</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Xinsheng Tungsten Industry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Yaosheng Tungsten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Kennametal Fallon</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CID000966</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Kennametal Huntsville</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CID000105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Malipo Haiyu Tungsten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Moliren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Niagara Refining LLC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CID002589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Nui Phao H.C. Starck Tungsten Chemicals Manufacturing LLC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 Chuangxin Industrial Co., Inc.</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CID002827</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South-East Nonferrous Metal Company Limited of Hengyang City</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CID002815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Tejing (Vietnam) Tungsten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CID001889</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Unecha Refractory metals plant</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CID002724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Wolfram Bergbau und Hütten AG</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AUSTRIA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CID002044</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Woltech Korea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CID002843</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Xiamen Tungsten (H.C.)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CID002320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Xiamen Tungsten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CID002082</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Xinfeng Huarui Tungsten &amp; Molybdenum New Material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CID002830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Tungsten</w:t>
            </w:r>
          </w:p>
        </w:tc>
        <w:tc>
          <w:tcPr>
            <w:tcW w:w="60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Xinhai Rendan Shaoguan Tungsten Co., Ltd.</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CID002095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606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871"/>
        </w:trPr>
        <w:tc>
          <w:tcPr>
            <w:tcW w:w="1280" w:type="dxa"/>
            <w:vAlign w:val="bottom"/>
          </w:tcPr>
          <w:p>
            <w:pPr>
              <w:spacing w:after="0"/>
              <w:rPr>
                <w:sz w:val="24"/>
                <w:szCs w:val="24"/>
                <w:color w:val="auto"/>
              </w:rPr>
            </w:pPr>
          </w:p>
        </w:tc>
        <w:tc>
          <w:tcPr>
            <w:tcW w:w="6060" w:type="dxa"/>
            <w:vAlign w:val="bottom"/>
          </w:tcPr>
          <w:p>
            <w:pPr>
              <w:ind w:left="4340"/>
              <w:spacing w:after="0"/>
              <w:rPr>
                <w:sz w:val="20"/>
                <w:szCs w:val="20"/>
                <w:color w:val="auto"/>
              </w:rPr>
            </w:pPr>
            <w:r>
              <w:rPr>
                <w:rFonts w:ascii="Arial" w:cs="Arial" w:eastAsia="Arial" w:hAnsi="Arial"/>
                <w:sz w:val="18"/>
                <w:szCs w:val="18"/>
                <w:color w:val="auto"/>
              </w:rPr>
              <w:t>16</w:t>
            </w:r>
          </w:p>
        </w:tc>
        <w:tc>
          <w:tcPr>
            <w:tcW w:w="27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u w:val="single" w:color="auto"/>
          <w:color w:val="auto"/>
        </w:rPr>
        <w:t>Appendix B 2018 Countries of Origin List</w:t>
      </w:r>
    </w:p>
    <w:p>
      <w:pPr>
        <w:spacing w:after="0" w:line="20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222222"/>
        </w:rPr>
        <w:t>This list of potential countries of origin is populated based on publicly available information, our RCOI and due diligence. It is important to note that this is also based on company level responses and therefore, it is not certain which of these countries of origin can be linked to our products.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Argentina</w:t>
            </w:r>
          </w:p>
        </w:tc>
        <w:tc>
          <w:tcPr>
            <w:tcW w:w="1920" w:type="dxa"/>
            <w:vAlign w:val="bottom"/>
          </w:tcPr>
          <w:p>
            <w:pPr>
              <w:ind w:left="900"/>
              <w:spacing w:after="0"/>
              <w:rPr>
                <w:sz w:val="20"/>
                <w:szCs w:val="20"/>
                <w:color w:val="auto"/>
              </w:rPr>
            </w:pPr>
            <w:r>
              <w:rPr>
                <w:rFonts w:ascii="Arial" w:cs="Arial" w:eastAsia="Arial" w:hAnsi="Arial"/>
                <w:sz w:val="18"/>
                <w:szCs w:val="18"/>
                <w:color w:val="auto"/>
              </w:rPr>
              <w:t>Eritrea</w:t>
            </w:r>
          </w:p>
        </w:tc>
        <w:tc>
          <w:tcPr>
            <w:tcW w:w="2460" w:type="dxa"/>
            <w:vAlign w:val="bottom"/>
          </w:tcPr>
          <w:p>
            <w:pPr>
              <w:ind w:left="560"/>
              <w:spacing w:after="0"/>
              <w:rPr>
                <w:sz w:val="20"/>
                <w:szCs w:val="20"/>
                <w:color w:val="auto"/>
              </w:rPr>
            </w:pPr>
            <w:r>
              <w:rPr>
                <w:rFonts w:ascii="Arial" w:cs="Arial" w:eastAsia="Arial" w:hAnsi="Arial"/>
                <w:sz w:val="18"/>
                <w:szCs w:val="18"/>
                <w:color w:val="auto"/>
              </w:rPr>
              <w:t>Mauritania</w:t>
            </w:r>
          </w:p>
        </w:tc>
        <w:tc>
          <w:tcPr>
            <w:tcW w:w="2320" w:type="dxa"/>
            <w:vAlign w:val="bottom"/>
          </w:tcPr>
          <w:p>
            <w:pPr>
              <w:ind w:left="500"/>
              <w:spacing w:after="0"/>
              <w:rPr>
                <w:sz w:val="20"/>
                <w:szCs w:val="20"/>
                <w:color w:val="auto"/>
              </w:rPr>
            </w:pPr>
            <w:r>
              <w:rPr>
                <w:rFonts w:ascii="Arial" w:cs="Arial" w:eastAsia="Arial" w:hAnsi="Arial"/>
                <w:sz w:val="18"/>
                <w:szCs w:val="18"/>
                <w:color w:val="auto"/>
              </w:rPr>
              <w:t>Slovakia</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Botswana</w:t>
            </w:r>
          </w:p>
        </w:tc>
        <w:tc>
          <w:tcPr>
            <w:tcW w:w="1920" w:type="dxa"/>
            <w:vAlign w:val="bottom"/>
          </w:tcPr>
          <w:p>
            <w:pPr>
              <w:ind w:left="900"/>
              <w:spacing w:after="0"/>
              <w:rPr>
                <w:sz w:val="20"/>
                <w:szCs w:val="20"/>
                <w:color w:val="auto"/>
              </w:rPr>
            </w:pPr>
            <w:r>
              <w:rPr>
                <w:rFonts w:ascii="Arial" w:cs="Arial" w:eastAsia="Arial" w:hAnsi="Arial"/>
                <w:sz w:val="18"/>
                <w:szCs w:val="18"/>
                <w:color w:val="auto"/>
              </w:rPr>
              <w:t>Honduras</w:t>
            </w:r>
          </w:p>
        </w:tc>
        <w:tc>
          <w:tcPr>
            <w:tcW w:w="2460" w:type="dxa"/>
            <w:vAlign w:val="bottom"/>
          </w:tcPr>
          <w:p>
            <w:pPr>
              <w:ind w:left="560"/>
              <w:spacing w:after="0"/>
              <w:rPr>
                <w:sz w:val="20"/>
                <w:szCs w:val="20"/>
                <w:color w:val="auto"/>
              </w:rPr>
            </w:pPr>
            <w:r>
              <w:rPr>
                <w:rFonts w:ascii="Arial" w:cs="Arial" w:eastAsia="Arial" w:hAnsi="Arial"/>
                <w:sz w:val="18"/>
                <w:szCs w:val="18"/>
                <w:color w:val="auto"/>
              </w:rPr>
              <w:t>Nicaragua</w:t>
            </w:r>
          </w:p>
        </w:tc>
        <w:tc>
          <w:tcPr>
            <w:tcW w:w="2320" w:type="dxa"/>
            <w:vAlign w:val="bottom"/>
          </w:tcPr>
          <w:p>
            <w:pPr>
              <w:ind w:left="500"/>
              <w:spacing w:after="0"/>
              <w:rPr>
                <w:sz w:val="20"/>
                <w:szCs w:val="20"/>
                <w:color w:val="auto"/>
              </w:rPr>
            </w:pPr>
            <w:r>
              <w:rPr>
                <w:rFonts w:ascii="Arial" w:cs="Arial" w:eastAsia="Arial" w:hAnsi="Arial"/>
                <w:sz w:val="18"/>
                <w:szCs w:val="18"/>
                <w:color w:val="auto"/>
              </w:rPr>
              <w:t>Tanzania</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Brazil</w:t>
            </w:r>
          </w:p>
        </w:tc>
        <w:tc>
          <w:tcPr>
            <w:tcW w:w="1920" w:type="dxa"/>
            <w:vAlign w:val="bottom"/>
          </w:tcPr>
          <w:p>
            <w:pPr>
              <w:ind w:left="900"/>
              <w:spacing w:after="0"/>
              <w:rPr>
                <w:sz w:val="20"/>
                <w:szCs w:val="20"/>
                <w:color w:val="auto"/>
              </w:rPr>
            </w:pPr>
            <w:r>
              <w:rPr>
                <w:rFonts w:ascii="Arial" w:cs="Arial" w:eastAsia="Arial" w:hAnsi="Arial"/>
                <w:sz w:val="18"/>
                <w:szCs w:val="18"/>
                <w:color w:val="auto"/>
              </w:rPr>
              <w:t>India</w:t>
            </w:r>
          </w:p>
        </w:tc>
        <w:tc>
          <w:tcPr>
            <w:tcW w:w="2460" w:type="dxa"/>
            <w:vAlign w:val="bottom"/>
          </w:tcPr>
          <w:p>
            <w:pPr>
              <w:ind w:left="560"/>
              <w:spacing w:after="0"/>
              <w:rPr>
                <w:sz w:val="20"/>
                <w:szCs w:val="20"/>
                <w:color w:val="auto"/>
              </w:rPr>
            </w:pPr>
            <w:r>
              <w:rPr>
                <w:rFonts w:ascii="Arial" w:cs="Arial" w:eastAsia="Arial" w:hAnsi="Arial"/>
                <w:sz w:val="18"/>
                <w:szCs w:val="18"/>
                <w:color w:val="auto"/>
              </w:rPr>
              <w:t>Niger</w:t>
            </w:r>
          </w:p>
        </w:tc>
        <w:tc>
          <w:tcPr>
            <w:tcW w:w="2320" w:type="dxa"/>
            <w:vAlign w:val="bottom"/>
          </w:tcPr>
          <w:p>
            <w:pPr>
              <w:ind w:left="500"/>
              <w:spacing w:after="0"/>
              <w:rPr>
                <w:sz w:val="20"/>
                <w:szCs w:val="20"/>
                <w:color w:val="auto"/>
              </w:rPr>
            </w:pPr>
            <w:r>
              <w:rPr>
                <w:rFonts w:ascii="Arial" w:cs="Arial" w:eastAsia="Arial" w:hAnsi="Arial"/>
                <w:sz w:val="18"/>
                <w:szCs w:val="18"/>
                <w:color w:val="auto"/>
              </w:rPr>
              <w:t>Thailand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Burkina Faso</w:t>
            </w:r>
          </w:p>
        </w:tc>
        <w:tc>
          <w:tcPr>
            <w:tcW w:w="1920" w:type="dxa"/>
            <w:vAlign w:val="bottom"/>
          </w:tcPr>
          <w:p>
            <w:pPr>
              <w:ind w:left="900"/>
              <w:spacing w:after="0"/>
              <w:rPr>
                <w:sz w:val="20"/>
                <w:szCs w:val="20"/>
                <w:color w:val="auto"/>
              </w:rPr>
            </w:pPr>
            <w:r>
              <w:rPr>
                <w:rFonts w:ascii="Arial" w:cs="Arial" w:eastAsia="Arial" w:hAnsi="Arial"/>
                <w:sz w:val="18"/>
                <w:szCs w:val="18"/>
                <w:color w:val="auto"/>
              </w:rPr>
              <w:t>Indonesia</w:t>
            </w:r>
          </w:p>
        </w:tc>
        <w:tc>
          <w:tcPr>
            <w:tcW w:w="2460" w:type="dxa"/>
            <w:vAlign w:val="bottom"/>
          </w:tcPr>
          <w:p>
            <w:pPr>
              <w:ind w:left="560"/>
              <w:spacing w:after="0"/>
              <w:rPr>
                <w:sz w:val="20"/>
                <w:szCs w:val="20"/>
                <w:color w:val="auto"/>
              </w:rPr>
            </w:pPr>
            <w:r>
              <w:rPr>
                <w:rFonts w:ascii="Arial" w:cs="Arial" w:eastAsia="Arial" w:hAnsi="Arial"/>
                <w:sz w:val="18"/>
                <w:szCs w:val="18"/>
                <w:color w:val="auto"/>
              </w:rPr>
              <w:t>Nigeria</w:t>
            </w:r>
          </w:p>
        </w:tc>
        <w:tc>
          <w:tcPr>
            <w:tcW w:w="2320" w:type="dxa"/>
            <w:vAlign w:val="bottom"/>
          </w:tcPr>
          <w:p>
            <w:pPr>
              <w:ind w:left="500"/>
              <w:spacing w:after="0"/>
              <w:rPr>
                <w:sz w:val="20"/>
                <w:szCs w:val="20"/>
                <w:color w:val="auto"/>
              </w:rPr>
            </w:pPr>
            <w:r>
              <w:rPr>
                <w:rFonts w:ascii="Arial" w:cs="Arial" w:eastAsia="Arial" w:hAnsi="Arial"/>
                <w:sz w:val="18"/>
                <w:szCs w:val="18"/>
                <w:color w:val="auto"/>
              </w:rPr>
              <w:t>Togo</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Canada</w:t>
            </w:r>
          </w:p>
        </w:tc>
        <w:tc>
          <w:tcPr>
            <w:tcW w:w="1920" w:type="dxa"/>
            <w:vAlign w:val="bottom"/>
          </w:tcPr>
          <w:p>
            <w:pPr>
              <w:ind w:left="900"/>
              <w:spacing w:after="0"/>
              <w:rPr>
                <w:sz w:val="20"/>
                <w:szCs w:val="20"/>
                <w:color w:val="auto"/>
              </w:rPr>
            </w:pPr>
            <w:r>
              <w:rPr>
                <w:rFonts w:ascii="Arial" w:cs="Arial" w:eastAsia="Arial" w:hAnsi="Arial"/>
                <w:sz w:val="18"/>
                <w:szCs w:val="18"/>
                <w:color w:val="auto"/>
              </w:rPr>
              <w:t>Ivory Coast</w:t>
            </w:r>
          </w:p>
        </w:tc>
        <w:tc>
          <w:tcPr>
            <w:tcW w:w="2460" w:type="dxa"/>
            <w:vAlign w:val="bottom"/>
          </w:tcPr>
          <w:p>
            <w:pPr>
              <w:ind w:left="560"/>
              <w:spacing w:after="0"/>
              <w:rPr>
                <w:sz w:val="20"/>
                <w:szCs w:val="20"/>
                <w:color w:val="auto"/>
              </w:rPr>
            </w:pPr>
            <w:r>
              <w:rPr>
                <w:rFonts w:ascii="Arial" w:cs="Arial" w:eastAsia="Arial" w:hAnsi="Arial"/>
                <w:sz w:val="18"/>
                <w:szCs w:val="18"/>
                <w:color w:val="auto"/>
              </w:rPr>
              <w:t>Peru</w:t>
            </w:r>
          </w:p>
        </w:tc>
        <w:tc>
          <w:tcPr>
            <w:tcW w:w="2320" w:type="dxa"/>
            <w:vAlign w:val="bottom"/>
          </w:tcPr>
          <w:p>
            <w:pPr>
              <w:ind w:left="500"/>
              <w:spacing w:after="0"/>
              <w:rPr>
                <w:sz w:val="20"/>
                <w:szCs w:val="20"/>
                <w:color w:val="auto"/>
              </w:rPr>
            </w:pPr>
            <w:r>
              <w:rPr>
                <w:rFonts w:ascii="Arial" w:cs="Arial" w:eastAsia="Arial" w:hAnsi="Arial"/>
                <w:sz w:val="18"/>
                <w:szCs w:val="18"/>
                <w:color w:val="auto"/>
              </w:rPr>
              <w:t>Uganda</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Colombia</w:t>
            </w:r>
          </w:p>
        </w:tc>
        <w:tc>
          <w:tcPr>
            <w:tcW w:w="1920" w:type="dxa"/>
            <w:vAlign w:val="bottom"/>
          </w:tcPr>
          <w:p>
            <w:pPr>
              <w:ind w:left="900"/>
              <w:spacing w:after="0"/>
              <w:rPr>
                <w:sz w:val="20"/>
                <w:szCs w:val="20"/>
                <w:color w:val="auto"/>
              </w:rPr>
            </w:pPr>
            <w:r>
              <w:rPr>
                <w:rFonts w:ascii="Arial" w:cs="Arial" w:eastAsia="Arial" w:hAnsi="Arial"/>
                <w:sz w:val="18"/>
                <w:szCs w:val="18"/>
                <w:color w:val="auto"/>
              </w:rPr>
              <w:t>Kyrgyzstan</w:t>
            </w:r>
          </w:p>
        </w:tc>
        <w:tc>
          <w:tcPr>
            <w:tcW w:w="2460" w:type="dxa"/>
            <w:vAlign w:val="bottom"/>
          </w:tcPr>
          <w:p>
            <w:pPr>
              <w:ind w:left="560"/>
              <w:spacing w:after="0"/>
              <w:rPr>
                <w:sz w:val="20"/>
                <w:szCs w:val="20"/>
                <w:color w:val="auto"/>
              </w:rPr>
            </w:pPr>
            <w:r>
              <w:rPr>
                <w:rFonts w:ascii="Arial" w:cs="Arial" w:eastAsia="Arial" w:hAnsi="Arial"/>
                <w:sz w:val="18"/>
                <w:szCs w:val="18"/>
                <w:color w:val="auto"/>
              </w:rPr>
              <w:t>Puerto Rico</w:t>
            </w:r>
          </w:p>
        </w:tc>
        <w:tc>
          <w:tcPr>
            <w:tcW w:w="2320" w:type="dxa"/>
            <w:vAlign w:val="bottom"/>
          </w:tcPr>
          <w:p>
            <w:pPr>
              <w:ind w:left="500"/>
              <w:spacing w:after="0"/>
              <w:rPr>
                <w:sz w:val="20"/>
                <w:szCs w:val="20"/>
                <w:color w:val="auto"/>
              </w:rPr>
            </w:pPr>
            <w:r>
              <w:rPr>
                <w:rFonts w:ascii="Arial" w:cs="Arial" w:eastAsia="Arial" w:hAnsi="Arial"/>
                <w:sz w:val="18"/>
                <w:szCs w:val="18"/>
                <w:color w:val="auto"/>
                <w:w w:val="90"/>
              </w:rPr>
              <w:t>United States of America</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Congo, Democratic Republic of the</w:t>
            </w:r>
          </w:p>
        </w:tc>
        <w:tc>
          <w:tcPr>
            <w:tcW w:w="1920" w:type="dxa"/>
            <w:vAlign w:val="bottom"/>
          </w:tcPr>
          <w:p>
            <w:pPr>
              <w:ind w:left="900"/>
              <w:spacing w:after="0"/>
              <w:rPr>
                <w:sz w:val="20"/>
                <w:szCs w:val="20"/>
                <w:color w:val="auto"/>
              </w:rPr>
            </w:pPr>
            <w:r>
              <w:rPr>
                <w:rFonts w:ascii="Arial" w:cs="Arial" w:eastAsia="Arial" w:hAnsi="Arial"/>
                <w:sz w:val="18"/>
                <w:szCs w:val="18"/>
                <w:color w:val="auto"/>
              </w:rPr>
              <w:t>Laos</w:t>
            </w:r>
          </w:p>
        </w:tc>
        <w:tc>
          <w:tcPr>
            <w:tcW w:w="2460" w:type="dxa"/>
            <w:vAlign w:val="bottom"/>
          </w:tcPr>
          <w:p>
            <w:pPr>
              <w:ind w:left="560"/>
              <w:spacing w:after="0"/>
              <w:rPr>
                <w:sz w:val="20"/>
                <w:szCs w:val="20"/>
                <w:color w:val="auto"/>
              </w:rPr>
            </w:pPr>
            <w:r>
              <w:rPr>
                <w:rFonts w:ascii="Arial" w:cs="Arial" w:eastAsia="Arial" w:hAnsi="Arial"/>
                <w:sz w:val="18"/>
                <w:szCs w:val="18"/>
                <w:color w:val="auto"/>
              </w:rPr>
              <w:t>Russian Federation</w:t>
            </w:r>
          </w:p>
        </w:tc>
        <w:tc>
          <w:tcPr>
            <w:tcW w:w="2320" w:type="dxa"/>
            <w:vAlign w:val="bottom"/>
          </w:tcPr>
          <w:p>
            <w:pPr>
              <w:ind w:left="500"/>
              <w:spacing w:after="0"/>
              <w:rPr>
                <w:sz w:val="20"/>
                <w:szCs w:val="20"/>
                <w:color w:val="auto"/>
              </w:rPr>
            </w:pPr>
            <w:r>
              <w:rPr>
                <w:rFonts w:ascii="Arial" w:cs="Arial" w:eastAsia="Arial" w:hAnsi="Arial"/>
                <w:sz w:val="18"/>
                <w:szCs w:val="18"/>
                <w:color w:val="auto"/>
              </w:rPr>
              <w:t>Uruguay</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Cyprus</w:t>
            </w:r>
          </w:p>
        </w:tc>
        <w:tc>
          <w:tcPr>
            <w:tcW w:w="1920" w:type="dxa"/>
            <w:vAlign w:val="bottom"/>
          </w:tcPr>
          <w:p>
            <w:pPr>
              <w:ind w:left="900"/>
              <w:spacing w:after="0"/>
              <w:rPr>
                <w:sz w:val="20"/>
                <w:szCs w:val="20"/>
                <w:color w:val="auto"/>
              </w:rPr>
            </w:pPr>
            <w:r>
              <w:rPr>
                <w:rFonts w:ascii="Arial" w:cs="Arial" w:eastAsia="Arial" w:hAnsi="Arial"/>
                <w:sz w:val="18"/>
                <w:szCs w:val="18"/>
                <w:color w:val="auto"/>
              </w:rPr>
              <w:t>Lebanon</w:t>
            </w:r>
          </w:p>
        </w:tc>
        <w:tc>
          <w:tcPr>
            <w:tcW w:w="2460" w:type="dxa"/>
            <w:vAlign w:val="bottom"/>
          </w:tcPr>
          <w:p>
            <w:pPr>
              <w:ind w:left="560"/>
              <w:spacing w:after="0"/>
              <w:rPr>
                <w:sz w:val="20"/>
                <w:szCs w:val="20"/>
                <w:color w:val="auto"/>
              </w:rPr>
            </w:pPr>
            <w:r>
              <w:rPr>
                <w:rFonts w:ascii="Arial" w:cs="Arial" w:eastAsia="Arial" w:hAnsi="Arial"/>
                <w:sz w:val="18"/>
                <w:szCs w:val="18"/>
                <w:color w:val="auto"/>
              </w:rPr>
              <w:t>Rwanda</w:t>
            </w:r>
          </w:p>
        </w:tc>
        <w:tc>
          <w:tcPr>
            <w:tcW w:w="2320" w:type="dxa"/>
            <w:vAlign w:val="bottom"/>
          </w:tcPr>
          <w:p>
            <w:pPr>
              <w:ind w:left="500"/>
              <w:spacing w:after="0"/>
              <w:rPr>
                <w:sz w:val="20"/>
                <w:szCs w:val="20"/>
                <w:color w:val="auto"/>
              </w:rPr>
            </w:pPr>
            <w:r>
              <w:rPr>
                <w:rFonts w:ascii="Arial" w:cs="Arial" w:eastAsia="Arial" w:hAnsi="Arial"/>
                <w:sz w:val="18"/>
                <w:szCs w:val="18"/>
                <w:color w:val="auto"/>
              </w:rPr>
              <w:t>Uzbekistan</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Dominican Republic</w:t>
            </w:r>
          </w:p>
        </w:tc>
        <w:tc>
          <w:tcPr>
            <w:tcW w:w="1920" w:type="dxa"/>
            <w:vAlign w:val="bottom"/>
          </w:tcPr>
          <w:p>
            <w:pPr>
              <w:ind w:left="900"/>
              <w:spacing w:after="0"/>
              <w:rPr>
                <w:sz w:val="20"/>
                <w:szCs w:val="20"/>
                <w:color w:val="auto"/>
              </w:rPr>
            </w:pPr>
            <w:r>
              <w:rPr>
                <w:rFonts w:ascii="Arial" w:cs="Arial" w:eastAsia="Arial" w:hAnsi="Arial"/>
                <w:sz w:val="18"/>
                <w:szCs w:val="18"/>
                <w:color w:val="auto"/>
              </w:rPr>
              <w:t>Madagascar</w:t>
            </w:r>
          </w:p>
        </w:tc>
        <w:tc>
          <w:tcPr>
            <w:tcW w:w="2460" w:type="dxa"/>
            <w:vAlign w:val="bottom"/>
          </w:tcPr>
          <w:p>
            <w:pPr>
              <w:ind w:left="560"/>
              <w:spacing w:after="0"/>
              <w:rPr>
                <w:sz w:val="20"/>
                <w:szCs w:val="20"/>
                <w:color w:val="auto"/>
              </w:rPr>
            </w:pPr>
            <w:r>
              <w:rPr>
                <w:rFonts w:ascii="Arial" w:cs="Arial" w:eastAsia="Arial" w:hAnsi="Arial"/>
                <w:sz w:val="18"/>
                <w:szCs w:val="18"/>
                <w:color w:val="auto"/>
              </w:rPr>
              <w:t>Saudi Arabia</w:t>
            </w:r>
          </w:p>
        </w:tc>
        <w:tc>
          <w:tcPr>
            <w:tcW w:w="2320" w:type="dxa"/>
            <w:vAlign w:val="bottom"/>
          </w:tcPr>
          <w:p>
            <w:pPr>
              <w:ind w:left="500"/>
              <w:spacing w:after="0"/>
              <w:rPr>
                <w:sz w:val="20"/>
                <w:szCs w:val="20"/>
                <w:color w:val="auto"/>
              </w:rPr>
            </w:pPr>
            <w:r>
              <w:rPr>
                <w:rFonts w:ascii="Arial" w:cs="Arial" w:eastAsia="Arial" w:hAnsi="Arial"/>
                <w:sz w:val="18"/>
                <w:szCs w:val="18"/>
                <w:color w:val="auto"/>
              </w:rPr>
              <w:t>Venezuela</w:t>
            </w:r>
          </w:p>
        </w:tc>
      </w:tr>
      <w:tr>
        <w:trPr>
          <w:trHeight w:val="932"/>
        </w:trPr>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60" w:type="dxa"/>
            <w:vAlign w:val="bottom"/>
          </w:tcPr>
          <w:p>
            <w:pPr>
              <w:ind w:left="140"/>
              <w:spacing w:after="0"/>
              <w:rPr>
                <w:sz w:val="20"/>
                <w:szCs w:val="20"/>
                <w:color w:val="auto"/>
              </w:rPr>
            </w:pPr>
            <w:r>
              <w:rPr>
                <w:rFonts w:ascii="Arial" w:cs="Arial" w:eastAsia="Arial" w:hAnsi="Arial"/>
                <w:sz w:val="18"/>
                <w:szCs w:val="18"/>
                <w:color w:val="auto"/>
              </w:rPr>
              <w:t>17</w:t>
            </w:r>
          </w:p>
        </w:tc>
        <w:tc>
          <w:tcPr>
            <w:tcW w:w="23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00"/>
      </w:cols>
      <w:pgMar w:left="240" w:top="37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4"/>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5"/>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2019-12-02T12:09:30Z</dcterms:created>
  <dcterms:modified xsi:type="dcterms:W3CDTF">2019-12-02T12:09:30Z</dcterms:modified>
</cp:coreProperties>
</file>