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2654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2654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80"/>
          </w:cols>
          <w:pgMar w:left="240" w:top="226" w:right="15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WISE DAVID 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115"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03/01/2018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0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23"/>
        <w:spacing w:after="0"/>
        <w:rPr>
          <w:sz w:val="20"/>
          <w:szCs w:val="20"/>
          <w:color w:val="auto"/>
        </w:rPr>
      </w:pPr>
      <w:r>
        <w:rPr>
          <w:rFonts w:ascii="Arial" w:cs="Arial" w:eastAsia="Arial" w:hAnsi="Arial"/>
          <w:sz w:val="18"/>
          <w:szCs w:val="18"/>
          <w:color w:val="0000FF"/>
        </w:rPr>
        <w:t>Chief Administrative Officer</w:t>
      </w:r>
    </w:p>
    <w:p>
      <w:pPr>
        <w:spacing w:after="0" w:line="315" w:lineRule="exact"/>
        <w:rPr>
          <w:sz w:val="24"/>
          <w:szCs w:val="24"/>
          <w:color w:val="auto"/>
        </w:rPr>
      </w:pPr>
    </w:p>
    <w:p>
      <w:pPr>
        <w:sectPr>
          <w:pgSz w:w="11900" w:h="16838" w:orient="portrait"/>
          <w:cols w:equalWidth="0" w:num="3">
            <w:col w:w="3360" w:space="720"/>
            <w:col w:w="3257" w:space="720"/>
            <w:col w:w="3443"/>
          </w:cols>
          <w:pgMar w:left="240" w:top="226" w:right="15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LONDON</w:t>
            </w:r>
          </w:p>
        </w:tc>
        <w:tc>
          <w:tcPr>
            <w:tcW w:w="1100" w:type="dxa"/>
            <w:vAlign w:val="bottom"/>
          </w:tcPr>
          <w:p>
            <w:pPr>
              <w:ind w:left="260"/>
              <w:spacing w:after="0"/>
              <w:rPr>
                <w:sz w:val="20"/>
                <w:szCs w:val="20"/>
                <w:color w:val="auto"/>
              </w:rPr>
            </w:pPr>
            <w:r>
              <w:rPr>
                <w:rFonts w:ascii="Arial" w:cs="Arial" w:eastAsia="Arial" w:hAnsi="Arial"/>
                <w:sz w:val="18"/>
                <w:szCs w:val="18"/>
                <w:color w:val="0000FF"/>
              </w:rPr>
              <w:t>X0</w:t>
            </w:r>
          </w:p>
        </w:tc>
        <w:tc>
          <w:tcPr>
            <w:tcW w:w="1680" w:type="dxa"/>
            <w:vAlign w:val="bottom"/>
          </w:tcPr>
          <w:p>
            <w:pPr>
              <w:ind w:left="420"/>
              <w:spacing w:after="0"/>
              <w:rPr>
                <w:sz w:val="20"/>
                <w:szCs w:val="20"/>
                <w:color w:val="auto"/>
              </w:rPr>
            </w:pPr>
            <w:r>
              <w:rPr>
                <w:rFonts w:ascii="Arial" w:cs="Arial" w:eastAsia="Arial" w:hAnsi="Arial"/>
                <w:sz w:val="18"/>
                <w:szCs w:val="18"/>
                <w:color w:val="0000FF"/>
              </w:rPr>
              <w:t>W2 6LG</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20"/>
          </w:cols>
          <w:pgMar w:left="240" w:top="226" w:right="159" w:bottom="1440" w:gutter="0" w:footer="0" w:header="0"/>
          <w:type w:val="continuous"/>
        </w:sectPr>
      </w:pPr>
    </w:p>
    <w:p>
      <w:pPr>
        <w:jc w:val="center"/>
        <w:ind w:right="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40" w:type="dxa"/>
            <w:vAlign w:val="bottom"/>
            <w:vMerge w:val="restart"/>
          </w:tcPr>
          <w:p>
            <w:pPr>
              <w:jc w:val="right"/>
              <w:ind w:right="134"/>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03/01/2018</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57"/>
              <w:spacing w:after="0"/>
              <w:rPr>
                <w:sz w:val="20"/>
                <w:szCs w:val="20"/>
                <w:color w:val="auto"/>
              </w:rPr>
            </w:pPr>
            <w:r>
              <w:rPr>
                <w:rFonts w:ascii="Arial" w:cs="Arial" w:eastAsia="Arial" w:hAnsi="Arial"/>
                <w:sz w:val="14"/>
                <w:szCs w:val="14"/>
                <w:color w:val="0000FF"/>
              </w:rPr>
              <w:t>M</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88"/>
              </w:rPr>
              <w:t>2,629</w:t>
            </w:r>
          </w:p>
        </w:tc>
        <w:tc>
          <w:tcPr>
            <w:tcW w:w="6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00" w:type="dxa"/>
            <w:vAlign w:val="bottom"/>
            <w:tcBorders>
              <w:bottom w:val="single" w:sz="8" w:color="2C2C2C"/>
            </w:tcBorders>
            <w:gridSpan w:val="2"/>
          </w:tcPr>
          <w:p>
            <w:pPr>
              <w:jc w:val="right"/>
              <w:ind w:right="40"/>
              <w:spacing w:after="0" w:line="324" w:lineRule="exact"/>
              <w:rPr>
                <w:sz w:val="20"/>
                <w:szCs w:val="20"/>
                <w:color w:val="auto"/>
              </w:rPr>
            </w:pPr>
            <w:r>
              <w:rPr>
                <w:rFonts w:ascii="Arial" w:cs="Arial" w:eastAsia="Arial" w:hAnsi="Arial"/>
                <w:sz w:val="35"/>
                <w:szCs w:val="35"/>
                <w:color w:val="000000"/>
                <w:vertAlign w:val="subscript"/>
              </w:rPr>
              <w:t>$</w:t>
            </w:r>
            <w:r>
              <w:rPr>
                <w:rFonts w:ascii="Arial" w:cs="Arial" w:eastAsia="Arial" w:hAnsi="Arial"/>
                <w:sz w:val="35"/>
                <w:szCs w:val="35"/>
                <w:color w:val="0000FF"/>
                <w:vertAlign w:val="subscript"/>
              </w:rPr>
              <w:t>0</w:t>
            </w:r>
            <w:r>
              <w:rPr>
                <w:rFonts w:ascii="Arial" w:cs="Arial" w:eastAsia="Arial" w:hAnsi="Arial"/>
                <w:sz w:val="11"/>
                <w:szCs w:val="11"/>
                <w:color w:val="008000"/>
              </w:rPr>
              <w:t>(1)</w:t>
            </w:r>
          </w:p>
        </w:tc>
        <w:tc>
          <w:tcPr>
            <w:tcW w:w="1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40,548</w:t>
            </w:r>
          </w:p>
        </w:tc>
        <w:tc>
          <w:tcPr>
            <w:tcW w:w="2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03/01/2018</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57"/>
              <w:spacing w:after="0"/>
              <w:rPr>
                <w:sz w:val="20"/>
                <w:szCs w:val="20"/>
                <w:color w:val="auto"/>
              </w:rPr>
            </w:pPr>
            <w:r>
              <w:rPr>
                <w:rFonts w:ascii="Arial" w:cs="Arial" w:eastAsia="Arial" w:hAnsi="Arial"/>
                <w:sz w:val="14"/>
                <w:szCs w:val="14"/>
                <w:color w:val="0000FF"/>
                <w:w w:val="92"/>
              </w:rPr>
              <w:t>F</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83"/>
              </w:rPr>
              <w:t>708</w:t>
            </w:r>
            <w:r>
              <w:rPr>
                <w:rFonts w:ascii="Arial" w:cs="Arial" w:eastAsia="Arial" w:hAnsi="Arial"/>
                <w:sz w:val="22"/>
                <w:szCs w:val="22"/>
                <w:color w:val="008000"/>
                <w:w w:val="83"/>
                <w:vertAlign w:val="superscript"/>
              </w:rPr>
              <w:t>(2)</w:t>
            </w:r>
          </w:p>
        </w:tc>
        <w:tc>
          <w:tcPr>
            <w:tcW w:w="6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ind w:left="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89.57</w:t>
            </w: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39,840</w:t>
            </w:r>
          </w:p>
        </w:tc>
        <w:tc>
          <w:tcPr>
            <w:tcW w:w="2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4"/>
          </w:tcPr>
          <w:p>
            <w:pPr>
              <w:ind w:left="104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0" w:type="dxa"/>
            <w:vAlign w:val="bottom"/>
            <w:gridSpan w:val="11"/>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(3)</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(4)</w:t>
            </w:r>
          </w:p>
        </w:tc>
        <w:tc>
          <w:tcPr>
            <w:tcW w:w="160" w:type="dxa"/>
            <w:vAlign w:val="bottom"/>
          </w:tcPr>
          <w:p>
            <w:pPr>
              <w:spacing w:after="0"/>
              <w:rPr>
                <w:sz w:val="16"/>
                <w:szCs w:val="16"/>
                <w:color w:val="auto"/>
              </w:rPr>
            </w:pPr>
          </w:p>
        </w:tc>
        <w:tc>
          <w:tcPr>
            <w:tcW w:w="620" w:type="dxa"/>
            <w:vAlign w:val="bottom"/>
            <w:vMerge w:val="restart"/>
          </w:tcPr>
          <w:p>
            <w:pPr>
              <w:ind w:left="120"/>
              <w:spacing w:after="0"/>
              <w:rPr>
                <w:sz w:val="20"/>
                <w:szCs w:val="20"/>
                <w:color w:val="auto"/>
              </w:rPr>
            </w:pPr>
            <w:r>
              <w:rPr>
                <w:rFonts w:ascii="Arial" w:cs="Arial" w:eastAsia="Arial" w:hAnsi="Arial"/>
                <w:sz w:val="11"/>
                <w:szCs w:val="11"/>
                <w:color w:val="008000"/>
              </w:rPr>
              <w:t>(4)</w:t>
            </w:r>
          </w:p>
        </w:tc>
        <w:tc>
          <w:tcPr>
            <w:tcW w:w="640" w:type="dxa"/>
            <w:vAlign w:val="bottom"/>
            <w:vMerge w:val="restart"/>
          </w:tcPr>
          <w:p>
            <w:pPr>
              <w:ind w:left="20"/>
              <w:spacing w:after="0"/>
              <w:rPr>
                <w:sz w:val="20"/>
                <w:szCs w:val="20"/>
                <w:color w:val="auto"/>
              </w:rPr>
            </w:pPr>
            <w:r>
              <w:rPr>
                <w:rFonts w:ascii="Arial" w:cs="Arial" w:eastAsia="Arial" w:hAnsi="Arial"/>
                <w:sz w:val="14"/>
                <w:szCs w:val="14"/>
                <w:color w:val="0000FF"/>
              </w:rPr>
              <w:t>Ordinary</w:t>
            </w:r>
          </w:p>
        </w:tc>
        <w:tc>
          <w:tcPr>
            <w:tcW w:w="540" w:type="dxa"/>
            <w:vAlign w:val="bottom"/>
            <w:vMerge w:val="restart"/>
          </w:tcPr>
          <w:p>
            <w:pPr>
              <w:jc w:val="right"/>
              <w:ind w:right="34"/>
              <w:spacing w:after="0"/>
              <w:rPr>
                <w:sz w:val="20"/>
                <w:szCs w:val="20"/>
                <w:color w:val="auto"/>
              </w:rPr>
            </w:pPr>
            <w:r>
              <w:rPr>
                <w:rFonts w:ascii="Arial" w:cs="Arial" w:eastAsia="Arial" w:hAnsi="Arial"/>
                <w:sz w:val="18"/>
                <w:szCs w:val="18"/>
                <w:color w:val="0000FF"/>
                <w:w w:val="93"/>
              </w:rPr>
              <w:t>2,629</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rPr>
              <w:t>03/01/2018</w:t>
            </w:r>
          </w:p>
        </w:tc>
        <w:tc>
          <w:tcPr>
            <w:tcW w:w="1140" w:type="dxa"/>
            <w:vAlign w:val="bottom"/>
          </w:tcPr>
          <w:p>
            <w:pPr>
              <w:spacing w:after="0"/>
              <w:rPr>
                <w:sz w:val="5"/>
                <w:szCs w:val="5"/>
                <w:color w:val="auto"/>
              </w:rPr>
            </w:pPr>
          </w:p>
        </w:tc>
        <w:tc>
          <w:tcPr>
            <w:tcW w:w="64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180" w:type="dxa"/>
            <w:vAlign w:val="bottom"/>
          </w:tcPr>
          <w:p>
            <w:pPr>
              <w:spacing w:after="0"/>
              <w:rPr>
                <w:sz w:val="5"/>
                <w:szCs w:val="5"/>
                <w:color w:val="auto"/>
              </w:rPr>
            </w:pPr>
          </w:p>
        </w:tc>
        <w:tc>
          <w:tcPr>
            <w:tcW w:w="820" w:type="dxa"/>
            <w:vAlign w:val="bottom"/>
            <w:vMerge w:val="restart"/>
          </w:tcPr>
          <w:p>
            <w:pPr>
              <w:ind w:left="400"/>
              <w:spacing w:after="0" w:line="149" w:lineRule="exact"/>
              <w:rPr>
                <w:sz w:val="20"/>
                <w:szCs w:val="20"/>
                <w:color w:val="auto"/>
              </w:rPr>
            </w:pPr>
            <w:r>
              <w:rPr>
                <w:rFonts w:ascii="Arial" w:cs="Arial" w:eastAsia="Arial" w:hAnsi="Arial"/>
                <w:sz w:val="14"/>
                <w:szCs w:val="14"/>
                <w:color w:val="0000FF"/>
              </w:rPr>
              <w:t>2,629</w:t>
            </w:r>
          </w:p>
        </w:tc>
        <w:tc>
          <w:tcPr>
            <w:tcW w:w="8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00" w:type="dxa"/>
            <w:vAlign w:val="bottom"/>
            <w:vMerge w:val="restart"/>
          </w:tcPr>
          <w:p>
            <w:pPr>
              <w:ind w:left="300"/>
              <w:spacing w:after="0" w:line="149" w:lineRule="exact"/>
              <w:rPr>
                <w:sz w:val="20"/>
                <w:szCs w:val="20"/>
                <w:color w:val="auto"/>
              </w:rPr>
            </w:pPr>
            <w:r>
              <w:rPr>
                <w:rFonts w:ascii="Arial" w:cs="Arial" w:eastAsia="Arial" w:hAnsi="Arial"/>
                <w:sz w:val="14"/>
                <w:szCs w:val="14"/>
                <w:color w:val="0000FF"/>
                <w:w w:val="88"/>
              </w:rPr>
              <w:t>32,223</w:t>
            </w:r>
          </w:p>
        </w:tc>
        <w:tc>
          <w:tcPr>
            <w:tcW w:w="260" w:type="dxa"/>
            <w:vAlign w:val="bottom"/>
          </w:tcPr>
          <w:p>
            <w:pPr>
              <w:spacing w:after="0"/>
              <w:rPr>
                <w:sz w:val="5"/>
                <w:szCs w:val="5"/>
                <w:color w:val="auto"/>
              </w:rPr>
            </w:pPr>
          </w:p>
        </w:tc>
        <w:tc>
          <w:tcPr>
            <w:tcW w:w="72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40" w:type="dxa"/>
            <w:vAlign w:val="bottom"/>
            <w:vMerge w:val="restart"/>
          </w:tcPr>
          <w:p>
            <w:pPr>
              <w:jc w:val="right"/>
              <w:ind w:right="134"/>
              <w:spacing w:after="0"/>
              <w:rPr>
                <w:sz w:val="20"/>
                <w:szCs w:val="20"/>
                <w:color w:val="auto"/>
              </w:rPr>
            </w:pPr>
            <w:r>
              <w:rPr>
                <w:rFonts w:ascii="Arial" w:cs="Arial" w:eastAsia="Arial" w:hAnsi="Arial"/>
                <w:sz w:val="14"/>
                <w:szCs w:val="14"/>
                <w:color w:val="0000FF"/>
                <w:w w:val="94"/>
              </w:rPr>
              <w:t>Shares</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Reporting person had vested restricted stock units (RSUs) settled in ordinary shares of LivaNova PLC (the Company), GBP 1.00 par value.</w:t>
      </w:r>
    </w:p>
    <w:p>
      <w:pPr>
        <w:spacing w:after="0" w:line="41" w:lineRule="exact"/>
        <w:rPr>
          <w:rFonts w:ascii="Arial" w:cs="Arial" w:eastAsia="Arial" w:hAnsi="Arial"/>
          <w:sz w:val="14"/>
          <w:szCs w:val="14"/>
          <w:color w:val="008000"/>
        </w:rPr>
      </w:pPr>
    </w:p>
    <w:p>
      <w:pPr>
        <w:ind w:left="40" w:right="2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referenced shares were withheld from distribution at the request of reporting person. Such shares were forfeited and the associated value was used to offset the tax liability associated with the March 1, 2018 vesting of 2,629 RSUs.</w:t>
      </w:r>
    </w:p>
    <w:p>
      <w:pPr>
        <w:spacing w:after="0" w:line="30" w:lineRule="exact"/>
        <w:rPr>
          <w:rFonts w:ascii="Arial" w:cs="Arial" w:eastAsia="Arial" w:hAnsi="Arial"/>
          <w:sz w:val="14"/>
          <w:szCs w:val="14"/>
          <w:color w:val="008000"/>
        </w:rPr>
      </w:pPr>
    </w:p>
    <w:p>
      <w:pPr>
        <w:ind w:left="40" w:right="5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(RSU) represents a contingent right to receive one ordinary share (Ordinary Share) of LivaNova PLC (the Company), GBP 1.00 par value, in accordance with the terms of the LivaNova PLC 2015 Incentive Award Plan (the Plan).</w:t>
      </w:r>
    </w:p>
    <w:p>
      <w:pPr>
        <w:spacing w:after="0" w:line="30" w:lineRule="exact"/>
        <w:rPr>
          <w:rFonts w:ascii="Arial" w:cs="Arial" w:eastAsia="Arial" w:hAnsi="Arial"/>
          <w:sz w:val="14"/>
          <w:szCs w:val="14"/>
          <w:color w:val="008000"/>
        </w:rPr>
      </w:pPr>
    </w:p>
    <w:p>
      <w:pPr>
        <w:ind w:left="40" w:right="16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May 5, 2017, reporting person was granted 10,515 RSUs that vest 25% on the second day after release of LivaNova's full-year 2017 financial results, February 28, 2018 (Measure Date), provided and to the extent that a market condition is achieved on the Measure Date. The market condition is a stock price that ranges between a threshold price, at which one-third of the RSUs become eligible for vesting and a target price, at which all of the RSUs become eligible for vesting, with the number of RSUs eligible for vesting at a price between the threshold price and the target price determined by linear interpolation. The number included in column 5 of Table II reflects the RSUs eligible for vesting at the target price.</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240" w:type="dxa"/>
            <w:vAlign w:val="bottom"/>
          </w:tcPr>
          <w:p>
            <w:pPr>
              <w:spacing w:after="0"/>
              <w:rPr>
                <w:sz w:val="20"/>
                <w:szCs w:val="20"/>
                <w:color w:val="auto"/>
              </w:rPr>
            </w:pPr>
            <w:r>
              <w:rPr>
                <w:rFonts w:ascii="Arial" w:cs="Arial" w:eastAsia="Arial" w:hAnsi="Arial"/>
                <w:sz w:val="18"/>
                <w:szCs w:val="18"/>
                <w:color w:val="0000FF"/>
                <w:w w:val="88"/>
              </w:rPr>
              <w:t>/s/ David S. Wise</w:t>
            </w:r>
          </w:p>
        </w:tc>
        <w:tc>
          <w:tcPr>
            <w:tcW w:w="88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03/05/2018</w:t>
            </w:r>
          </w:p>
        </w:tc>
      </w:tr>
      <w:tr>
        <w:trPr>
          <w:trHeight w:val="20"/>
        </w:trPr>
        <w:tc>
          <w:tcPr>
            <w:tcW w:w="12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6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00"/>
      </w:cols>
      <w:pgMar w:left="240" w:top="226" w:right="1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63257"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2019-12-24T08:57:15Z</dcterms:created>
  <dcterms:modified xsi:type="dcterms:W3CDTF">2019-12-24T08:57:15Z</dcterms:modified>
</cp:coreProperties>
</file>