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May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154940</wp:posOffset>
            </wp:positionV>
            <wp:extent cx="1406525"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65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5"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16"/>
        </w:trPr>
        <w:tc>
          <w:tcPr>
            <w:tcW w:w="2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of Incorporation)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9"/>
                <w:szCs w:val="19"/>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(44) 203 325 0660</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6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7660"/>
        <w:spacing w:after="0"/>
        <w:tabs>
          <w:tab w:leader="none" w:pos="112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Times New Roman" w:cs="Times New Roman" w:eastAsia="Times New Roman" w:hAnsi="Times New Roman"/>
          <w:sz w:val="16"/>
          <w:szCs w:val="16"/>
          <w:color w:val="auto"/>
        </w:rPr>
        <w:t>o</w:t>
      </w:r>
    </w:p>
    <w:p>
      <w:pPr>
        <w:spacing w:after="0" w:line="25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8" w:lineRule="exact"/>
        <w:rPr>
          <w:sz w:val="24"/>
          <w:szCs w:val="24"/>
          <w:color w:val="auto"/>
        </w:rPr>
      </w:pPr>
    </w:p>
    <w:p>
      <w:pPr>
        <w:ind w:left="1128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1"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May 3, 2017, LivaNova PLC (the “Company”) issued a press release announcing financial results for the first quarter ending March 31, 2017. The Company will host a business update conference call and webcast today, May 3, 2017, at 8:00 a.m. Central Time (9:00 a.m. Eastern Time, 1:00 p.m. GMT, 2:00 p.m. BST), during which the Company will discuss the financial results. The conference call will be available to interested parties through a live audio webcast commencing at 8:00 a.m. Central Time (9:00 a.m. Eastern Time, 1:00 p.m. GMT, 2:00 p.m. BST) and accessible through the Investor Relations section of the LivaNova corporate website at </w:t>
      </w:r>
      <w:r>
        <w:rPr>
          <w:rFonts w:ascii="Times New Roman" w:cs="Times New Roman" w:eastAsia="Times New Roman" w:hAnsi="Times New Roman"/>
          <w:sz w:val="18"/>
          <w:szCs w:val="18"/>
          <w:u w:val="single" w:color="auto"/>
          <w:color w:val="0563C1"/>
        </w:rPr>
        <w:t>www.livanova.com</w:t>
      </w:r>
      <w:r>
        <w:rPr>
          <w:rFonts w:ascii="Times New Roman" w:cs="Times New Roman" w:eastAsia="Times New Roman" w:hAnsi="Times New Roman"/>
          <w:sz w:val="18"/>
          <w:szCs w:val="18"/>
          <w:color w:val="auto"/>
        </w:rPr>
        <w:t>. A copy of the Company’s press release is furnished as Exhibit 99.1 on this Current Report on Form 8-K.</w:t>
      </w:r>
    </w:p>
    <w:p>
      <w:pPr>
        <w:spacing w:after="0" w:line="188"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7"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360"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issued by LivaNova PLC dated May 3,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576" w:right="25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Date: May 3, 2017</w:t>
      </w:r>
      <w:r>
        <w:rPr>
          <w:sz w:val="20"/>
          <w:szCs w:val="20"/>
          <w:color w:val="auto"/>
        </w:rPr>
        <w:tab/>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240" w:top="576"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8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554"/>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3880" w:type="dxa"/>
            <w:vAlign w:val="bottom"/>
          </w:tcPr>
          <w:p>
            <w:pPr>
              <w:spacing w:after="0"/>
              <w:rPr>
                <w:sz w:val="24"/>
                <w:szCs w:val="24"/>
                <w:color w:val="auto"/>
              </w:rPr>
            </w:pPr>
          </w:p>
        </w:tc>
      </w:tr>
      <w:tr>
        <w:trPr>
          <w:trHeight w:val="58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issued by LivaNova PLC dated May 3, 2017</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179"/>
          </w:cols>
          <w:pgMar w:left="280" w:top="36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43" w:lineRule="exact"/>
        <w:rPr>
          <w:sz w:val="20"/>
          <w:szCs w:val="20"/>
          <w:color w:val="auto"/>
        </w:rPr>
      </w:pPr>
    </w:p>
    <w:p>
      <w:pPr>
        <w:spacing w:after="0"/>
        <w:rPr>
          <w:sz w:val="20"/>
          <w:szCs w:val="20"/>
          <w:color w:val="auto"/>
        </w:rPr>
      </w:pPr>
      <w:r>
        <w:rPr>
          <w:sz w:val="1"/>
          <w:szCs w:val="1"/>
          <w:color w:val="auto"/>
        </w:rPr>
        <w:drawing>
          <wp:inline distT="0" distB="0" distL="0" distR="0">
            <wp:extent cx="1680845" cy="480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480060"/>
                    </a:xfrm>
                    <a:prstGeom prst="rect">
                      <a:avLst/>
                    </a:prstGeom>
                    <a:noFill/>
                    <a:ln>
                      <a:noFill/>
                    </a:ln>
                  </pic:spPr>
                </pic:pic>
              </a:graphicData>
            </a:graphic>
          </wp:inline>
        </w:drawing>
      </w:r>
      <w:r>
        <w:rPr>
          <w:rFonts w:ascii="Arial" w:cs="Arial" w:eastAsia="Arial" w:hAnsi="Arial"/>
          <w:sz w:val="20"/>
          <w:szCs w:val="20"/>
          <w:b w:val="1"/>
          <w:bCs w:val="1"/>
          <w:color w:val="FF5C39"/>
        </w:rPr>
        <w:t xml:space="preserve"> 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LivaNova Reports First Quarter 2017 Results</w:t>
      </w:r>
    </w:p>
    <w:p>
      <w:pPr>
        <w:spacing w:after="0" w:line="200" w:lineRule="exact"/>
        <w:rPr>
          <w:sz w:val="20"/>
          <w:szCs w:val="20"/>
          <w:color w:val="auto"/>
        </w:rPr>
      </w:pPr>
    </w:p>
    <w:p>
      <w:pPr>
        <w:spacing w:after="0" w:line="397" w:lineRule="exact"/>
        <w:rPr>
          <w:sz w:val="20"/>
          <w:szCs w:val="20"/>
          <w:color w:val="auto"/>
        </w:rPr>
      </w:pPr>
    </w:p>
    <w:p>
      <w:pPr>
        <w:jc w:val="both"/>
        <w:spacing w:after="0" w:line="409" w:lineRule="auto"/>
        <w:rPr>
          <w:sz w:val="20"/>
          <w:szCs w:val="20"/>
          <w:color w:val="auto"/>
        </w:rPr>
      </w:pPr>
      <w:r>
        <w:rPr>
          <w:rFonts w:ascii="Arial" w:cs="Arial" w:eastAsia="Arial" w:hAnsi="Arial"/>
          <w:sz w:val="20"/>
          <w:szCs w:val="20"/>
          <w:b w:val="1"/>
          <w:bCs w:val="1"/>
          <w:color w:val="auto"/>
        </w:rPr>
        <w:t xml:space="preserve">London, May 3, 2017 </w:t>
      </w:r>
      <w:r>
        <w:rPr>
          <w:rFonts w:ascii="Arial" w:cs="Arial" w:eastAsia="Arial" w:hAnsi="Arial"/>
          <w:sz w:val="20"/>
          <w:szCs w:val="20"/>
          <w:color w:val="auto"/>
        </w:rPr>
        <w:t>– LivaNova PLC (NASDAQ:LIVN) (“LivaNova” or the “Company”), a market-leading medical technology and</w:t>
      </w:r>
      <w:r>
        <w:rPr>
          <w:rFonts w:ascii="Arial" w:cs="Arial" w:eastAsia="Arial" w:hAnsi="Arial"/>
          <w:sz w:val="20"/>
          <w:szCs w:val="20"/>
          <w:b w:val="1"/>
          <w:bCs w:val="1"/>
          <w:color w:val="auto"/>
        </w:rPr>
        <w:t xml:space="preserve"> </w:t>
      </w:r>
      <w:r>
        <w:rPr>
          <w:rFonts w:ascii="Arial" w:cs="Arial" w:eastAsia="Arial" w:hAnsi="Arial"/>
          <w:sz w:val="20"/>
          <w:szCs w:val="20"/>
          <w:color w:val="auto"/>
        </w:rPr>
        <w:t>innovation company, today reported results for the quarter ended March 31, 2017.</w:t>
      </w:r>
    </w:p>
    <w:p>
      <w:pPr>
        <w:spacing w:after="0" w:line="272" w:lineRule="exact"/>
        <w:rPr>
          <w:sz w:val="20"/>
          <w:szCs w:val="20"/>
          <w:color w:val="auto"/>
        </w:rPr>
      </w:pPr>
    </w:p>
    <w:p>
      <w:pPr>
        <w:jc w:val="both"/>
        <w:spacing w:after="0" w:line="380" w:lineRule="auto"/>
        <w:rPr>
          <w:sz w:val="20"/>
          <w:szCs w:val="20"/>
          <w:color w:val="auto"/>
        </w:rPr>
      </w:pPr>
      <w:r>
        <w:rPr>
          <w:rFonts w:ascii="Arial" w:cs="Arial" w:eastAsia="Arial" w:hAnsi="Arial"/>
          <w:sz w:val="20"/>
          <w:szCs w:val="20"/>
          <w:color w:val="auto"/>
        </w:rPr>
        <w:t>For the first quarter of 2017, worldwide sales were $285 million, a decrease of 0.6 percent on a reported basis and an increase of 0.5 percent on a constant currency basis, as compared to the same quarter of the previous year. On the basis of U.S. Generally Accepted Accounting Principles (GAAP), first quarter 2017 earnings per share were $0.23. First quarter 2017 adjusted diluted earnings per share were $0.71.</w:t>
      </w:r>
    </w:p>
    <w:p>
      <w:pPr>
        <w:spacing w:after="0" w:line="259" w:lineRule="exact"/>
        <w:rPr>
          <w:sz w:val="20"/>
          <w:szCs w:val="20"/>
          <w:color w:val="auto"/>
        </w:rPr>
      </w:pPr>
    </w:p>
    <w:p>
      <w:pPr>
        <w:jc w:val="both"/>
        <w:spacing w:after="0" w:line="323" w:lineRule="auto"/>
        <w:rPr>
          <w:sz w:val="20"/>
          <w:szCs w:val="20"/>
          <w:color w:val="auto"/>
        </w:rPr>
      </w:pPr>
      <w:r>
        <w:rPr>
          <w:rFonts w:ascii="Arial" w:cs="Arial" w:eastAsia="Arial" w:hAnsi="Arial"/>
          <w:sz w:val="20"/>
          <w:szCs w:val="20"/>
          <w:color w:val="auto"/>
        </w:rPr>
        <w:t>“We started out the year with solid results, driven primarily by continued momentum in our Neuromodulation business from the AspireSR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pulse generator, being somewhat offset by challenging conditions in Cardiac Surgery and Cardiac Rhythm Management,” said Damien McDonald, Chief Executive Officer. “We achieved progress in several other key areas of our business. We are expanding our heart valve portfolio with the recently announced acquisition of Caisson Interventional and its novel transcatheter mitral valve replacement (TMVR) investigational device. The combined strengths of both LivaNova and Caisson will support our strategy of advancing important, innovative therapies to market. We completed final verification and validation for our 3T Heater-Cooler</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design modification and obtained CE mark, which will allow us to start implementation of the upgrade within select markets in the coming weeks. We also recently submitted our application to the FDA for SenTiva</w:t>
      </w:r>
      <w:r>
        <w:rPr>
          <w:rFonts w:ascii="Arial" w:cs="Arial" w:eastAsia="Arial" w:hAnsi="Arial"/>
          <w:sz w:val="25"/>
          <w:szCs w:val="25"/>
          <w:color w:val="auto"/>
          <w:vertAlign w:val="superscript"/>
        </w:rPr>
        <w:t>TM</w:t>
      </w:r>
      <w:r>
        <w:rPr>
          <w:rFonts w:ascii="Arial" w:cs="Arial" w:eastAsia="Arial" w:hAnsi="Arial"/>
          <w:sz w:val="20"/>
          <w:szCs w:val="20"/>
          <w:color w:val="auto"/>
        </w:rPr>
        <w:t>, our newest VNS Therapy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device. We believe our efforts and investments position LivaNova to be even more competitive, which will result in greater long-term value for our customers and shareholders alike.”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612"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First Quarter 2017 Results</w:t>
      </w:r>
    </w:p>
    <w:p>
      <w:pPr>
        <w:spacing w:after="0" w:line="299" w:lineRule="exact"/>
        <w:rPr>
          <w:sz w:val="20"/>
          <w:szCs w:val="20"/>
          <w:color w:val="auto"/>
        </w:rPr>
      </w:pPr>
    </w:p>
    <w:p>
      <w:pPr>
        <w:jc w:val="both"/>
        <w:ind w:right="20"/>
        <w:spacing w:after="0" w:line="407" w:lineRule="auto"/>
        <w:rPr>
          <w:sz w:val="20"/>
          <w:szCs w:val="20"/>
          <w:color w:val="auto"/>
        </w:rPr>
      </w:pPr>
      <w:r>
        <w:rPr>
          <w:rFonts w:ascii="Arial" w:cs="Arial" w:eastAsia="Arial" w:hAnsi="Arial"/>
          <w:sz w:val="20"/>
          <w:szCs w:val="20"/>
          <w:color w:val="auto"/>
        </w:rPr>
        <w:t>Worldwide sales for the first quarter were $285 million, up 0.5 percent compared to the first quarter of 2016. The following table highlights worldwide sales for the first quarter of 2017 by Business Franchise:</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50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 in millions</w:t>
            </w:r>
          </w:p>
        </w:tc>
        <w:tc>
          <w:tcPr>
            <w:tcW w:w="3100" w:type="dxa"/>
            <w:vAlign w:val="bottom"/>
            <w:tcBorders>
              <w:top w:val="single" w:sz="8" w:color="auto"/>
              <w:right w:val="single" w:sz="8" w:color="00000A"/>
            </w:tcBorders>
            <w:gridSpan w:val="2"/>
          </w:tcPr>
          <w:p>
            <w:pPr>
              <w:jc w:val="right"/>
              <w:ind w:right="204"/>
              <w:spacing w:after="0"/>
              <w:rPr>
                <w:sz w:val="20"/>
                <w:szCs w:val="20"/>
                <w:color w:val="auto"/>
              </w:rPr>
            </w:pPr>
            <w:r>
              <w:rPr>
                <w:rFonts w:ascii="Arial" w:cs="Arial" w:eastAsia="Arial" w:hAnsi="Arial"/>
                <w:sz w:val="18"/>
                <w:szCs w:val="18"/>
                <w:color w:val="auto"/>
              </w:rPr>
              <w:t>Three months ended March 31,</w:t>
            </w:r>
          </w:p>
        </w:tc>
        <w:tc>
          <w:tcPr>
            <w:tcW w:w="1620" w:type="dxa"/>
            <w:vAlign w:val="bottom"/>
            <w:tcBorders>
              <w:top w:val="single" w:sz="8" w:color="auto"/>
              <w:right w:val="single" w:sz="8" w:color="auto"/>
            </w:tcBorders>
            <w:vMerge w:val="restart"/>
          </w:tcPr>
          <w:p>
            <w:pPr>
              <w:jc w:val="right"/>
              <w:ind w:right="304"/>
              <w:spacing w:after="0"/>
              <w:rPr>
                <w:sz w:val="20"/>
                <w:szCs w:val="20"/>
                <w:color w:val="auto"/>
              </w:rPr>
            </w:pPr>
            <w:r>
              <w:rPr>
                <w:rFonts w:ascii="Arial" w:cs="Arial" w:eastAsia="Arial" w:hAnsi="Arial"/>
                <w:sz w:val="18"/>
                <w:szCs w:val="18"/>
                <w:color w:val="auto"/>
              </w:rPr>
              <w:t>% Change</w:t>
            </w:r>
          </w:p>
        </w:tc>
        <w:tc>
          <w:tcPr>
            <w:tcW w:w="16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Constant Currency</w:t>
            </w:r>
          </w:p>
        </w:tc>
        <w:tc>
          <w:tcPr>
            <w:tcW w:w="0" w:type="dxa"/>
            <w:vAlign w:val="bottom"/>
          </w:tcPr>
          <w:p>
            <w:pPr>
              <w:spacing w:after="0"/>
              <w:rPr>
                <w:sz w:val="1"/>
                <w:szCs w:val="1"/>
                <w:color w:val="auto"/>
              </w:rPr>
            </w:pPr>
          </w:p>
        </w:tc>
      </w:tr>
      <w:tr>
        <w:trPr>
          <w:trHeight w:val="23"/>
        </w:trPr>
        <w:tc>
          <w:tcPr>
            <w:tcW w:w="50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Business Franchise / Product Line:</w:t>
            </w:r>
          </w:p>
        </w:tc>
        <w:tc>
          <w:tcPr>
            <w:tcW w:w="1560" w:type="dxa"/>
            <w:vAlign w:val="bottom"/>
            <w:tcBorders>
              <w:bottom w:val="single" w:sz="8" w:color="00000A"/>
            </w:tcBorders>
          </w:tcPr>
          <w:p>
            <w:pPr>
              <w:spacing w:after="0" w:line="20" w:lineRule="exact"/>
              <w:rPr>
                <w:sz w:val="1"/>
                <w:szCs w:val="1"/>
                <w:color w:val="auto"/>
              </w:rPr>
            </w:pPr>
          </w:p>
        </w:tc>
        <w:tc>
          <w:tcPr>
            <w:tcW w:w="1540" w:type="dxa"/>
            <w:vAlign w:val="bottom"/>
            <w:tcBorders>
              <w:bottom w:val="single" w:sz="8" w:color="00000A"/>
              <w:right w:val="single" w:sz="8" w:color="00000A"/>
            </w:tcBorders>
          </w:tcPr>
          <w:p>
            <w:pPr>
              <w:spacing w:after="0" w:line="20" w:lineRule="exact"/>
              <w:rPr>
                <w:sz w:val="1"/>
                <w:szCs w:val="1"/>
                <w:color w:val="auto"/>
              </w:rPr>
            </w:pPr>
          </w:p>
        </w:tc>
        <w:tc>
          <w:tcPr>
            <w:tcW w:w="1620" w:type="dxa"/>
            <w:vAlign w:val="bottom"/>
            <w:tcBorders>
              <w:bottom w:val="single" w:sz="8" w:color="auto"/>
              <w:right w:val="single" w:sz="8" w:color="auto"/>
            </w:tcBorders>
            <w:vMerge w:val="continue"/>
          </w:tcPr>
          <w:p>
            <w:pPr>
              <w:spacing w:after="0" w:line="20" w:lineRule="exact"/>
              <w:rPr>
                <w:sz w:val="1"/>
                <w:szCs w:val="1"/>
                <w:color w:val="auto"/>
              </w:rPr>
            </w:pPr>
          </w:p>
        </w:tc>
        <w:tc>
          <w:tcPr>
            <w:tcW w:w="1640" w:type="dxa"/>
            <w:vAlign w:val="bottom"/>
            <w:tcBorders>
              <w:right w:val="single" w:sz="8" w:color="auto"/>
            </w:tcBorders>
            <w:vMerge w:val="restart"/>
          </w:tcPr>
          <w:p>
            <w:pPr>
              <w:jc w:val="right"/>
              <w:ind w:right="325"/>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06"/>
        </w:trPr>
        <w:tc>
          <w:tcPr>
            <w:tcW w:w="5080" w:type="dxa"/>
            <w:vAlign w:val="bottom"/>
            <w:tcBorders>
              <w:left w:val="single" w:sz="8" w:color="auto"/>
              <w:right w:val="single" w:sz="8" w:color="auto"/>
            </w:tcBorders>
            <w:vMerge w:val="continue"/>
          </w:tcPr>
          <w:p>
            <w:pPr>
              <w:spacing w:after="0"/>
              <w:rPr>
                <w:sz w:val="9"/>
                <w:szCs w:val="9"/>
                <w:color w:val="auto"/>
              </w:rPr>
            </w:pPr>
          </w:p>
        </w:tc>
        <w:tc>
          <w:tcPr>
            <w:tcW w:w="1560" w:type="dxa"/>
            <w:vAlign w:val="bottom"/>
            <w:tcBorders>
              <w:right w:val="single" w:sz="8" w:color="00000A"/>
            </w:tcBorders>
            <w:vMerge w:val="restart"/>
          </w:tcPr>
          <w:p>
            <w:pPr>
              <w:jc w:val="right"/>
              <w:ind w:right="505"/>
              <w:spacing w:after="0"/>
              <w:rPr>
                <w:sz w:val="20"/>
                <w:szCs w:val="20"/>
                <w:color w:val="auto"/>
              </w:rPr>
            </w:pPr>
            <w:r>
              <w:rPr>
                <w:rFonts w:ascii="Arial" w:cs="Arial" w:eastAsia="Arial" w:hAnsi="Arial"/>
                <w:sz w:val="18"/>
                <w:szCs w:val="18"/>
                <w:color w:val="auto"/>
              </w:rPr>
              <w:t>2017</w:t>
            </w:r>
          </w:p>
        </w:tc>
        <w:tc>
          <w:tcPr>
            <w:tcW w:w="1540" w:type="dxa"/>
            <w:vAlign w:val="bottom"/>
            <w:tcBorders>
              <w:right w:val="single" w:sz="8" w:color="00000A"/>
            </w:tcBorders>
            <w:vMerge w:val="restart"/>
          </w:tcPr>
          <w:p>
            <w:pPr>
              <w:jc w:val="right"/>
              <w:ind w:right="484"/>
              <w:spacing w:after="0"/>
              <w:rPr>
                <w:sz w:val="20"/>
                <w:szCs w:val="20"/>
                <w:color w:val="auto"/>
              </w:rPr>
            </w:pPr>
            <w:r>
              <w:rPr>
                <w:rFonts w:ascii="Arial" w:cs="Arial" w:eastAsia="Arial" w:hAnsi="Arial"/>
                <w:sz w:val="18"/>
                <w:szCs w:val="18"/>
                <w:color w:val="auto"/>
              </w:rPr>
              <w:t>2016</w:t>
            </w:r>
          </w:p>
        </w:tc>
        <w:tc>
          <w:tcPr>
            <w:tcW w:w="1620" w:type="dxa"/>
            <w:vAlign w:val="bottom"/>
            <w:tcBorders>
              <w:right w:val="single" w:sz="8" w:color="auto"/>
            </w:tcBorders>
            <w:vMerge w:val="continue"/>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0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560" w:type="dxa"/>
            <w:vAlign w:val="bottom"/>
            <w:tcBorders>
              <w:bottom w:val="single" w:sz="8" w:color="auto"/>
              <w:right w:val="single" w:sz="8" w:color="00000A"/>
            </w:tcBorders>
            <w:vMerge w:val="continue"/>
          </w:tcPr>
          <w:p>
            <w:pPr>
              <w:spacing w:after="0"/>
              <w:rPr>
                <w:sz w:val="13"/>
                <w:szCs w:val="13"/>
                <w:color w:val="auto"/>
              </w:rPr>
            </w:pPr>
          </w:p>
        </w:tc>
        <w:tc>
          <w:tcPr>
            <w:tcW w:w="1540" w:type="dxa"/>
            <w:vAlign w:val="bottom"/>
            <w:tcBorders>
              <w:bottom w:val="single" w:sz="8" w:color="auto"/>
              <w:right w:val="single" w:sz="8" w:color="00000A"/>
            </w:tcBorders>
            <w:vMerge w:val="continue"/>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164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50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Cardiopulmonary</w:t>
            </w:r>
          </w:p>
        </w:tc>
        <w:tc>
          <w:tcPr>
            <w:tcW w:w="1560" w:type="dxa"/>
            <w:vAlign w:val="bottom"/>
            <w:tcBorders>
              <w:right w:val="single" w:sz="8" w:color="00000A"/>
            </w:tcBorders>
          </w:tcPr>
          <w:p>
            <w:pPr>
              <w:jc w:val="right"/>
              <w:ind w:right="45"/>
              <w:spacing w:after="0"/>
              <w:rPr>
                <w:sz w:val="20"/>
                <w:szCs w:val="20"/>
                <w:color w:val="auto"/>
              </w:rPr>
            </w:pPr>
            <w:r>
              <w:rPr>
                <w:rFonts w:ascii="Arial" w:cs="Arial" w:eastAsia="Arial" w:hAnsi="Arial"/>
                <w:sz w:val="18"/>
                <w:szCs w:val="18"/>
                <w:i w:val="1"/>
                <w:iCs w:val="1"/>
                <w:color w:val="auto"/>
              </w:rPr>
              <w:t>$107.3</w:t>
            </w:r>
          </w:p>
        </w:tc>
        <w:tc>
          <w:tcPr>
            <w:tcW w:w="1540" w:type="dxa"/>
            <w:vAlign w:val="bottom"/>
            <w:tcBorders>
              <w:right w:val="single" w:sz="8" w:color="00000A"/>
            </w:tcBorders>
          </w:tcPr>
          <w:p>
            <w:pPr>
              <w:jc w:val="right"/>
              <w:ind w:right="24"/>
              <w:spacing w:after="0"/>
              <w:rPr>
                <w:sz w:val="20"/>
                <w:szCs w:val="20"/>
                <w:color w:val="auto"/>
              </w:rPr>
            </w:pPr>
            <w:r>
              <w:rPr>
                <w:rFonts w:ascii="Arial" w:cs="Arial" w:eastAsia="Arial" w:hAnsi="Arial"/>
                <w:sz w:val="18"/>
                <w:szCs w:val="18"/>
                <w:i w:val="1"/>
                <w:iCs w:val="1"/>
                <w:color w:val="auto"/>
              </w:rPr>
              <w:t>$110.9</w:t>
            </w:r>
          </w:p>
        </w:tc>
        <w:tc>
          <w:tcPr>
            <w:tcW w:w="162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(3.3%)</w:t>
            </w:r>
          </w:p>
        </w:tc>
        <w:tc>
          <w:tcPr>
            <w:tcW w:w="164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(2.5%)</w:t>
            </w:r>
          </w:p>
        </w:tc>
        <w:tc>
          <w:tcPr>
            <w:tcW w:w="0" w:type="dxa"/>
            <w:vAlign w:val="bottom"/>
          </w:tcPr>
          <w:p>
            <w:pPr>
              <w:spacing w:after="0"/>
              <w:rPr>
                <w:sz w:val="1"/>
                <w:szCs w:val="1"/>
                <w:color w:val="auto"/>
              </w:rPr>
            </w:pPr>
          </w:p>
        </w:tc>
      </w:tr>
      <w:tr>
        <w:trPr>
          <w:trHeight w:val="23"/>
        </w:trPr>
        <w:tc>
          <w:tcPr>
            <w:tcW w:w="508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c>
          <w:tcPr>
            <w:tcW w:w="154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auto"/>
            </w:tcBorders>
          </w:tcPr>
          <w:p>
            <w:pPr>
              <w:spacing w:after="0"/>
              <w:rPr>
                <w:sz w:val="2"/>
                <w:szCs w:val="2"/>
                <w:color w:val="auto"/>
              </w:rPr>
            </w:pPr>
          </w:p>
        </w:tc>
        <w:tc>
          <w:tcPr>
            <w:tcW w:w="1640" w:type="dxa"/>
            <w:vAlign w:val="bottom"/>
            <w:tcBorders>
              <w:bottom w:val="single" w:sz="8" w:color="00000A"/>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0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i w:val="1"/>
                <w:iCs w:val="1"/>
                <w:color w:val="auto"/>
              </w:rPr>
              <w:t>Heart Valves</w:t>
            </w:r>
          </w:p>
        </w:tc>
        <w:tc>
          <w:tcPr>
            <w:tcW w:w="1560" w:type="dxa"/>
            <w:vAlign w:val="bottom"/>
            <w:tcBorders>
              <w:bottom w:val="single" w:sz="8" w:color="00000A"/>
              <w:right w:val="single" w:sz="8" w:color="00000A"/>
            </w:tcBorders>
          </w:tcPr>
          <w:p>
            <w:pPr>
              <w:jc w:val="right"/>
              <w:ind w:right="45"/>
              <w:spacing w:after="0"/>
              <w:rPr>
                <w:sz w:val="20"/>
                <w:szCs w:val="20"/>
                <w:color w:val="auto"/>
              </w:rPr>
            </w:pPr>
            <w:r>
              <w:rPr>
                <w:rFonts w:ascii="Arial" w:cs="Arial" w:eastAsia="Arial" w:hAnsi="Arial"/>
                <w:sz w:val="18"/>
                <w:szCs w:val="18"/>
                <w:i w:val="1"/>
                <w:iCs w:val="1"/>
                <w:color w:val="auto"/>
              </w:rPr>
              <w:t>31.9</w:t>
            </w:r>
          </w:p>
        </w:tc>
        <w:tc>
          <w:tcPr>
            <w:tcW w:w="1540" w:type="dxa"/>
            <w:vAlign w:val="bottom"/>
            <w:tcBorders>
              <w:bottom w:val="single" w:sz="8" w:color="00000A"/>
              <w:right w:val="single" w:sz="8" w:color="00000A"/>
            </w:tcBorders>
          </w:tcPr>
          <w:p>
            <w:pPr>
              <w:jc w:val="right"/>
              <w:ind w:right="24"/>
              <w:spacing w:after="0"/>
              <w:rPr>
                <w:sz w:val="20"/>
                <w:szCs w:val="20"/>
                <w:color w:val="auto"/>
              </w:rPr>
            </w:pPr>
            <w:r>
              <w:rPr>
                <w:rFonts w:ascii="Arial" w:cs="Arial" w:eastAsia="Arial" w:hAnsi="Arial"/>
                <w:sz w:val="18"/>
                <w:szCs w:val="18"/>
                <w:i w:val="1"/>
                <w:iCs w:val="1"/>
                <w:color w:val="auto"/>
              </w:rPr>
              <w:t>32.5</w:t>
            </w:r>
          </w:p>
        </w:tc>
        <w:tc>
          <w:tcPr>
            <w:tcW w:w="162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18"/>
                <w:szCs w:val="18"/>
                <w:i w:val="1"/>
                <w:iCs w:val="1"/>
                <w:color w:val="auto"/>
              </w:rPr>
              <w:t>(1.9%)</w:t>
            </w:r>
          </w:p>
        </w:tc>
        <w:tc>
          <w:tcPr>
            <w:tcW w:w="164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18"/>
                <w:szCs w:val="18"/>
                <w:i w:val="1"/>
                <w:iCs w:val="1"/>
                <w:color w:val="auto"/>
              </w:rPr>
              <w:t>(0.8%)</w:t>
            </w:r>
          </w:p>
        </w:tc>
        <w:tc>
          <w:tcPr>
            <w:tcW w:w="0" w:type="dxa"/>
            <w:vAlign w:val="bottom"/>
          </w:tcPr>
          <w:p>
            <w:pPr>
              <w:spacing w:after="0"/>
              <w:rPr>
                <w:sz w:val="1"/>
                <w:szCs w:val="1"/>
                <w:color w:val="auto"/>
              </w:rPr>
            </w:pPr>
          </w:p>
        </w:tc>
      </w:tr>
      <w:tr>
        <w:trPr>
          <w:trHeight w:val="268"/>
        </w:trPr>
        <w:tc>
          <w:tcPr>
            <w:tcW w:w="5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Cardiac Surgery</w:t>
            </w:r>
          </w:p>
        </w:tc>
        <w:tc>
          <w:tcPr>
            <w:tcW w:w="1560" w:type="dxa"/>
            <w:vAlign w:val="bottom"/>
            <w:tcBorders>
              <w:bottom w:val="single" w:sz="8" w:color="00000A"/>
              <w:right w:val="single" w:sz="8" w:color="00000A"/>
            </w:tcBorders>
          </w:tcPr>
          <w:p>
            <w:pPr>
              <w:jc w:val="right"/>
              <w:ind w:right="45"/>
              <w:spacing w:after="0"/>
              <w:rPr>
                <w:sz w:val="20"/>
                <w:szCs w:val="20"/>
                <w:color w:val="auto"/>
              </w:rPr>
            </w:pPr>
            <w:r>
              <w:rPr>
                <w:rFonts w:ascii="Arial" w:cs="Arial" w:eastAsia="Arial" w:hAnsi="Arial"/>
                <w:sz w:val="20"/>
                <w:szCs w:val="20"/>
                <w:color w:val="auto"/>
              </w:rPr>
              <w:t>139.2</w:t>
            </w:r>
          </w:p>
        </w:tc>
        <w:tc>
          <w:tcPr>
            <w:tcW w:w="1540" w:type="dxa"/>
            <w:vAlign w:val="bottom"/>
            <w:tcBorders>
              <w:bottom w:val="single" w:sz="8" w:color="00000A"/>
              <w:right w:val="single" w:sz="8" w:color="00000A"/>
            </w:tcBorders>
          </w:tcPr>
          <w:p>
            <w:pPr>
              <w:jc w:val="right"/>
              <w:ind w:right="24"/>
              <w:spacing w:after="0"/>
              <w:rPr>
                <w:sz w:val="20"/>
                <w:szCs w:val="20"/>
                <w:color w:val="auto"/>
              </w:rPr>
            </w:pPr>
            <w:r>
              <w:rPr>
                <w:rFonts w:ascii="Arial" w:cs="Arial" w:eastAsia="Arial" w:hAnsi="Arial"/>
                <w:sz w:val="20"/>
                <w:szCs w:val="20"/>
                <w:color w:val="auto"/>
              </w:rPr>
              <w:t>143.4</w:t>
            </w:r>
          </w:p>
        </w:tc>
        <w:tc>
          <w:tcPr>
            <w:tcW w:w="162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(3.0%)</w:t>
            </w:r>
          </w:p>
        </w:tc>
        <w:tc>
          <w:tcPr>
            <w:tcW w:w="164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354"/>
        </w:trPr>
        <w:tc>
          <w:tcPr>
            <w:tcW w:w="5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Cardiac Rhythm Management</w:t>
            </w:r>
          </w:p>
        </w:tc>
        <w:tc>
          <w:tcPr>
            <w:tcW w:w="1560" w:type="dxa"/>
            <w:vAlign w:val="bottom"/>
            <w:tcBorders>
              <w:bottom w:val="single" w:sz="8" w:color="00000A"/>
              <w:right w:val="single" w:sz="8" w:color="00000A"/>
            </w:tcBorders>
          </w:tcPr>
          <w:p>
            <w:pPr>
              <w:jc w:val="right"/>
              <w:ind w:right="45"/>
              <w:spacing w:after="0"/>
              <w:rPr>
                <w:sz w:val="20"/>
                <w:szCs w:val="20"/>
                <w:color w:val="auto"/>
              </w:rPr>
            </w:pPr>
            <w:r>
              <w:rPr>
                <w:rFonts w:ascii="Arial" w:cs="Arial" w:eastAsia="Arial" w:hAnsi="Arial"/>
                <w:sz w:val="20"/>
                <w:szCs w:val="20"/>
                <w:color w:val="auto"/>
              </w:rPr>
              <w:t>58.3</w:t>
            </w:r>
          </w:p>
        </w:tc>
        <w:tc>
          <w:tcPr>
            <w:tcW w:w="1540" w:type="dxa"/>
            <w:vAlign w:val="bottom"/>
            <w:tcBorders>
              <w:bottom w:val="single" w:sz="8" w:color="00000A"/>
              <w:right w:val="single" w:sz="8" w:color="00000A"/>
            </w:tcBorders>
          </w:tcPr>
          <w:p>
            <w:pPr>
              <w:jc w:val="right"/>
              <w:ind w:right="24"/>
              <w:spacing w:after="0"/>
              <w:rPr>
                <w:sz w:val="20"/>
                <w:szCs w:val="20"/>
                <w:color w:val="auto"/>
              </w:rPr>
            </w:pPr>
            <w:r>
              <w:rPr>
                <w:rFonts w:ascii="Arial" w:cs="Arial" w:eastAsia="Arial" w:hAnsi="Arial"/>
                <w:sz w:val="20"/>
                <w:szCs w:val="20"/>
                <w:color w:val="auto"/>
              </w:rPr>
              <w:t>61.7</w:t>
            </w:r>
          </w:p>
        </w:tc>
        <w:tc>
          <w:tcPr>
            <w:tcW w:w="162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(5.6%)</w:t>
            </w:r>
          </w:p>
        </w:tc>
        <w:tc>
          <w:tcPr>
            <w:tcW w:w="1640" w:type="dxa"/>
            <w:vAlign w:val="bottom"/>
            <w:tcBorders>
              <w:bottom w:val="single" w:sz="8" w:color="00000A"/>
              <w:right w:val="single" w:sz="8" w:color="auto"/>
            </w:tcBorders>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68"/>
        </w:trPr>
        <w:tc>
          <w:tcPr>
            <w:tcW w:w="5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1560" w:type="dxa"/>
            <w:vAlign w:val="bottom"/>
            <w:tcBorders>
              <w:bottom w:val="single" w:sz="8" w:color="00000A"/>
              <w:right w:val="single" w:sz="8" w:color="00000A"/>
            </w:tcBorders>
          </w:tcPr>
          <w:p>
            <w:pPr>
              <w:jc w:val="right"/>
              <w:ind w:right="45"/>
              <w:spacing w:after="0"/>
              <w:rPr>
                <w:sz w:val="20"/>
                <w:szCs w:val="20"/>
                <w:color w:val="auto"/>
              </w:rPr>
            </w:pPr>
            <w:r>
              <w:rPr>
                <w:rFonts w:ascii="Arial" w:cs="Arial" w:eastAsia="Arial" w:hAnsi="Arial"/>
                <w:sz w:val="20"/>
                <w:szCs w:val="20"/>
                <w:color w:val="auto"/>
              </w:rPr>
              <w:t>87.2</w:t>
            </w:r>
          </w:p>
        </w:tc>
        <w:tc>
          <w:tcPr>
            <w:tcW w:w="1540" w:type="dxa"/>
            <w:vAlign w:val="bottom"/>
            <w:tcBorders>
              <w:bottom w:val="single" w:sz="8" w:color="00000A"/>
              <w:right w:val="single" w:sz="8" w:color="00000A"/>
            </w:tcBorders>
          </w:tcPr>
          <w:p>
            <w:pPr>
              <w:jc w:val="right"/>
              <w:ind w:right="24"/>
              <w:spacing w:after="0"/>
              <w:rPr>
                <w:sz w:val="20"/>
                <w:szCs w:val="20"/>
                <w:color w:val="auto"/>
              </w:rPr>
            </w:pPr>
            <w:r>
              <w:rPr>
                <w:rFonts w:ascii="Arial" w:cs="Arial" w:eastAsia="Arial" w:hAnsi="Arial"/>
                <w:sz w:val="20"/>
                <w:szCs w:val="20"/>
                <w:color w:val="auto"/>
              </w:rPr>
              <w:t>81.4</w:t>
            </w:r>
          </w:p>
        </w:tc>
        <w:tc>
          <w:tcPr>
            <w:tcW w:w="1620" w:type="dxa"/>
            <w:vAlign w:val="bottom"/>
            <w:tcBorders>
              <w:bottom w:val="single" w:sz="8" w:color="00000A"/>
              <w:right w:val="single" w:sz="8" w:color="auto"/>
            </w:tcBorders>
          </w:tcPr>
          <w:p>
            <w:pPr>
              <w:jc w:val="right"/>
              <w:ind w:right="24"/>
              <w:spacing w:after="0"/>
              <w:rPr>
                <w:sz w:val="20"/>
                <w:szCs w:val="20"/>
                <w:color w:val="auto"/>
              </w:rPr>
            </w:pPr>
            <w:r>
              <w:rPr>
                <w:rFonts w:ascii="Arial" w:cs="Arial" w:eastAsia="Arial" w:hAnsi="Arial"/>
                <w:sz w:val="20"/>
                <w:szCs w:val="20"/>
                <w:color w:val="auto"/>
              </w:rPr>
              <w:t>7.1%</w:t>
            </w:r>
          </w:p>
        </w:tc>
        <w:tc>
          <w:tcPr>
            <w:tcW w:w="164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264"/>
        </w:trPr>
        <w:tc>
          <w:tcPr>
            <w:tcW w:w="5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00000A"/>
              <w:right w:val="single" w:sz="8" w:color="00000A"/>
            </w:tcBorders>
          </w:tcPr>
          <w:p>
            <w:pPr>
              <w:jc w:val="right"/>
              <w:ind w:right="45"/>
              <w:spacing w:after="0"/>
              <w:rPr>
                <w:sz w:val="20"/>
                <w:szCs w:val="20"/>
                <w:color w:val="auto"/>
              </w:rPr>
            </w:pPr>
            <w:r>
              <w:rPr>
                <w:rFonts w:ascii="Arial" w:cs="Arial" w:eastAsia="Arial" w:hAnsi="Arial"/>
                <w:sz w:val="20"/>
                <w:szCs w:val="20"/>
                <w:color w:val="auto"/>
              </w:rPr>
              <w:t>0.5</w:t>
            </w:r>
          </w:p>
        </w:tc>
        <w:tc>
          <w:tcPr>
            <w:tcW w:w="1540" w:type="dxa"/>
            <w:vAlign w:val="bottom"/>
            <w:tcBorders>
              <w:bottom w:val="single" w:sz="8" w:color="00000A"/>
              <w:right w:val="single" w:sz="8" w:color="00000A"/>
            </w:tcBorders>
          </w:tcPr>
          <w:p>
            <w:pPr>
              <w:jc w:val="right"/>
              <w:ind w:right="24"/>
              <w:spacing w:after="0"/>
              <w:rPr>
                <w:sz w:val="20"/>
                <w:szCs w:val="20"/>
                <w:color w:val="auto"/>
              </w:rPr>
            </w:pPr>
            <w:r>
              <w:rPr>
                <w:rFonts w:ascii="Arial" w:cs="Arial" w:eastAsia="Arial" w:hAnsi="Arial"/>
                <w:sz w:val="20"/>
                <w:szCs w:val="20"/>
                <w:color w:val="auto"/>
              </w:rPr>
              <w:t>0.4</w:t>
            </w:r>
          </w:p>
        </w:tc>
        <w:tc>
          <w:tcPr>
            <w:tcW w:w="1620" w:type="dxa"/>
            <w:vAlign w:val="bottom"/>
            <w:tcBorders>
              <w:bottom w:val="single" w:sz="8" w:color="00000A"/>
              <w:right w:val="single" w:sz="8" w:color="auto"/>
            </w:tcBorders>
          </w:tcPr>
          <w:p>
            <w:pPr>
              <w:jc w:val="right"/>
              <w:ind w:right="24"/>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00000A"/>
              <w:right w:val="single" w:sz="8" w:color="auto"/>
            </w:tcBorders>
          </w:tcPr>
          <w:p>
            <w:pPr>
              <w:jc w:val="right"/>
              <w:ind w:right="25"/>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1"/>
        </w:trPr>
        <w:tc>
          <w:tcPr>
            <w:tcW w:w="5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560" w:type="dxa"/>
            <w:vAlign w:val="bottom"/>
            <w:tcBorders>
              <w:bottom w:val="single" w:sz="8" w:color="auto"/>
              <w:right w:val="single" w:sz="8" w:color="00000A"/>
            </w:tcBorders>
          </w:tcPr>
          <w:p>
            <w:pPr>
              <w:jc w:val="right"/>
              <w:ind w:right="45"/>
              <w:spacing w:after="0"/>
              <w:rPr>
                <w:sz w:val="20"/>
                <w:szCs w:val="20"/>
                <w:color w:val="auto"/>
              </w:rPr>
            </w:pPr>
            <w:r>
              <w:rPr>
                <w:rFonts w:ascii="Arial" w:cs="Arial" w:eastAsia="Arial" w:hAnsi="Arial"/>
                <w:sz w:val="20"/>
                <w:szCs w:val="20"/>
                <w:color w:val="auto"/>
              </w:rPr>
              <w:t>$285.1</w:t>
            </w:r>
          </w:p>
        </w:tc>
        <w:tc>
          <w:tcPr>
            <w:tcW w:w="1540" w:type="dxa"/>
            <w:vAlign w:val="bottom"/>
            <w:tcBorders>
              <w:bottom w:val="single" w:sz="8" w:color="auto"/>
              <w:right w:val="single" w:sz="8" w:color="00000A"/>
            </w:tcBorders>
          </w:tcPr>
          <w:p>
            <w:pPr>
              <w:jc w:val="right"/>
              <w:ind w:right="24"/>
              <w:spacing w:after="0"/>
              <w:rPr>
                <w:sz w:val="20"/>
                <w:szCs w:val="20"/>
                <w:color w:val="auto"/>
              </w:rPr>
            </w:pPr>
            <w:r>
              <w:rPr>
                <w:rFonts w:ascii="Arial" w:cs="Arial" w:eastAsia="Arial" w:hAnsi="Arial"/>
                <w:sz w:val="20"/>
                <w:szCs w:val="20"/>
                <w:color w:val="auto"/>
              </w:rPr>
              <w:t>$287.0</w:t>
            </w:r>
          </w:p>
        </w:tc>
        <w:tc>
          <w:tcPr>
            <w:tcW w:w="1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(0.6%)</w:t>
            </w:r>
          </w:p>
        </w:tc>
        <w:tc>
          <w:tcPr>
            <w:tcW w:w="1640" w:type="dxa"/>
            <w:vAlign w:val="bottom"/>
            <w:tcBorders>
              <w:bottom w:val="single" w:sz="8" w:color="auto"/>
              <w:right w:val="single" w:sz="8" w:color="auto"/>
            </w:tcBorders>
          </w:tcPr>
          <w:p>
            <w:pPr>
              <w:jc w:val="right"/>
              <w:ind w:right="25"/>
              <w:spacing w:after="0"/>
              <w:rPr>
                <w:sz w:val="20"/>
                <w:szCs w:val="20"/>
                <w:color w:val="auto"/>
              </w:rPr>
            </w:pPr>
            <w:r>
              <w:rPr>
                <w:rFonts w:ascii="Arial" w:cs="Arial" w:eastAsia="Arial" w:hAnsi="Arial"/>
                <w:sz w:val="20"/>
                <w:szCs w:val="20"/>
                <w:color w:val="auto"/>
              </w:rPr>
              <w:t>0.5%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Numbers may not add due to rounding. Constant currency % change is considered a non-GAAP metric.</w:t>
      </w:r>
    </w:p>
    <w:p>
      <w:pPr>
        <w:spacing w:after="0" w:line="250" w:lineRule="exact"/>
        <w:rPr>
          <w:sz w:val="20"/>
          <w:szCs w:val="20"/>
          <w:color w:val="auto"/>
        </w:rPr>
      </w:pPr>
    </w:p>
    <w:p>
      <w:pPr>
        <w:jc w:val="both"/>
        <w:ind w:right="20"/>
        <w:spacing w:after="0" w:line="386" w:lineRule="auto"/>
        <w:rPr>
          <w:sz w:val="20"/>
          <w:szCs w:val="20"/>
          <w:color w:val="auto"/>
        </w:rPr>
      </w:pPr>
      <w:r>
        <w:rPr>
          <w:rFonts w:ascii="Arial" w:cs="Arial" w:eastAsia="Arial" w:hAnsi="Arial"/>
          <w:sz w:val="20"/>
          <w:szCs w:val="20"/>
          <w:color w:val="auto"/>
        </w:rPr>
        <w:t>For discussion purposes, all sales growth rates below reflect comparable, constant currency growth. The difference between constant currency growth and reported growth reflects the impact from currency fluctuations in the various currencies in which the company operates.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Cardiac Surgery</w:t>
      </w:r>
    </w:p>
    <w:p>
      <w:pPr>
        <w:spacing w:after="0" w:line="123" w:lineRule="exact"/>
        <w:rPr>
          <w:sz w:val="20"/>
          <w:szCs w:val="20"/>
          <w:color w:val="auto"/>
        </w:rPr>
      </w:pPr>
    </w:p>
    <w:p>
      <w:pPr>
        <w:jc w:val="both"/>
        <w:ind w:right="40"/>
        <w:spacing w:after="0" w:line="407" w:lineRule="auto"/>
        <w:rPr>
          <w:sz w:val="20"/>
          <w:szCs w:val="20"/>
          <w:color w:val="auto"/>
        </w:rPr>
      </w:pPr>
      <w:r>
        <w:rPr>
          <w:rFonts w:ascii="Arial" w:cs="Arial" w:eastAsia="Arial" w:hAnsi="Arial"/>
          <w:sz w:val="20"/>
          <w:szCs w:val="20"/>
          <w:color w:val="auto"/>
        </w:rPr>
        <w:t>Cardiac Surgery sales, which include cardiopulmonary products and heart valves, were $139 million, representing a 2.1 percent decrease versus the comparable period in 2016.</w:t>
      </w:r>
    </w:p>
    <w:p>
      <w:pPr>
        <w:spacing w:after="0" w:line="273" w:lineRule="exact"/>
        <w:rPr>
          <w:sz w:val="20"/>
          <w:szCs w:val="20"/>
          <w:color w:val="auto"/>
        </w:rPr>
      </w:pPr>
    </w:p>
    <w:p>
      <w:pPr>
        <w:jc w:val="both"/>
        <w:ind w:right="20"/>
        <w:spacing w:after="0" w:line="349" w:lineRule="auto"/>
        <w:rPr>
          <w:sz w:val="20"/>
          <w:szCs w:val="20"/>
          <w:color w:val="auto"/>
        </w:rPr>
      </w:pPr>
      <w:r>
        <w:rPr>
          <w:rFonts w:ascii="Arial" w:cs="Arial" w:eastAsia="Arial" w:hAnsi="Arial"/>
          <w:sz w:val="20"/>
          <w:szCs w:val="20"/>
          <w:color w:val="auto"/>
        </w:rPr>
        <w:t>Sales in cardiopulmonary products were $107 million, down 2.5 percent from the first quarter of 2016. A decline in the Company’s 3T Heater-Cooler devices resulting from the introduction of our global loaner program and the timing of heart-lung machine orders offset share gains and strong demand for our INSPIRE</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oxygenator.</w:t>
      </w:r>
    </w:p>
    <w:p>
      <w:pPr>
        <w:spacing w:after="0" w:line="318" w:lineRule="exact"/>
        <w:rPr>
          <w:sz w:val="20"/>
          <w:szCs w:val="20"/>
          <w:color w:val="auto"/>
        </w:rPr>
      </w:pPr>
    </w:p>
    <w:p>
      <w:pPr>
        <w:jc w:val="both"/>
        <w:ind w:right="20"/>
        <w:spacing w:after="0" w:line="356" w:lineRule="auto"/>
        <w:rPr>
          <w:sz w:val="20"/>
          <w:szCs w:val="20"/>
          <w:color w:val="auto"/>
        </w:rPr>
      </w:pPr>
      <w:r>
        <w:rPr>
          <w:rFonts w:ascii="Arial" w:cs="Arial" w:eastAsia="Arial" w:hAnsi="Arial"/>
          <w:sz w:val="20"/>
          <w:szCs w:val="20"/>
          <w:color w:val="auto"/>
        </w:rPr>
        <w:t>Heart valve sales, including tissue and mechanical heart valves, were $32 million, a decrease of 0.8 percent compared to the same period the previous year. Growth in tissue valves, driven by solid demand for the Perceval</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sutureless tissue valve in the U.S. and Europe, was offset by declines in mechanical heart valves in the U.S. and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40"/>
          </w:cols>
          <w:pgMar w:left="240" w:top="608" w:right="21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Cardiac Rhythm Management (CRM)</w:t>
      </w:r>
    </w:p>
    <w:p>
      <w:pPr>
        <w:spacing w:after="0" w:line="339" w:lineRule="exact"/>
        <w:rPr>
          <w:sz w:val="20"/>
          <w:szCs w:val="20"/>
          <w:color w:val="auto"/>
        </w:rPr>
      </w:pPr>
    </w:p>
    <w:p>
      <w:pPr>
        <w:jc w:val="both"/>
        <w:spacing w:after="0" w:line="336" w:lineRule="auto"/>
        <w:rPr>
          <w:sz w:val="20"/>
          <w:szCs w:val="20"/>
          <w:color w:val="auto"/>
        </w:rPr>
      </w:pPr>
      <w:r>
        <w:rPr>
          <w:rFonts w:ascii="Arial" w:cs="Arial" w:eastAsia="Arial" w:hAnsi="Arial"/>
          <w:sz w:val="20"/>
          <w:szCs w:val="20"/>
          <w:color w:val="auto"/>
        </w:rPr>
        <w:t>CRM sales for the period totaled $58 million, a decrease of 2.9 percent as compared to the first quarter of 2016. High-voltage Implantable Cardiac Defibrillators (ICDs) declined in the quarter due to a difficult year-over-year comparison, as first half of 2016 marked the initial launch roll-out of the product. This was offset by strong growth for PLATINIUM</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Cardiac Resynchronization Therapy devices (CRT-Ds) in Europe and continued share gains of KORA 250</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pacemakers in Japan.</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 sales were $87 million in the first quarter, representing a 7.7 percent increase versus the first quarter of 2016.</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AspireSR generator continued to perform well across all geographies, with strong demand and new patient growth.</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123" w:lineRule="exact"/>
        <w:rPr>
          <w:sz w:val="20"/>
          <w:szCs w:val="20"/>
          <w:color w:val="auto"/>
        </w:rPr>
      </w:pPr>
    </w:p>
    <w:p>
      <w:pPr>
        <w:jc w:val="both"/>
        <w:spacing w:after="0" w:line="386" w:lineRule="auto"/>
        <w:rPr>
          <w:sz w:val="20"/>
          <w:szCs w:val="20"/>
          <w:color w:val="auto"/>
        </w:rPr>
      </w:pPr>
      <w:r>
        <w:rPr>
          <w:rFonts w:ascii="Arial" w:cs="Arial" w:eastAsia="Arial" w:hAnsi="Arial"/>
          <w:sz w:val="20"/>
          <w:szCs w:val="20"/>
          <w:color w:val="auto"/>
        </w:rPr>
        <w:t>On a U.S. GAAP basis, first quarter 2017 net income from operations was $19 million. Adjusted income from operations for the first quarter of 2017 was $49 million, an increase of 12.2 percent as compared to the first quarter of 2016, primarily driven by favorable product mix and lower operating expenses.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2017 Revised Guidance</w:t>
      </w:r>
    </w:p>
    <w:p>
      <w:pPr>
        <w:spacing w:after="0" w:line="123" w:lineRule="exact"/>
        <w:rPr>
          <w:sz w:val="20"/>
          <w:szCs w:val="20"/>
          <w:color w:val="auto"/>
        </w:rPr>
      </w:pPr>
    </w:p>
    <w:p>
      <w:pPr>
        <w:jc w:val="both"/>
        <w:spacing w:after="0" w:line="407" w:lineRule="auto"/>
        <w:rPr>
          <w:sz w:val="20"/>
          <w:szCs w:val="20"/>
          <w:color w:val="auto"/>
        </w:rPr>
      </w:pPr>
      <w:r>
        <w:rPr>
          <w:rFonts w:ascii="Arial" w:cs="Arial" w:eastAsia="Arial" w:hAnsi="Arial"/>
          <w:sz w:val="20"/>
          <w:szCs w:val="20"/>
          <w:color w:val="auto"/>
        </w:rPr>
        <w:t>On May 2, 2017 LivaNova announced the acquisition of Caisson Interventional, LLC (Caisson), in support of LivaNova’s strategic growth initiatives. As a result, certain guidance for full-year 2017 is being revised.</w:t>
      </w:r>
    </w:p>
    <w:p>
      <w:pPr>
        <w:spacing w:after="0" w:line="273" w:lineRule="exact"/>
        <w:rPr>
          <w:sz w:val="20"/>
          <w:szCs w:val="20"/>
          <w:color w:val="auto"/>
        </w:rPr>
      </w:pPr>
    </w:p>
    <w:p>
      <w:pPr>
        <w:jc w:val="both"/>
        <w:spacing w:after="0" w:line="407" w:lineRule="auto"/>
        <w:rPr>
          <w:sz w:val="20"/>
          <w:szCs w:val="20"/>
          <w:color w:val="auto"/>
        </w:rPr>
      </w:pPr>
      <w:r>
        <w:rPr>
          <w:rFonts w:ascii="Arial" w:cs="Arial" w:eastAsia="Arial" w:hAnsi="Arial"/>
          <w:sz w:val="20"/>
          <w:szCs w:val="20"/>
          <w:color w:val="auto"/>
        </w:rPr>
        <w:t>LivaNova reiterates worldwide net sales for full-year 2017 are expected to grow between 1 and 3 percent on a constant-currency basis. Adjusted diluted earnings per share for 2017 are now expected to be in the range of $3.10 to $3.30.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026" w:right="239" w:bottom="1440" w:gutter="0" w:footer="0" w:header="0"/>
        </w:sectPr>
      </w:pPr>
    </w:p>
    <w:bookmarkStart w:id="7" w:name="page8"/>
    <w:bookmarkEnd w:id="7"/>
    <w:p>
      <w:pPr>
        <w:jc w:val="both"/>
        <w:spacing w:after="0" w:line="407" w:lineRule="auto"/>
        <w:rPr>
          <w:sz w:val="20"/>
          <w:szCs w:val="20"/>
          <w:color w:val="auto"/>
        </w:rPr>
      </w:pPr>
      <w:r>
        <w:rPr>
          <w:rFonts w:ascii="Arial" w:cs="Arial" w:eastAsia="Arial" w:hAnsi="Arial"/>
          <w:sz w:val="20"/>
          <w:szCs w:val="20"/>
          <w:color w:val="auto"/>
        </w:rPr>
        <w:t>Based on preliminary purchase accounting estimates, which are subject to revision, key non-GAAP reconciliation items to the projected 2017 adjusted diluted earnings per share as a result of the Caisson transaction are as follows:</w:t>
      </w:r>
    </w:p>
    <w:p>
      <w:pPr>
        <w:spacing w:after="0" w:line="351" w:lineRule="exact"/>
        <w:rPr>
          <w:sz w:val="20"/>
          <w:szCs w:val="20"/>
          <w:color w:val="auto"/>
        </w:rPr>
      </w:pPr>
    </w:p>
    <w:tbl>
      <w:tblPr>
        <w:tblLayout w:type="fixed"/>
        <w:tblInd w:w="610" w:type="dxa"/>
        <w:tblCellMar>
          <w:top w:w="0" w:type="dxa"/>
          <w:left w:w="0" w:type="dxa"/>
          <w:bottom w:w="0" w:type="dxa"/>
          <w:right w:w="0" w:type="dxa"/>
        </w:tblCellMar>
      </w:tblPr>
      <w:tr>
        <w:trPr>
          <w:trHeight w:val="283"/>
        </w:trPr>
        <w:tc>
          <w:tcPr>
            <w:tcW w:w="47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gridSpan w:val="2"/>
          </w:tcPr>
          <w:p>
            <w:pPr>
              <w:jc w:val="right"/>
              <w:ind w:right="61"/>
              <w:spacing w:after="0"/>
              <w:rPr>
                <w:sz w:val="20"/>
                <w:szCs w:val="20"/>
                <w:color w:val="auto"/>
              </w:rPr>
            </w:pPr>
            <w:r>
              <w:rPr>
                <w:rFonts w:ascii="Arial" w:cs="Arial" w:eastAsia="Arial" w:hAnsi="Arial"/>
                <w:sz w:val="20"/>
                <w:szCs w:val="20"/>
                <w:color w:val="auto"/>
              </w:rPr>
              <w:t>Earnings Per Share</w:t>
            </w:r>
          </w:p>
        </w:tc>
        <w:tc>
          <w:tcPr>
            <w:tcW w:w="7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40" w:type="dxa"/>
            <w:vAlign w:val="bottom"/>
            <w:tcBorders>
              <w:left w:val="single" w:sz="8" w:color="auto"/>
              <w:bottom w:val="single" w:sz="8" w:color="auto"/>
              <w:right w:val="single" w:sz="8" w:color="auto"/>
            </w:tcBorders>
          </w:tcPr>
          <w:p>
            <w:pPr>
              <w:spacing w:after="0"/>
              <w:rPr>
                <w:sz w:val="22"/>
                <w:szCs w:val="22"/>
                <w:color w:val="auto"/>
              </w:rPr>
            </w:pPr>
          </w:p>
        </w:tc>
        <w:tc>
          <w:tcPr>
            <w:tcW w:w="2760" w:type="dxa"/>
            <w:vAlign w:val="bottom"/>
            <w:tcBorders>
              <w:bottom w:val="single" w:sz="8" w:color="auto"/>
              <w:right w:val="single" w:sz="8" w:color="auto"/>
            </w:tcBorders>
            <w:gridSpan w:val="3"/>
          </w:tcPr>
          <w:p>
            <w:pPr>
              <w:jc w:val="right"/>
              <w:ind w:right="641"/>
              <w:spacing w:after="0"/>
              <w:rPr>
                <w:sz w:val="20"/>
                <w:szCs w:val="20"/>
                <w:color w:val="auto"/>
              </w:rPr>
            </w:pPr>
            <w:r>
              <w:rPr>
                <w:rFonts w:ascii="Arial" w:cs="Arial" w:eastAsia="Arial" w:hAnsi="Arial"/>
                <w:sz w:val="20"/>
                <w:szCs w:val="20"/>
                <w:color w:val="auto"/>
              </w:rPr>
              <w:t>Prior Guidance</w:t>
            </w:r>
          </w:p>
        </w:tc>
        <w:tc>
          <w:tcPr>
            <w:tcW w:w="27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9"/>
              </w:rPr>
              <w:t>Revised Guidance</w:t>
            </w:r>
          </w:p>
        </w:tc>
        <w:tc>
          <w:tcPr>
            <w:tcW w:w="0" w:type="dxa"/>
            <w:vAlign w:val="bottom"/>
          </w:tcPr>
          <w:p>
            <w:pPr>
              <w:spacing w:after="0"/>
              <w:rPr>
                <w:sz w:val="1"/>
                <w:szCs w:val="1"/>
                <w:color w:val="auto"/>
              </w:rPr>
            </w:pPr>
          </w:p>
        </w:tc>
      </w:tr>
      <w:tr>
        <w:trPr>
          <w:trHeight w:val="339"/>
        </w:trPr>
        <w:tc>
          <w:tcPr>
            <w:tcW w:w="4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Estimated merger and integration charges</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$0.05</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$0.08</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$0.07</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$0.10</w:t>
            </w:r>
          </w:p>
        </w:tc>
        <w:tc>
          <w:tcPr>
            <w:tcW w:w="0" w:type="dxa"/>
            <w:vAlign w:val="bottom"/>
          </w:tcPr>
          <w:p>
            <w:pPr>
              <w:spacing w:after="0"/>
              <w:rPr>
                <w:sz w:val="1"/>
                <w:szCs w:val="1"/>
                <w:color w:val="auto"/>
              </w:rPr>
            </w:pPr>
          </w:p>
        </w:tc>
      </w:tr>
      <w:tr>
        <w:trPr>
          <w:trHeight w:val="345"/>
        </w:trPr>
        <w:tc>
          <w:tcPr>
            <w:tcW w:w="4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Estimated charges for restructuring</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$0.29</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$0.33</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$0.29</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$0.33</w:t>
            </w:r>
          </w:p>
        </w:tc>
        <w:tc>
          <w:tcPr>
            <w:tcW w:w="0" w:type="dxa"/>
            <w:vAlign w:val="bottom"/>
          </w:tcPr>
          <w:p>
            <w:pPr>
              <w:spacing w:after="0"/>
              <w:rPr>
                <w:sz w:val="1"/>
                <w:szCs w:val="1"/>
                <w:color w:val="auto"/>
              </w:rPr>
            </w:pPr>
          </w:p>
        </w:tc>
      </w:tr>
      <w:tr>
        <w:trPr>
          <w:trHeight w:val="213"/>
        </w:trPr>
        <w:tc>
          <w:tcPr>
            <w:tcW w:w="4740" w:type="dxa"/>
            <w:vAlign w:val="bottom"/>
            <w:tcBorders>
              <w:left w:val="single" w:sz="8" w:color="auto"/>
              <w:right w:val="single" w:sz="8" w:color="auto"/>
            </w:tcBorders>
          </w:tcPr>
          <w:p>
            <w:pPr>
              <w:ind w:left="40"/>
              <w:spacing w:after="0" w:line="213" w:lineRule="exact"/>
              <w:rPr>
                <w:sz w:val="20"/>
                <w:szCs w:val="20"/>
                <w:color w:val="auto"/>
              </w:rPr>
            </w:pPr>
            <w:r>
              <w:rPr>
                <w:rFonts w:ascii="Arial" w:cs="Arial" w:eastAsia="Arial" w:hAnsi="Arial"/>
                <w:sz w:val="20"/>
                <w:szCs w:val="20"/>
                <w:color w:val="auto"/>
              </w:rPr>
              <w:t>Amortization of intangible assets related to purchase</w:t>
            </w:r>
          </w:p>
        </w:tc>
        <w:tc>
          <w:tcPr>
            <w:tcW w:w="100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20"/>
                <w:szCs w:val="20"/>
                <w:color w:val="auto"/>
                <w:w w:val="95"/>
              </w:rPr>
              <w:t>$0.80</w:t>
            </w:r>
          </w:p>
        </w:tc>
        <w:tc>
          <w:tcPr>
            <w:tcW w:w="1040" w:type="dxa"/>
            <w:vAlign w:val="bottom"/>
            <w:tcBorders>
              <w:righ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Arial" w:cs="Arial" w:eastAsia="Arial" w:hAnsi="Arial"/>
                <w:sz w:val="20"/>
                <w:szCs w:val="20"/>
                <w:color w:val="auto"/>
                <w:w w:val="95"/>
              </w:rPr>
              <w:t>$0.80</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price accounting</w:t>
            </w:r>
          </w:p>
        </w:tc>
        <w:tc>
          <w:tcPr>
            <w:tcW w:w="10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7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0"/>
        </w:trPr>
        <w:tc>
          <w:tcPr>
            <w:tcW w:w="4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Estimated charges related to equity compensation</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$0.29</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$0.33</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$0.29</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color w:val="auto"/>
                <w:w w:val="95"/>
              </w:rPr>
              <w:t>-</w:t>
            </w:r>
          </w:p>
        </w:tc>
        <w:tc>
          <w:tcPr>
            <w:tcW w:w="1040" w:type="dxa"/>
            <w:vAlign w:val="bottom"/>
            <w:tcBorders>
              <w:bottom w:val="single" w:sz="8" w:color="auto"/>
              <w:right w:val="single" w:sz="8" w:color="auto"/>
            </w:tcBorders>
          </w:tcPr>
          <w:p>
            <w:pPr>
              <w:jc w:val="right"/>
              <w:ind w:right="321"/>
              <w:spacing w:after="0"/>
              <w:rPr>
                <w:sz w:val="20"/>
                <w:szCs w:val="20"/>
                <w:color w:val="auto"/>
              </w:rPr>
            </w:pPr>
            <w:r>
              <w:rPr>
                <w:rFonts w:ascii="Arial" w:cs="Arial" w:eastAsia="Arial" w:hAnsi="Arial"/>
                <w:sz w:val="20"/>
                <w:szCs w:val="20"/>
                <w:color w:val="auto"/>
              </w:rPr>
              <w:t>$0.33</w:t>
            </w:r>
          </w:p>
        </w:tc>
        <w:tc>
          <w:tcPr>
            <w:tcW w:w="0" w:type="dxa"/>
            <w:vAlign w:val="bottom"/>
          </w:tcPr>
          <w:p>
            <w:pPr>
              <w:spacing w:after="0"/>
              <w:rPr>
                <w:sz w:val="1"/>
                <w:szCs w:val="1"/>
                <w:color w:val="auto"/>
              </w:rPr>
            </w:pPr>
          </w:p>
        </w:tc>
      </w:tr>
      <w:tr>
        <w:trPr>
          <w:trHeight w:val="213"/>
        </w:trPr>
        <w:tc>
          <w:tcPr>
            <w:tcW w:w="4740" w:type="dxa"/>
            <w:vAlign w:val="bottom"/>
            <w:tcBorders>
              <w:left w:val="single" w:sz="8" w:color="auto"/>
              <w:right w:val="single" w:sz="8" w:color="auto"/>
            </w:tcBorders>
          </w:tcPr>
          <w:p>
            <w:pPr>
              <w:ind w:left="40"/>
              <w:spacing w:after="0" w:line="213" w:lineRule="exact"/>
              <w:rPr>
                <w:sz w:val="20"/>
                <w:szCs w:val="20"/>
                <w:color w:val="auto"/>
              </w:rPr>
            </w:pPr>
            <w:r>
              <w:rPr>
                <w:rFonts w:ascii="Arial" w:cs="Arial" w:eastAsia="Arial" w:hAnsi="Arial"/>
                <w:sz w:val="20"/>
                <w:szCs w:val="20"/>
                <w:color w:val="auto"/>
              </w:rPr>
              <w:t>Estimated day one compensation and retention</w:t>
            </w:r>
          </w:p>
        </w:tc>
        <w:tc>
          <w:tcPr>
            <w:tcW w:w="1000" w:type="dxa"/>
            <w:vAlign w:val="bottom"/>
          </w:tcPr>
          <w:p>
            <w:pPr>
              <w:spacing w:after="0"/>
              <w:rPr>
                <w:sz w:val="18"/>
                <w:szCs w:val="18"/>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w:t>
            </w:r>
          </w:p>
        </w:tc>
        <w:tc>
          <w:tcPr>
            <w:tcW w:w="1040" w:type="dxa"/>
            <w:vAlign w:val="bottom"/>
            <w:tcBorders>
              <w:right w:val="single" w:sz="8" w:color="auto"/>
            </w:tcBorders>
          </w:tcPr>
          <w:p>
            <w:pPr>
              <w:spacing w:after="0"/>
              <w:rPr>
                <w:sz w:val="18"/>
                <w:szCs w:val="18"/>
                <w:color w:val="auto"/>
              </w:rPr>
            </w:pPr>
          </w:p>
        </w:tc>
        <w:tc>
          <w:tcPr>
            <w:tcW w:w="1000" w:type="dxa"/>
            <w:vAlign w:val="bottom"/>
            <w:vMerge w:val="restart"/>
          </w:tcPr>
          <w:p>
            <w:pPr>
              <w:jc w:val="right"/>
              <w:ind w:right="41"/>
              <w:spacing w:after="0"/>
              <w:rPr>
                <w:sz w:val="20"/>
                <w:szCs w:val="20"/>
                <w:color w:val="auto"/>
              </w:rPr>
            </w:pPr>
            <w:r>
              <w:rPr>
                <w:rFonts w:ascii="Arial" w:cs="Arial" w:eastAsia="Arial" w:hAnsi="Arial"/>
                <w:sz w:val="20"/>
                <w:szCs w:val="20"/>
                <w:color w:val="auto"/>
              </w:rPr>
              <w:t>$0.16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w:t>
            </w:r>
          </w:p>
        </w:tc>
        <w:tc>
          <w:tcPr>
            <w:tcW w:w="1040" w:type="dxa"/>
            <w:vAlign w:val="bottom"/>
            <w:tcBorders>
              <w:right w:val="single" w:sz="8" w:color="auto"/>
            </w:tcBorders>
            <w:vMerge w:val="restart"/>
          </w:tcPr>
          <w:p>
            <w:pPr>
              <w:jc w:val="right"/>
              <w:ind w:right="321"/>
              <w:spacing w:after="0"/>
              <w:rPr>
                <w:sz w:val="20"/>
                <w:szCs w:val="20"/>
                <w:color w:val="auto"/>
              </w:rPr>
            </w:pPr>
            <w:r>
              <w:rPr>
                <w:rFonts w:ascii="Arial" w:cs="Arial" w:eastAsia="Arial" w:hAnsi="Arial"/>
                <w:sz w:val="20"/>
                <w:szCs w:val="20"/>
                <w:color w:val="auto"/>
              </w:rPr>
              <w:t>$0.20</w:t>
            </w:r>
          </w:p>
        </w:tc>
        <w:tc>
          <w:tcPr>
            <w:tcW w:w="0" w:type="dxa"/>
            <w:vAlign w:val="bottom"/>
          </w:tcPr>
          <w:p>
            <w:pPr>
              <w:spacing w:after="0"/>
              <w:rPr>
                <w:sz w:val="1"/>
                <w:szCs w:val="1"/>
                <w:color w:val="auto"/>
              </w:rPr>
            </w:pPr>
          </w:p>
        </w:tc>
      </w:tr>
      <w:tr>
        <w:trPr>
          <w:trHeight w:val="187"/>
        </w:trPr>
        <w:tc>
          <w:tcPr>
            <w:tcW w:w="4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color w:val="auto"/>
              </w:rPr>
              <w:t>costs related to Caisson acquisition</w:t>
            </w:r>
          </w:p>
        </w:tc>
        <w:tc>
          <w:tcPr>
            <w:tcW w:w="10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7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jc w:val="both"/>
        <w:ind w:right="20"/>
        <w:spacing w:after="0" w:line="386" w:lineRule="auto"/>
        <w:rPr>
          <w:sz w:val="20"/>
          <w:szCs w:val="20"/>
          <w:color w:val="auto"/>
        </w:rPr>
      </w:pPr>
      <w:r>
        <w:rPr>
          <w:rFonts w:ascii="Arial" w:cs="Arial" w:eastAsia="Arial" w:hAnsi="Arial"/>
          <w:sz w:val="20"/>
          <w:szCs w:val="20"/>
          <w:color w:val="auto"/>
        </w:rPr>
        <w:t>The company currently estimates that adjusted cash flow from operations, excluding integration, restructuring and 3T remediation payments, will now be in the range of $170 to $190 million in 2017. Guidance related to capital expenditures and depreciation and amortization remains unchanged.</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123" w:lineRule="exact"/>
        <w:rPr>
          <w:sz w:val="20"/>
          <w:szCs w:val="20"/>
          <w:color w:val="auto"/>
        </w:rPr>
      </w:pPr>
    </w:p>
    <w:p>
      <w:pPr>
        <w:jc w:val="both"/>
        <w:spacing w:after="0" w:line="380" w:lineRule="auto"/>
        <w:rPr>
          <w:sz w:val="20"/>
          <w:szCs w:val="20"/>
          <w:color w:val="auto"/>
        </w:rPr>
      </w:pPr>
      <w:r>
        <w:rPr>
          <w:rFonts w:ascii="Arial" w:cs="Arial" w:eastAsia="Arial" w:hAnsi="Arial"/>
          <w:sz w:val="20"/>
          <w:szCs w:val="20"/>
          <w:color w:val="auto"/>
        </w:rPr>
        <w:t xml:space="preserve">The company will host a live audio webcast for interested parties commencing at 8 a.m. Central time (9 a.m. Eastern time, 2 p.m. UK time) that will be accessible through the Investor Relations section of the LivaNova corporate website at </w:t>
      </w:r>
      <w:r>
        <w:rPr>
          <w:rFonts w:ascii="Arial" w:cs="Arial" w:eastAsia="Arial" w:hAnsi="Arial"/>
          <w:sz w:val="20"/>
          <w:szCs w:val="20"/>
          <w:u w:val="single" w:color="auto"/>
          <w:color w:val="auto"/>
        </w:rPr>
        <w:t>www.LivaNova.com</w:t>
      </w:r>
      <w:r>
        <w:rPr>
          <w:rFonts w:ascii="Arial" w:cs="Arial" w:eastAsia="Arial" w:hAnsi="Arial"/>
          <w:sz w:val="20"/>
          <w:szCs w:val="20"/>
          <w:color w:val="auto"/>
        </w:rPr>
        <w:t>. To listen to the conference call live by telephone, dial (844) 239-5285 (if dialing from within the U.S.) or (512) 961-6524 (if dialing from outside the U.S.). The conference ID is 94170935.</w:t>
      </w:r>
    </w:p>
    <w:p>
      <w:pPr>
        <w:spacing w:after="0" w:line="299" w:lineRule="exact"/>
        <w:rPr>
          <w:sz w:val="20"/>
          <w:szCs w:val="20"/>
          <w:color w:val="auto"/>
        </w:rPr>
      </w:pPr>
    </w:p>
    <w:p>
      <w:pPr>
        <w:jc w:val="both"/>
        <w:spacing w:after="0" w:line="407" w:lineRule="auto"/>
        <w:rPr>
          <w:sz w:val="20"/>
          <w:szCs w:val="20"/>
          <w:color w:val="auto"/>
        </w:rPr>
      </w:pPr>
      <w:r>
        <w:rPr>
          <w:rFonts w:ascii="Arial" w:cs="Arial" w:eastAsia="Arial" w:hAnsi="Arial"/>
          <w:sz w:val="20"/>
          <w:szCs w:val="20"/>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121" w:lineRule="exact"/>
        <w:rPr>
          <w:sz w:val="20"/>
          <w:szCs w:val="20"/>
          <w:color w:val="auto"/>
        </w:rPr>
      </w:pPr>
    </w:p>
    <w:p>
      <w:pPr>
        <w:jc w:val="both"/>
        <w:spacing w:after="0" w:line="380"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677" w:right="239" w:bottom="1440" w:gutter="0" w:footer="0" w:header="0"/>
        </w:sectPr>
      </w:pPr>
    </w:p>
    <w:bookmarkStart w:id="8" w:name="page9"/>
    <w:bookmarkEnd w:id="8"/>
    <w:p>
      <w:pPr>
        <w:jc w:val="both"/>
        <w:spacing w:after="0" w:line="386" w:lineRule="auto"/>
        <w:rPr>
          <w:sz w:val="20"/>
          <w:szCs w:val="20"/>
          <w:color w:val="auto"/>
        </w:rPr>
      </w:pPr>
      <w:r>
        <w:rPr>
          <w:rFonts w:ascii="Arial" w:cs="Arial" w:eastAsia="Arial" w:hAnsi="Arial"/>
          <w:sz w:val="20"/>
          <w:szCs w:val="20"/>
          <w:color w:val="auto"/>
        </w:rPr>
        <w:t>employs more than 4,500 employees. LivaNova operates as three business franchises: Cardiac Surgery, Neuromodulation and Cardiac Rhythm Management, with operating headquarters in Mirandola (Italy), Houston (U.S.A.) and Clamart (France),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FF5C39"/>
        </w:rPr>
        <w:t>Use of Non-GAAP Financial Measures</w:t>
      </w:r>
    </w:p>
    <w:p>
      <w:pPr>
        <w:spacing w:after="0" w:line="121"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Generally Accepted Accounting Principles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172" w:lineRule="exact"/>
        <w:rPr>
          <w:sz w:val="20"/>
          <w:szCs w:val="20"/>
          <w:color w:val="auto"/>
        </w:rPr>
      </w:pPr>
    </w:p>
    <w:p>
      <w:pPr>
        <w:jc w:val="both"/>
        <w:spacing w:after="0" w:line="376" w:lineRule="auto"/>
        <w:rPr>
          <w:sz w:val="20"/>
          <w:szCs w:val="20"/>
          <w:color w:val="auto"/>
        </w:rPr>
      </w:pPr>
      <w:r>
        <w:rPr>
          <w:rFonts w:ascii="Arial" w:cs="Arial" w:eastAsia="Arial" w:hAnsi="Arial"/>
          <w:sz w:val="20"/>
          <w:szCs w:val="20"/>
          <w:color w:val="auto"/>
        </w:rPr>
        <w:t>Unless otherwise noted, all sales growth rates in this release reflect comparable, constant currency growth. Management believes that referring to comparable, constant currency growth is the most useful way to evaluate the sales performance of LivaNova and to compare the sales performance of current periods to prior periods on a consistent basis. Constant currency growth, a non-GAAP financial measure, measures the change in sales between current and prior year periods using average exchange rates in effect during the applicable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337"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677" w:right="239" w:bottom="1440" w:gutter="0" w:footer="0" w:header="0"/>
        </w:sectPr>
      </w:pPr>
    </w:p>
    <w:bookmarkStart w:id="9" w:name="page10"/>
    <w:bookmarkEnd w:id="9"/>
    <w:p>
      <w:pPr>
        <w:jc w:val="both"/>
        <w:spacing w:after="0" w:line="385" w:lineRule="auto"/>
        <w:rPr>
          <w:sz w:val="20"/>
          <w:szCs w:val="20"/>
          <w:color w:val="auto"/>
        </w:rPr>
      </w:pPr>
      <w:r>
        <w:rPr>
          <w:rFonts w:ascii="Arial" w:cs="Arial" w:eastAsia="Arial" w:hAnsi="Arial"/>
          <w:sz w:val="19"/>
          <w:szCs w:val="19"/>
          <w:color w:val="auto"/>
        </w:rPr>
        <w:t>Investors are cautioned that all such statements involve risks and uncertainties, including without limitation, statements concerning advancing Caisson’s transcatheter mitral valve replacement device and other innovative therapies to market, positioning LivaNova to be more competitive, achieving greater value for our customers and shareholders alike, and revised full-year 2017 guidance for net sales, adjusted diluted earnings per share, and adjusted cash flow from operations, excluding integration, restructuring and 3T remediation payments. Important factors that may cause actual results to differ include, but are not limited to: (i) risks that the legacy businesses of Cyberonics, Inc. and Sorin S.p.A. (together, the “combined companies”) will not be integrated successfully or that the combined companies will not realize estimated cost savings, value of certain tax assets, synergies and growth, or that such benefits may take longer to realize than expected; (ii) the inability of LivaNova to meet expectations regarding the timing, completion and accounting of tax treatments; (iii) risks relating to unanticipated costs of integration, including operating costs, customer loss or business disruption being greater than expected; (iv) organizational and governance structure; (v) reductions in customer spending, a slowdown in customer payments and changes in customer demand for products and services; (vi) unanticipated changes relating to competitive factors in the industries in which LivaNova operates; (vii) the ability to hire and retain key personnel; (viii) the ability to attract new customers and retain existing customers in the manner anticipated; (ix) the reliance on and integration of information technology systems; (x) changes in legislation or governmental regulations affecting LivaNova;</w:t>
      </w:r>
    </w:p>
    <w:p>
      <w:pPr>
        <w:spacing w:after="0" w:line="9" w:lineRule="exact"/>
        <w:rPr>
          <w:sz w:val="20"/>
          <w:szCs w:val="20"/>
          <w:color w:val="auto"/>
        </w:rPr>
      </w:pPr>
    </w:p>
    <w:p>
      <w:pPr>
        <w:jc w:val="both"/>
        <w:ind w:firstLine="8"/>
        <w:spacing w:after="0" w:line="369" w:lineRule="auto"/>
        <w:tabs>
          <w:tab w:leader="none" w:pos="346" w:val="left"/>
        </w:tabs>
        <w:numPr>
          <w:ilvl w:val="0"/>
          <w:numId w:val="1"/>
        </w:numPr>
        <w:rPr>
          <w:rFonts w:ascii="Arial" w:cs="Arial" w:eastAsia="Arial" w:hAnsi="Arial"/>
          <w:sz w:val="20"/>
          <w:szCs w:val="20"/>
          <w:color w:val="auto"/>
        </w:rPr>
      </w:pPr>
      <w:r>
        <w:rPr>
          <w:rFonts w:ascii="Arial" w:cs="Arial" w:eastAsia="Arial" w:hAnsi="Arial"/>
          <w:sz w:val="20"/>
          <w:szCs w:val="20"/>
          <w:color w:val="auto"/>
        </w:rPr>
        <w:t>international, national or local economic, social or political conditions that could adversely affect LivaNova, its partners or its customers; (xii) conditions in the credit markets; (xiii) business and other financial risks inherent to the industries in which LivaNova operates; (xiv) risks associated with assumptions made in connection with critical accounting estimates and legal proceedings; (xv) LivaNova’s international operations, which are subject to the risks of currency fluctuations and foreign exchange controls; (xvi)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893" w:right="239" w:bottom="1440" w:gutter="0" w:footer="0" w:header="0"/>
        </w:sectPr>
      </w:pPr>
    </w:p>
    <w:bookmarkStart w:id="10" w:name="page11"/>
    <w:bookmarkEnd w:id="10"/>
    <w:p>
      <w:pPr>
        <w:jc w:val="both"/>
        <w:spacing w:after="0" w:line="374" w:lineRule="auto"/>
        <w:rPr>
          <w:sz w:val="20"/>
          <w:szCs w:val="20"/>
          <w:color w:val="auto"/>
        </w:rPr>
      </w:pPr>
      <w:r>
        <w:rPr>
          <w:rFonts w:ascii="Arial" w:cs="Arial" w:eastAsia="Arial" w:hAnsi="Arial"/>
          <w:sz w:val="20"/>
          <w:szCs w:val="20"/>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b w:val="1"/>
          <w:bCs w:val="1"/>
          <w:u w:val="single" w:color="auto"/>
          <w:color w:val="auto"/>
        </w:rPr>
        <w:t>www.LivaNova.com</w:t>
      </w:r>
      <w:r>
        <w:rPr>
          <w:rFonts w:ascii="Arial" w:cs="Arial" w:eastAsia="Arial" w:hAnsi="Arial"/>
          <w:sz w:val="20"/>
          <w:szCs w:val="20"/>
          <w:color w:val="auto"/>
        </w:rPr>
        <w:t>,</w:t>
      </w:r>
      <w:r>
        <w:rPr>
          <w:rFonts w:ascii="Arial" w:cs="Arial" w:eastAsia="Arial" w:hAnsi="Arial"/>
          <w:sz w:val="20"/>
          <w:szCs w:val="20"/>
          <w:b w:val="1"/>
          <w:bCs w:val="1"/>
          <w:color w:val="auto"/>
        </w:rPr>
        <w:t xml:space="preserve"> or contact:</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Investor Relations and Media</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Karen King</w:t>
      </w:r>
    </w:p>
    <w:p>
      <w:pPr>
        <w:ind w:left="180"/>
        <w:spacing w:after="0"/>
        <w:rPr>
          <w:sz w:val="20"/>
          <w:szCs w:val="20"/>
          <w:color w:val="auto"/>
        </w:rPr>
      </w:pPr>
      <w:r>
        <w:rPr>
          <w:rFonts w:ascii="Arial" w:cs="Arial" w:eastAsia="Arial" w:hAnsi="Arial"/>
          <w:sz w:val="20"/>
          <w:szCs w:val="20"/>
          <w:color w:val="auto"/>
        </w:rPr>
        <w:t>Vice President, Investor Relations &amp; Corporate Communications</w:t>
      </w:r>
    </w:p>
    <w:p>
      <w:pPr>
        <w:ind w:left="180"/>
        <w:spacing w:after="0" w:line="225" w:lineRule="auto"/>
        <w:rPr>
          <w:sz w:val="20"/>
          <w:szCs w:val="20"/>
          <w:color w:val="auto"/>
        </w:rPr>
      </w:pPr>
      <w:r>
        <w:rPr>
          <w:rFonts w:ascii="Arial" w:cs="Arial" w:eastAsia="Arial" w:hAnsi="Arial"/>
          <w:sz w:val="20"/>
          <w:szCs w:val="20"/>
          <w:color w:val="auto"/>
        </w:rPr>
        <w:t>Phone: +1 (281) 228-7262</w:t>
      </w:r>
    </w:p>
    <w:p>
      <w:pPr>
        <w:ind w:left="180"/>
        <w:spacing w:after="0" w:line="225" w:lineRule="auto"/>
        <w:rPr>
          <w:sz w:val="20"/>
          <w:szCs w:val="20"/>
          <w:color w:val="auto"/>
        </w:rPr>
      </w:pPr>
      <w:r>
        <w:rPr>
          <w:rFonts w:ascii="Arial" w:cs="Arial" w:eastAsia="Arial" w:hAnsi="Arial"/>
          <w:sz w:val="20"/>
          <w:szCs w:val="20"/>
          <w:color w:val="auto"/>
        </w:rPr>
        <w:t>Fax: +1 (281) 218-9332</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0"/>
          <w:szCs w:val="20"/>
          <w:color w:val="auto"/>
        </w:rPr>
        <w:t>e-mail: Corporate.Communications@LivaNova.com</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89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BY BUSINESS FRANCHISE - UNAUDITED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w:t>
      </w:r>
    </w:p>
    <w:p>
      <w:pPr>
        <w:spacing w:after="0" w:line="247" w:lineRule="exact"/>
        <w:rPr>
          <w:sz w:val="20"/>
          <w:szCs w:val="20"/>
          <w:color w:val="auto"/>
        </w:rPr>
      </w:pPr>
    </w:p>
    <w:tbl>
      <w:tblPr>
        <w:tblLayout w:type="fixed"/>
        <w:tblInd w:w="920" w:type="dxa"/>
        <w:tblCellMar>
          <w:top w:w="0" w:type="dxa"/>
          <w:left w:w="0" w:type="dxa"/>
          <w:bottom w:w="0" w:type="dxa"/>
          <w:right w:w="0" w:type="dxa"/>
        </w:tblCellMar>
      </w:tblPr>
      <w:tr>
        <w:trPr>
          <w:trHeight w:val="244"/>
        </w:trPr>
        <w:tc>
          <w:tcPr>
            <w:tcW w:w="274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7"/>
                <w:szCs w:val="17"/>
                <w:b w:val="1"/>
                <w:bCs w:val="1"/>
                <w:color w:val="auto"/>
              </w:rPr>
              <w:t>Three Months Ended March 31,</w:t>
            </w:r>
          </w:p>
        </w:tc>
        <w:tc>
          <w:tcPr>
            <w:tcW w:w="2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740" w:type="dxa"/>
            <w:vAlign w:val="bottom"/>
          </w:tcPr>
          <w:p>
            <w:pPr>
              <w:spacing w:after="0"/>
              <w:rPr>
                <w:sz w:val="15"/>
                <w:szCs w:val="15"/>
                <w:color w:val="auto"/>
              </w:rPr>
            </w:pPr>
          </w:p>
        </w:tc>
        <w:tc>
          <w:tcPr>
            <w:tcW w:w="1540" w:type="dxa"/>
            <w:vAlign w:val="bottom"/>
            <w:vMerge w:val="restart"/>
          </w:tcPr>
          <w:p>
            <w:pPr>
              <w:jc w:val="right"/>
              <w:ind w:right="595"/>
              <w:spacing w:after="0"/>
              <w:rPr>
                <w:sz w:val="20"/>
                <w:szCs w:val="20"/>
                <w:color w:val="auto"/>
              </w:rPr>
            </w:pPr>
            <w:r>
              <w:rPr>
                <w:rFonts w:ascii="Arial" w:cs="Arial" w:eastAsia="Arial" w:hAnsi="Arial"/>
                <w:sz w:val="17"/>
                <w:szCs w:val="17"/>
                <w:b w:val="1"/>
                <w:bCs w:val="1"/>
                <w:color w:val="auto"/>
              </w:rPr>
              <w:t>2017</w:t>
            </w:r>
          </w:p>
        </w:tc>
        <w:tc>
          <w:tcPr>
            <w:tcW w:w="116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2260" w:type="dxa"/>
            <w:vAlign w:val="bottom"/>
          </w:tcPr>
          <w:p>
            <w:pPr>
              <w:jc w:val="right"/>
              <w:ind w:right="255"/>
              <w:spacing w:after="0" w:line="181" w:lineRule="exact"/>
              <w:rPr>
                <w:sz w:val="20"/>
                <w:szCs w:val="20"/>
                <w:color w:val="auto"/>
              </w:rPr>
            </w:pPr>
            <w:r>
              <w:rPr>
                <w:rFonts w:ascii="Arial" w:cs="Arial" w:eastAsia="Arial" w:hAnsi="Arial"/>
                <w:sz w:val="17"/>
                <w:szCs w:val="17"/>
                <w:b w:val="1"/>
                <w:bCs w:val="1"/>
                <w:color w:val="auto"/>
              </w:rPr>
              <w:t>% Change at Actual</w:t>
            </w:r>
          </w:p>
        </w:tc>
        <w:tc>
          <w:tcPr>
            <w:tcW w:w="2140" w:type="dxa"/>
            <w:vAlign w:val="bottom"/>
          </w:tcPr>
          <w:p>
            <w:pPr>
              <w:jc w:val="right"/>
              <w:ind w:right="135"/>
              <w:spacing w:after="0" w:line="181" w:lineRule="exact"/>
              <w:rPr>
                <w:sz w:val="20"/>
                <w:szCs w:val="20"/>
                <w:color w:val="auto"/>
              </w:rPr>
            </w:pPr>
            <w:r>
              <w:rPr>
                <w:rFonts w:ascii="Arial" w:cs="Arial" w:eastAsia="Arial" w:hAnsi="Arial"/>
                <w:sz w:val="17"/>
                <w:szCs w:val="17"/>
                <w:b w:val="1"/>
                <w:bCs w:val="1"/>
                <w:color w:val="auto"/>
              </w:rPr>
              <w:t>% Change at Constant</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226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Currency Rates</w:t>
            </w:r>
          </w:p>
        </w:tc>
        <w:tc>
          <w:tcPr>
            <w:tcW w:w="214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Currency Rates</w:t>
            </w: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vMerge w:val="continue"/>
          </w:tcPr>
          <w:p>
            <w:pPr>
              <w:spacing w:after="0"/>
              <w:rPr>
                <w:sz w:val="8"/>
                <w:szCs w:val="8"/>
                <w:color w:val="auto"/>
              </w:rPr>
            </w:pPr>
          </w:p>
        </w:tc>
        <w:tc>
          <w:tcPr>
            <w:tcW w:w="21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740" w:type="dxa"/>
            <w:vAlign w:val="bottom"/>
          </w:tcPr>
          <w:p>
            <w:pPr>
              <w:spacing w:after="0"/>
              <w:rPr>
                <w:sz w:val="20"/>
                <w:szCs w:val="20"/>
                <w:color w:val="auto"/>
              </w:rPr>
            </w:pPr>
            <w:r>
              <w:rPr>
                <w:rFonts w:ascii="Arial" w:cs="Arial" w:eastAsia="Arial" w:hAnsi="Arial"/>
                <w:sz w:val="17"/>
                <w:szCs w:val="17"/>
                <w:color w:val="auto"/>
              </w:rPr>
              <w:t>Cardio Pulmonary</w:t>
            </w:r>
          </w:p>
        </w:tc>
        <w:tc>
          <w:tcPr>
            <w:tcW w:w="1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US</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$32.2</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$34.5</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(6.6%)</w:t>
            </w:r>
          </w:p>
        </w:tc>
        <w:tc>
          <w:tcPr>
            <w:tcW w:w="214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Europe</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30.6</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31.5</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(2.8%)</w:t>
            </w:r>
          </w:p>
        </w:tc>
        <w:tc>
          <w:tcPr>
            <w:tcW w:w="214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0"/>
                <w:szCs w:val="20"/>
                <w:color w:val="auto"/>
              </w:rPr>
            </w:pPr>
            <w:r>
              <w:rPr>
                <w:rFonts w:ascii="Arial" w:cs="Arial" w:eastAsia="Arial" w:hAnsi="Arial"/>
                <w:sz w:val="17"/>
                <w:szCs w:val="17"/>
                <w:color w:val="auto"/>
              </w:rPr>
              <w:t>Rest of World</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44.5</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45.0</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(1.0%)</w:t>
            </w:r>
          </w:p>
        </w:tc>
        <w:tc>
          <w:tcPr>
            <w:tcW w:w="21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53"/>
        </w:trPr>
        <w:tc>
          <w:tcPr>
            <w:tcW w:w="274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107.3</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110.9</w:t>
            </w:r>
          </w:p>
        </w:tc>
        <w:tc>
          <w:tcPr>
            <w:tcW w:w="2260" w:type="dxa"/>
            <w:vAlign w:val="bottom"/>
          </w:tcPr>
          <w:p>
            <w:pPr>
              <w:jc w:val="right"/>
              <w:ind w:right="55"/>
              <w:spacing w:after="0"/>
              <w:rPr>
                <w:sz w:val="20"/>
                <w:szCs w:val="20"/>
                <w:color w:val="auto"/>
              </w:rPr>
            </w:pPr>
            <w:r>
              <w:rPr>
                <w:rFonts w:ascii="Arial" w:cs="Arial" w:eastAsia="Arial" w:hAnsi="Arial"/>
                <w:sz w:val="17"/>
                <w:szCs w:val="17"/>
                <w:b w:val="1"/>
                <w:bCs w:val="1"/>
                <w:color w:val="auto"/>
              </w:rPr>
              <w:t>(3.3%)</w:t>
            </w:r>
          </w:p>
        </w:tc>
        <w:tc>
          <w:tcPr>
            <w:tcW w:w="2140" w:type="dxa"/>
            <w:vAlign w:val="bottom"/>
          </w:tcPr>
          <w:p>
            <w:pPr>
              <w:jc w:val="right"/>
              <w:spacing w:after="0"/>
              <w:rPr>
                <w:sz w:val="20"/>
                <w:szCs w:val="20"/>
                <w:color w:val="auto"/>
              </w:rPr>
            </w:pPr>
            <w:r>
              <w:rPr>
                <w:rFonts w:ascii="Arial" w:cs="Arial" w:eastAsia="Arial" w:hAnsi="Arial"/>
                <w:sz w:val="17"/>
                <w:szCs w:val="17"/>
                <w:b w:val="1"/>
                <w:bCs w:val="1"/>
                <w:color w:val="auto"/>
              </w:rPr>
              <w:t>(2.5%)</w:t>
            </w:r>
          </w:p>
        </w:tc>
        <w:tc>
          <w:tcPr>
            <w:tcW w:w="0" w:type="dxa"/>
            <w:vAlign w:val="bottom"/>
          </w:tcPr>
          <w:p>
            <w:pPr>
              <w:spacing w:after="0"/>
              <w:rPr>
                <w:sz w:val="1"/>
                <w:szCs w:val="1"/>
                <w:color w:val="auto"/>
              </w:rPr>
            </w:pPr>
          </w:p>
        </w:tc>
      </w:tr>
      <w:tr>
        <w:trPr>
          <w:trHeight w:val="429"/>
        </w:trPr>
        <w:tc>
          <w:tcPr>
            <w:tcW w:w="2740" w:type="dxa"/>
            <w:vAlign w:val="bottom"/>
          </w:tcPr>
          <w:p>
            <w:pPr>
              <w:spacing w:after="0"/>
              <w:rPr>
                <w:sz w:val="20"/>
                <w:szCs w:val="20"/>
                <w:color w:val="auto"/>
              </w:rPr>
            </w:pPr>
            <w:r>
              <w:rPr>
                <w:rFonts w:ascii="Arial" w:cs="Arial" w:eastAsia="Arial" w:hAnsi="Arial"/>
                <w:sz w:val="17"/>
                <w:szCs w:val="17"/>
                <w:color w:val="auto"/>
              </w:rPr>
              <w:t>Heart Valve</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US</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6.1</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6.5</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(6.0%)</w:t>
            </w:r>
          </w:p>
        </w:tc>
        <w:tc>
          <w:tcPr>
            <w:tcW w:w="214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Europe</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10.3</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11.4</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(9.1%)</w:t>
            </w:r>
          </w:p>
        </w:tc>
        <w:tc>
          <w:tcPr>
            <w:tcW w:w="214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0"/>
                <w:szCs w:val="20"/>
                <w:color w:val="auto"/>
              </w:rPr>
            </w:pPr>
            <w:r>
              <w:rPr>
                <w:rFonts w:ascii="Arial" w:cs="Arial" w:eastAsia="Arial" w:hAnsi="Arial"/>
                <w:sz w:val="17"/>
                <w:szCs w:val="17"/>
                <w:color w:val="auto"/>
              </w:rPr>
              <w:t>Rest of World</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15.5</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14.7</w:t>
            </w:r>
          </w:p>
        </w:tc>
        <w:tc>
          <w:tcPr>
            <w:tcW w:w="2260" w:type="dxa"/>
            <w:vAlign w:val="bottom"/>
          </w:tcPr>
          <w:p>
            <w:pPr>
              <w:jc w:val="right"/>
              <w:ind w:right="115"/>
              <w:spacing w:after="0"/>
              <w:rPr>
                <w:sz w:val="20"/>
                <w:szCs w:val="20"/>
                <w:color w:val="auto"/>
              </w:rPr>
            </w:pPr>
            <w:r>
              <w:rPr>
                <w:rFonts w:ascii="Arial" w:cs="Arial" w:eastAsia="Arial" w:hAnsi="Arial"/>
                <w:sz w:val="17"/>
                <w:szCs w:val="17"/>
                <w:color w:val="auto"/>
              </w:rPr>
              <w:t>5.5%</w:t>
            </w:r>
          </w:p>
        </w:tc>
        <w:tc>
          <w:tcPr>
            <w:tcW w:w="214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53"/>
        </w:trPr>
        <w:tc>
          <w:tcPr>
            <w:tcW w:w="274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31.9</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32.5</w:t>
            </w:r>
          </w:p>
        </w:tc>
        <w:tc>
          <w:tcPr>
            <w:tcW w:w="2260" w:type="dxa"/>
            <w:vAlign w:val="bottom"/>
          </w:tcPr>
          <w:p>
            <w:pPr>
              <w:jc w:val="right"/>
              <w:ind w:right="55"/>
              <w:spacing w:after="0"/>
              <w:rPr>
                <w:sz w:val="20"/>
                <w:szCs w:val="20"/>
                <w:color w:val="auto"/>
              </w:rPr>
            </w:pPr>
            <w:r>
              <w:rPr>
                <w:rFonts w:ascii="Arial" w:cs="Arial" w:eastAsia="Arial" w:hAnsi="Arial"/>
                <w:sz w:val="17"/>
                <w:szCs w:val="17"/>
                <w:b w:val="1"/>
                <w:bCs w:val="1"/>
                <w:color w:val="auto"/>
              </w:rPr>
              <w:t>(1.9%)</w:t>
            </w:r>
          </w:p>
        </w:tc>
        <w:tc>
          <w:tcPr>
            <w:tcW w:w="2140" w:type="dxa"/>
            <w:vAlign w:val="bottom"/>
          </w:tcPr>
          <w:p>
            <w:pPr>
              <w:jc w:val="right"/>
              <w:spacing w:after="0"/>
              <w:rPr>
                <w:sz w:val="20"/>
                <w:szCs w:val="20"/>
                <w:color w:val="auto"/>
              </w:rPr>
            </w:pPr>
            <w:r>
              <w:rPr>
                <w:rFonts w:ascii="Arial" w:cs="Arial" w:eastAsia="Arial" w:hAnsi="Arial"/>
                <w:sz w:val="17"/>
                <w:szCs w:val="17"/>
                <w:b w:val="1"/>
                <w:bCs w:val="1"/>
                <w:color w:val="auto"/>
              </w:rPr>
              <w:t>(0.8%)</w:t>
            </w:r>
          </w:p>
        </w:tc>
        <w:tc>
          <w:tcPr>
            <w:tcW w:w="0" w:type="dxa"/>
            <w:vAlign w:val="bottom"/>
          </w:tcPr>
          <w:p>
            <w:pPr>
              <w:spacing w:after="0"/>
              <w:rPr>
                <w:sz w:val="1"/>
                <w:szCs w:val="1"/>
                <w:color w:val="auto"/>
              </w:rPr>
            </w:pPr>
          </w:p>
        </w:tc>
      </w:tr>
      <w:tr>
        <w:trPr>
          <w:trHeight w:val="429"/>
        </w:trPr>
        <w:tc>
          <w:tcPr>
            <w:tcW w:w="2740" w:type="dxa"/>
            <w:vAlign w:val="bottom"/>
          </w:tcPr>
          <w:p>
            <w:pPr>
              <w:spacing w:after="0"/>
              <w:rPr>
                <w:sz w:val="20"/>
                <w:szCs w:val="20"/>
                <w:color w:val="auto"/>
              </w:rPr>
            </w:pPr>
            <w:r>
              <w:rPr>
                <w:rFonts w:ascii="Arial" w:cs="Arial" w:eastAsia="Arial" w:hAnsi="Arial"/>
                <w:sz w:val="17"/>
                <w:szCs w:val="17"/>
                <w:color w:val="auto"/>
              </w:rPr>
              <w:t>Cardiac Surgery</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US</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38.2</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40.9</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(6.5%)</w:t>
            </w:r>
          </w:p>
        </w:tc>
        <w:tc>
          <w:tcPr>
            <w:tcW w:w="214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Europe</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41.0</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42.9</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(4.5%)</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0"/>
                <w:szCs w:val="20"/>
                <w:color w:val="auto"/>
              </w:rPr>
            </w:pPr>
            <w:r>
              <w:rPr>
                <w:rFonts w:ascii="Arial" w:cs="Arial" w:eastAsia="Arial" w:hAnsi="Arial"/>
                <w:sz w:val="17"/>
                <w:szCs w:val="17"/>
                <w:color w:val="auto"/>
              </w:rPr>
              <w:t>Rest of World</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60.0</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59.7</w:t>
            </w:r>
          </w:p>
        </w:tc>
        <w:tc>
          <w:tcPr>
            <w:tcW w:w="2260" w:type="dxa"/>
            <w:vAlign w:val="bottom"/>
          </w:tcPr>
          <w:p>
            <w:pPr>
              <w:jc w:val="right"/>
              <w:ind w:right="115"/>
              <w:spacing w:after="0"/>
              <w:rPr>
                <w:sz w:val="20"/>
                <w:szCs w:val="20"/>
                <w:color w:val="auto"/>
              </w:rPr>
            </w:pPr>
            <w:r>
              <w:rPr>
                <w:rFonts w:ascii="Arial" w:cs="Arial" w:eastAsia="Arial" w:hAnsi="Arial"/>
                <w:sz w:val="17"/>
                <w:szCs w:val="17"/>
                <w:color w:val="auto"/>
              </w:rPr>
              <w:t>0.6%</w:t>
            </w:r>
          </w:p>
        </w:tc>
        <w:tc>
          <w:tcPr>
            <w:tcW w:w="214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53"/>
        </w:trPr>
        <w:tc>
          <w:tcPr>
            <w:tcW w:w="274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139.2</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143.4</w:t>
            </w:r>
          </w:p>
        </w:tc>
        <w:tc>
          <w:tcPr>
            <w:tcW w:w="2260" w:type="dxa"/>
            <w:vAlign w:val="bottom"/>
          </w:tcPr>
          <w:p>
            <w:pPr>
              <w:jc w:val="right"/>
              <w:ind w:right="55"/>
              <w:spacing w:after="0"/>
              <w:rPr>
                <w:sz w:val="20"/>
                <w:szCs w:val="20"/>
                <w:color w:val="auto"/>
              </w:rPr>
            </w:pPr>
            <w:r>
              <w:rPr>
                <w:rFonts w:ascii="Arial" w:cs="Arial" w:eastAsia="Arial" w:hAnsi="Arial"/>
                <w:sz w:val="17"/>
                <w:szCs w:val="17"/>
                <w:b w:val="1"/>
                <w:bCs w:val="1"/>
                <w:color w:val="auto"/>
              </w:rPr>
              <w:t>(3.0%)</w:t>
            </w:r>
          </w:p>
        </w:tc>
        <w:tc>
          <w:tcPr>
            <w:tcW w:w="2140" w:type="dxa"/>
            <w:vAlign w:val="bottom"/>
          </w:tcPr>
          <w:p>
            <w:pPr>
              <w:jc w:val="right"/>
              <w:spacing w:after="0"/>
              <w:rPr>
                <w:sz w:val="20"/>
                <w:szCs w:val="20"/>
                <w:color w:val="auto"/>
              </w:rPr>
            </w:pPr>
            <w:r>
              <w:rPr>
                <w:rFonts w:ascii="Arial" w:cs="Arial" w:eastAsia="Arial" w:hAnsi="Arial"/>
                <w:sz w:val="17"/>
                <w:szCs w:val="17"/>
                <w:b w:val="1"/>
                <w:bCs w:val="1"/>
                <w:color w:val="auto"/>
              </w:rPr>
              <w:t>(2.1%)</w:t>
            </w:r>
          </w:p>
        </w:tc>
        <w:tc>
          <w:tcPr>
            <w:tcW w:w="0" w:type="dxa"/>
            <w:vAlign w:val="bottom"/>
          </w:tcPr>
          <w:p>
            <w:pPr>
              <w:spacing w:after="0"/>
              <w:rPr>
                <w:sz w:val="1"/>
                <w:szCs w:val="1"/>
                <w:color w:val="auto"/>
              </w:rPr>
            </w:pPr>
          </w:p>
        </w:tc>
      </w:tr>
      <w:tr>
        <w:trPr>
          <w:trHeight w:val="429"/>
        </w:trPr>
        <w:tc>
          <w:tcPr>
            <w:tcW w:w="2740" w:type="dxa"/>
            <w:vAlign w:val="bottom"/>
          </w:tcPr>
          <w:p>
            <w:pPr>
              <w:spacing w:after="0"/>
              <w:rPr>
                <w:sz w:val="20"/>
                <w:szCs w:val="20"/>
                <w:color w:val="auto"/>
              </w:rPr>
            </w:pPr>
            <w:r>
              <w:rPr>
                <w:rFonts w:ascii="Arial" w:cs="Arial" w:eastAsia="Arial" w:hAnsi="Arial"/>
                <w:sz w:val="17"/>
                <w:szCs w:val="17"/>
                <w:color w:val="auto"/>
              </w:rPr>
              <w:t>CRM</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US</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2.4</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3.0</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(17.6%)</w:t>
            </w:r>
          </w:p>
        </w:tc>
        <w:tc>
          <w:tcPr>
            <w:tcW w:w="2140" w:type="dxa"/>
            <w:vAlign w:val="bottom"/>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Europe</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47.5</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50.0</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(5.1%)</w:t>
            </w:r>
          </w:p>
        </w:tc>
        <w:tc>
          <w:tcPr>
            <w:tcW w:w="214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0"/>
                <w:szCs w:val="20"/>
                <w:color w:val="auto"/>
              </w:rPr>
            </w:pPr>
            <w:r>
              <w:rPr>
                <w:rFonts w:ascii="Arial" w:cs="Arial" w:eastAsia="Arial" w:hAnsi="Arial"/>
                <w:sz w:val="17"/>
                <w:szCs w:val="17"/>
                <w:color w:val="auto"/>
              </w:rPr>
              <w:t>Rest of World</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8.4</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8.7</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(4.2%)</w:t>
            </w:r>
          </w:p>
        </w:tc>
        <w:tc>
          <w:tcPr>
            <w:tcW w:w="214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53"/>
        </w:trPr>
        <w:tc>
          <w:tcPr>
            <w:tcW w:w="274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58.3</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61.7</w:t>
            </w:r>
          </w:p>
        </w:tc>
        <w:tc>
          <w:tcPr>
            <w:tcW w:w="2260" w:type="dxa"/>
            <w:vAlign w:val="bottom"/>
          </w:tcPr>
          <w:p>
            <w:pPr>
              <w:jc w:val="right"/>
              <w:ind w:right="55"/>
              <w:spacing w:after="0"/>
              <w:rPr>
                <w:sz w:val="20"/>
                <w:szCs w:val="20"/>
                <w:color w:val="auto"/>
              </w:rPr>
            </w:pPr>
            <w:r>
              <w:rPr>
                <w:rFonts w:ascii="Arial" w:cs="Arial" w:eastAsia="Arial" w:hAnsi="Arial"/>
                <w:sz w:val="17"/>
                <w:szCs w:val="17"/>
                <w:b w:val="1"/>
                <w:bCs w:val="1"/>
                <w:color w:val="auto"/>
              </w:rPr>
              <w:t>(5.6%)</w:t>
            </w:r>
          </w:p>
        </w:tc>
        <w:tc>
          <w:tcPr>
            <w:tcW w:w="2140" w:type="dxa"/>
            <w:vAlign w:val="bottom"/>
          </w:tcPr>
          <w:p>
            <w:pPr>
              <w:jc w:val="right"/>
              <w:spacing w:after="0"/>
              <w:rPr>
                <w:sz w:val="20"/>
                <w:szCs w:val="20"/>
                <w:color w:val="auto"/>
              </w:rPr>
            </w:pPr>
            <w:r>
              <w:rPr>
                <w:rFonts w:ascii="Arial" w:cs="Arial" w:eastAsia="Arial" w:hAnsi="Arial"/>
                <w:sz w:val="17"/>
                <w:szCs w:val="17"/>
                <w:b w:val="1"/>
                <w:bCs w:val="1"/>
                <w:color w:val="auto"/>
              </w:rPr>
              <w:t>(2.9%)</w:t>
            </w:r>
          </w:p>
        </w:tc>
        <w:tc>
          <w:tcPr>
            <w:tcW w:w="0" w:type="dxa"/>
            <w:vAlign w:val="bottom"/>
          </w:tcPr>
          <w:p>
            <w:pPr>
              <w:spacing w:after="0"/>
              <w:rPr>
                <w:sz w:val="1"/>
                <w:szCs w:val="1"/>
                <w:color w:val="auto"/>
              </w:rPr>
            </w:pPr>
          </w:p>
        </w:tc>
      </w:tr>
      <w:tr>
        <w:trPr>
          <w:trHeight w:val="429"/>
        </w:trPr>
        <w:tc>
          <w:tcPr>
            <w:tcW w:w="2740" w:type="dxa"/>
            <w:vAlign w:val="bottom"/>
          </w:tcPr>
          <w:p>
            <w:pPr>
              <w:spacing w:after="0"/>
              <w:rPr>
                <w:sz w:val="20"/>
                <w:szCs w:val="20"/>
                <w:color w:val="auto"/>
              </w:rPr>
            </w:pPr>
            <w:r>
              <w:rPr>
                <w:rFonts w:ascii="Arial" w:cs="Arial" w:eastAsia="Arial" w:hAnsi="Arial"/>
                <w:sz w:val="17"/>
                <w:szCs w:val="17"/>
                <w:color w:val="auto"/>
              </w:rPr>
              <w:t>Neuromodulation</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US</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73.7</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70.2</w:t>
            </w:r>
          </w:p>
        </w:tc>
        <w:tc>
          <w:tcPr>
            <w:tcW w:w="2260" w:type="dxa"/>
            <w:vAlign w:val="bottom"/>
          </w:tcPr>
          <w:p>
            <w:pPr>
              <w:jc w:val="right"/>
              <w:ind w:right="115"/>
              <w:spacing w:after="0"/>
              <w:rPr>
                <w:sz w:val="20"/>
                <w:szCs w:val="20"/>
                <w:color w:val="auto"/>
              </w:rPr>
            </w:pPr>
            <w:r>
              <w:rPr>
                <w:rFonts w:ascii="Arial" w:cs="Arial" w:eastAsia="Arial" w:hAnsi="Arial"/>
                <w:sz w:val="17"/>
                <w:szCs w:val="17"/>
                <w:color w:val="auto"/>
              </w:rPr>
              <w:t>4.9%</w:t>
            </w:r>
          </w:p>
        </w:tc>
        <w:tc>
          <w:tcPr>
            <w:tcW w:w="214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Europe</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7.9</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6.4</w:t>
            </w:r>
          </w:p>
        </w:tc>
        <w:tc>
          <w:tcPr>
            <w:tcW w:w="2260" w:type="dxa"/>
            <w:vAlign w:val="bottom"/>
          </w:tcPr>
          <w:p>
            <w:pPr>
              <w:jc w:val="right"/>
              <w:ind w:right="115"/>
              <w:spacing w:after="0"/>
              <w:rPr>
                <w:sz w:val="20"/>
                <w:szCs w:val="20"/>
                <w:color w:val="auto"/>
              </w:rPr>
            </w:pPr>
            <w:r>
              <w:rPr>
                <w:rFonts w:ascii="Arial" w:cs="Arial" w:eastAsia="Arial" w:hAnsi="Arial"/>
                <w:sz w:val="17"/>
                <w:szCs w:val="17"/>
                <w:color w:val="auto"/>
              </w:rPr>
              <w:t>24.8%</w:t>
            </w:r>
          </w:p>
        </w:tc>
        <w:tc>
          <w:tcPr>
            <w:tcW w:w="2140" w:type="dxa"/>
            <w:vAlign w:val="bottom"/>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0"/>
                <w:szCs w:val="20"/>
                <w:color w:val="auto"/>
              </w:rPr>
            </w:pPr>
            <w:r>
              <w:rPr>
                <w:rFonts w:ascii="Arial" w:cs="Arial" w:eastAsia="Arial" w:hAnsi="Arial"/>
                <w:sz w:val="17"/>
                <w:szCs w:val="17"/>
                <w:color w:val="auto"/>
              </w:rPr>
              <w:t>Rest of World</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5.6</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4.8</w:t>
            </w:r>
          </w:p>
        </w:tc>
        <w:tc>
          <w:tcPr>
            <w:tcW w:w="2260" w:type="dxa"/>
            <w:vAlign w:val="bottom"/>
          </w:tcPr>
          <w:p>
            <w:pPr>
              <w:jc w:val="right"/>
              <w:ind w:right="115"/>
              <w:spacing w:after="0"/>
              <w:rPr>
                <w:sz w:val="20"/>
                <w:szCs w:val="20"/>
                <w:color w:val="auto"/>
              </w:rPr>
            </w:pPr>
            <w:r>
              <w:rPr>
                <w:rFonts w:ascii="Arial" w:cs="Arial" w:eastAsia="Arial" w:hAnsi="Arial"/>
                <w:sz w:val="17"/>
                <w:szCs w:val="17"/>
                <w:color w:val="auto"/>
              </w:rPr>
              <w:t>17.0%</w:t>
            </w:r>
          </w:p>
        </w:tc>
        <w:tc>
          <w:tcPr>
            <w:tcW w:w="2140" w:type="dxa"/>
            <w:vAlign w:val="bottom"/>
          </w:tcPr>
          <w:p>
            <w:pPr>
              <w:jc w:val="right"/>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53"/>
        </w:trPr>
        <w:tc>
          <w:tcPr>
            <w:tcW w:w="274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87.2</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81.4</w:t>
            </w:r>
          </w:p>
        </w:tc>
        <w:tc>
          <w:tcPr>
            <w:tcW w:w="2260" w:type="dxa"/>
            <w:vAlign w:val="bottom"/>
          </w:tcPr>
          <w:p>
            <w:pPr>
              <w:jc w:val="right"/>
              <w:ind w:right="115"/>
              <w:spacing w:after="0"/>
              <w:rPr>
                <w:sz w:val="20"/>
                <w:szCs w:val="20"/>
                <w:color w:val="auto"/>
              </w:rPr>
            </w:pPr>
            <w:r>
              <w:rPr>
                <w:rFonts w:ascii="Arial" w:cs="Arial" w:eastAsia="Arial" w:hAnsi="Arial"/>
                <w:sz w:val="17"/>
                <w:szCs w:val="17"/>
                <w:b w:val="1"/>
                <w:bCs w:val="1"/>
                <w:color w:val="auto"/>
              </w:rPr>
              <w:t>7.1%</w:t>
            </w:r>
          </w:p>
        </w:tc>
        <w:tc>
          <w:tcPr>
            <w:tcW w:w="2140" w:type="dxa"/>
            <w:vAlign w:val="bottom"/>
          </w:tcPr>
          <w:p>
            <w:pPr>
              <w:jc w:val="right"/>
              <w:spacing w:after="0"/>
              <w:rPr>
                <w:sz w:val="20"/>
                <w:szCs w:val="20"/>
                <w:color w:val="auto"/>
              </w:rPr>
            </w:pPr>
            <w:r>
              <w:rPr>
                <w:rFonts w:ascii="Arial" w:cs="Arial" w:eastAsia="Arial" w:hAnsi="Arial"/>
                <w:sz w:val="17"/>
                <w:szCs w:val="17"/>
                <w:b w:val="1"/>
                <w:bCs w:val="1"/>
                <w:color w:val="auto"/>
              </w:rPr>
              <w:t>7.7%</w:t>
            </w:r>
          </w:p>
        </w:tc>
        <w:tc>
          <w:tcPr>
            <w:tcW w:w="0" w:type="dxa"/>
            <w:vAlign w:val="bottom"/>
          </w:tcPr>
          <w:p>
            <w:pPr>
              <w:spacing w:after="0"/>
              <w:rPr>
                <w:sz w:val="1"/>
                <w:szCs w:val="1"/>
                <w:color w:val="auto"/>
              </w:rPr>
            </w:pPr>
          </w:p>
        </w:tc>
      </w:tr>
      <w:tr>
        <w:trPr>
          <w:trHeight w:val="429"/>
        </w:trPr>
        <w:tc>
          <w:tcPr>
            <w:tcW w:w="2740" w:type="dxa"/>
            <w:vAlign w:val="bottom"/>
          </w:tcPr>
          <w:p>
            <w:pPr>
              <w:spacing w:after="0"/>
              <w:rPr>
                <w:sz w:val="20"/>
                <w:szCs w:val="20"/>
                <w:color w:val="auto"/>
              </w:rPr>
            </w:pPr>
            <w:r>
              <w:rPr>
                <w:rFonts w:ascii="Arial" w:cs="Arial" w:eastAsia="Arial" w:hAnsi="Arial"/>
                <w:sz w:val="17"/>
                <w:szCs w:val="17"/>
                <w:color w:val="auto"/>
              </w:rPr>
              <w:t>Other</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US</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260" w:type="dxa"/>
            <w:vAlign w:val="bottom"/>
          </w:tcPr>
          <w:p>
            <w:pPr>
              <w:jc w:val="right"/>
              <w:ind w:right="255"/>
              <w:spacing w:after="0"/>
              <w:rPr>
                <w:sz w:val="20"/>
                <w:szCs w:val="20"/>
                <w:color w:val="auto"/>
              </w:rPr>
            </w:pPr>
            <w:r>
              <w:rPr>
                <w:rFonts w:ascii="Arial" w:cs="Arial" w:eastAsia="Arial" w:hAnsi="Arial"/>
                <w:sz w:val="17"/>
                <w:szCs w:val="17"/>
                <w:color w:val="auto"/>
              </w:rPr>
              <w:t>N/A</w:t>
            </w:r>
          </w:p>
        </w:tc>
        <w:tc>
          <w:tcPr>
            <w:tcW w:w="2140" w:type="dxa"/>
            <w:vAlign w:val="bottom"/>
          </w:tcPr>
          <w:p>
            <w:pPr>
              <w:jc w:val="right"/>
              <w:ind w:right="155"/>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Europe</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2260" w:type="dxa"/>
            <w:vAlign w:val="bottom"/>
          </w:tcPr>
          <w:p>
            <w:pPr>
              <w:jc w:val="right"/>
              <w:ind w:right="255"/>
              <w:spacing w:after="0"/>
              <w:rPr>
                <w:sz w:val="20"/>
                <w:szCs w:val="20"/>
                <w:color w:val="auto"/>
              </w:rPr>
            </w:pPr>
            <w:r>
              <w:rPr>
                <w:rFonts w:ascii="Arial" w:cs="Arial" w:eastAsia="Arial" w:hAnsi="Arial"/>
                <w:sz w:val="17"/>
                <w:szCs w:val="17"/>
                <w:color w:val="auto"/>
              </w:rPr>
              <w:t>N/A</w:t>
            </w:r>
          </w:p>
        </w:tc>
        <w:tc>
          <w:tcPr>
            <w:tcW w:w="2140" w:type="dxa"/>
            <w:vAlign w:val="bottom"/>
          </w:tcPr>
          <w:p>
            <w:pPr>
              <w:jc w:val="right"/>
              <w:ind w:right="155"/>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0"/>
                <w:szCs w:val="20"/>
                <w:color w:val="auto"/>
              </w:rPr>
            </w:pPr>
            <w:r>
              <w:rPr>
                <w:rFonts w:ascii="Arial" w:cs="Arial" w:eastAsia="Arial" w:hAnsi="Arial"/>
                <w:sz w:val="17"/>
                <w:szCs w:val="17"/>
                <w:color w:val="auto"/>
              </w:rPr>
              <w:t>Rest of World</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0.5</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0.4</w:t>
            </w:r>
          </w:p>
        </w:tc>
        <w:tc>
          <w:tcPr>
            <w:tcW w:w="2260" w:type="dxa"/>
            <w:vAlign w:val="bottom"/>
          </w:tcPr>
          <w:p>
            <w:pPr>
              <w:jc w:val="right"/>
              <w:ind w:right="255"/>
              <w:spacing w:after="0"/>
              <w:rPr>
                <w:sz w:val="20"/>
                <w:szCs w:val="20"/>
                <w:color w:val="auto"/>
              </w:rPr>
            </w:pPr>
            <w:r>
              <w:rPr>
                <w:rFonts w:ascii="Arial" w:cs="Arial" w:eastAsia="Arial" w:hAnsi="Arial"/>
                <w:sz w:val="17"/>
                <w:szCs w:val="17"/>
                <w:color w:val="auto"/>
              </w:rPr>
              <w:t>N/A</w:t>
            </w:r>
          </w:p>
        </w:tc>
        <w:tc>
          <w:tcPr>
            <w:tcW w:w="2140" w:type="dxa"/>
            <w:vAlign w:val="bottom"/>
          </w:tcPr>
          <w:p>
            <w:pPr>
              <w:jc w:val="right"/>
              <w:ind w:right="155"/>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0.5</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0.4</w:t>
            </w:r>
          </w:p>
        </w:tc>
        <w:tc>
          <w:tcPr>
            <w:tcW w:w="2260" w:type="dxa"/>
            <w:vAlign w:val="bottom"/>
          </w:tcPr>
          <w:p>
            <w:pPr>
              <w:jc w:val="right"/>
              <w:ind w:right="255"/>
              <w:spacing w:after="0"/>
              <w:rPr>
                <w:sz w:val="20"/>
                <w:szCs w:val="20"/>
                <w:color w:val="auto"/>
              </w:rPr>
            </w:pPr>
            <w:r>
              <w:rPr>
                <w:rFonts w:ascii="Arial" w:cs="Arial" w:eastAsia="Arial" w:hAnsi="Arial"/>
                <w:sz w:val="17"/>
                <w:szCs w:val="17"/>
                <w:color w:val="auto"/>
              </w:rPr>
              <w:t>N/A</w:t>
            </w:r>
          </w:p>
        </w:tc>
        <w:tc>
          <w:tcPr>
            <w:tcW w:w="2140" w:type="dxa"/>
            <w:vAlign w:val="bottom"/>
          </w:tcPr>
          <w:p>
            <w:pPr>
              <w:jc w:val="right"/>
              <w:ind w:right="155"/>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432"/>
        </w:trPr>
        <w:tc>
          <w:tcPr>
            <w:tcW w:w="274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US</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114.3</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114.1</w:t>
            </w:r>
          </w:p>
        </w:tc>
        <w:tc>
          <w:tcPr>
            <w:tcW w:w="2260" w:type="dxa"/>
            <w:vAlign w:val="bottom"/>
          </w:tcPr>
          <w:p>
            <w:pPr>
              <w:jc w:val="right"/>
              <w:ind w:right="115"/>
              <w:spacing w:after="0"/>
              <w:rPr>
                <w:sz w:val="20"/>
                <w:szCs w:val="20"/>
                <w:color w:val="auto"/>
              </w:rPr>
            </w:pPr>
            <w:r>
              <w:rPr>
                <w:rFonts w:ascii="Arial" w:cs="Arial" w:eastAsia="Arial" w:hAnsi="Arial"/>
                <w:sz w:val="17"/>
                <w:szCs w:val="17"/>
                <w:color w:val="auto"/>
              </w:rPr>
              <w:t>0.2%</w:t>
            </w:r>
          </w:p>
        </w:tc>
        <w:tc>
          <w:tcPr>
            <w:tcW w:w="2140" w:type="dxa"/>
            <w:vAlign w:val="bottom"/>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color w:val="auto"/>
              </w:rPr>
              <w:t>Europe</w:t>
            </w:r>
          </w:p>
        </w:tc>
        <w:tc>
          <w:tcPr>
            <w:tcW w:w="1540" w:type="dxa"/>
            <w:vAlign w:val="bottom"/>
          </w:tcPr>
          <w:p>
            <w:pPr>
              <w:jc w:val="right"/>
              <w:ind w:right="215"/>
              <w:spacing w:after="0"/>
              <w:rPr>
                <w:sz w:val="20"/>
                <w:szCs w:val="20"/>
                <w:color w:val="auto"/>
              </w:rPr>
            </w:pPr>
            <w:r>
              <w:rPr>
                <w:rFonts w:ascii="Arial" w:cs="Arial" w:eastAsia="Arial" w:hAnsi="Arial"/>
                <w:sz w:val="17"/>
                <w:szCs w:val="17"/>
                <w:color w:val="auto"/>
              </w:rPr>
              <w:t>96.3</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99.3</w:t>
            </w:r>
          </w:p>
        </w:tc>
        <w:tc>
          <w:tcPr>
            <w:tcW w:w="2260" w:type="dxa"/>
            <w:vAlign w:val="bottom"/>
          </w:tcPr>
          <w:p>
            <w:pPr>
              <w:jc w:val="right"/>
              <w:ind w:right="55"/>
              <w:spacing w:after="0"/>
              <w:rPr>
                <w:sz w:val="20"/>
                <w:szCs w:val="20"/>
                <w:color w:val="auto"/>
              </w:rPr>
            </w:pPr>
            <w:r>
              <w:rPr>
                <w:rFonts w:ascii="Arial" w:cs="Arial" w:eastAsia="Arial" w:hAnsi="Arial"/>
                <w:sz w:val="17"/>
                <w:szCs w:val="17"/>
                <w:color w:val="auto"/>
              </w:rPr>
              <w:t>(3.0%)</w:t>
            </w:r>
          </w:p>
        </w:tc>
        <w:tc>
          <w:tcPr>
            <w:tcW w:w="214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0"/>
                <w:szCs w:val="20"/>
                <w:color w:val="auto"/>
              </w:rPr>
            </w:pPr>
            <w:r>
              <w:rPr>
                <w:rFonts w:ascii="Arial" w:cs="Arial" w:eastAsia="Arial" w:hAnsi="Arial"/>
                <w:sz w:val="17"/>
                <w:szCs w:val="17"/>
                <w:color w:val="auto"/>
              </w:rPr>
              <w:t>Rest of World</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74.4</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73.5</w:t>
            </w:r>
          </w:p>
        </w:tc>
        <w:tc>
          <w:tcPr>
            <w:tcW w:w="2260" w:type="dxa"/>
            <w:vAlign w:val="bottom"/>
          </w:tcPr>
          <w:p>
            <w:pPr>
              <w:jc w:val="right"/>
              <w:ind w:right="115"/>
              <w:spacing w:after="0"/>
              <w:rPr>
                <w:sz w:val="20"/>
                <w:szCs w:val="20"/>
                <w:color w:val="auto"/>
              </w:rPr>
            </w:pPr>
            <w:r>
              <w:rPr>
                <w:rFonts w:ascii="Arial" w:cs="Arial" w:eastAsia="Arial" w:hAnsi="Arial"/>
                <w:sz w:val="17"/>
                <w:szCs w:val="17"/>
                <w:color w:val="auto"/>
              </w:rPr>
              <w:t>1.2%</w:t>
            </w:r>
          </w:p>
        </w:tc>
        <w:tc>
          <w:tcPr>
            <w:tcW w:w="2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5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$285.1</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$287.0</w:t>
            </w:r>
          </w:p>
        </w:tc>
        <w:tc>
          <w:tcPr>
            <w:tcW w:w="2260" w:type="dxa"/>
            <w:vAlign w:val="bottom"/>
          </w:tcPr>
          <w:p>
            <w:pPr>
              <w:jc w:val="right"/>
              <w:ind w:right="55"/>
              <w:spacing w:after="0"/>
              <w:rPr>
                <w:sz w:val="20"/>
                <w:szCs w:val="20"/>
                <w:color w:val="auto"/>
              </w:rPr>
            </w:pPr>
            <w:r>
              <w:rPr>
                <w:rFonts w:ascii="Arial" w:cs="Arial" w:eastAsia="Arial" w:hAnsi="Arial"/>
                <w:sz w:val="17"/>
                <w:szCs w:val="17"/>
                <w:b w:val="1"/>
                <w:bCs w:val="1"/>
                <w:color w:val="auto"/>
              </w:rPr>
              <w:t>(0.6%)</w:t>
            </w:r>
          </w:p>
        </w:tc>
        <w:tc>
          <w:tcPr>
            <w:tcW w:w="2140" w:type="dxa"/>
            <w:vAlign w:val="bottom"/>
          </w:tcPr>
          <w:p>
            <w:pPr>
              <w:jc w:val="right"/>
              <w:spacing w:after="0"/>
              <w:rPr>
                <w:sz w:val="20"/>
                <w:szCs w:val="20"/>
                <w:color w:val="auto"/>
              </w:rPr>
            </w:pPr>
            <w:r>
              <w:rPr>
                <w:rFonts w:ascii="Arial" w:cs="Arial" w:eastAsia="Arial" w:hAnsi="Arial"/>
                <w:sz w:val="17"/>
                <w:szCs w:val="17"/>
                <w:b w:val="1"/>
                <w:bCs w:val="1"/>
                <w:color w:val="auto"/>
              </w:rPr>
              <w:t>0.5%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13"/>
          <w:szCs w:val="13"/>
          <w:color w:val="auto"/>
        </w:rPr>
        <w:t>* Numbers may not add due to rounding.</w:t>
      </w:r>
    </w:p>
    <w:p>
      <w:pPr>
        <w:sectPr>
          <w:pgSz w:w="11900" w:h="16838" w:orient="portrait"/>
          <w:cols w:equalWidth="0" w:num="1">
            <w:col w:w="10760"/>
          </w:cols>
          <w:pgMar w:left="580" w:top="1006" w:right="559" w:bottom="1440" w:gutter="0" w:footer="0" w:header="0"/>
        </w:sect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760"/>
          </w:cols>
          <w:pgMar w:left="580" w:top="1006" w:right="559" w:bottom="1440" w:gutter="0" w:footer="0" w:header="0"/>
          <w:type w:val="continuous"/>
        </w:sectPr>
      </w:pPr>
    </w:p>
    <w:bookmarkStart w:id="12" w:name="page13"/>
    <w:bookmarkEnd w:id="12"/>
    <w:p>
      <w:pPr>
        <w:ind w:left="380"/>
        <w:spacing w:after="0"/>
        <w:rPr>
          <w:sz w:val="20"/>
          <w:szCs w:val="20"/>
          <w:color w:val="auto"/>
        </w:rPr>
      </w:pPr>
      <w:r>
        <w:rPr>
          <w:rFonts w:ascii="Arial" w:cs="Arial" w:eastAsia="Arial" w:hAnsi="Arial"/>
          <w:sz w:val="20"/>
          <w:szCs w:val="20"/>
          <w:b w:val="1"/>
          <w:bCs w:val="1"/>
          <w:color w:val="auto"/>
        </w:rPr>
        <w:t>LIVANOVA PLC AND SUBSIDIARIES</w:t>
      </w:r>
    </w:p>
    <w:p>
      <w:pPr>
        <w:spacing w:after="0" w:line="51" w:lineRule="exact"/>
        <w:rPr>
          <w:sz w:val="20"/>
          <w:szCs w:val="20"/>
          <w:color w:val="auto"/>
        </w:rPr>
      </w:pPr>
    </w:p>
    <w:p>
      <w:pPr>
        <w:ind w:left="380" w:right="4920"/>
        <w:spacing w:after="0" w:line="353" w:lineRule="auto"/>
        <w:rPr>
          <w:sz w:val="20"/>
          <w:szCs w:val="20"/>
          <w:color w:val="auto"/>
        </w:rPr>
      </w:pPr>
      <w:r>
        <w:rPr>
          <w:rFonts w:ascii="Arial" w:cs="Arial" w:eastAsia="Arial" w:hAnsi="Arial"/>
          <w:sz w:val="19"/>
          <w:szCs w:val="19"/>
          <w:b w:val="1"/>
          <w:bCs w:val="1"/>
          <w:color w:val="auto"/>
        </w:rPr>
        <w:t>CONSOLIDATED STATEMENT OF INCOME (LOSS) - UNAUDITED (U.S. dollars in millions, except per share amounts)</w:t>
      </w:r>
    </w:p>
    <w:p>
      <w:pPr>
        <w:spacing w:after="0" w:line="209" w:lineRule="exact"/>
        <w:rPr>
          <w:sz w:val="20"/>
          <w:szCs w:val="20"/>
          <w:color w:val="auto"/>
        </w:rPr>
      </w:pPr>
    </w:p>
    <w:tbl>
      <w:tblPr>
        <w:tblLayout w:type="fixed"/>
        <w:tblInd w:w="380" w:type="dxa"/>
        <w:tblCellMar>
          <w:top w:w="0" w:type="dxa"/>
          <w:left w:w="0" w:type="dxa"/>
          <w:bottom w:w="0" w:type="dxa"/>
          <w:right w:w="0" w:type="dxa"/>
        </w:tblCellMar>
      </w:tblPr>
      <w:tr>
        <w:trPr>
          <w:trHeight w:val="232"/>
        </w:trPr>
        <w:tc>
          <w:tcPr>
            <w:tcW w:w="4900" w:type="dxa"/>
            <w:vAlign w:val="bottom"/>
          </w:tcPr>
          <w:p>
            <w:pPr>
              <w:spacing w:after="0"/>
              <w:rPr>
                <w:sz w:val="20"/>
                <w:szCs w:val="20"/>
                <w:color w:val="auto"/>
              </w:rPr>
            </w:pPr>
          </w:p>
        </w:tc>
        <w:tc>
          <w:tcPr>
            <w:tcW w:w="3200" w:type="dxa"/>
            <w:vAlign w:val="bottom"/>
            <w:tcBorders>
              <w:bottom w:val="single" w:sz="8" w:color="auto"/>
            </w:tcBorders>
            <w:gridSpan w:val="4"/>
          </w:tcPr>
          <w:p>
            <w:pPr>
              <w:ind w:left="740"/>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64"/>
        </w:trPr>
        <w:tc>
          <w:tcPr>
            <w:tcW w:w="4900" w:type="dxa"/>
            <w:vAlign w:val="bottom"/>
          </w:tcPr>
          <w:p>
            <w:pPr>
              <w:spacing w:after="0"/>
              <w:rPr>
                <w:sz w:val="22"/>
                <w:szCs w:val="22"/>
                <w:color w:val="auto"/>
              </w:rPr>
            </w:pPr>
          </w:p>
        </w:tc>
        <w:tc>
          <w:tcPr>
            <w:tcW w:w="120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2017</w:t>
            </w:r>
          </w:p>
        </w:tc>
        <w:tc>
          <w:tcPr>
            <w:tcW w:w="20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441"/>
        </w:trPr>
        <w:tc>
          <w:tcPr>
            <w:tcW w:w="6100" w:type="dxa"/>
            <w:vAlign w:val="bottom"/>
            <w:gridSpan w:val="2"/>
          </w:tcPr>
          <w:p>
            <w:pPr>
              <w:spacing w:after="0"/>
              <w:rPr>
                <w:sz w:val="20"/>
                <w:szCs w:val="20"/>
                <w:color w:val="auto"/>
              </w:rPr>
            </w:pPr>
            <w:r>
              <w:rPr>
                <w:rFonts w:ascii="Arial" w:cs="Arial" w:eastAsia="Arial" w:hAnsi="Arial"/>
                <w:sz w:val="16"/>
                <w:szCs w:val="16"/>
                <w:color w:val="auto"/>
              </w:rPr>
              <w:t>Net sales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$287.0</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Cost of sales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123.6</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9"/>
        </w:trPr>
        <w:tc>
          <w:tcPr>
            <w:tcW w:w="4900" w:type="dxa"/>
            <w:vAlign w:val="bottom"/>
          </w:tcPr>
          <w:p>
            <w:pPr>
              <w:ind w:left="620"/>
              <w:spacing w:after="0"/>
              <w:rPr>
                <w:sz w:val="20"/>
                <w:szCs w:val="20"/>
                <w:color w:val="auto"/>
              </w:rPr>
            </w:pPr>
            <w:r>
              <w:rPr>
                <w:rFonts w:ascii="Arial" w:cs="Arial" w:eastAsia="Arial" w:hAnsi="Arial"/>
                <w:sz w:val="16"/>
                <w:szCs w:val="16"/>
                <w:color w:val="auto"/>
              </w:rPr>
              <w:t>Product remediation</w:t>
            </w: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6"/>
                <w:szCs w:val="16"/>
                <w:color w:val="auto"/>
              </w:rPr>
              <w:t>Gross Profit</w:t>
            </w:r>
          </w:p>
        </w:tc>
        <w:tc>
          <w:tcPr>
            <w:tcW w:w="1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w:t>
            </w:r>
          </w:p>
        </w:tc>
        <w:tc>
          <w:tcPr>
            <w:tcW w:w="200" w:type="dxa"/>
            <w:vAlign w:val="bottom"/>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w:t>
            </w:r>
          </w:p>
        </w:tc>
      </w:tr>
      <w:tr>
        <w:trPr>
          <w:trHeight w:val="417"/>
        </w:trPr>
        <w:tc>
          <w:tcPr>
            <w:tcW w:w="610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Selling, general and administrative</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115.9</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Research and development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31.7</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Merger and integration expense</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Restructuring expense</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28.6</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9"/>
        </w:trPr>
        <w:tc>
          <w:tcPr>
            <w:tcW w:w="4900" w:type="dxa"/>
            <w:vAlign w:val="bottom"/>
          </w:tcPr>
          <w:p>
            <w:pPr>
              <w:ind w:left="620"/>
              <w:spacing w:after="0"/>
              <w:rPr>
                <w:sz w:val="20"/>
                <w:szCs w:val="20"/>
                <w:color w:val="auto"/>
              </w:rPr>
            </w:pPr>
            <w:r>
              <w:rPr>
                <w:rFonts w:ascii="Arial" w:cs="Arial" w:eastAsia="Arial" w:hAnsi="Arial"/>
                <w:sz w:val="16"/>
                <w:szCs w:val="16"/>
                <w:color w:val="auto"/>
              </w:rPr>
              <w:t>Amortization of intangibles</w:t>
            </w: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2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50"/>
        </w:trPr>
        <w:tc>
          <w:tcPr>
            <w:tcW w:w="6100" w:type="dxa"/>
            <w:vAlign w:val="bottom"/>
            <w:gridSpan w:val="2"/>
          </w:tcPr>
          <w:p>
            <w:pPr>
              <w:spacing w:after="0"/>
              <w:rPr>
                <w:sz w:val="20"/>
                <w:szCs w:val="20"/>
                <w:color w:val="auto"/>
              </w:rPr>
            </w:pPr>
            <w:r>
              <w:rPr>
                <w:rFonts w:ascii="Arial" w:cs="Arial" w:eastAsia="Arial" w:hAnsi="Arial"/>
                <w:sz w:val="16"/>
                <w:szCs w:val="16"/>
                <w:color w:val="auto"/>
              </w:rPr>
              <w:t>Total operating expenses</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165.8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198.8</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189"/>
        </w:trPr>
        <w:tc>
          <w:tcPr>
            <w:tcW w:w="4900" w:type="dxa"/>
            <w:vAlign w:val="bottom"/>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top w:val="single" w:sz="8" w:color="auto"/>
              <w:bottom w:val="single" w:sz="8" w:color="auto"/>
            </w:tcBorders>
          </w:tcPr>
          <w:p>
            <w:pPr>
              <w:spacing w:after="0"/>
              <w:rPr>
                <w:sz w:val="16"/>
                <w:szCs w:val="16"/>
                <w:color w:val="auto"/>
              </w:rPr>
            </w:pPr>
          </w:p>
        </w:tc>
      </w:tr>
      <w:tr>
        <w:trPr>
          <w:trHeight w:val="244"/>
        </w:trPr>
        <w:tc>
          <w:tcPr>
            <w:tcW w:w="4900" w:type="dxa"/>
            <w:vAlign w:val="bottom"/>
          </w:tcPr>
          <w:p>
            <w:pPr>
              <w:spacing w:after="0"/>
              <w:rPr>
                <w:sz w:val="20"/>
                <w:szCs w:val="20"/>
                <w:color w:val="auto"/>
              </w:rPr>
            </w:pPr>
            <w:r>
              <w:rPr>
                <w:rFonts w:ascii="Arial" w:cs="Arial" w:eastAsia="Arial" w:hAnsi="Arial"/>
                <w:sz w:val="16"/>
                <w:szCs w:val="16"/>
                <w:color w:val="auto"/>
              </w:rPr>
              <w:t>Income (loss) from operations</w:t>
            </w:r>
          </w:p>
        </w:tc>
        <w:tc>
          <w:tcPr>
            <w:tcW w:w="1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151.5%</w:t>
            </w:r>
          </w:p>
        </w:tc>
      </w:tr>
      <w:tr>
        <w:trPr>
          <w:trHeight w:val="39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Interest income (expense), net</w:t>
            </w: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9"/>
        </w:trPr>
        <w:tc>
          <w:tcPr>
            <w:tcW w:w="4900" w:type="dxa"/>
            <w:vAlign w:val="bottom"/>
          </w:tcPr>
          <w:p>
            <w:pPr>
              <w:ind w:left="620"/>
              <w:spacing w:after="0"/>
              <w:rPr>
                <w:sz w:val="20"/>
                <w:szCs w:val="20"/>
                <w:color w:val="auto"/>
              </w:rPr>
            </w:pPr>
            <w:r>
              <w:rPr>
                <w:rFonts w:ascii="Arial" w:cs="Arial" w:eastAsia="Arial" w:hAnsi="Arial"/>
                <w:sz w:val="16"/>
                <w:szCs w:val="16"/>
                <w:color w:val="auto"/>
              </w:rPr>
              <w:t>Foreign exchange and other - gain (loss)</w:t>
            </w: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50"/>
        </w:trPr>
        <w:tc>
          <w:tcPr>
            <w:tcW w:w="49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200" w:type="dxa"/>
            <w:vAlign w:val="bottom"/>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151.4%</w:t>
            </w:r>
          </w:p>
        </w:tc>
      </w:tr>
      <w:tr>
        <w:trPr>
          <w:trHeight w:val="417"/>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Losses from equity method investments</w:t>
            </w:r>
          </w:p>
        </w:tc>
        <w:tc>
          <w:tcPr>
            <w:tcW w:w="6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9"/>
        </w:trPr>
        <w:tc>
          <w:tcPr>
            <w:tcW w:w="4900" w:type="dxa"/>
            <w:vAlign w:val="bottom"/>
          </w:tcPr>
          <w:p>
            <w:pPr>
              <w:ind w:left="620"/>
              <w:spacing w:after="0"/>
              <w:rPr>
                <w:sz w:val="20"/>
                <w:szCs w:val="20"/>
                <w:color w:val="auto"/>
              </w:rPr>
            </w:pPr>
            <w:r>
              <w:rPr>
                <w:rFonts w:ascii="Arial" w:cs="Arial" w:eastAsia="Arial" w:hAnsi="Arial"/>
                <w:sz w:val="16"/>
                <w:szCs w:val="16"/>
                <w:color w:val="auto"/>
              </w:rPr>
              <w:t>Income tax expense (benefit)</w:t>
            </w: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69"/>
        </w:trPr>
        <w:tc>
          <w:tcPr>
            <w:tcW w:w="610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($40.4)</w:t>
            </w: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128.0%</w:t>
            </w:r>
          </w:p>
        </w:tc>
      </w:tr>
      <w:tr>
        <w:trPr>
          <w:trHeight w:val="20"/>
        </w:trPr>
        <w:tc>
          <w:tcPr>
            <w:tcW w:w="49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506"/>
        </w:trPr>
        <w:tc>
          <w:tcPr>
            <w:tcW w:w="6100" w:type="dxa"/>
            <w:vAlign w:val="bottom"/>
            <w:gridSpan w:val="2"/>
          </w:tcPr>
          <w:p>
            <w:pPr>
              <w:spacing w:after="0"/>
              <w:rPr>
                <w:sz w:val="20"/>
                <w:szCs w:val="20"/>
                <w:color w:val="auto"/>
              </w:rPr>
            </w:pPr>
            <w:r>
              <w:rPr>
                <w:rFonts w:ascii="Arial" w:cs="Arial" w:eastAsia="Arial" w:hAnsi="Arial"/>
                <w:sz w:val="16"/>
                <w:szCs w:val="16"/>
                <w:color w:val="auto"/>
              </w:rPr>
              <w:t>Earnings (Loss) Per Common 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Basic</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($0.83)</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Diluted</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($0.83)</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32"/>
        </w:trPr>
        <w:tc>
          <w:tcPr>
            <w:tcW w:w="610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Basic</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6100" w:type="dxa"/>
            <w:vAlign w:val="bottom"/>
            <w:gridSpan w:val="2"/>
          </w:tcPr>
          <w:p>
            <w:pPr>
              <w:ind w:left="620"/>
              <w:spacing w:after="0"/>
              <w:rPr>
                <w:sz w:val="20"/>
                <w:szCs w:val="20"/>
                <w:color w:val="auto"/>
              </w:rPr>
            </w:pPr>
            <w:r>
              <w:rPr>
                <w:rFonts w:ascii="Arial" w:cs="Arial" w:eastAsia="Arial" w:hAnsi="Arial"/>
                <w:sz w:val="16"/>
                <w:szCs w:val="16"/>
                <w:color w:val="auto"/>
              </w:rPr>
              <w:t>Diluted</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457"/>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Gross Profit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$185.1</w:t>
            </w:r>
          </w:p>
        </w:tc>
        <w:tc>
          <w:tcPr>
            <w:tcW w:w="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SG&amp;A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110.2</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R&amp;D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31.4</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Income (loss) from Operations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43.5</w:t>
            </w: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270"/>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Net (loss) Income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26.5</w:t>
            </w: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29.1%</w:t>
            </w:r>
          </w:p>
        </w:tc>
      </w:tr>
      <w:tr>
        <w:trPr>
          <w:trHeight w:val="293"/>
        </w:trPr>
        <w:tc>
          <w:tcPr>
            <w:tcW w:w="6100" w:type="dxa"/>
            <w:vAlign w:val="bottom"/>
            <w:gridSpan w:val="2"/>
          </w:tcPr>
          <w:p>
            <w:pPr>
              <w:spacing w:after="0"/>
              <w:rPr>
                <w:sz w:val="20"/>
                <w:szCs w:val="20"/>
                <w:color w:val="auto"/>
              </w:rPr>
            </w:pPr>
            <w:r>
              <w:rPr>
                <w:rFonts w:ascii="Arial" w:cs="Arial" w:eastAsia="Arial" w:hAnsi="Arial"/>
                <w:sz w:val="16"/>
                <w:szCs w:val="16"/>
                <w:color w:val="auto"/>
              </w:rPr>
              <w:t xml:space="preserve">Adjusted Diluted Earnings Per Share </w:t>
            </w:r>
            <w:r>
              <w:rPr>
                <w:rFonts w:ascii="Arial" w:cs="Arial" w:eastAsia="Arial" w:hAnsi="Arial"/>
                <w:sz w:val="21"/>
                <w:szCs w:val="21"/>
                <w:color w:val="auto"/>
                <w:vertAlign w:val="superscript"/>
              </w:rPr>
              <w:t>(1)</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$0.54</w:t>
            </w:r>
          </w:p>
        </w:tc>
        <w:tc>
          <w:tcPr>
            <w:tcW w:w="200" w:type="dxa"/>
            <w:vAlign w:val="bottom"/>
          </w:tcPr>
          <w:p>
            <w:pPr>
              <w:spacing w:after="0"/>
              <w:rPr>
                <w:sz w:val="24"/>
                <w:szCs w:val="24"/>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31.5%</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60" w:type="dxa"/>
            <w:vAlign w:val="bottom"/>
          </w:tcPr>
          <w:p>
            <w:pPr>
              <w:spacing w:after="0"/>
              <w:rPr>
                <w:sz w:val="23"/>
                <w:szCs w:val="23"/>
                <w:color w:val="auto"/>
              </w:rPr>
            </w:pPr>
          </w:p>
        </w:tc>
        <w:tc>
          <w:tcPr>
            <w:tcW w:w="3380" w:type="dxa"/>
            <w:vAlign w:val="bottom"/>
            <w:gridSpan w:val="4"/>
          </w:tcPr>
          <w:p>
            <w:pPr>
              <w:jc w:val="right"/>
              <w:spacing w:after="0"/>
              <w:rPr>
                <w:sz w:val="20"/>
                <w:szCs w:val="20"/>
                <w:color w:val="auto"/>
              </w:rPr>
            </w:pPr>
            <w:r>
              <w:rPr>
                <w:rFonts w:ascii="Arial" w:cs="Arial" w:eastAsia="Arial" w:hAnsi="Arial"/>
                <w:sz w:val="16"/>
                <w:szCs w:val="16"/>
                <w:color w:val="auto"/>
              </w:rPr>
              <w:t>GAAP Three Months Ended March 31,</w:t>
            </w: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0" w:type="dxa"/>
            <w:vAlign w:val="bottom"/>
            <w:gridSpan w:val="3"/>
          </w:tcPr>
          <w:p>
            <w:pPr>
              <w:jc w:val="right"/>
              <w:ind w:right="359"/>
              <w:spacing w:after="0"/>
              <w:rPr>
                <w:sz w:val="20"/>
                <w:szCs w:val="20"/>
                <w:color w:val="auto"/>
              </w:rPr>
            </w:pPr>
            <w:r>
              <w:rPr>
                <w:rFonts w:ascii="Arial" w:cs="Arial" w:eastAsia="Arial" w:hAnsi="Arial"/>
                <w:sz w:val="16"/>
                <w:szCs w:val="16"/>
                <w:color w:val="auto"/>
              </w:rPr>
              <w:t xml:space="preserve">Adjusted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Three Months Ended March 31,</w:t>
            </w:r>
          </w:p>
        </w:tc>
      </w:tr>
      <w:tr>
        <w:trPr>
          <w:trHeight w:val="228"/>
        </w:trPr>
        <w:tc>
          <w:tcPr>
            <w:tcW w:w="3060" w:type="dxa"/>
            <w:vAlign w:val="bottom"/>
          </w:tcPr>
          <w:p>
            <w:pPr>
              <w:spacing w:after="0"/>
              <w:rPr>
                <w:sz w:val="19"/>
                <w:szCs w:val="19"/>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2017</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2016</w:t>
            </w: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2016</w:t>
            </w:r>
          </w:p>
        </w:tc>
      </w:tr>
      <w:tr>
        <w:trPr>
          <w:trHeight w:val="241"/>
        </w:trPr>
        <w:tc>
          <w:tcPr>
            <w:tcW w:w="4360" w:type="dxa"/>
            <w:vAlign w:val="bottom"/>
            <w:gridSpan w:val="2"/>
          </w:tcPr>
          <w:p>
            <w:pPr>
              <w:spacing w:after="0"/>
              <w:rPr>
                <w:sz w:val="20"/>
                <w:szCs w:val="20"/>
                <w:color w:val="auto"/>
              </w:rPr>
            </w:pPr>
            <w:r>
              <w:rPr>
                <w:rFonts w:ascii="Arial" w:cs="Arial" w:eastAsia="Arial" w:hAnsi="Arial"/>
                <w:sz w:val="16"/>
                <w:szCs w:val="16"/>
                <w:color w:val="auto"/>
              </w:rPr>
              <w:t>Gross Profit</w:t>
            </w:r>
          </w:p>
        </w:tc>
        <w:tc>
          <w:tcPr>
            <w:tcW w:w="66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56.7%</w:t>
            </w: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70"/>
        </w:trPr>
        <w:tc>
          <w:tcPr>
            <w:tcW w:w="4360" w:type="dxa"/>
            <w:vAlign w:val="bottom"/>
            <w:gridSpan w:val="2"/>
          </w:tcPr>
          <w:p>
            <w:pPr>
              <w:spacing w:after="0"/>
              <w:rPr>
                <w:sz w:val="20"/>
                <w:szCs w:val="20"/>
                <w:color w:val="auto"/>
              </w:rPr>
            </w:pPr>
            <w:r>
              <w:rPr>
                <w:rFonts w:ascii="Arial" w:cs="Arial" w:eastAsia="Arial" w:hAnsi="Arial"/>
                <w:sz w:val="16"/>
                <w:szCs w:val="16"/>
                <w:color w:val="auto"/>
              </w:rPr>
              <w:t>SG&amp;A</w:t>
            </w:r>
          </w:p>
        </w:tc>
        <w:tc>
          <w:tcPr>
            <w:tcW w:w="66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270"/>
        </w:trPr>
        <w:tc>
          <w:tcPr>
            <w:tcW w:w="4360" w:type="dxa"/>
            <w:vAlign w:val="bottom"/>
            <w:gridSpan w:val="2"/>
          </w:tcPr>
          <w:p>
            <w:pPr>
              <w:spacing w:after="0"/>
              <w:rPr>
                <w:sz w:val="20"/>
                <w:szCs w:val="20"/>
                <w:color w:val="auto"/>
              </w:rPr>
            </w:pPr>
            <w:r>
              <w:rPr>
                <w:rFonts w:ascii="Arial" w:cs="Arial" w:eastAsia="Arial" w:hAnsi="Arial"/>
                <w:sz w:val="16"/>
                <w:szCs w:val="16"/>
                <w:color w:val="auto"/>
              </w:rPr>
              <w:t>R&amp;D</w:t>
            </w:r>
          </w:p>
        </w:tc>
        <w:tc>
          <w:tcPr>
            <w:tcW w:w="6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70"/>
        </w:trPr>
        <w:tc>
          <w:tcPr>
            <w:tcW w:w="436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6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70"/>
        </w:trPr>
        <w:tc>
          <w:tcPr>
            <w:tcW w:w="436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70"/>
        </w:trPr>
        <w:tc>
          <w:tcPr>
            <w:tcW w:w="4360" w:type="dxa"/>
            <w:vAlign w:val="bottom"/>
            <w:gridSpan w:val="2"/>
          </w:tcPr>
          <w:p>
            <w:pPr>
              <w:spacing w:after="0"/>
              <w:rPr>
                <w:sz w:val="20"/>
                <w:szCs w:val="20"/>
                <w:color w:val="auto"/>
              </w:rPr>
            </w:pPr>
            <w:r>
              <w:rPr>
                <w:rFonts w:ascii="Arial" w:cs="Arial" w:eastAsia="Arial" w:hAnsi="Arial"/>
                <w:sz w:val="16"/>
                <w:szCs w:val="16"/>
                <w:color w:val="auto"/>
              </w:rPr>
              <w:t>Income Tax Rate</w:t>
            </w:r>
          </w:p>
        </w:tc>
        <w:tc>
          <w:tcPr>
            <w:tcW w:w="66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28.2%</w:t>
            </w:r>
          </w:p>
        </w:tc>
      </w:tr>
    </w:tbl>
    <w:p>
      <w:pPr>
        <w:spacing w:after="0" w:line="218" w:lineRule="exact"/>
        <w:rPr>
          <w:sz w:val="20"/>
          <w:szCs w:val="20"/>
          <w:color w:val="auto"/>
        </w:rPr>
      </w:pPr>
    </w:p>
    <w:p>
      <w:pPr>
        <w:ind w:left="340" w:right="420" w:hanging="331"/>
        <w:spacing w:after="0" w:line="29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financial measures are Non-GAAP measures and exclude specified items as described and reconciled in the "Reconciliation of GAAP to non-GAAP Financial Measures" contained in the press release.</w:t>
      </w:r>
    </w:p>
    <w:p>
      <w:pPr>
        <w:spacing w:after="0" w:line="42" w:lineRule="exact"/>
        <w:rPr>
          <w:sz w:val="20"/>
          <w:szCs w:val="20"/>
          <w:color w:val="auto"/>
        </w:rPr>
      </w:pPr>
    </w:p>
    <w:p>
      <w:pPr>
        <w:ind w:left="340" w:hanging="224"/>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Numbers may not add due to rounding.</w:t>
      </w:r>
    </w:p>
    <w:p>
      <w:pPr>
        <w:sectPr>
          <w:pgSz w:w="11900" w:h="16838" w:orient="portrait"/>
          <w:cols w:equalWidth="0" w:num="1">
            <w:col w:w="11340"/>
          </w:cols>
          <w:pgMar w:left="300" w:top="770" w:right="259" w:bottom="155" w:gutter="0" w:footer="0" w:header="0"/>
        </w:sect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340"/>
          </w:cols>
          <w:pgMar w:left="300" w:top="770" w:right="259" w:bottom="155" w:gutter="0" w:footer="0" w:header="0"/>
          <w:type w:val="continuous"/>
        </w:sectPr>
      </w:pPr>
    </w:p>
    <w:bookmarkStart w:id="13" w:name="page14"/>
    <w:bookmarkEnd w:id="13"/>
    <w:p>
      <w:pPr>
        <w:ind w:left="20" w:right="4600"/>
        <w:spacing w:after="0" w:line="410" w:lineRule="auto"/>
        <w:rPr>
          <w:sz w:val="20"/>
          <w:szCs w:val="20"/>
          <w:color w:val="auto"/>
        </w:rPr>
      </w:pPr>
      <w:r>
        <w:rPr>
          <w:rFonts w:ascii="Arial" w:cs="Arial" w:eastAsia="Arial" w:hAnsi="Arial"/>
          <w:sz w:val="16"/>
          <w:szCs w:val="16"/>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6963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b w:val="1"/>
                <w:bCs w:val="1"/>
                <w:color w:val="auto"/>
              </w:rPr>
              <w:t>Income from</w:t>
            </w: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Net Income</w:t>
            </w:r>
          </w:p>
        </w:tc>
        <w:tc>
          <w:tcPr>
            <w:tcW w:w="1300" w:type="dxa"/>
            <w:vAlign w:val="bottom"/>
          </w:tcPr>
          <w:p>
            <w:pPr>
              <w:spacing w:after="0"/>
              <w:rPr>
                <w:sz w:val="16"/>
                <w:szCs w:val="16"/>
                <w:color w:val="auto"/>
              </w:rPr>
            </w:pPr>
          </w:p>
        </w:tc>
      </w:tr>
      <w:tr>
        <w:trPr>
          <w:trHeight w:val="232"/>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 2017</w:t>
            </w: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Sales</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Gross Profit</w:t>
            </w: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Operations</w:t>
            </w: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(Loss)</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Diluted EPS</w:t>
            </w:r>
          </w:p>
        </w:tc>
      </w:tr>
      <w:tr>
        <w:trPr>
          <w:trHeight w:val="261"/>
        </w:trPr>
        <w:tc>
          <w:tcPr>
            <w:tcW w:w="4400" w:type="dxa"/>
            <w:vAlign w:val="bottom"/>
          </w:tcPr>
          <w:p>
            <w:pPr>
              <w:ind w:left="20"/>
              <w:spacing w:after="0"/>
              <w:rPr>
                <w:sz w:val="20"/>
                <w:szCs w:val="20"/>
                <w:color w:val="auto"/>
              </w:rPr>
            </w:pPr>
            <w:r>
              <w:rPr>
                <w:rFonts w:ascii="Arial" w:cs="Arial" w:eastAsia="Arial" w:hAnsi="Arial"/>
                <w:sz w:val="16"/>
                <w:szCs w:val="16"/>
                <w:color w:val="auto"/>
              </w:rPr>
              <w:t>GAAP Financial Measures</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$285.1</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26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w w:val="99"/>
              </w:rPr>
              <w:t>$11.3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r>
      <w:tr>
        <w:trPr>
          <w:trHeight w:val="255"/>
        </w:trPr>
        <w:tc>
          <w:tcPr>
            <w:tcW w:w="4400" w:type="dxa"/>
            <w:vAlign w:val="bottom"/>
          </w:tcPr>
          <w:p>
            <w:pPr>
              <w:ind w:left="20"/>
              <w:spacing w:after="0"/>
              <w:rPr>
                <w:sz w:val="20"/>
                <w:szCs w:val="20"/>
                <w:color w:val="auto"/>
              </w:rPr>
            </w:pPr>
            <w:r>
              <w:rPr>
                <w:rFonts w:ascii="Arial" w:cs="Arial" w:eastAsia="Arial" w:hAnsi="Arial"/>
                <w:sz w:val="16"/>
                <w:szCs w:val="16"/>
                <w:color w:val="auto"/>
              </w:rPr>
              <w:t>Specified Items</w:t>
            </w:r>
          </w:p>
        </w:tc>
        <w:tc>
          <w:tcPr>
            <w:tcW w:w="1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Merger and integration expense (A)</w:t>
            </w: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1260" w:type="dxa"/>
            <w:vAlign w:val="bottom"/>
          </w:tcPr>
          <w:p>
            <w:pPr>
              <w:jc w:val="center"/>
              <w:ind w:left="499"/>
              <w:spacing w:after="0"/>
              <w:rPr>
                <w:sz w:val="20"/>
                <w:szCs w:val="20"/>
                <w:color w:val="auto"/>
              </w:rPr>
            </w:pPr>
            <w:r>
              <w:rPr>
                <w:rFonts w:ascii="Arial" w:cs="Arial" w:eastAsia="Arial" w:hAnsi="Arial"/>
                <w:sz w:val="16"/>
                <w:szCs w:val="16"/>
                <w:color w:val="auto"/>
              </w:rPr>
              <w:t>1.6</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0.03</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Restructuring expense (B)</w:t>
            </w: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10.1</w:t>
            </w:r>
          </w:p>
        </w:tc>
        <w:tc>
          <w:tcPr>
            <w:tcW w:w="1260" w:type="dxa"/>
            <w:vAlign w:val="bottom"/>
          </w:tcPr>
          <w:p>
            <w:pPr>
              <w:jc w:val="center"/>
              <w:ind w:left="499"/>
              <w:spacing w:after="0"/>
              <w:rPr>
                <w:sz w:val="20"/>
                <w:szCs w:val="20"/>
                <w:color w:val="auto"/>
              </w:rPr>
            </w:pPr>
            <w:r>
              <w:rPr>
                <w:rFonts w:ascii="Arial" w:cs="Arial" w:eastAsia="Arial" w:hAnsi="Arial"/>
                <w:sz w:val="16"/>
                <w:szCs w:val="16"/>
                <w:color w:val="auto"/>
              </w:rPr>
              <w:t>8.8</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0.18</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Depreciation and Amortization (C)</w:t>
            </w:r>
          </w:p>
        </w:tc>
        <w:tc>
          <w:tcPr>
            <w:tcW w:w="1280" w:type="dxa"/>
            <w:vAlign w:val="bottom"/>
          </w:tcPr>
          <w:p>
            <w:pPr>
              <w:spacing w:after="0"/>
              <w:rPr>
                <w:sz w:val="23"/>
                <w:szCs w:val="23"/>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13.2</w:t>
            </w:r>
          </w:p>
        </w:tc>
        <w:tc>
          <w:tcPr>
            <w:tcW w:w="1260" w:type="dxa"/>
            <w:vAlign w:val="bottom"/>
          </w:tcPr>
          <w:p>
            <w:pPr>
              <w:jc w:val="center"/>
              <w:ind w:left="499"/>
              <w:spacing w:after="0"/>
              <w:rPr>
                <w:sz w:val="20"/>
                <w:szCs w:val="20"/>
                <w:color w:val="auto"/>
              </w:rPr>
            </w:pPr>
            <w:r>
              <w:rPr>
                <w:rFonts w:ascii="Arial" w:cs="Arial" w:eastAsia="Arial" w:hAnsi="Arial"/>
                <w:sz w:val="16"/>
                <w:szCs w:val="16"/>
                <w:color w:val="auto"/>
              </w:rPr>
              <w:t>9.3</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0.19</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Product remediation (D)</w:t>
            </w:r>
          </w:p>
        </w:tc>
        <w:tc>
          <w:tcPr>
            <w:tcW w:w="128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260" w:type="dxa"/>
            <w:vAlign w:val="bottom"/>
          </w:tcPr>
          <w:p>
            <w:pPr>
              <w:jc w:val="center"/>
              <w:ind w:left="499"/>
              <w:spacing w:after="0"/>
              <w:rPr>
                <w:sz w:val="20"/>
                <w:szCs w:val="20"/>
                <w:color w:val="auto"/>
              </w:rPr>
            </w:pPr>
            <w:r>
              <w:rPr>
                <w:rFonts w:ascii="Arial" w:cs="Arial" w:eastAsia="Arial" w:hAnsi="Arial"/>
                <w:sz w:val="16"/>
                <w:szCs w:val="16"/>
                <w:color w:val="auto"/>
                <w:w w:val="97"/>
              </w:rPr>
              <w:t>(0.5)</w:t>
            </w:r>
          </w:p>
        </w:tc>
        <w:tc>
          <w:tcPr>
            <w:tcW w:w="13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Other Income Expenses &amp; Litigations (E)</w:t>
            </w: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260" w:type="dxa"/>
            <w:vAlign w:val="bottom"/>
          </w:tcPr>
          <w:p>
            <w:pPr>
              <w:jc w:val="center"/>
              <w:ind w:left="499"/>
              <w:spacing w:after="0"/>
              <w:rPr>
                <w:sz w:val="20"/>
                <w:szCs w:val="20"/>
                <w:color w:val="auto"/>
              </w:rPr>
            </w:pPr>
            <w:r>
              <w:rPr>
                <w:rFonts w:ascii="Arial" w:cs="Arial" w:eastAsia="Arial" w:hAnsi="Arial"/>
                <w:sz w:val="16"/>
                <w:szCs w:val="16"/>
                <w:color w:val="auto"/>
                <w:w w:val="97"/>
              </w:rPr>
              <w:t>(2.2)</w:t>
            </w:r>
          </w:p>
        </w:tc>
        <w:tc>
          <w:tcPr>
            <w:tcW w:w="130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Equity compensation (F)</w:t>
            </w: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1260" w:type="dxa"/>
            <w:vAlign w:val="bottom"/>
          </w:tcPr>
          <w:p>
            <w:pPr>
              <w:jc w:val="center"/>
              <w:ind w:left="499"/>
              <w:spacing w:after="0"/>
              <w:rPr>
                <w:sz w:val="20"/>
                <w:szCs w:val="20"/>
                <w:color w:val="auto"/>
              </w:rPr>
            </w:pPr>
            <w:r>
              <w:rPr>
                <w:rFonts w:ascii="Arial" w:cs="Arial" w:eastAsia="Arial" w:hAnsi="Arial"/>
                <w:sz w:val="16"/>
                <w:szCs w:val="16"/>
                <w:color w:val="auto"/>
              </w:rPr>
              <w:t>3.3</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0.07</w:t>
            </w:r>
          </w:p>
        </w:tc>
      </w:tr>
      <w:tr>
        <w:trPr>
          <w:trHeight w:val="279"/>
        </w:trPr>
        <w:tc>
          <w:tcPr>
            <w:tcW w:w="4400" w:type="dxa"/>
            <w:vAlign w:val="bottom"/>
          </w:tcPr>
          <w:p>
            <w:pPr>
              <w:ind w:left="260"/>
              <w:spacing w:after="0"/>
              <w:rPr>
                <w:sz w:val="20"/>
                <w:szCs w:val="20"/>
                <w:color w:val="auto"/>
              </w:rPr>
            </w:pPr>
            <w:r>
              <w:rPr>
                <w:rFonts w:ascii="Arial" w:cs="Arial" w:eastAsia="Arial" w:hAnsi="Arial"/>
                <w:sz w:val="16"/>
                <w:szCs w:val="16"/>
                <w:color w:val="auto"/>
              </w:rPr>
              <w:t>Certain tax adjustments (G)</w:t>
            </w:r>
          </w:p>
        </w:tc>
        <w:tc>
          <w:tcPr>
            <w:tcW w:w="1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color w:val="auto"/>
              </w:rPr>
              <w:t>2.5</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0.05</w:t>
            </w:r>
          </w:p>
        </w:tc>
      </w:tr>
      <w:tr>
        <w:trPr>
          <w:trHeight w:val="242"/>
        </w:trPr>
        <w:tc>
          <w:tcPr>
            <w:tcW w:w="4400" w:type="dxa"/>
            <w:vAlign w:val="bottom"/>
          </w:tcPr>
          <w:p>
            <w:pPr>
              <w:ind w:left="20"/>
              <w:spacing w:after="0"/>
              <w:rPr>
                <w:sz w:val="20"/>
                <w:szCs w:val="20"/>
                <w:color w:val="auto"/>
              </w:rPr>
            </w:pPr>
            <w:r>
              <w:rPr>
                <w:rFonts w:ascii="Arial" w:cs="Arial" w:eastAsia="Arial" w:hAnsi="Arial"/>
                <w:sz w:val="16"/>
                <w:szCs w:val="16"/>
                <w:color w:val="auto"/>
              </w:rPr>
              <w:t>Adjusted financial measures</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$285.1</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26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rPr>
              <w:t>$34.2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r>
      <w:tr>
        <w:trPr>
          <w:trHeight w:val="20"/>
        </w:trPr>
        <w:tc>
          <w:tcPr>
            <w:tcW w:w="4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GAAP results for the three months ended March 31, 2017 include:</w:t>
      </w:r>
    </w:p>
    <w:p>
      <w:pPr>
        <w:spacing w:after="0" w:line="66" w:lineRule="exact"/>
        <w:rPr>
          <w:sz w:val="20"/>
          <w:szCs w:val="20"/>
          <w:color w:val="auto"/>
        </w:rPr>
      </w:pPr>
    </w:p>
    <w:p>
      <w:pPr>
        <w:ind w:left="680" w:hanging="662"/>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Expense related to merger and integration activities</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Restructuring expenses, related to recent organizational changes and to the shutdown of our oxygenators plant in China</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Cost related to the 3T heater cooler remediation plan/adjustment of provision</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Legal expenses related to 3T, other minor litigations and Caisson acquisition</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$3.7M related to SG&amp;A, $0.1M related to R&amp;D, and less than $0.1M related to COGS</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Relates to the impact of restructuring initiatives, including IP migration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69634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3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b w:val="1"/>
                <w:bCs w:val="1"/>
                <w:color w:val="auto"/>
              </w:rPr>
              <w:t>Income from</w:t>
            </w: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Net Income</w:t>
            </w:r>
          </w:p>
        </w:tc>
        <w:tc>
          <w:tcPr>
            <w:tcW w:w="1320" w:type="dxa"/>
            <w:vAlign w:val="bottom"/>
          </w:tcPr>
          <w:p>
            <w:pPr>
              <w:spacing w:after="0"/>
              <w:rPr>
                <w:sz w:val="16"/>
                <w:szCs w:val="16"/>
                <w:color w:val="auto"/>
              </w:rPr>
            </w:pPr>
          </w:p>
        </w:tc>
      </w:tr>
      <w:tr>
        <w:trPr>
          <w:trHeight w:val="232"/>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March 31, 2016</w:t>
            </w: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Sales</w:t>
            </w: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Gross Profit</w:t>
            </w:r>
          </w:p>
        </w:tc>
        <w:tc>
          <w:tcPr>
            <w:tcW w:w="14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Operations</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(Loss)</w:t>
            </w: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Diluted EPS</w:t>
            </w:r>
          </w:p>
        </w:tc>
      </w:tr>
      <w:tr>
        <w:trPr>
          <w:trHeight w:val="261"/>
        </w:trPr>
        <w:tc>
          <w:tcPr>
            <w:tcW w:w="4400" w:type="dxa"/>
            <w:vAlign w:val="bottom"/>
          </w:tcPr>
          <w:p>
            <w:pPr>
              <w:ind w:left="20"/>
              <w:spacing w:after="0"/>
              <w:rPr>
                <w:sz w:val="20"/>
                <w:szCs w:val="20"/>
                <w:color w:val="auto"/>
              </w:rPr>
            </w:pPr>
            <w:r>
              <w:rPr>
                <w:rFonts w:ascii="Arial" w:cs="Arial" w:eastAsia="Arial" w:hAnsi="Arial"/>
                <w:sz w:val="16"/>
                <w:szCs w:val="16"/>
                <w:color w:val="auto"/>
              </w:rPr>
              <w:t>GAAP Financial Measures</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$287.0</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$162.7</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r>
      <w:tr>
        <w:trPr>
          <w:trHeight w:val="255"/>
        </w:trPr>
        <w:tc>
          <w:tcPr>
            <w:tcW w:w="4400" w:type="dxa"/>
            <w:vAlign w:val="bottom"/>
          </w:tcPr>
          <w:p>
            <w:pPr>
              <w:ind w:left="20"/>
              <w:spacing w:after="0"/>
              <w:rPr>
                <w:sz w:val="20"/>
                <w:szCs w:val="20"/>
                <w:color w:val="auto"/>
              </w:rPr>
            </w:pPr>
            <w:r>
              <w:rPr>
                <w:rFonts w:ascii="Arial" w:cs="Arial" w:eastAsia="Arial" w:hAnsi="Arial"/>
                <w:sz w:val="16"/>
                <w:szCs w:val="16"/>
                <w:color w:val="auto"/>
              </w:rPr>
              <w:t>Specified Items</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Merger and integration expense (A)</w:t>
            </w: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5.9</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0.12</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Restructuring expense (B)</w:t>
            </w: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28.6</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26.8</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0.55</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Amortization of intangible assets (C)</w:t>
            </w: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15.9</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0.22</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3T product remediation (D)</w:t>
            </w:r>
          </w:p>
        </w:tc>
        <w:tc>
          <w:tcPr>
            <w:tcW w:w="124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0.7</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0.01</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Other Income Expenses &amp; Litigations (E)</w:t>
            </w: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0.3</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0.01</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Impact of inventory step-up (F)</w:t>
            </w:r>
          </w:p>
        </w:tc>
        <w:tc>
          <w:tcPr>
            <w:tcW w:w="124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21.3</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21.3</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14.6</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0.30</w:t>
            </w:r>
          </w:p>
        </w:tc>
      </w:tr>
      <w:tr>
        <w:trPr>
          <w:trHeight w:val="270"/>
        </w:trPr>
        <w:tc>
          <w:tcPr>
            <w:tcW w:w="4400" w:type="dxa"/>
            <w:vAlign w:val="bottom"/>
          </w:tcPr>
          <w:p>
            <w:pPr>
              <w:ind w:left="260"/>
              <w:spacing w:after="0"/>
              <w:rPr>
                <w:sz w:val="20"/>
                <w:szCs w:val="20"/>
                <w:color w:val="auto"/>
              </w:rPr>
            </w:pPr>
            <w:r>
              <w:rPr>
                <w:rFonts w:ascii="Arial" w:cs="Arial" w:eastAsia="Arial" w:hAnsi="Arial"/>
                <w:sz w:val="16"/>
                <w:szCs w:val="16"/>
                <w:color w:val="auto"/>
              </w:rPr>
              <w:t>Equity compensation (G)</w:t>
            </w:r>
          </w:p>
        </w:tc>
        <w:tc>
          <w:tcPr>
            <w:tcW w:w="1240" w:type="dxa"/>
            <w:vAlign w:val="bottom"/>
          </w:tcPr>
          <w:p>
            <w:pPr>
              <w:spacing w:after="0"/>
              <w:rPr>
                <w:sz w:val="23"/>
                <w:szCs w:val="23"/>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6.1</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0.11</w:t>
            </w:r>
          </w:p>
        </w:tc>
      </w:tr>
      <w:tr>
        <w:trPr>
          <w:trHeight w:val="279"/>
        </w:trPr>
        <w:tc>
          <w:tcPr>
            <w:tcW w:w="4400" w:type="dxa"/>
            <w:vAlign w:val="bottom"/>
          </w:tcPr>
          <w:p>
            <w:pPr>
              <w:ind w:left="260"/>
              <w:spacing w:after="0"/>
              <w:rPr>
                <w:sz w:val="20"/>
                <w:szCs w:val="20"/>
                <w:color w:val="auto"/>
              </w:rPr>
            </w:pPr>
            <w:r>
              <w:rPr>
                <w:rFonts w:ascii="Arial" w:cs="Arial" w:eastAsia="Arial" w:hAnsi="Arial"/>
                <w:sz w:val="16"/>
                <w:szCs w:val="16"/>
                <w:color w:val="auto"/>
              </w:rPr>
              <w:t>Certain tax adjustments (H)</w:t>
            </w:r>
          </w:p>
        </w:tc>
        <w:tc>
          <w:tcPr>
            <w:tcW w:w="1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0.05</w:t>
            </w:r>
          </w:p>
        </w:tc>
      </w:tr>
      <w:tr>
        <w:trPr>
          <w:trHeight w:val="269"/>
        </w:trPr>
        <w:tc>
          <w:tcPr>
            <w:tcW w:w="4400" w:type="dxa"/>
            <w:vAlign w:val="bottom"/>
          </w:tcPr>
          <w:p>
            <w:pPr>
              <w:ind w:left="20"/>
              <w:spacing w:after="0"/>
              <w:rPr>
                <w:sz w:val="20"/>
                <w:szCs w:val="20"/>
                <w:color w:val="auto"/>
              </w:rPr>
            </w:pPr>
            <w:r>
              <w:rPr>
                <w:rFonts w:ascii="Arial" w:cs="Arial" w:eastAsia="Arial" w:hAnsi="Arial"/>
                <w:sz w:val="16"/>
                <w:szCs w:val="16"/>
                <w:color w:val="auto"/>
              </w:rPr>
              <w:t>Adjusted financial measures</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$287.0</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$185.1</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$43.5</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$26.5</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$0.54</w:t>
            </w:r>
          </w:p>
        </w:tc>
      </w:tr>
      <w:tr>
        <w:trPr>
          <w:trHeight w:val="20"/>
        </w:trPr>
        <w:tc>
          <w:tcPr>
            <w:tcW w:w="4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GAAP results for the three months ended March 31, 2016 include:</w:t>
      </w:r>
    </w:p>
    <w:p>
      <w:pPr>
        <w:spacing w:after="0" w:line="66" w:lineRule="exact"/>
        <w:rPr>
          <w:sz w:val="20"/>
          <w:szCs w:val="20"/>
          <w:color w:val="auto"/>
        </w:rPr>
      </w:pPr>
    </w:p>
    <w:p>
      <w:pPr>
        <w:ind w:left="680" w:hanging="662"/>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Expense related to merger and integration activities</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Restructuring expenses, severance related to CRM R&amp;D restructuring plan, Corporate and shared-service synergies and recent organizational changes</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final purchase price accounting</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Cost related to the 3T heater cooler remediation plan</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Litigation from legacy companies</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amortization of inventory step-up associated with final purchase price accounting</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$5.4M related to SG&amp;A, $0.3M related to R&amp;D, and $0.4M related to COGS</w:t>
      </w:r>
    </w:p>
    <w:p>
      <w:pPr>
        <w:spacing w:after="0" w:line="55" w:lineRule="exact"/>
        <w:rPr>
          <w:rFonts w:ascii="Arial" w:cs="Arial" w:eastAsia="Arial" w:hAnsi="Arial"/>
          <w:sz w:val="14"/>
          <w:szCs w:val="14"/>
          <w:color w:val="auto"/>
        </w:rPr>
      </w:pPr>
    </w:p>
    <w:p>
      <w:pPr>
        <w:ind w:left="680" w:hanging="662"/>
        <w:spacing w:after="0"/>
        <w:tabs>
          <w:tab w:leader="none" w:pos="6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Relates to the impact of restructuring initiatives, including IP migration</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960"/>
          </w:cols>
          <w:pgMar w:left="480" w:top="1132" w:right="459" w:bottom="1440" w:gutter="0" w:footer="0" w:header="0"/>
        </w:sectPr>
      </w:pPr>
    </w:p>
    <w:bookmarkStart w:id="14" w:name="page15"/>
    <w:bookmarkEnd w:id="14"/>
    <w:p>
      <w:pPr>
        <w:ind w:left="40" w:right="2840"/>
        <w:spacing w:after="0" w:line="346" w:lineRule="auto"/>
        <w:rPr>
          <w:sz w:val="20"/>
          <w:szCs w:val="20"/>
          <w:color w:val="auto"/>
        </w:rPr>
      </w:pPr>
      <w:r>
        <w:rPr>
          <w:rFonts w:ascii="Arial" w:cs="Arial" w:eastAsia="Arial" w:hAnsi="Arial"/>
          <w:sz w:val="16"/>
          <w:szCs w:val="16"/>
          <w:b w:val="1"/>
          <w:bCs w:val="1"/>
          <w:color w:val="auto"/>
        </w:rPr>
        <w:t>LIVANOVA PLC AND SUBSIDIARIES CONDENSED CONSOLIDATED BALANCE SHEETS U.S. dollars in millions</w:t>
      </w:r>
    </w:p>
    <w:p>
      <w:pPr>
        <w:spacing w:after="0" w:line="200" w:lineRule="exact"/>
        <w:rPr>
          <w:sz w:val="20"/>
          <w:szCs w:val="20"/>
          <w:color w:val="auto"/>
        </w:rPr>
      </w:pPr>
    </w:p>
    <w:p>
      <w:pPr>
        <w:spacing w:after="0" w:line="23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ASSETS</w:t>
      </w: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Prepaid and refundable income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Assets held for sale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Current Assets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Property, plant and equipment, net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Goodwill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Intangible assets, net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Investments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tax assets net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Assets</w:t>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LIABILITIES AND STOCKHOLDERS’ EQUITY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Current debt obligations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Accrued liabilities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Income taxes payable</w:t>
      </w:r>
    </w:p>
    <w:p>
      <w:pPr>
        <w:spacing w:after="0" w:line="86" w:lineRule="exact"/>
        <w:rPr>
          <w:sz w:val="20"/>
          <w:szCs w:val="20"/>
          <w:color w:val="auto"/>
        </w:rPr>
      </w:pPr>
    </w:p>
    <w:p>
      <w:pPr>
        <w:ind w:left="40" w:right="2220" w:firstLine="122"/>
        <w:spacing w:after="0" w:line="352" w:lineRule="auto"/>
        <w:rPr>
          <w:sz w:val="20"/>
          <w:szCs w:val="20"/>
          <w:color w:val="auto"/>
        </w:rPr>
      </w:pPr>
      <w:r>
        <w:rPr>
          <w:rFonts w:ascii="Arial" w:cs="Arial" w:eastAsia="Arial" w:hAnsi="Arial"/>
          <w:sz w:val="16"/>
          <w:szCs w:val="16"/>
          <w:color w:val="auto"/>
        </w:rPr>
        <w:t>Accrued employee compensation and related benefits liability Total Current Liabilities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Long-term debt obligations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Deferred income taxes liability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Long-term employee compensation and related benefits liability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Other long-term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Liabilities and Stockholders’ Equity</w:t>
      </w:r>
    </w:p>
    <w:p>
      <w:pPr>
        <w:spacing w:after="0" w:line="280"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Numbers may not add due to rounding.</w:t>
      </w:r>
    </w:p>
    <w:p>
      <w:pPr>
        <w:spacing w:after="0" w:line="256"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33020</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jc w:val="center"/>
        <w:ind w:right="48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88"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$62.7</w:t>
      </w:r>
    </w:p>
    <w:p>
      <w:pPr>
        <w:spacing w:after="0" w:line="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271.5</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192.4</w:t>
      </w:r>
    </w:p>
    <w:p>
      <w:pPr>
        <w:spacing w:after="0" w:line="8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60.4</w:t>
      </w:r>
    </w:p>
    <w:p>
      <w:pPr>
        <w:spacing w:after="0" w:line="8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17.6</w:t>
      </w:r>
    </w:p>
    <w:p>
      <w:pPr>
        <w:spacing w:after="0" w:line="8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31750</wp:posOffset>
            </wp:positionV>
            <wp:extent cx="1372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660.7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31750</wp:posOffset>
            </wp:positionV>
            <wp:extent cx="13722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205.1</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698.3</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605.8</w:t>
      </w:r>
    </w:p>
    <w:p>
      <w:pPr>
        <w:spacing w:after="0" w:line="8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58.7</w:t>
      </w:r>
    </w:p>
    <w:p>
      <w:pPr>
        <w:spacing w:after="0" w:line="8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9.4</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31750</wp:posOffset>
            </wp:positionV>
            <wp:extent cx="1372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3"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$2,370.6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39370</wp:posOffset>
            </wp:positionV>
            <wp:extent cx="13722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56515</wp:posOffset>
            </wp:positionV>
            <wp:extent cx="1372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$45.5</w:t>
      </w:r>
    </w:p>
    <w:p>
      <w:pPr>
        <w:spacing w:after="0" w:line="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102.0</w:t>
      </w:r>
    </w:p>
    <w:p>
      <w:pPr>
        <w:spacing w:after="0" w:line="8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68.4</w:t>
      </w:r>
    </w:p>
    <w:p>
      <w:pPr>
        <w:spacing w:after="0" w:line="8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26.7</w:t>
      </w:r>
    </w:p>
    <w:p>
      <w:pPr>
        <w:spacing w:after="0" w:line="8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31750</wp:posOffset>
            </wp:positionV>
            <wp:extent cx="13722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31750</wp:posOffset>
            </wp:positionV>
            <wp:extent cx="13722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76.1</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167.0</w:t>
      </w:r>
    </w:p>
    <w:p>
      <w:pPr>
        <w:spacing w:after="0" w:line="8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31.1</w:t>
      </w:r>
    </w:p>
    <w:p>
      <w:pPr>
        <w:spacing w:after="0" w:line="86"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31750</wp:posOffset>
            </wp:positionV>
            <wp:extent cx="13722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635.7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31750</wp:posOffset>
            </wp:positionV>
            <wp:extent cx="1372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1,734.9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31750</wp:posOffset>
            </wp:positionV>
            <wp:extent cx="1372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3"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$2,370.6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39370</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56515</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33020</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$39.8</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275.7</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183.5</w:t>
      </w:r>
    </w:p>
    <w:p>
      <w:pPr>
        <w:spacing w:after="0" w:line="8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60.6</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4.5</w:t>
      </w:r>
    </w:p>
    <w:p>
      <w:pPr>
        <w:spacing w:after="0" w:line="8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31750</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620.1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31750</wp:posOffset>
            </wp:positionV>
            <wp:extent cx="13722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223.8</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691.7</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609.2</w:t>
      </w:r>
    </w:p>
    <w:p>
      <w:pPr>
        <w:spacing w:after="0" w:line="8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61.1</w:t>
      </w:r>
    </w:p>
    <w:p>
      <w:pPr>
        <w:spacing w:after="0" w:line="8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6.0</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31750</wp:posOffset>
            </wp:positionV>
            <wp:extent cx="1372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31750</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48895</wp:posOffset>
            </wp:positionV>
            <wp:extent cx="1372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$47.6</w:t>
      </w:r>
    </w:p>
    <w:p>
      <w:pPr>
        <w:spacing w:after="0" w:line="8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93.0</w:t>
      </w:r>
    </w:p>
    <w:p>
      <w:pPr>
        <w:spacing w:after="0" w:line="8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75.6</w:t>
      </w:r>
    </w:p>
    <w:p>
      <w:pPr>
        <w:spacing w:after="0" w:line="8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22.3</w:t>
      </w:r>
    </w:p>
    <w:p>
      <w:pPr>
        <w:spacing w:after="0" w:line="8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31750</wp:posOffset>
            </wp:positionV>
            <wp:extent cx="1372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316.8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31750</wp:posOffset>
            </wp:positionV>
            <wp:extent cx="1372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75.2</w:t>
      </w:r>
    </w:p>
    <w:p>
      <w:pPr>
        <w:spacing w:after="0" w:line="8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172.5</w:t>
      </w:r>
    </w:p>
    <w:p>
      <w:pPr>
        <w:spacing w:after="0" w:line="8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31.7</w:t>
      </w:r>
    </w:p>
    <w:p>
      <w:pPr>
        <w:spacing w:after="0" w:line="86"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31750</wp:posOffset>
            </wp:positionV>
            <wp:extent cx="13722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635.7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31750</wp:posOffset>
            </wp:positionV>
            <wp:extent cx="13722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6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1,706.9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31750</wp:posOffset>
            </wp:positionV>
            <wp:extent cx="1372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31750</wp:posOffset>
            </wp:positionV>
            <wp:extent cx="13722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48895</wp:posOffset>
            </wp:positionV>
            <wp:extent cx="13722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3">
            <w:col w:w="6780" w:space="720"/>
            <w:col w:w="1620" w:space="480"/>
            <w:col w:w="1800"/>
          </w:cols>
          <w:pgMar w:left="240" w:top="781" w:right="2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LIVANOVA PLC AND SUBSIDIARIES</w:t>
      </w:r>
    </w:p>
    <w:p>
      <w:pPr>
        <w:spacing w:after="0" w:line="86" w:lineRule="exact"/>
        <w:rPr>
          <w:sz w:val="20"/>
          <w:szCs w:val="20"/>
          <w:color w:val="auto"/>
        </w:rPr>
      </w:pPr>
    </w:p>
    <w:p>
      <w:pPr>
        <w:ind w:right="220"/>
        <w:spacing w:after="0" w:line="410" w:lineRule="auto"/>
        <w:rPr>
          <w:sz w:val="20"/>
          <w:szCs w:val="20"/>
          <w:color w:val="auto"/>
        </w:rPr>
      </w:pPr>
      <w:r>
        <w:rPr>
          <w:rFonts w:ascii="Arial" w:cs="Arial" w:eastAsia="Arial" w:hAnsi="Arial"/>
          <w:sz w:val="16"/>
          <w:szCs w:val="16"/>
          <w:b w:val="1"/>
          <w:bCs w:val="1"/>
          <w:color w:val="auto"/>
        </w:rPr>
        <w:t>CONDENSED CONSOLIDATED STATEMENT OF CASH FLOW - UNAUDITED (U.S. dollars in millions)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Operating Activities: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Net (loss) Income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Non-cash items included in net (loss) income :</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Amortization</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Deferred income tax (benefit) expense</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Loss from equity method investments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Impairment of property, plant and equipment</w:t>
      </w:r>
    </w:p>
    <w:p>
      <w:pPr>
        <w:spacing w:after="0" w:line="86" w:lineRule="exact"/>
        <w:rPr>
          <w:sz w:val="20"/>
          <w:szCs w:val="20"/>
          <w:color w:val="auto"/>
        </w:rPr>
      </w:pPr>
    </w:p>
    <w:p>
      <w:pPr>
        <w:ind w:left="680" w:right="680"/>
        <w:spacing w:after="0" w:line="352" w:lineRule="auto"/>
        <w:rPr>
          <w:sz w:val="20"/>
          <w:szCs w:val="20"/>
          <w:color w:val="auto"/>
        </w:rPr>
      </w:pPr>
      <w:r>
        <w:rPr>
          <w:rFonts w:ascii="Arial" w:cs="Arial" w:eastAsia="Arial" w:hAnsi="Arial"/>
          <w:sz w:val="16"/>
          <w:szCs w:val="16"/>
          <w:color w:val="auto"/>
        </w:rPr>
        <w:t>Amortization of income taxes payable on intercompany transfers Other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assets and liabilities: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 current and non-current assets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Restructuring reserve</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Accounts payable and accrued current and non-current liabilities</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from Investing Activities:</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Purchases of property, plant and equipment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Proceeds from sale of cost method investment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Purchases of short-term investments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Maturities of short-term investments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From Financing Activities:</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Loans to equity method investments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Short-term borrowing (repayment), net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Proceeds from exercise of options and SARs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Repayment of trade receivable advances</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Other</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Net increase (decrease) in cash and cash equivalents</w:t>
      </w:r>
    </w:p>
    <w:p>
      <w:pPr>
        <w:spacing w:after="0" w:line="291" w:lineRule="exact"/>
        <w:rPr>
          <w:sz w:val="20"/>
          <w:szCs w:val="20"/>
          <w:color w:val="auto"/>
        </w:rPr>
      </w:pPr>
    </w:p>
    <w:p>
      <w:pPr>
        <w:ind w:right="2440"/>
        <w:spacing w:after="0" w:line="443" w:lineRule="auto"/>
        <w:rPr>
          <w:sz w:val="20"/>
          <w:szCs w:val="20"/>
          <w:color w:val="auto"/>
        </w:rPr>
      </w:pPr>
      <w:r>
        <w:rPr>
          <w:rFonts w:ascii="Arial" w:cs="Arial" w:eastAsia="Arial" w:hAnsi="Arial"/>
          <w:sz w:val="16"/>
          <w:szCs w:val="16"/>
          <w:color w:val="auto"/>
        </w:rPr>
        <w:t xml:space="preserve">Cash and cash equivalents at beginning of period </w:t>
      </w:r>
      <w:r>
        <w:rPr>
          <w:rFonts w:ascii="Arial" w:cs="Arial" w:eastAsia="Arial" w:hAnsi="Arial"/>
          <w:sz w:val="16"/>
          <w:szCs w:val="16"/>
          <w:b w:val="1"/>
          <w:bCs w:val="1"/>
          <w:color w:val="auto"/>
        </w:rPr>
        <w:t>Cash and cash equivalents at end of period</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 Numbers may not add due to rounding.</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Supplementary disclosure of Cash Flow Information:</w:t>
      </w:r>
    </w:p>
    <w:p>
      <w:pPr>
        <w:spacing w:after="0" w:line="8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Cash paid for interest</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Cash paid for income taxes</w:t>
      </w:r>
    </w:p>
    <w:p>
      <w:pPr>
        <w:spacing w:after="0" w:line="200" w:lineRule="exact"/>
        <w:rPr>
          <w:sz w:val="20"/>
          <w:szCs w:val="20"/>
          <w:color w:val="auto"/>
        </w:rPr>
      </w:pPr>
    </w:p>
    <w:p>
      <w:pPr>
        <w:spacing w:after="0" w:line="295"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2016</w:t>
            </w:r>
          </w:p>
        </w:tc>
      </w:tr>
      <w:tr>
        <w:trPr>
          <w:trHeight w:val="522"/>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3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($40.4)</w:t>
            </w:r>
          </w:p>
        </w:tc>
      </w:tr>
      <w:tr>
        <w:trPr>
          <w:trHeight w:val="540"/>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340" w:type="dxa"/>
            <w:vAlign w:val="bottom"/>
          </w:tcPr>
          <w:p>
            <w:pPr>
              <w:spacing w:after="0"/>
              <w:rPr>
                <w:sz w:val="24"/>
                <w:szCs w:val="24"/>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270"/>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270"/>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270"/>
        </w:trPr>
        <w:tc>
          <w:tcPr>
            <w:tcW w:w="2200" w:type="dxa"/>
            <w:vAlign w:val="bottom"/>
          </w:tcPr>
          <w:p>
            <w:pPr>
              <w:jc w:val="right"/>
              <w:spacing w:after="0"/>
              <w:rPr>
                <w:sz w:val="20"/>
                <w:szCs w:val="20"/>
                <w:color w:val="auto"/>
              </w:rPr>
            </w:pPr>
            <w:r>
              <w:rPr>
                <w:rFonts w:ascii="Arial" w:cs="Arial" w:eastAsia="Arial" w:hAnsi="Arial"/>
                <w:sz w:val="16"/>
                <w:szCs w:val="16"/>
                <w:color w:val="auto"/>
              </w:rPr>
              <w:t>(5.5)</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270"/>
        </w:trPr>
        <w:tc>
          <w:tcPr>
            <w:tcW w:w="2200" w:type="dxa"/>
            <w:vAlign w:val="bottom"/>
          </w:tcPr>
          <w:p>
            <w:pPr>
              <w:jc w:val="right"/>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540"/>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3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70"/>
        </w:trPr>
        <w:tc>
          <w:tcPr>
            <w:tcW w:w="2200" w:type="dxa"/>
            <w:vAlign w:val="bottom"/>
          </w:tcPr>
          <w:p>
            <w:pPr>
              <w:jc w:val="right"/>
              <w:spacing w:after="0"/>
              <w:rPr>
                <w:sz w:val="20"/>
                <w:szCs w:val="20"/>
                <w:color w:val="auto"/>
              </w:rPr>
            </w:pPr>
            <w:r>
              <w:rPr>
                <w:rFonts w:ascii="Arial" w:cs="Arial" w:eastAsia="Arial" w:hAnsi="Arial"/>
                <w:sz w:val="16"/>
                <w:szCs w:val="16"/>
                <w:color w:val="auto"/>
              </w:rPr>
              <w:t>(4.4)</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270"/>
        </w:trPr>
        <w:tc>
          <w:tcPr>
            <w:tcW w:w="2200" w:type="dxa"/>
            <w:vAlign w:val="bottom"/>
          </w:tcPr>
          <w:p>
            <w:pPr>
              <w:jc w:val="right"/>
              <w:spacing w:after="0"/>
              <w:rPr>
                <w:sz w:val="20"/>
                <w:szCs w:val="20"/>
                <w:color w:val="auto"/>
              </w:rPr>
            </w:pPr>
            <w:r>
              <w:rPr>
                <w:rFonts w:ascii="Arial" w:cs="Arial" w:eastAsia="Arial" w:hAnsi="Arial"/>
                <w:sz w:val="16"/>
                <w:szCs w:val="16"/>
                <w:color w:val="auto"/>
              </w:rPr>
              <w:t>(9.3)</w:t>
            </w:r>
          </w:p>
        </w:tc>
        <w:tc>
          <w:tcPr>
            <w:tcW w:w="3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70"/>
        </w:trPr>
        <w:tc>
          <w:tcPr>
            <w:tcW w:w="2200" w:type="dxa"/>
            <w:vAlign w:val="bottom"/>
          </w:tcPr>
          <w:p>
            <w:pPr>
              <w:jc w:val="right"/>
              <w:spacing w:after="0"/>
              <w:rPr>
                <w:sz w:val="20"/>
                <w:szCs w:val="20"/>
                <w:color w:val="auto"/>
              </w:rPr>
            </w:pPr>
            <w:r>
              <w:rPr>
                <w:rFonts w:ascii="Arial" w:cs="Arial" w:eastAsia="Arial" w:hAnsi="Arial"/>
                <w:sz w:val="16"/>
                <w:szCs w:val="16"/>
                <w:color w:val="auto"/>
              </w:rPr>
              <w:t>(6.7)</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22.0</w:t>
            </w:r>
          </w:p>
        </w:tc>
      </w:tr>
      <w:tr>
        <w:trPr>
          <w:trHeight w:val="279"/>
        </w:trPr>
        <w:tc>
          <w:tcPr>
            <w:tcW w:w="2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340" w:type="dxa"/>
            <w:vAlign w:val="bottom"/>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53"/>
        </w:trPr>
        <w:tc>
          <w:tcPr>
            <w:tcW w:w="2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33.2</w:t>
            </w:r>
          </w:p>
        </w:tc>
        <w:tc>
          <w:tcPr>
            <w:tcW w:w="340" w:type="dxa"/>
            <w:vAlign w:val="bottom"/>
          </w:tcPr>
          <w:p>
            <w:pPr>
              <w:spacing w:after="0"/>
              <w:rPr>
                <w:sz w:val="21"/>
                <w:szCs w:val="21"/>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9.6</w:t>
            </w:r>
          </w:p>
        </w:tc>
      </w:tr>
      <w:tr>
        <w:trPr>
          <w:trHeight w:val="711"/>
        </w:trPr>
        <w:tc>
          <w:tcPr>
            <w:tcW w:w="2200" w:type="dxa"/>
            <w:vAlign w:val="bottom"/>
          </w:tcPr>
          <w:p>
            <w:pPr>
              <w:jc w:val="right"/>
              <w:spacing w:after="0"/>
              <w:rPr>
                <w:sz w:val="20"/>
                <w:szCs w:val="20"/>
                <w:color w:val="auto"/>
              </w:rPr>
            </w:pPr>
            <w:r>
              <w:rPr>
                <w:rFonts w:ascii="Arial" w:cs="Arial" w:eastAsia="Arial" w:hAnsi="Arial"/>
                <w:sz w:val="16"/>
                <w:szCs w:val="16"/>
                <w:color w:val="auto"/>
              </w:rPr>
              <w:t>(7.6)</w:t>
            </w:r>
          </w:p>
        </w:tc>
        <w:tc>
          <w:tcPr>
            <w:tcW w:w="3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70"/>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5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0"/>
        </w:trPr>
        <w:tc>
          <w:tcPr>
            <w:tcW w:w="25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282"/>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(0.4)</w:t>
            </w:r>
          </w:p>
        </w:tc>
        <w:tc>
          <w:tcPr>
            <w:tcW w:w="340" w:type="dxa"/>
            <w:vAlign w:val="bottom"/>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(0.8)</w:t>
            </w:r>
          </w:p>
        </w:tc>
      </w:tr>
      <w:tr>
        <w:trPr>
          <w:trHeight w:val="250"/>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340" w:type="dxa"/>
            <w:vAlign w:val="bottom"/>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r>
      <w:tr>
        <w:trPr>
          <w:trHeight w:val="711"/>
        </w:trPr>
        <w:tc>
          <w:tcPr>
            <w:tcW w:w="2200" w:type="dxa"/>
            <w:vAlign w:val="bottom"/>
          </w:tcPr>
          <w:p>
            <w:pPr>
              <w:jc w:val="right"/>
              <w:spacing w:after="0"/>
              <w:rPr>
                <w:sz w:val="20"/>
                <w:szCs w:val="20"/>
                <w:color w:val="auto"/>
              </w:rPr>
            </w:pPr>
            <w:r>
              <w:rPr>
                <w:rFonts w:ascii="Arial" w:cs="Arial" w:eastAsia="Arial" w:hAnsi="Arial"/>
                <w:sz w:val="16"/>
                <w:szCs w:val="16"/>
                <w:color w:val="auto"/>
              </w:rPr>
              <w:t>(5.3)</w:t>
            </w:r>
          </w:p>
        </w:tc>
        <w:tc>
          <w:tcPr>
            <w:tcW w:w="34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70"/>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3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70"/>
        </w:trPr>
        <w:tc>
          <w:tcPr>
            <w:tcW w:w="22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340" w:type="dxa"/>
            <w:vAlign w:val="bottom"/>
          </w:tcPr>
          <w:p>
            <w:pPr>
              <w:spacing w:after="0"/>
              <w:rPr>
                <w:sz w:val="23"/>
                <w:szCs w:val="23"/>
                <w:color w:val="auto"/>
              </w:rPr>
            </w:pPr>
          </w:p>
        </w:tc>
        <w:tc>
          <w:tcPr>
            <w:tcW w:w="214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70"/>
        </w:trPr>
        <w:tc>
          <w:tcPr>
            <w:tcW w:w="25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79"/>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40" w:type="dxa"/>
            <w:vAlign w:val="bottom"/>
          </w:tcPr>
          <w:p>
            <w:pPr>
              <w:spacing w:after="0"/>
              <w:rPr>
                <w:sz w:val="24"/>
                <w:szCs w:val="2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53"/>
        </w:trPr>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w:t>
            </w:r>
          </w:p>
        </w:tc>
        <w:tc>
          <w:tcPr>
            <w:tcW w:w="340" w:type="dxa"/>
            <w:vAlign w:val="bottom"/>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(27.1)</w:t>
            </w:r>
          </w:p>
        </w:tc>
      </w:tr>
      <w:tr>
        <w:trPr>
          <w:trHeight w:val="450"/>
        </w:trPr>
        <w:tc>
          <w:tcPr>
            <w:tcW w:w="2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34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r>
      <w:tr>
        <w:trPr>
          <w:trHeight w:val="253"/>
        </w:trPr>
        <w:tc>
          <w:tcPr>
            <w:tcW w:w="2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22.9</w:t>
            </w:r>
          </w:p>
        </w:tc>
        <w:tc>
          <w:tcPr>
            <w:tcW w:w="340" w:type="dxa"/>
            <w:vAlign w:val="bottom"/>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w:t>
            </w:r>
          </w:p>
        </w:tc>
      </w:tr>
      <w:tr>
        <w:trPr>
          <w:trHeight w:val="450"/>
        </w:trPr>
        <w:tc>
          <w:tcPr>
            <w:tcW w:w="2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39.8</w:t>
            </w:r>
          </w:p>
        </w:tc>
        <w:tc>
          <w:tcPr>
            <w:tcW w:w="340" w:type="dxa"/>
            <w:vAlign w:val="bottom"/>
          </w:tcPr>
          <w:p>
            <w:pPr>
              <w:spacing w:after="0"/>
              <w:rPr>
                <w:sz w:val="24"/>
                <w:szCs w:val="24"/>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112.6</w:t>
            </w:r>
          </w:p>
        </w:tc>
      </w:tr>
      <w:tr>
        <w:trPr>
          <w:trHeight w:val="266"/>
        </w:trPr>
        <w:tc>
          <w:tcPr>
            <w:tcW w:w="2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$62.7</w:t>
            </w:r>
          </w:p>
        </w:tc>
        <w:tc>
          <w:tcPr>
            <w:tcW w:w="340" w:type="dxa"/>
            <w:vAlign w:val="bottom"/>
          </w:tcPr>
          <w:p>
            <w:pPr>
              <w:spacing w:after="0"/>
              <w:rPr>
                <w:sz w:val="23"/>
                <w:szCs w:val="23"/>
                <w:color w:val="auto"/>
              </w:rPr>
            </w:pPr>
          </w:p>
        </w:tc>
        <w:tc>
          <w:tcPr>
            <w:tcW w:w="2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$87.5</w:t>
            </w:r>
          </w:p>
        </w:tc>
      </w:tr>
      <w:tr>
        <w:trPr>
          <w:trHeight w:val="20"/>
        </w:trPr>
        <w:tc>
          <w:tcPr>
            <w:tcW w:w="2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840" w:type="dxa"/>
        <w:tblCellMar>
          <w:top w:w="0" w:type="dxa"/>
          <w:left w:w="0" w:type="dxa"/>
          <w:bottom w:w="0" w:type="dxa"/>
          <w:right w:w="0" w:type="dxa"/>
        </w:tblCellMar>
      </w:tblPr>
      <w:tr>
        <w:trPr>
          <w:trHeight w:val="219"/>
        </w:trPr>
        <w:tc>
          <w:tcPr>
            <w:tcW w:w="1380" w:type="dxa"/>
            <w:vAlign w:val="bottom"/>
          </w:tcPr>
          <w:p>
            <w:pPr>
              <w:jc w:val="right"/>
              <w:ind w:right="1059"/>
              <w:spacing w:after="0"/>
              <w:rPr>
                <w:sz w:val="20"/>
                <w:szCs w:val="20"/>
                <w:color w:val="auto"/>
              </w:rPr>
            </w:pPr>
            <w:r>
              <w:rPr>
                <w:rFonts w:ascii="Arial" w:cs="Arial" w:eastAsia="Arial" w:hAnsi="Arial"/>
                <w:sz w:val="16"/>
                <w:szCs w:val="16"/>
                <w:color w:val="auto"/>
                <w:w w:val="98"/>
              </w:rPr>
              <w:t>1.8</w:t>
            </w:r>
          </w:p>
        </w:tc>
        <w:tc>
          <w:tcPr>
            <w:tcW w:w="13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70"/>
        </w:trPr>
        <w:tc>
          <w:tcPr>
            <w:tcW w:w="1380" w:type="dxa"/>
            <w:vAlign w:val="bottom"/>
          </w:tcPr>
          <w:p>
            <w:pPr>
              <w:jc w:val="right"/>
              <w:ind w:right="1059"/>
              <w:spacing w:after="0"/>
              <w:rPr>
                <w:sz w:val="20"/>
                <w:szCs w:val="20"/>
                <w:color w:val="auto"/>
              </w:rPr>
            </w:pPr>
            <w:r>
              <w:rPr>
                <w:rFonts w:ascii="Arial" w:cs="Arial" w:eastAsia="Arial" w:hAnsi="Arial"/>
                <w:sz w:val="16"/>
                <w:szCs w:val="16"/>
                <w:color w:val="auto"/>
                <w:w w:val="98"/>
              </w:rPr>
              <w:t>3.4</w:t>
            </w:r>
          </w:p>
        </w:tc>
        <w:tc>
          <w:tcPr>
            <w:tcW w:w="136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1" w:lineRule="exact"/>
        <w:rPr>
          <w:sz w:val="20"/>
          <w:szCs w:val="20"/>
          <w:color w:val="auto"/>
        </w:rPr>
      </w:pPr>
    </w:p>
    <w:sectPr>
      <w:pgSz w:w="11900" w:h="16838" w:orient="portrait"/>
      <w:cols w:equalWidth="0" w:num="2">
        <w:col w:w="5980" w:space="720"/>
        <w:col w:w="4680"/>
      </w:cols>
      <w:pgMar w:left="280" w:top="8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2019-12-08T03:26:02Z</dcterms:created>
  <dcterms:modified xsi:type="dcterms:W3CDTF">2019-12-08T03:26:02Z</dcterms:modified>
</cp:coreProperties>
</file>