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ROSENTHAL ARTHUR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08/05/2017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3,327</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2"/>
          </w:tcPr>
          <w:p>
            <w:pPr>
              <w:jc w:val="right"/>
              <w:ind w:right="2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18,592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08/05/2017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w w:val="92"/>
              </w:rPr>
              <w:t>F</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rPr>
              <w:t>1,497</w:t>
            </w:r>
            <w:r>
              <w:rPr>
                <w:rFonts w:ascii="Arial" w:cs="Arial" w:eastAsia="Arial" w:hAnsi="Arial"/>
                <w:sz w:val="22"/>
                <w:szCs w:val="22"/>
                <w:color w:val="008000"/>
                <w:vertAlign w:val="superscript"/>
              </w:rPr>
              <w:t>(2)</w:t>
            </w: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60.41</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17,095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2"/>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3,327</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1"/>
                <w:szCs w:val="11"/>
                <w:color w:val="auto"/>
              </w:rPr>
            </w:pP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08/05/2017</w:t>
            </w:r>
          </w:p>
        </w:tc>
        <w:tc>
          <w:tcPr>
            <w:tcW w:w="114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1"/>
                <w:szCs w:val="11"/>
                <w:color w:val="auto"/>
              </w:rPr>
            </w:pPr>
          </w:p>
        </w:tc>
        <w:tc>
          <w:tcPr>
            <w:tcW w:w="820" w:type="dxa"/>
            <w:vAlign w:val="bottom"/>
          </w:tcPr>
          <w:p>
            <w:pPr>
              <w:ind w:left="400"/>
              <w:spacing w:after="0" w:line="133" w:lineRule="exact"/>
              <w:rPr>
                <w:sz w:val="20"/>
                <w:szCs w:val="20"/>
                <w:color w:val="auto"/>
              </w:rPr>
            </w:pPr>
            <w:r>
              <w:rPr>
                <w:rFonts w:ascii="Arial" w:cs="Arial" w:eastAsia="Arial" w:hAnsi="Arial"/>
                <w:sz w:val="14"/>
                <w:szCs w:val="14"/>
                <w:color w:val="0000FF"/>
              </w:rPr>
              <w:t>3,327</w:t>
            </w: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ind w:left="1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460"/>
              <w:spacing w:after="0" w:line="133"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40"/>
              <w:spacing w:after="0" w:line="149" w:lineRule="exact"/>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of LivaNova PLC (the Company), GBP 1.00 par value.</w:t>
      </w:r>
    </w:p>
    <w:p>
      <w:pPr>
        <w:spacing w:after="0" w:line="41"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Such shares were forfeited and the associated value was used to offset the tax liability associated with the August 5, 2017 vesting of 3,327 RSUs.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August 5, 2016, reporting person was granted RSUs that vested and all forfeiture restrictions thereon lapsed on August 5, 2017.</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Hugh M. Morrison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08/08/2017</w:t>
            </w:r>
          </w:p>
        </w:tc>
      </w:tr>
      <w:tr>
        <w:trPr>
          <w:trHeight w:val="20"/>
        </w:trPr>
        <w:tc>
          <w:tcPr>
            <w:tcW w:w="1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8872"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2019-12-24T09:12:52Z</dcterms:created>
  <dcterms:modified xsi:type="dcterms:W3CDTF">2019-12-24T09:12:52Z</dcterms:modified>
</cp:coreProperties>
</file>