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50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502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Dolci Marco</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78"/>
        <w:spacing w:after="0"/>
        <w:rPr>
          <w:sz w:val="20"/>
          <w:szCs w:val="20"/>
          <w:color w:val="auto"/>
        </w:rPr>
      </w:pPr>
      <w:r>
        <w:rPr>
          <w:rFonts w:ascii="Arial" w:cs="Arial" w:eastAsia="Arial" w:hAnsi="Arial"/>
          <w:sz w:val="17"/>
          <w:szCs w:val="17"/>
          <w:color w:val="0000FF"/>
        </w:rPr>
        <w:t>SVP Global Operations, R&amp;D</w:t>
      </w:r>
    </w:p>
    <w:p>
      <w:pPr>
        <w:spacing w:after="0" w:line="306"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688</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7"/>
                <w:szCs w:val="17"/>
                <w:color w:val="0000FF"/>
              </w:rPr>
              <w:t>688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7"/>
              </w:rPr>
              <w:t>312</w:t>
            </w:r>
            <w:r>
              <w:rPr>
                <w:rFonts w:ascii="Arial" w:cs="Arial" w:eastAsia="Arial" w:hAnsi="Arial"/>
                <w:sz w:val="21"/>
                <w:szCs w:val="21"/>
                <w:color w:val="008000"/>
                <w:w w:val="87"/>
                <w:vertAlign w:val="superscript"/>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77.38</w:t>
            </w:r>
          </w:p>
        </w:tc>
        <w:tc>
          <w:tcPr>
            <w:tcW w:w="128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7"/>
                <w:szCs w:val="17"/>
                <w:color w:val="0000FF"/>
              </w:rPr>
              <w:t>376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0000FF"/>
              </w:rPr>
              <w:t>688</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3"/>
              <w:spacing w:after="0"/>
              <w:rPr>
                <w:sz w:val="20"/>
                <w:szCs w:val="20"/>
                <w:color w:val="auto"/>
              </w:rPr>
            </w:pPr>
            <w:r>
              <w:rPr>
                <w:rFonts w:ascii="Arial" w:cs="Arial" w:eastAsia="Arial" w:hAnsi="Arial"/>
                <w:sz w:val="17"/>
                <w:szCs w:val="17"/>
                <w:color w:val="0000FF"/>
              </w:rPr>
              <w:t>688</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0000FF"/>
                <w:w w:val="87"/>
                <w:vertAlign w:val="subscript"/>
              </w:rPr>
              <w:t>0</w:t>
            </w:r>
            <w:r>
              <w:rPr>
                <w:rFonts w:ascii="Arial" w:cs="Arial" w:eastAsia="Arial" w:hAnsi="Arial"/>
                <w:sz w:val="11"/>
                <w:szCs w:val="11"/>
                <w:color w:val="008000"/>
                <w:w w:val="87"/>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vMerge w:val="restart"/>
          </w:tcPr>
          <w:p>
            <w:pPr>
              <w:jc w:val="right"/>
              <w:ind w:right="61"/>
              <w:spacing w:after="0"/>
              <w:rPr>
                <w:sz w:val="20"/>
                <w:szCs w:val="20"/>
                <w:color w:val="auto"/>
              </w:rPr>
            </w:pPr>
            <w:r>
              <w:rPr>
                <w:rFonts w:ascii="Arial" w:cs="Arial" w:eastAsia="Arial" w:hAnsi="Arial"/>
                <w:sz w:val="13"/>
                <w:szCs w:val="13"/>
                <w:color w:val="0000FF"/>
              </w:rPr>
              <w:t>1,706</w:t>
            </w: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(6)</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1,706</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0"/>
              </w:rPr>
              <w:t>3,412</w:t>
            </w:r>
            <w:r>
              <w:rPr>
                <w:rFonts w:ascii="Arial" w:cs="Arial" w:eastAsia="Arial" w:hAnsi="Arial"/>
                <w:sz w:val="21"/>
                <w:szCs w:val="21"/>
                <w:color w:val="008000"/>
                <w:w w:val="80"/>
                <w:vertAlign w:val="superscript"/>
              </w:rPr>
              <w:t>(5)</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03/01/2022</w:t>
            </w:r>
          </w:p>
        </w:tc>
        <w:tc>
          <w:tcPr>
            <w:tcW w:w="108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00" w:type="dxa"/>
            <w:vAlign w:val="bottom"/>
            <w:vMerge w:val="restart"/>
          </w:tcPr>
          <w:p>
            <w:pPr>
              <w:jc w:val="right"/>
              <w:ind w:right="121"/>
              <w:spacing w:after="0"/>
              <w:rPr>
                <w:sz w:val="20"/>
                <w:szCs w:val="20"/>
                <w:color w:val="auto"/>
              </w:rPr>
            </w:pPr>
            <w:r>
              <w:rPr>
                <w:rFonts w:ascii="Arial" w:cs="Arial" w:eastAsia="Arial" w:hAnsi="Arial"/>
                <w:sz w:val="13"/>
                <w:szCs w:val="13"/>
                <w:color w:val="0000FF"/>
              </w:rPr>
              <w:t>875</w:t>
            </w:r>
          </w:p>
        </w:tc>
        <w:tc>
          <w:tcPr>
            <w:tcW w:w="3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3"/>
              <w:spacing w:after="0"/>
              <w:rPr>
                <w:sz w:val="20"/>
                <w:szCs w:val="20"/>
                <w:color w:val="auto"/>
              </w:rPr>
            </w:pPr>
            <w:r>
              <w:rPr>
                <w:rFonts w:ascii="Arial" w:cs="Arial" w:eastAsia="Arial" w:hAnsi="Arial"/>
                <w:sz w:val="17"/>
                <w:szCs w:val="17"/>
                <w:color w:val="0000FF"/>
              </w:rPr>
              <w:t>875</w:t>
            </w:r>
          </w:p>
        </w:tc>
        <w:tc>
          <w:tcPr>
            <w:tcW w:w="60" w:type="dxa"/>
            <w:vAlign w:val="bottom"/>
          </w:tcPr>
          <w:p>
            <w:pPr>
              <w:spacing w:after="0"/>
              <w:rPr>
                <w:sz w:val="16"/>
                <w:szCs w:val="1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0"/>
              </w:rPr>
              <w:t>2,581</w:t>
            </w:r>
            <w:r>
              <w:rPr>
                <w:rFonts w:ascii="Arial" w:cs="Arial" w:eastAsia="Arial" w:hAnsi="Arial"/>
                <w:sz w:val="21"/>
                <w:szCs w:val="21"/>
                <w:color w:val="008000"/>
                <w:w w:val="80"/>
                <w:vertAlign w:val="superscript"/>
              </w:rPr>
              <w:t>(5)</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-2520315</wp:posOffset>
            </wp:positionV>
            <wp:extent cx="29210" cy="252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25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PSU represents a contingent right to receive one ordinary share of the Company in accordance with the terms of the LivaNova PLC 2015 Incentive Award Plan (the Plan) and the award agreement.</w:t>
      </w:r>
    </w:p>
    <w:p>
      <w:pPr>
        <w:spacing w:after="0" w:line="54" w:lineRule="exact"/>
        <w:rPr>
          <w:rFonts w:ascii="Arial" w:cs="Arial" w:eastAsia="Arial" w:hAnsi="Arial"/>
          <w:sz w:val="12"/>
          <w:szCs w:val="12"/>
          <w:color w:val="008000"/>
        </w:rPr>
      </w:pPr>
    </w:p>
    <w:p>
      <w:pPr>
        <w:ind w:left="40" w:right="1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PSUs to vest or lapse on the filing of the Company's Annual Report on Form 10-K for the fiscal year ending December 31, 2021 based on how the Company's cumulative adjusted free cash flow for fiscal years 2019, 2020 and 2021 compares to a target determined by the Plan Administrator.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3" w:lineRule="exact"/>
        <w:rPr>
          <w:rFonts w:ascii="Arial" w:cs="Arial" w:eastAsia="Arial" w:hAnsi="Arial"/>
          <w:sz w:val="13"/>
          <w:szCs w:val="13"/>
          <w:color w:val="008000"/>
        </w:rPr>
      </w:pPr>
    </w:p>
    <w:p>
      <w:pPr>
        <w:ind w:left="40" w:right="4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1,706 PSUs to vest or lapse on March 30, 2024 based on how the Company's cumulative adjusted free cash flow for fiscal year 2021 compares to a target determined by the Plan Administrator. The Company has determined that 200% of the underlying PSUs shall vest on March 30, 2024, subject to continued service during the vesting period and the award agreement.</w:t>
      </w:r>
    </w:p>
    <w:p>
      <w:pPr>
        <w:spacing w:after="0" w:line="31"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1,706 PSUs to vest or lapse on March 30, 2024 based on how the Company's Return on Investment Capital (ROIC) for fiscal year 2021 compares to a target determined by the Plan Administrator. The Company has determined that 151.3% of the underlying PSUs shall vest on March 30, 2024 subject to continued service during the vesting period and the award agreement.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8"/>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6"/>
              </w:rPr>
              <w:t>03/03/2022</w:t>
            </w: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2" w:lineRule="exact"/>
        <w:rPr>
          <w:sz w:val="20"/>
          <w:szCs w:val="20"/>
          <w:color w:val="auto"/>
        </w:rPr>
      </w:pPr>
    </w:p>
    <w:p>
      <w:pPr>
        <w:ind w:right="260" w:firstLine="617"/>
        <w:spacing w:after="0" w:line="290"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0" w:lineRule="exact"/>
        <w:rPr>
          <w:sz w:val="20"/>
          <w:szCs w:val="20"/>
          <w:color w:val="auto"/>
        </w:rPr>
      </w:pPr>
    </w:p>
    <w:p>
      <w:pPr>
        <w:ind w:left="1240" w:right="80" w:hanging="620"/>
        <w:spacing w:after="0" w:line="31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8" w:lineRule="exact"/>
        <w:rPr>
          <w:rFonts w:ascii="Arial" w:cs="Arial" w:eastAsia="Arial" w:hAnsi="Arial"/>
          <w:sz w:val="18"/>
          <w:szCs w:val="18"/>
          <w:color w:val="auto"/>
        </w:rPr>
      </w:pPr>
    </w:p>
    <w:p>
      <w:pPr>
        <w:ind w:left="1240" w:right="100" w:hanging="620"/>
        <w:spacing w:after="0" w:line="343"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hanging="620"/>
        <w:spacing w:after="0" w:line="334"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340" w:firstLine="617"/>
        <w:spacing w:after="0" w:line="304"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right="80" w:firstLine="617"/>
        <w:spacing w:after="0" w:line="286"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6" w:lineRule="exact"/>
        <w:rPr>
          <w:sz w:val="20"/>
          <w:szCs w:val="20"/>
          <w:color w:val="auto"/>
        </w:rPr>
      </w:pPr>
    </w:p>
    <w:p>
      <w:pPr>
        <w:ind w:right="60" w:firstLine="617"/>
        <w:spacing w:after="0" w:line="336"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2" w:lineRule="exact"/>
        <w:rPr>
          <w:sz w:val="20"/>
          <w:szCs w:val="20"/>
          <w:color w:val="auto"/>
        </w:rPr>
      </w:pPr>
    </w:p>
    <w:p>
      <w:pPr>
        <w:ind w:right="140" w:firstLine="617"/>
        <w:spacing w:after="0" w:line="29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-13335</wp:posOffset>
            </wp:positionV>
            <wp:extent cx="1230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2022-03-03T19:17:43Z</dcterms:created>
  <dcterms:modified xsi:type="dcterms:W3CDTF">2022-03-03T19:17:43Z</dcterms:modified>
</cp:coreProperties>
</file>