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422275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160020</wp:posOffset>
            </wp:positionV>
            <wp:extent cx="1433830" cy="4502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3830" cy="450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1340" w:type="dxa"/>
        <w:tblCellMar>
          <w:top w:w="0" w:type="dxa"/>
          <w:left w:w="0" w:type="dxa"/>
          <w:bottom w:w="0" w:type="dxa"/>
          <w:right w:w="0" w:type="dxa"/>
        </w:tblCellMar>
      </w:tblPr>
      <w:tr>
        <w:trPr>
          <w:trHeight w:val="228"/>
        </w:trPr>
        <w:tc>
          <w:tcPr>
            <w:tcW w:w="212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England and Wales</w:t>
            </w:r>
          </w:p>
        </w:tc>
        <w:tc>
          <w:tcPr>
            <w:tcW w:w="4460" w:type="dxa"/>
            <w:vAlign w:val="bottom"/>
          </w:tcPr>
          <w:p>
            <w:pPr>
              <w:jc w:val="center"/>
              <w:ind w:right="92"/>
              <w:spacing w:after="0"/>
              <w:rPr>
                <w:sz w:val="20"/>
                <w:szCs w:val="20"/>
                <w:color w:val="auto"/>
              </w:rPr>
            </w:pPr>
            <w:r>
              <w:rPr>
                <w:rFonts w:ascii="Arial" w:cs="Arial" w:eastAsia="Arial" w:hAnsi="Arial"/>
                <w:sz w:val="18"/>
                <w:szCs w:val="18"/>
                <w:b w:val="1"/>
                <w:bCs w:val="1"/>
                <w:color w:val="auto"/>
                <w:w w:val="88"/>
              </w:rPr>
              <w:t>001-37599</w:t>
            </w:r>
          </w:p>
        </w:tc>
        <w:tc>
          <w:tcPr>
            <w:tcW w:w="1660" w:type="dxa"/>
            <w:vAlign w:val="bottom"/>
          </w:tcPr>
          <w:p>
            <w:pPr>
              <w:jc w:val="center"/>
              <w:ind w:left="272"/>
              <w:spacing w:after="0"/>
              <w:rPr>
                <w:sz w:val="20"/>
                <w:szCs w:val="20"/>
                <w:color w:val="auto"/>
              </w:rPr>
            </w:pPr>
            <w:r>
              <w:rPr>
                <w:rFonts w:ascii="Arial" w:cs="Arial" w:eastAsia="Arial" w:hAnsi="Arial"/>
                <w:sz w:val="18"/>
                <w:szCs w:val="18"/>
                <w:b w:val="1"/>
                <w:bCs w:val="1"/>
                <w:color w:val="auto"/>
                <w:w w:val="89"/>
              </w:rPr>
              <w:t>98-1268150</w:t>
            </w:r>
          </w:p>
        </w:tc>
      </w:tr>
      <w:tr>
        <w:trPr>
          <w:trHeight w:val="251"/>
        </w:trPr>
        <w:tc>
          <w:tcPr>
            <w:tcW w:w="2120" w:type="dxa"/>
            <w:vAlign w:val="bottom"/>
          </w:tcPr>
          <w:p>
            <w:pPr>
              <w:jc w:val="center"/>
              <w:ind w:right="132"/>
              <w:spacing w:after="0"/>
              <w:rPr>
                <w:sz w:val="20"/>
                <w:szCs w:val="20"/>
                <w:color w:val="auto"/>
              </w:rPr>
            </w:pPr>
            <w:r>
              <w:rPr>
                <w:rFonts w:ascii="Arial" w:cs="Arial" w:eastAsia="Arial" w:hAnsi="Arial"/>
                <w:sz w:val="18"/>
                <w:szCs w:val="18"/>
                <w:color w:val="auto"/>
                <w:w w:val="88"/>
              </w:rPr>
              <w:t>(State or Other Jurisdiction</w:t>
            </w:r>
          </w:p>
        </w:tc>
        <w:tc>
          <w:tcPr>
            <w:tcW w:w="446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232"/>
              <w:spacing w:after="0"/>
              <w:rPr>
                <w:sz w:val="20"/>
                <w:szCs w:val="20"/>
                <w:color w:val="auto"/>
              </w:rPr>
            </w:pPr>
            <w:r>
              <w:rPr>
                <w:rFonts w:ascii="Arial" w:cs="Arial" w:eastAsia="Arial" w:hAnsi="Arial"/>
                <w:sz w:val="18"/>
                <w:szCs w:val="18"/>
                <w:color w:val="auto"/>
                <w:w w:val="90"/>
              </w:rPr>
              <w:t>(IRS Employer</w:t>
            </w:r>
          </w:p>
        </w:tc>
      </w:tr>
      <w:tr>
        <w:trPr>
          <w:trHeight w:val="222"/>
        </w:trPr>
        <w:tc>
          <w:tcPr>
            <w:tcW w:w="2120" w:type="dxa"/>
            <w:vAlign w:val="bottom"/>
          </w:tcPr>
          <w:p>
            <w:pPr>
              <w:jc w:val="center"/>
              <w:ind w:right="72"/>
              <w:spacing w:after="0"/>
              <w:rPr>
                <w:sz w:val="20"/>
                <w:szCs w:val="20"/>
                <w:color w:val="auto"/>
              </w:rPr>
            </w:pPr>
            <w:r>
              <w:rPr>
                <w:rFonts w:ascii="Arial" w:cs="Arial" w:eastAsia="Arial" w:hAnsi="Arial"/>
                <w:sz w:val="18"/>
                <w:szCs w:val="18"/>
                <w:color w:val="auto"/>
                <w:w w:val="91"/>
              </w:rPr>
              <w:t>of Incorporation)</w:t>
            </w:r>
          </w:p>
        </w:tc>
        <w:tc>
          <w:tcPr>
            <w:tcW w:w="446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660" w:type="dxa"/>
            <w:vAlign w:val="bottom"/>
          </w:tcPr>
          <w:p>
            <w:pPr>
              <w:jc w:val="center"/>
              <w:ind w:left="272"/>
              <w:spacing w:after="0"/>
              <w:rPr>
                <w:sz w:val="20"/>
                <w:szCs w:val="20"/>
                <w:color w:val="auto"/>
              </w:rPr>
            </w:pPr>
            <w:r>
              <w:rPr>
                <w:rFonts w:ascii="Arial" w:cs="Arial" w:eastAsia="Arial" w:hAnsi="Arial"/>
                <w:sz w:val="18"/>
                <w:szCs w:val="18"/>
                <w:color w:val="auto"/>
                <w:w w:val="92"/>
              </w:rPr>
              <w:t>Identification No.)</w:t>
            </w:r>
          </w:p>
        </w:tc>
      </w:tr>
      <w:tr>
        <w:trPr>
          <w:trHeight w:val="547"/>
        </w:trPr>
        <w:tc>
          <w:tcPr>
            <w:tcW w:w="2120" w:type="dxa"/>
            <w:vAlign w:val="bottom"/>
          </w:tcPr>
          <w:p>
            <w:pPr>
              <w:spacing w:after="0"/>
              <w:rPr>
                <w:sz w:val="24"/>
                <w:szCs w:val="24"/>
                <w:color w:val="auto"/>
              </w:rPr>
            </w:pPr>
          </w:p>
        </w:tc>
        <w:tc>
          <w:tcPr>
            <w:tcW w:w="44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20 Eastbourne Terrace</w:t>
            </w:r>
          </w:p>
        </w:tc>
        <w:tc>
          <w:tcPr>
            <w:tcW w:w="1660" w:type="dxa"/>
            <w:vAlign w:val="bottom"/>
          </w:tcPr>
          <w:p>
            <w:pPr>
              <w:spacing w:after="0"/>
              <w:rPr>
                <w:sz w:val="24"/>
                <w:szCs w:val="24"/>
                <w:color w:val="auto"/>
              </w:rPr>
            </w:pPr>
          </w:p>
        </w:tc>
      </w:tr>
      <w:tr>
        <w:trPr>
          <w:trHeight w:val="210"/>
        </w:trPr>
        <w:tc>
          <w:tcPr>
            <w:tcW w:w="2120" w:type="dxa"/>
            <w:vAlign w:val="bottom"/>
          </w:tcPr>
          <w:p>
            <w:pPr>
              <w:spacing w:after="0"/>
              <w:rPr>
                <w:sz w:val="18"/>
                <w:szCs w:val="18"/>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92"/>
              </w:rPr>
              <w:t>London, W2 6LG</w:t>
            </w:r>
          </w:p>
        </w:tc>
        <w:tc>
          <w:tcPr>
            <w:tcW w:w="16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89"/>
              </w:rPr>
              <w:t>United Kingdom</w:t>
            </w:r>
          </w:p>
        </w:tc>
        <w:tc>
          <w:tcPr>
            <w:tcW w:w="1660" w:type="dxa"/>
            <w:vAlign w:val="bottom"/>
          </w:tcPr>
          <w:p>
            <w:pPr>
              <w:spacing w:after="0"/>
              <w:rPr>
                <w:sz w:val="18"/>
                <w:szCs w:val="18"/>
                <w:color w:val="auto"/>
              </w:rPr>
            </w:pPr>
          </w:p>
        </w:tc>
      </w:tr>
      <w:tr>
        <w:trPr>
          <w:trHeight w:val="222"/>
        </w:trPr>
        <w:tc>
          <w:tcPr>
            <w:tcW w:w="2120" w:type="dxa"/>
            <w:vAlign w:val="bottom"/>
          </w:tcPr>
          <w:p>
            <w:pPr>
              <w:spacing w:after="0"/>
              <w:rPr>
                <w:sz w:val="19"/>
                <w:szCs w:val="19"/>
                <w:color w:val="auto"/>
              </w:rPr>
            </w:pPr>
          </w:p>
        </w:tc>
        <w:tc>
          <w:tcPr>
            <w:tcW w:w="446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1660" w:type="dxa"/>
            <w:vAlign w:val="bottom"/>
          </w:tcPr>
          <w:p>
            <w:pPr>
              <w:spacing w:after="0"/>
              <w:rPr>
                <w:sz w:val="19"/>
                <w:szCs w:val="19"/>
                <w:color w:val="auto"/>
              </w:rPr>
            </w:pPr>
          </w:p>
        </w:tc>
      </w:tr>
      <w:tr>
        <w:trPr>
          <w:trHeight w:val="434"/>
        </w:trPr>
        <w:tc>
          <w:tcPr>
            <w:tcW w:w="2120" w:type="dxa"/>
            <w:vAlign w:val="bottom"/>
          </w:tcPr>
          <w:p>
            <w:pPr>
              <w:spacing w:after="0"/>
              <w:rPr>
                <w:sz w:val="24"/>
                <w:szCs w:val="24"/>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+44 20 33250660</w:t>
            </w:r>
          </w:p>
        </w:tc>
        <w:tc>
          <w:tcPr>
            <w:tcW w:w="1660" w:type="dxa"/>
            <w:vAlign w:val="bottom"/>
          </w:tcPr>
          <w:p>
            <w:pPr>
              <w:spacing w:after="0"/>
              <w:rPr>
                <w:sz w:val="24"/>
                <w:szCs w:val="24"/>
                <w:color w:val="auto"/>
              </w:rPr>
            </w:pPr>
          </w:p>
        </w:tc>
      </w:tr>
      <w:tr>
        <w:trPr>
          <w:trHeight w:val="222"/>
        </w:trPr>
        <w:tc>
          <w:tcPr>
            <w:tcW w:w="2120" w:type="dxa"/>
            <w:vAlign w:val="bottom"/>
          </w:tcPr>
          <w:p>
            <w:pPr>
              <w:spacing w:after="0"/>
              <w:rPr>
                <w:sz w:val="19"/>
                <w:szCs w:val="19"/>
                <w:color w:val="auto"/>
              </w:rPr>
            </w:pPr>
          </w:p>
        </w:tc>
        <w:tc>
          <w:tcPr>
            <w:tcW w:w="4460" w:type="dxa"/>
            <w:vAlign w:val="bottom"/>
          </w:tcPr>
          <w:p>
            <w:pPr>
              <w:jc w:val="center"/>
              <w:ind w:right="52"/>
              <w:spacing w:after="0"/>
              <w:rPr>
                <w:sz w:val="20"/>
                <w:szCs w:val="20"/>
                <w:color w:val="auto"/>
              </w:rPr>
            </w:pPr>
            <w:r>
              <w:rPr>
                <w:rFonts w:ascii="Arial" w:cs="Arial" w:eastAsia="Arial" w:hAnsi="Arial"/>
                <w:sz w:val="18"/>
                <w:szCs w:val="18"/>
                <w:color w:val="auto"/>
                <w:w w:val="88"/>
              </w:rPr>
              <w:t>(Registrant’s Telephone Number, Including Area Code)</w:t>
            </w:r>
          </w:p>
        </w:tc>
        <w:tc>
          <w:tcPr>
            <w:tcW w:w="1660" w:type="dxa"/>
            <w:vAlign w:val="bottom"/>
          </w:tcPr>
          <w:p>
            <w:pPr>
              <w:spacing w:after="0"/>
              <w:rPr>
                <w:sz w:val="19"/>
                <w:szCs w:val="19"/>
                <w:color w:val="auto"/>
              </w:rPr>
            </w:pPr>
          </w:p>
        </w:tc>
      </w:tr>
    </w:tbl>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8" w:lineRule="exact"/>
        <w:rPr>
          <w:sz w:val="24"/>
          <w:szCs w:val="24"/>
          <w:color w:val="auto"/>
        </w:rPr>
      </w:pPr>
    </w:p>
    <w:p>
      <w:pPr>
        <w:ind w:right="680"/>
        <w:spacing w:after="0" w:line="260"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47" w:lineRule="exact"/>
        <w:rPr>
          <w:sz w:val="24"/>
          <w:szCs w:val="24"/>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267" w:lineRule="exact"/>
        <w:rPr>
          <w:rFonts w:ascii="MS PGothic" w:cs="MS PGothic" w:eastAsia="MS PGothic" w:hAnsi="MS PGothic"/>
          <w:sz w:val="21"/>
          <w:szCs w:val="21"/>
          <w:color w:val="auto"/>
        </w:rPr>
      </w:pPr>
    </w:p>
    <w:p>
      <w:pPr>
        <w:ind w:left="240" w:hanging="235"/>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267" w:lineRule="exact"/>
        <w:rPr>
          <w:rFonts w:ascii="MS PGothic" w:cs="MS PGothic" w:eastAsia="MS PGothic" w:hAnsi="MS PGothic"/>
          <w:sz w:val="21"/>
          <w:szCs w:val="21"/>
          <w:color w:val="auto"/>
        </w:rPr>
      </w:pPr>
    </w:p>
    <w:p>
      <w:pPr>
        <w:ind w:right="3180" w:firstLine="5"/>
        <w:spacing w:after="0" w:line="391" w:lineRule="auto"/>
        <w:tabs>
          <w:tab w:leader="none" w:pos="228"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8"/>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Name on each exchange on which registered</w:t>
            </w:r>
          </w:p>
        </w:tc>
      </w:tr>
      <w:tr>
        <w:trPr>
          <w:trHeight w:val="216"/>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r>
    </w:tbl>
    <w:p>
      <w:pPr>
        <w:spacing w:after="0" w:line="30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ind w:left="7780"/>
        <w:spacing w:after="0" w:line="207" w:lineRule="exact"/>
        <w:tabs>
          <w:tab w:leader="none" w:pos="107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19"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64" w:right="339" w:bottom="1440" w:gutter="0" w:footer="0" w:header="0"/>
        </w:sectPr>
      </w:pPr>
    </w:p>
    <w:p>
      <w:pPr>
        <w:spacing w:after="0" w:line="41" w:lineRule="exact"/>
        <w:rPr>
          <w:sz w:val="24"/>
          <w:szCs w:val="24"/>
          <w:color w:val="auto"/>
        </w:rPr>
      </w:pPr>
    </w:p>
    <w:p>
      <w:pPr>
        <w:ind w:left="107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474345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194945</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On April 28, 2021, LivaNova PLC (the "Company") issued a press release announcing financial results for the first quarter ended March 31, 2021. The Company will host a business update conference call and webcast today, April 28, 2021, at 12 p.m. London time (7 a.m. Eastern Time), during which the Company will discuss the financial results. The conference call will be available to interested parties through a live audio webcast and accessible through the Investors section of the LivaNova website at www.livanova.com.</w:t>
      </w:r>
    </w:p>
    <w:p>
      <w:pPr>
        <w:spacing w:after="0" w:line="2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copy of the Company’s press release related to the foregoing matters is attached hereto as Exhibit 99.1. The information in Exhibit 99.1 is being furnished and shall not be deemed “filed” for the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72" w:lineRule="exact"/>
        <w:rPr>
          <w:sz w:val="20"/>
          <w:szCs w:val="20"/>
          <w:color w:val="auto"/>
        </w:rPr>
      </w:pPr>
    </w:p>
    <w:p>
      <w:pPr>
        <w:ind w:left="20"/>
        <w:spacing w:after="0"/>
        <w:tabs>
          <w:tab w:leader="none" w:pos="15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LivaNova Press Release dated April 28, 2021</w:t>
        </w:r>
      </w:hyperlink>
    </w:p>
    <w:p>
      <w:pPr>
        <w:spacing w:after="0" w:line="16" w:lineRule="exact"/>
        <w:rPr>
          <w:sz w:val="20"/>
          <w:szCs w:val="20"/>
          <w:color w:val="auto"/>
        </w:rPr>
      </w:pPr>
    </w:p>
    <w:p>
      <w:pPr>
        <w:ind w:left="1540" w:hanging="1518"/>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188595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320" w:top="1381" w:right="57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45" w:lineRule="exact"/>
        <w:rPr>
          <w:sz w:val="20"/>
          <w:szCs w:val="20"/>
          <w:color w:val="auto"/>
        </w:rPr>
      </w:pPr>
    </w:p>
    <w:p>
      <w:pPr>
        <w:ind w:firstLine="63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15" w:lineRule="exact"/>
        <w:rPr>
          <w:sz w:val="20"/>
          <w:szCs w:val="20"/>
          <w:color w:val="auto"/>
        </w:rPr>
      </w:pPr>
    </w:p>
    <w:p>
      <w:pPr>
        <w:jc w:val="right"/>
        <w:ind w:right="3220"/>
        <w:spacing w:after="0"/>
        <w:tabs>
          <w:tab w:leader="none" w:pos="498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56"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Name: Keyna Skeffington</w:t>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80"/>
          </w:cols>
          <w:pgMar w:left="320" w:top="1381"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320675</wp:posOffset>
            </wp:positionV>
            <wp:extent cx="1633855" cy="466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3855"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13613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8"/>
          <w:szCs w:val="28"/>
          <w:color w:val="6D2077"/>
        </w:rPr>
        <w:t>LivaNova Reports First Quarter 2021 Results</w:t>
      </w:r>
    </w:p>
    <w:p>
      <w:pPr>
        <w:spacing w:after="0" w:line="377" w:lineRule="exact"/>
        <w:rPr>
          <w:sz w:val="20"/>
          <w:szCs w:val="20"/>
          <w:color w:val="auto"/>
        </w:rPr>
      </w:pPr>
    </w:p>
    <w:p>
      <w:pPr>
        <w:jc w:val="both"/>
        <w:spacing w:after="0" w:line="401" w:lineRule="auto"/>
        <w:rPr>
          <w:sz w:val="20"/>
          <w:szCs w:val="20"/>
          <w:color w:val="auto"/>
        </w:rPr>
      </w:pPr>
      <w:r>
        <w:rPr>
          <w:rFonts w:ascii="Arial" w:cs="Arial" w:eastAsia="Arial" w:hAnsi="Arial"/>
          <w:sz w:val="19"/>
          <w:szCs w:val="19"/>
          <w:b w:val="1"/>
          <w:bCs w:val="1"/>
          <w:color w:val="auto"/>
        </w:rPr>
        <w:t xml:space="preserve">London, April 28, 2021 – </w:t>
      </w:r>
      <w:r>
        <w:rPr>
          <w:rFonts w:ascii="Arial" w:cs="Arial" w:eastAsia="Arial" w:hAnsi="Arial"/>
          <w:sz w:val="19"/>
          <w:szCs w:val="19"/>
          <w:color w:val="auto"/>
        </w:rPr>
        <w:t>LivaNova PLC (NASDAQ: LIVN), a market-leading medical technology and innovation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the quarter ended March 31, 2021.</w:t>
      </w:r>
    </w:p>
    <w:p>
      <w:pPr>
        <w:spacing w:after="0" w:line="160" w:lineRule="exact"/>
        <w:rPr>
          <w:sz w:val="20"/>
          <w:szCs w:val="20"/>
          <w:color w:val="auto"/>
        </w:rPr>
      </w:pPr>
    </w:p>
    <w:p>
      <w:pPr>
        <w:jc w:val="both"/>
        <w:spacing w:after="0" w:line="330" w:lineRule="auto"/>
        <w:rPr>
          <w:sz w:val="20"/>
          <w:szCs w:val="20"/>
          <w:color w:val="auto"/>
        </w:rPr>
      </w:pPr>
      <w:r>
        <w:rPr>
          <w:rFonts w:ascii="Arial" w:cs="Arial" w:eastAsia="Arial" w:hAnsi="Arial"/>
          <w:sz w:val="19"/>
          <w:szCs w:val="19"/>
          <w:color w:val="auto"/>
        </w:rPr>
        <w:t>For the first quarter of 2021, worldwide sales from continuing operations were $247.6 million, an increase of 2.1 percent on a reported basis and a decline of 0.4 percent on a constant-currency</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basis, as compared to the same quarter of the previous year. On the basis of U.S. Generally Accepted Accounting Principles (GAAP), first quarter 2021 diluted loss per share from continuing operations was $0.61. First quarter 2021 adjusted diluted earnings per share from continuing operations was $0.35.</w:t>
      </w:r>
    </w:p>
    <w:p>
      <w:pPr>
        <w:spacing w:after="0" w:line="226"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“Epilepsy sales growth in the quarter reflects improving market dynamics, especially in the United States. The pace of vaccination efforts, along with patients' and their caregivers' willingness to seek treatment, is key to the continued recovery of the Epilepsy business,” said Damien McDonald, Chief Executive Officer of LivaNova. “We expect the recovery to continue from here and develop into more consistent sales and EPS growth in the second half of the year. We remain focused on delivering growth in our core, achieving pipeline milestones and executing on initiatives to improve profitability and cash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vertAlign w:val="superscript"/>
        </w:rPr>
        <w:t>1</w:t>
      </w:r>
      <w:r>
        <w:rPr>
          <w:rFonts w:ascii="Arial" w:cs="Arial" w:eastAsia="Arial" w:hAnsi="Arial"/>
          <w:sz w:val="11"/>
          <w:szCs w:val="11"/>
          <w:color w:val="auto"/>
        </w:rPr>
        <w:t>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72" w:right="339" w:bottom="1440" w:gutter="0" w:footer="0" w:header="0"/>
        </w:sectPr>
      </w:pPr>
    </w:p>
    <w:bookmarkStart w:id="4" w:name="page5"/>
    <w:bookmarkEnd w:id="4"/>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First Quarter 2021 Results</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worldwide sales for the first quarter of 2021 by business: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322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0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9"/>
                <w:szCs w:val="19"/>
                <w:b w:val="1"/>
                <w:bCs w:val="1"/>
                <w:color w:val="auto"/>
              </w:rPr>
              <w:t>Constant-</w:t>
            </w:r>
          </w:p>
        </w:tc>
        <w:tc>
          <w:tcPr>
            <w:tcW w:w="0" w:type="dxa"/>
            <w:vAlign w:val="bottom"/>
          </w:tcPr>
          <w:p>
            <w:pPr>
              <w:spacing w:after="0"/>
              <w:rPr>
                <w:sz w:val="1"/>
                <w:szCs w:val="1"/>
                <w:color w:val="auto"/>
              </w:rPr>
            </w:pPr>
          </w:p>
        </w:tc>
      </w:tr>
      <w:tr>
        <w:trPr>
          <w:trHeight w:val="164"/>
        </w:trPr>
        <w:tc>
          <w:tcPr>
            <w:tcW w:w="39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Business / Product Line:</w:t>
            </w:r>
          </w:p>
        </w:tc>
        <w:tc>
          <w:tcPr>
            <w:tcW w:w="3220" w:type="dxa"/>
            <w:vAlign w:val="bottom"/>
            <w:tcBorders>
              <w:bottom w:val="single" w:sz="8" w:color="auto"/>
            </w:tcBorders>
            <w:gridSpan w:val="3"/>
            <w:vMerge w:val="continue"/>
          </w:tcPr>
          <w:p>
            <w:pPr>
              <w:spacing w:after="0"/>
              <w:rPr>
                <w:sz w:val="14"/>
                <w:szCs w:val="14"/>
                <w:color w:val="auto"/>
              </w:rPr>
            </w:pPr>
          </w:p>
        </w:tc>
        <w:tc>
          <w:tcPr>
            <w:tcW w:w="600" w:type="dxa"/>
            <w:vAlign w:val="bottom"/>
            <w:tcBorders>
              <w:bottom w:val="single" w:sz="8" w:color="auto"/>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ind w:left="420"/>
              <w:spacing w:after="0" w:line="164" w:lineRule="exact"/>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3"/>
        </w:trPr>
        <w:tc>
          <w:tcPr>
            <w:tcW w:w="390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66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9"/>
                <w:szCs w:val="19"/>
                <w:b w:val="1"/>
                <w:bCs w:val="1"/>
                <w:color w:val="auto"/>
              </w:rPr>
              <w:t>% Change</w:t>
            </w:r>
          </w:p>
        </w:tc>
        <w:tc>
          <w:tcPr>
            <w:tcW w:w="17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9"/>
                <w:szCs w:val="19"/>
                <w:b w:val="1"/>
                <w:bCs w:val="1"/>
                <w:color w:val="auto"/>
              </w:rPr>
              <w:t>% Change</w:t>
            </w:r>
          </w:p>
        </w:tc>
        <w:tc>
          <w:tcPr>
            <w:tcW w:w="0" w:type="dxa"/>
            <w:vAlign w:val="bottom"/>
          </w:tcPr>
          <w:p>
            <w:pPr>
              <w:spacing w:after="0"/>
              <w:rPr>
                <w:sz w:val="1"/>
                <w:szCs w:val="1"/>
                <w:color w:val="auto"/>
              </w:rPr>
            </w:pPr>
          </w:p>
        </w:tc>
      </w:tr>
      <w:tr>
        <w:trPr>
          <w:trHeight w:val="223"/>
        </w:trPr>
        <w:tc>
          <w:tcPr>
            <w:tcW w:w="3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Cardiopulmonary</w:t>
            </w:r>
          </w:p>
        </w:tc>
        <w:tc>
          <w:tcPr>
            <w:tcW w:w="1240" w:type="dxa"/>
            <w:vAlign w:val="bottom"/>
            <w:tcBorders>
              <w:bottom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$108.7</w:t>
            </w: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$116.4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Heart Valves</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21.5</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25.2</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Advanced Circulatory Support</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13.0</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i w:val="1"/>
                <w:iCs w:val="1"/>
                <w:color w:val="auto"/>
              </w:rPr>
              <w:t>10.5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23.8 %</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143.2</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152.1</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103.7</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89.7</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8"/>
                <w:szCs w:val="18"/>
                <w:color w:val="auto"/>
              </w:rPr>
              <w:t>0.7</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240" w:type="dxa"/>
            <w:vAlign w:val="bottom"/>
            <w:tcBorders>
              <w:bottom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3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8"/>
              </w:rPr>
              <w:t>$242.4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left="240" w:right="20" w:hanging="235"/>
        <w:spacing w:after="0" w:line="242" w:lineRule="auto"/>
        <w:tabs>
          <w:tab w:leader="none" w:pos="19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precisely due to rounding. 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383" w:lineRule="exact"/>
        <w:rPr>
          <w:sz w:val="20"/>
          <w:szCs w:val="20"/>
          <w:color w:val="auto"/>
        </w:rPr>
      </w:pPr>
    </w:p>
    <w:p>
      <w:pPr>
        <w:jc w:val="both"/>
        <w:ind w:right="20"/>
        <w:spacing w:after="0" w:line="375"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Cardiovascular</w:t>
      </w:r>
    </w:p>
    <w:p>
      <w:pPr>
        <w:spacing w:after="0" w:line="344" w:lineRule="exact"/>
        <w:rPr>
          <w:sz w:val="20"/>
          <w:szCs w:val="20"/>
          <w:color w:val="auto"/>
        </w:rPr>
      </w:pPr>
    </w:p>
    <w:p>
      <w:pPr>
        <w:jc w:val="both"/>
        <w:ind w:right="20"/>
        <w:spacing w:after="0" w:line="375" w:lineRule="auto"/>
        <w:rPr>
          <w:sz w:val="20"/>
          <w:szCs w:val="20"/>
          <w:color w:val="auto"/>
        </w:rPr>
      </w:pPr>
      <w:r>
        <w:rPr>
          <w:rFonts w:ascii="Arial" w:cs="Arial" w:eastAsia="Arial" w:hAnsi="Arial"/>
          <w:sz w:val="19"/>
          <w:szCs w:val="19"/>
          <w:color w:val="auto"/>
        </w:rPr>
        <w:t>Cardiovascular sales, which include Cardiopulmonary, Heart Valves and Advanced Circulatory Support (ACS) products, were $143.2 million, representing a 9.4 percent decrease versus the first quarter of 2020.</w:t>
      </w:r>
    </w:p>
    <w:p>
      <w:pPr>
        <w:spacing w:after="0" w:line="184" w:lineRule="exact"/>
        <w:rPr>
          <w:sz w:val="20"/>
          <w:szCs w:val="20"/>
          <w:color w:val="auto"/>
        </w:rPr>
      </w:pPr>
    </w:p>
    <w:p>
      <w:pPr>
        <w:jc w:val="both"/>
        <w:ind w:right="20"/>
        <w:spacing w:after="0" w:line="368" w:lineRule="auto"/>
        <w:rPr>
          <w:sz w:val="20"/>
          <w:szCs w:val="20"/>
          <w:color w:val="auto"/>
        </w:rPr>
      </w:pPr>
      <w:r>
        <w:rPr>
          <w:rFonts w:ascii="Arial" w:cs="Arial" w:eastAsia="Arial" w:hAnsi="Arial"/>
          <w:sz w:val="19"/>
          <w:szCs w:val="19"/>
          <w:color w:val="auto"/>
        </w:rPr>
        <w:t>Sales in Cardiopulmonary products were $108.7 million, representing a 10.2 percent decline versus the first quarter of 2020. The sales decline was primarily related to the impact of COVID-19 on cardiac surgery procedure volumes in the Europe and Rest of World regions, partially offset by capital equipment purchases.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Heart Valve sales were $21.5 million, a decrease of 19.2 percent compared to the first quarter of 2020.</w:t>
      </w:r>
    </w:p>
    <w:p>
      <w:pPr>
        <w:spacing w:after="0" w:line="320" w:lineRule="exact"/>
        <w:rPr>
          <w:sz w:val="20"/>
          <w:szCs w:val="20"/>
          <w:color w:val="auto"/>
        </w:rPr>
      </w:pPr>
    </w:p>
    <w:p>
      <w:pPr>
        <w:jc w:val="both"/>
        <w:ind w:right="20"/>
        <w:spacing w:after="0" w:line="375" w:lineRule="auto"/>
        <w:rPr>
          <w:sz w:val="20"/>
          <w:szCs w:val="20"/>
          <w:color w:val="auto"/>
        </w:rPr>
      </w:pPr>
      <w:r>
        <w:rPr>
          <w:rFonts w:ascii="Arial" w:cs="Arial" w:eastAsia="Arial" w:hAnsi="Arial"/>
          <w:sz w:val="19"/>
          <w:szCs w:val="19"/>
          <w:color w:val="auto"/>
        </w:rPr>
        <w:t>ACS sales were $13.0 million in the quarter, an increase of 23.6 percent compared to the first quarter of 2020, due to the continued adoption of LifeSPARC™ in the U.S. and an increase in procedure volumes.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60"/>
          </w:cols>
          <w:pgMar w:left="320" w:top="1440" w:right="319" w:bottom="1440" w:gutter="0" w:footer="0" w:header="0"/>
        </w:sectPr>
      </w:pPr>
    </w:p>
    <w:bookmarkStart w:id="5" w:name="page6"/>
    <w:bookmarkEnd w:id="5"/>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Neuromodulation</w:t>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Neuromodulation sales were $103.7 million in the first quarter, representing a 14.7 percent increase versus the first quarter of 2020.</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This increase reflects improving market dynamics, particularly in the U.S. and Asia Pacific.</w:t>
      </w: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44"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On a U.S. GAAP basis, first quarter 2021 operating loss from continuing operations was $4.4 million. Adjusted operating income from continuing operations for the first quarter of 2021 was $31.6 million, an increase of 50.3 percent as compared to the first quarter of 2020, primarily driven by continued cost containment measures.</w:t>
      </w:r>
    </w:p>
    <w:p>
      <w:pPr>
        <w:spacing w:after="0" w:line="190" w:lineRule="exact"/>
        <w:rPr>
          <w:sz w:val="20"/>
          <w:szCs w:val="20"/>
          <w:color w:val="auto"/>
        </w:rPr>
      </w:pPr>
    </w:p>
    <w:p>
      <w:pPr>
        <w:jc w:val="both"/>
        <w:spacing w:after="0" w:line="365" w:lineRule="auto"/>
        <w:rPr>
          <w:sz w:val="20"/>
          <w:szCs w:val="20"/>
          <w:color w:val="auto"/>
        </w:rPr>
      </w:pPr>
      <w:r>
        <w:rPr>
          <w:rFonts w:ascii="Arial" w:cs="Arial" w:eastAsia="Arial" w:hAnsi="Arial"/>
          <w:sz w:val="19"/>
          <w:szCs w:val="19"/>
          <w:color w:val="auto"/>
        </w:rPr>
        <w:t>On a U.S. GAAP basis, first quarter 2021 effective tax rate was a negative 10.7 percent, as compared to 744.4 percent in the first quarter of 2020, which primarily reflects the discrete tax benefit of $41.3 million related to the Coronavirus Aid, Relief, and Economic Securities Act (CARES Act). The adjusted effective tax rate in the quarter was 10.8 percent, as compared to 8.2 percent in the first quarter of 2020, related to changes in the geographic income mix.</w:t>
      </w:r>
    </w:p>
    <w:p>
      <w:pPr>
        <w:spacing w:after="0" w:line="194"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On a U.S. GAAP basis, first quarter 2021 diluted loss per share from continuing operations was $0.61. First quarter 2021 adjusted diluted earnings per share from continuing operations was $0.35, as compared to $0.33 per share in the first quarter of 2020.</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2021 Guidance</w:t>
      </w:r>
    </w:p>
    <w:p>
      <w:pPr>
        <w:spacing w:after="0" w:line="344"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LivaNova reaffirms its 2021 guidance, expecting worldwide net sales from continuing operations for the full year to grow between 8 and 13 percent on a constant-currency basis. Adjusted diluted earnings per share from continuing operations for 2021 are expected to be in the range of $1.40 to $1.90.</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Webcast and Conference Call Instructions</w:t>
      </w:r>
    </w:p>
    <w:p>
      <w:pPr>
        <w:spacing w:after="0" w:line="344"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 xml:space="preserve">The Company will host a live audio webcast for interested parties commencing at 12 p.m. London time (7 a.m. Eastern Time) on Wednesday, April 28 that will be accessible through the Investors section of the LivaNova website at </w:t>
      </w:r>
      <w:r>
        <w:rPr>
          <w:rFonts w:ascii="Arial" w:cs="Arial" w:eastAsia="Arial" w:hAnsi="Arial"/>
          <w:sz w:val="19"/>
          <w:szCs w:val="19"/>
          <w:u w:val="single" w:color="auto"/>
          <w:color w:val="0E32E1"/>
        </w:rPr>
        <w:t>www.livanova.com</w:t>
      </w:r>
      <w:r>
        <w:rPr>
          <w:rFonts w:ascii="Arial" w:cs="Arial" w:eastAsia="Arial" w:hAnsi="Arial"/>
          <w:sz w:val="19"/>
          <w:szCs w:val="19"/>
          <w:color w:val="0E32E1"/>
        </w:rPr>
        <w:t>.</w:t>
      </w:r>
      <w:r>
        <w:rPr>
          <w:rFonts w:ascii="Arial" w:cs="Arial" w:eastAsia="Arial" w:hAnsi="Arial"/>
          <w:sz w:val="19"/>
          <w:szCs w:val="19"/>
          <w:color w:val="auto"/>
        </w:rPr>
        <w:t xml:space="preserve"> Listeners should log on approximately 10 minutes in advance to ensure proper setup to receive the webcast. To listen to the conference call by telephone, dial 844-558-0159 (if dialing from within the U.S. or Canada) or 236-714-3182 (if dialing from outside the U.S. or Canada). The conference ID is 6493742. Within 24 hours of the webcast, a replay will be available under the </w:t>
      </w:r>
      <w:r>
        <w:rPr>
          <w:rFonts w:ascii="Arial" w:cs="Arial" w:eastAsia="Arial" w:hAnsi="Arial"/>
          <w:sz w:val="19"/>
          <w:szCs w:val="19"/>
          <w:b w:val="1"/>
          <w:bCs w:val="1"/>
          <w:color w:val="auto"/>
        </w:rPr>
        <w:t>"News / Events &amp;</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Presentations" </w:t>
      </w:r>
      <w:r>
        <w:rPr>
          <w:rFonts w:ascii="Arial" w:cs="Arial" w:eastAsia="Arial" w:hAnsi="Arial"/>
          <w:sz w:val="19"/>
          <w:szCs w:val="19"/>
          <w:color w:val="auto"/>
        </w:rPr>
        <w:t>section of the Investors portion of the LivaNova website, where it will be archived and accessible for approximately</w:t>
      </w:r>
      <w:r>
        <w:rPr>
          <w:rFonts w:ascii="Arial" w:cs="Arial" w:eastAsia="Arial" w:hAnsi="Arial"/>
          <w:sz w:val="19"/>
          <w:szCs w:val="19"/>
          <w:b w:val="1"/>
          <w:bCs w:val="1"/>
          <w:color w:val="auto"/>
        </w:rPr>
        <w:t xml:space="preserve"> </w:t>
      </w:r>
      <w:r>
        <w:rPr>
          <w:rFonts w:ascii="Arial" w:cs="Arial" w:eastAsia="Arial" w:hAnsi="Arial"/>
          <w:sz w:val="19"/>
          <w:szCs w:val="19"/>
          <w:color w:val="auto"/>
        </w:rPr>
        <w:t>90 days.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6D2077"/>
        </w:rPr>
        <w:t>About LivaNova</w:t>
      </w:r>
    </w:p>
    <w:p>
      <w:pPr>
        <w:spacing w:after="0" w:line="320"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 For more information, please visit </w:t>
      </w:r>
      <w:r>
        <w:rPr>
          <w:rFonts w:ascii="Arial" w:cs="Arial" w:eastAsia="Arial" w:hAnsi="Arial"/>
          <w:sz w:val="19"/>
          <w:szCs w:val="19"/>
          <w:u w:val="single" w:color="auto"/>
          <w:color w:val="0E32E1"/>
        </w:rPr>
        <w:t>www.livanova.com</w:t>
      </w:r>
      <w:r>
        <w:rPr>
          <w:rFonts w:ascii="Arial" w:cs="Arial" w:eastAsia="Arial" w:hAnsi="Arial"/>
          <w:sz w:val="19"/>
          <w:szCs w:val="19"/>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6D2077"/>
        </w:rPr>
        <w:t>Use of Non-GAAP Financial Measures</w:t>
      </w:r>
    </w:p>
    <w:p>
      <w:pPr>
        <w:spacing w:after="0" w:line="320"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97" w:lineRule="exact"/>
        <w:rPr>
          <w:sz w:val="20"/>
          <w:szCs w:val="20"/>
          <w:color w:val="auto"/>
        </w:rPr>
      </w:pPr>
    </w:p>
    <w:p>
      <w:pPr>
        <w:jc w:val="both"/>
        <w:spacing w:after="0" w:line="364" w:lineRule="auto"/>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14"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04"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segment operating income;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6D2077"/>
        </w:rPr>
        <w:t>Safe Harbor Statement</w:t>
      </w:r>
    </w:p>
    <w:p>
      <w:pPr>
        <w:spacing w:after="0" w:line="320" w:lineRule="exact"/>
        <w:rPr>
          <w:sz w:val="20"/>
          <w:szCs w:val="20"/>
          <w:color w:val="auto"/>
        </w:rPr>
      </w:pPr>
    </w:p>
    <w:p>
      <w:pPr>
        <w:jc w:val="both"/>
        <w:spacing w:after="0" w:line="372"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14" w:lineRule="exact"/>
        <w:rPr>
          <w:sz w:val="20"/>
          <w:szCs w:val="20"/>
          <w:color w:val="auto"/>
        </w:rPr>
      </w:pPr>
    </w:p>
    <w:p>
      <w:pPr>
        <w:jc w:val="both"/>
        <w:spacing w:after="0" w:line="361" w:lineRule="auto"/>
        <w:rPr>
          <w:sz w:val="20"/>
          <w:szCs w:val="20"/>
          <w:color w:val="auto"/>
        </w:rPr>
      </w:pPr>
      <w:r>
        <w:rPr>
          <w:rFonts w:ascii="Arial" w:cs="Arial" w:eastAsia="Arial" w:hAnsi="Arial"/>
          <w:sz w:val="19"/>
          <w:szCs w:val="19"/>
          <w:color w:val="auto"/>
        </w:rPr>
        <w:t>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2021,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and its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 (iv) 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raw material costs or availability, benefit or retirement plan costs, or other regulatory compliance costs; (xiii) the inability of LivaNova to meet expectations regarding the timing, completion and accounting of tax treatments; (xiv) and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14"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Melissa Farina</w:t>
      </w:r>
    </w:p>
    <w:p>
      <w:pPr>
        <w:ind w:left="60"/>
        <w:spacing w:after="0" w:line="201" w:lineRule="auto"/>
        <w:rPr>
          <w:sz w:val="20"/>
          <w:szCs w:val="20"/>
          <w:color w:val="auto"/>
        </w:rPr>
      </w:pPr>
      <w:r>
        <w:rPr>
          <w:rFonts w:ascii="Arial" w:cs="Arial" w:eastAsia="Arial" w:hAnsi="Arial"/>
          <w:sz w:val="19"/>
          <w:szCs w:val="19"/>
          <w:color w:val="auto"/>
        </w:rPr>
        <w:t>Vice President, Investor Relations</w:t>
      </w:r>
    </w:p>
    <w:p>
      <w:pPr>
        <w:ind w:left="60"/>
        <w:spacing w:after="0" w:line="202" w:lineRule="auto"/>
        <w:rPr>
          <w:sz w:val="20"/>
          <w:szCs w:val="20"/>
          <w:color w:val="auto"/>
        </w:rPr>
      </w:pPr>
      <w:r>
        <w:rPr>
          <w:rFonts w:ascii="Arial" w:cs="Arial" w:eastAsia="Arial" w:hAnsi="Arial"/>
          <w:sz w:val="19"/>
          <w:szCs w:val="19"/>
          <w:color w:val="auto"/>
        </w:rPr>
        <w:t>Phone: +1 (281) 228 7262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4"/>
            <w:vMerge w:val="restart"/>
          </w:tcPr>
          <w:p>
            <w:pPr>
              <w:ind w:left="620"/>
              <w:spacing w:after="0"/>
              <w:rPr>
                <w:sz w:val="20"/>
                <w:szCs w:val="20"/>
                <w:color w:val="auto"/>
              </w:rPr>
            </w:pPr>
            <w:r>
              <w:rPr>
                <w:rFonts w:ascii="Arial" w:cs="Arial" w:eastAsia="Arial" w:hAnsi="Arial"/>
                <w:sz w:val="18"/>
                <w:szCs w:val="18"/>
                <w:b w:val="1"/>
                <w:bCs w:val="1"/>
                <w:color w:val="auto"/>
              </w:rPr>
              <w:t>Three Months Ended March 31,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vMerge w:val="continue"/>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 Change at Actual</w:t>
            </w:r>
          </w:p>
        </w:tc>
        <w:tc>
          <w:tcPr>
            <w:tcW w:w="19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32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4"/>
                <w:szCs w:val="14"/>
                <w:color w:val="auto"/>
              </w:rPr>
            </w:pPr>
          </w:p>
        </w:tc>
        <w:tc>
          <w:tcPr>
            <w:tcW w:w="132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0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96"/>
              </w:rPr>
              <w:t>Constant-Currency</w:t>
            </w:r>
          </w:p>
        </w:tc>
        <w:tc>
          <w:tcPr>
            <w:tcW w:w="0" w:type="dxa"/>
            <w:vAlign w:val="bottom"/>
          </w:tcPr>
          <w:p>
            <w:pPr>
              <w:spacing w:after="0"/>
              <w:rPr>
                <w:sz w:val="1"/>
                <w:szCs w:val="1"/>
                <w:color w:val="auto"/>
              </w:rPr>
            </w:pPr>
          </w:p>
        </w:tc>
      </w:tr>
      <w:tr>
        <w:trPr>
          <w:trHeight w:val="223"/>
        </w:trPr>
        <w:tc>
          <w:tcPr>
            <w:tcW w:w="45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Currency Rates</w:t>
            </w:r>
          </w:p>
        </w:tc>
        <w:tc>
          <w:tcPr>
            <w:tcW w:w="1900" w:type="dxa"/>
            <w:vAlign w:val="bottom"/>
          </w:tcPr>
          <w:p>
            <w:pPr>
              <w:jc w:val="center"/>
              <w:spacing w:after="0" w:line="223" w:lineRule="exact"/>
              <w:rPr>
                <w:sz w:val="20"/>
                <w:szCs w:val="20"/>
                <w:color w:val="auto"/>
              </w:rPr>
            </w:pPr>
            <w:r>
              <w:rPr>
                <w:rFonts w:ascii="Arial" w:cs="Arial" w:eastAsia="Arial" w:hAnsi="Arial"/>
                <w:sz w:val="18"/>
                <w:szCs w:val="18"/>
                <w:b w:val="1"/>
                <w:bCs w:val="1"/>
                <w:color w:val="auto"/>
                <w:w w:val="92"/>
              </w:rPr>
              <w:t>Rates</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2"/>
        </w:trPr>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Heart Valves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2"/>
        </w:trPr>
        <w:tc>
          <w:tcPr>
            <w:tcW w:w="4500" w:type="dxa"/>
            <w:vAlign w:val="bottom"/>
          </w:tcPr>
          <w:p>
            <w:pPr>
              <w:ind w:left="100"/>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19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b w:val="1"/>
                <w:bCs w:val="1"/>
                <w:color w:val="auto"/>
              </w:rPr>
              <w:t>Cardiovascular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0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54.7</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450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00" w:right="20" w:hanging="398"/>
        <w:spacing w:after="0" w:line="225" w:lineRule="auto"/>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3" w:lineRule="exact"/>
        <w:rPr>
          <w:sz w:val="20"/>
          <w:szCs w:val="20"/>
          <w:color w:val="auto"/>
        </w:rPr>
      </w:pPr>
    </w:p>
    <w:p>
      <w:pPr>
        <w:ind w:left="400" w:hanging="398"/>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20"/>
          </w:cols>
          <w:pgMar w:left="340" w:top="1440" w:right="339" w:bottom="1440" w:gutter="0" w:footer="0" w:header="0"/>
        </w:sectPr>
      </w:pPr>
    </w:p>
    <w:bookmarkStart w:id="11" w:name="page12"/>
    <w:bookmarkEnd w:id="11"/>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25" w:lineRule="exact"/>
        <w:rPr>
          <w:sz w:val="20"/>
          <w:szCs w:val="20"/>
          <w:color w:val="auto"/>
        </w:rPr>
      </w:pPr>
    </w:p>
    <w:p>
      <w:pPr>
        <w:ind w:right="5220"/>
        <w:spacing w:after="0" w:line="277"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20" w:type="dxa"/>
            <w:vAlign w:val="bottom"/>
          </w:tcPr>
          <w:p>
            <w:pPr>
              <w:spacing w:after="0"/>
              <w:rPr>
                <w:sz w:val="20"/>
                <w:szCs w:val="20"/>
                <w:color w:val="auto"/>
              </w:rPr>
            </w:pPr>
          </w:p>
        </w:tc>
        <w:tc>
          <w:tcPr>
            <w:tcW w:w="3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17"/>
        </w:trPr>
        <w:tc>
          <w:tcPr>
            <w:tcW w:w="54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 Change</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680" w:type="dxa"/>
            <w:vAlign w:val="bottom"/>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$242.4</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Cost of sales - exclusive of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Product remediation</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Merger and integration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Restructuring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Revaluation of disposal group</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Amortization of intangibles</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8"/>
                <w:szCs w:val="18"/>
                <w:color w:val="auto"/>
              </w:rPr>
              <w:t>Litigation provision, net</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Operating (loss) income from continuing operations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w:t>
            </w:r>
          </w:p>
        </w:tc>
      </w:tr>
      <w:tr>
        <w:trPr>
          <w:trHeight w:val="216"/>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8"/>
                <w:szCs w:val="18"/>
                <w:color w:val="auto"/>
              </w:rPr>
              <w:t>Foreign exchange and other losses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Loss from continuing operations before tax</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346.2 %</w:t>
            </w:r>
          </w:p>
        </w:tc>
      </w:tr>
      <w:tr>
        <w:trPr>
          <w:trHeight w:val="216"/>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23"/>
        </w:trPr>
        <w:tc>
          <w:tcPr>
            <w:tcW w:w="5420" w:type="dxa"/>
            <w:vAlign w:val="bottom"/>
          </w:tcPr>
          <w:p>
            <w:pPr>
              <w:ind w:left="100"/>
              <w:spacing w:after="0"/>
              <w:rPr>
                <w:sz w:val="20"/>
                <w:szCs w:val="20"/>
                <w:color w:val="auto"/>
              </w:rPr>
            </w:pPr>
            <w:r>
              <w:rPr>
                <w:rFonts w:ascii="Arial" w:cs="Arial" w:eastAsia="Arial" w:hAnsi="Arial"/>
                <w:sz w:val="18"/>
                <w:szCs w:val="18"/>
                <w:color w:val="auto"/>
              </w:rPr>
              <w:t>Losses from equity method investments</w:t>
            </w:r>
          </w:p>
        </w:tc>
        <w:tc>
          <w:tcPr>
            <w:tcW w:w="1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 income from continuing operations</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1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(179.0)%</w:t>
            </w:r>
          </w:p>
        </w:tc>
      </w:tr>
      <w:tr>
        <w:trPr>
          <w:trHeight w:val="20"/>
        </w:trPr>
        <w:tc>
          <w:tcPr>
            <w:tcW w:w="5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99"/>
        </w:trPr>
        <w:tc>
          <w:tcPr>
            <w:tcW w:w="6600" w:type="dxa"/>
            <w:vAlign w:val="bottom"/>
            <w:gridSpan w:val="2"/>
          </w:tcPr>
          <w:p>
            <w:pPr>
              <w:spacing w:after="0"/>
              <w:rPr>
                <w:sz w:val="20"/>
                <w:szCs w:val="20"/>
                <w:color w:val="auto"/>
              </w:rPr>
            </w:pPr>
            <w:r>
              <w:rPr>
                <w:rFonts w:ascii="Arial" w:cs="Arial" w:eastAsia="Arial" w:hAnsi="Arial"/>
                <w:sz w:val="18"/>
                <w:szCs w:val="18"/>
                <w:color w:val="auto"/>
              </w:rPr>
              <w:t>Basic (loss) income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Discontinued operations</w:t>
            </w:r>
          </w:p>
        </w:tc>
        <w:tc>
          <w:tcPr>
            <w:tcW w:w="2020" w:type="dxa"/>
            <w:vAlign w:val="bottom"/>
            <w:gridSpan w:val="3"/>
          </w:tcPr>
          <w:p>
            <w:pPr>
              <w:jc w:val="right"/>
              <w:ind w:right="13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6"/>
        </w:trPr>
        <w:tc>
          <w:tcPr>
            <w:tcW w:w="542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9"/>
        </w:trPr>
        <w:tc>
          <w:tcPr>
            <w:tcW w:w="6600" w:type="dxa"/>
            <w:vAlign w:val="bottom"/>
            <w:gridSpan w:val="2"/>
          </w:tcPr>
          <w:p>
            <w:pPr>
              <w:spacing w:after="0"/>
              <w:rPr>
                <w:sz w:val="20"/>
                <w:szCs w:val="20"/>
                <w:color w:val="auto"/>
              </w:rPr>
            </w:pPr>
            <w:r>
              <w:rPr>
                <w:rFonts w:ascii="Arial" w:cs="Arial" w:eastAsia="Arial" w:hAnsi="Arial"/>
                <w:sz w:val="18"/>
                <w:szCs w:val="18"/>
                <w:color w:val="auto"/>
              </w:rPr>
              <w:t>Diluted (loss) income per share: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Continuing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Discontinued operations</w:t>
            </w:r>
          </w:p>
        </w:tc>
        <w:tc>
          <w:tcPr>
            <w:tcW w:w="2020" w:type="dxa"/>
            <w:vAlign w:val="bottom"/>
            <w:gridSpan w:val="3"/>
          </w:tcPr>
          <w:p>
            <w:pPr>
              <w:jc w:val="right"/>
              <w:ind w:right="13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6"/>
        </w:trPr>
        <w:tc>
          <w:tcPr>
            <w:tcW w:w="5420" w:type="dxa"/>
            <w:vAlign w:val="bottom"/>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99"/>
        </w:trPr>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Basic</w:t>
            </w:r>
          </w:p>
        </w:tc>
        <w:tc>
          <w:tcPr>
            <w:tcW w:w="6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660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6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20"/>
          </w:cols>
          <w:pgMar w:left="340" w:top="1440" w:right="339" w:bottom="1440" w:gutter="0" w:footer="0" w:header="0"/>
        </w:sectPr>
      </w:pPr>
    </w:p>
    <w:bookmarkStart w:id="12" w:name="page13"/>
    <w:bookmarkEnd w:id="12"/>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3"/>
        </w:trPr>
        <w:tc>
          <w:tcPr>
            <w:tcW w:w="6040" w:type="dxa"/>
            <w:vAlign w:val="bottom"/>
          </w:tcPr>
          <w:p>
            <w:pPr>
              <w:spacing w:after="0"/>
              <w:rPr>
                <w:sz w:val="24"/>
                <w:szCs w:val="24"/>
                <w:color w:val="auto"/>
              </w:rPr>
            </w:pPr>
          </w:p>
        </w:tc>
        <w:tc>
          <w:tcPr>
            <w:tcW w:w="362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 March 31,</w:t>
            </w:r>
          </w:p>
        </w:tc>
        <w:tc>
          <w:tcPr>
            <w:tcW w:w="1560" w:type="dxa"/>
            <w:vAlign w:val="bottom"/>
          </w:tcPr>
          <w:p>
            <w:pPr>
              <w:spacing w:after="0"/>
              <w:rPr>
                <w:sz w:val="24"/>
                <w:szCs w:val="24"/>
                <w:color w:val="auto"/>
              </w:rPr>
            </w:pPr>
          </w:p>
        </w:tc>
      </w:tr>
      <w:tr>
        <w:trPr>
          <w:trHeight w:val="217"/>
        </w:trPr>
        <w:tc>
          <w:tcPr>
            <w:tcW w:w="60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72"/>
              <w:spacing w:after="0" w:line="217"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2"/>
                <w:szCs w:val="22"/>
                <w:b w:val="1"/>
                <w:bCs w:val="1"/>
                <w:color w:val="auto"/>
                <w:vertAlign w:val="superscript"/>
              </w:rPr>
              <w:t>(1)</w:t>
            </w:r>
          </w:p>
        </w:tc>
      </w:tr>
      <w:tr>
        <w:trPr>
          <w:trHeight w:val="218"/>
        </w:trPr>
        <w:tc>
          <w:tcPr>
            <w:tcW w:w="7160" w:type="dxa"/>
            <w:vAlign w:val="bottom"/>
            <w:gridSpan w:val="2"/>
          </w:tcPr>
          <w:p>
            <w:pPr>
              <w:spacing w:after="0" w:line="219"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716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23"/>
        </w:trPr>
        <w:tc>
          <w:tcPr>
            <w:tcW w:w="716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operating income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50.3 %</w:t>
            </w:r>
          </w:p>
        </w:tc>
      </w:tr>
      <w:tr>
        <w:trPr>
          <w:trHeight w:val="223"/>
        </w:trPr>
        <w:tc>
          <w:tcPr>
            <w:tcW w:w="7160" w:type="dxa"/>
            <w:vAlign w:val="bottom"/>
            <w:gridSpan w:val="2"/>
          </w:tcPr>
          <w:p>
            <w:pPr>
              <w:spacing w:after="0" w:line="223" w:lineRule="exact"/>
              <w:rPr>
                <w:sz w:val="20"/>
                <w:szCs w:val="20"/>
                <w:color w:val="auto"/>
              </w:rPr>
            </w:pPr>
            <w:r>
              <w:rPr>
                <w:rFonts w:ascii="Arial" w:cs="Arial" w:eastAsia="Arial" w:hAnsi="Arial"/>
                <w:sz w:val="18"/>
                <w:szCs w:val="18"/>
                <w:color w:val="auto"/>
              </w:rPr>
              <w:t xml:space="preserve">Adjusted net income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91"/>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8.1 %</w:t>
            </w:r>
          </w:p>
        </w:tc>
      </w:tr>
    </w:tbl>
    <w:p>
      <w:pPr>
        <w:spacing w:after="0" w:line="50" w:lineRule="exact"/>
        <w:rPr>
          <w:sz w:val="20"/>
          <w:szCs w:val="20"/>
          <w:color w:val="auto"/>
        </w:rPr>
      </w:pPr>
    </w:p>
    <w:p>
      <w:pPr>
        <w:ind w:left="480" w:right="20" w:hanging="355"/>
        <w:spacing w:after="0" w:line="225"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4340" w:type="dxa"/>
            <w:vAlign w:val="bottom"/>
            <w:gridSpan w:val="5"/>
          </w:tcPr>
          <w:p>
            <w:pPr>
              <w:ind w:left="540"/>
              <w:spacing w:after="0"/>
              <w:rPr>
                <w:sz w:val="20"/>
                <w:szCs w:val="20"/>
                <w:color w:val="auto"/>
              </w:rPr>
            </w:pPr>
            <w:r>
              <w:rPr>
                <w:rFonts w:ascii="Arial" w:cs="Arial" w:eastAsia="Arial" w:hAnsi="Arial"/>
                <w:sz w:val="18"/>
                <w:szCs w:val="18"/>
                <w:b w:val="1"/>
                <w:bCs w:val="1"/>
                <w:color w:val="auto"/>
              </w:rPr>
              <w:t>GAAP Three Months Ended March 31,</w:t>
            </w:r>
          </w:p>
        </w:tc>
        <w:tc>
          <w:tcPr>
            <w:tcW w:w="470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 xml:space="preserve"> Three Months Ended March 31,</w:t>
            </w:r>
          </w:p>
        </w:tc>
      </w:tr>
      <w:tr>
        <w:trPr>
          <w:trHeight w:val="216"/>
        </w:trPr>
        <w:tc>
          <w:tcPr>
            <w:tcW w:w="21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5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30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2020</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68.0 %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71.0 %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68.6 %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68.3 %</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49.6 %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42.8 %</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16.9 %</w:t>
            </w:r>
          </w:p>
        </w:tc>
      </w:tr>
      <w:tr>
        <w:trPr>
          <w:trHeight w:val="183"/>
        </w:trPr>
        <w:tc>
          <w:tcPr>
            <w:tcW w:w="3500" w:type="dxa"/>
            <w:vAlign w:val="bottom"/>
            <w:gridSpan w:val="2"/>
          </w:tcPr>
          <w:p>
            <w:pPr>
              <w:spacing w:after="0" w:line="183" w:lineRule="exact"/>
              <w:rPr>
                <w:sz w:val="20"/>
                <w:szCs w:val="20"/>
                <w:color w:val="auto"/>
              </w:rPr>
            </w:pPr>
            <w:r>
              <w:rPr>
                <w:rFonts w:ascii="Arial" w:cs="Arial" w:eastAsia="Arial" w:hAnsi="Arial"/>
                <w:sz w:val="18"/>
                <w:szCs w:val="18"/>
                <w:color w:val="auto"/>
              </w:rPr>
              <w:t>Operating (loss) income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1"/>
        </w:trPr>
        <w:tc>
          <w:tcPr>
            <w:tcW w:w="3500" w:type="dxa"/>
            <w:vAlign w:val="bottom"/>
            <w:gridSpan w:val="2"/>
          </w:tcPr>
          <w:p>
            <w:pPr>
              <w:spacing w:after="0" w:line="170" w:lineRule="exact"/>
              <w:rPr>
                <w:sz w:val="20"/>
                <w:szCs w:val="20"/>
                <w:color w:val="auto"/>
              </w:rPr>
            </w:pPr>
            <w:r>
              <w:rPr>
                <w:rFonts w:ascii="Arial" w:cs="Arial" w:eastAsia="Arial" w:hAnsi="Arial"/>
                <w:sz w:val="18"/>
                <w:szCs w:val="18"/>
                <w:color w:val="auto"/>
              </w:rPr>
              <w:t>from continuing</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8.7 %</w:t>
            </w:r>
          </w:p>
        </w:tc>
      </w:tr>
      <w:tr>
        <w:trPr>
          <w:trHeight w:val="183"/>
        </w:trPr>
        <w:tc>
          <w:tcPr>
            <w:tcW w:w="3500" w:type="dxa"/>
            <w:vAlign w:val="bottom"/>
            <w:gridSpan w:val="2"/>
          </w:tcPr>
          <w:p>
            <w:pPr>
              <w:spacing w:after="0" w:line="183" w:lineRule="exact"/>
              <w:rPr>
                <w:sz w:val="20"/>
                <w:szCs w:val="20"/>
                <w:color w:val="auto"/>
              </w:rPr>
            </w:pPr>
            <w:r>
              <w:rPr>
                <w:rFonts w:ascii="Arial" w:cs="Arial" w:eastAsia="Arial" w:hAnsi="Arial"/>
                <w:sz w:val="18"/>
                <w:szCs w:val="18"/>
                <w:color w:val="auto"/>
              </w:rPr>
              <w:t>Net (loss) income from</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0"/>
        </w:trPr>
        <w:tc>
          <w:tcPr>
            <w:tcW w:w="35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744.4 %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8.2 %</w:t>
            </w:r>
          </w:p>
        </w:tc>
      </w:tr>
    </w:tbl>
    <w:p>
      <w:pPr>
        <w:spacing w:after="0" w:line="121" w:lineRule="exact"/>
        <w:rPr>
          <w:sz w:val="20"/>
          <w:szCs w:val="20"/>
          <w:color w:val="auto"/>
        </w:rPr>
      </w:pPr>
    </w:p>
    <w:p>
      <w:pPr>
        <w:ind w:left="440" w:right="20" w:hanging="328"/>
        <w:spacing w:after="0" w:line="225"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20"/>
          </w:cols>
          <w:pgMar w:left="340" w:top="1440"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6744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4335" cy="8255"/>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4"/>
          <w:szCs w:val="14"/>
          <w:b w:val="1"/>
          <w:bCs w:val="1"/>
          <w:color w:val="auto"/>
        </w:rPr>
        <w:t>Specified Items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Three</w:t>
            </w:r>
          </w:p>
        </w:tc>
        <w:tc>
          <w:tcPr>
            <w:tcW w:w="600" w:type="dxa"/>
            <w:vAlign w:val="bottom"/>
          </w:tcPr>
          <w:p>
            <w:pPr>
              <w:spacing w:after="0"/>
              <w:rPr>
                <w:sz w:val="14"/>
                <w:szCs w:val="14"/>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Depreciation</w:t>
            </w:r>
          </w:p>
        </w:tc>
        <w:tc>
          <w:tcPr>
            <w:tcW w:w="8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9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Certain Legal,</w:t>
            </w: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Months</w:t>
            </w: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20" w:type="dxa"/>
            <w:vAlign w:val="bottom"/>
            <w:vMerge w:val="continue"/>
          </w:tcPr>
          <w:p>
            <w:pPr>
              <w:spacing w:after="0"/>
              <w:rPr>
                <w:sz w:val="10"/>
                <w:szCs w:val="10"/>
                <w:color w:val="auto"/>
              </w:rPr>
            </w:pPr>
          </w:p>
        </w:tc>
        <w:tc>
          <w:tcPr>
            <w:tcW w:w="96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rPr>
              <w:t>Restructuring</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and</w:t>
            </w:r>
          </w:p>
        </w:tc>
        <w:tc>
          <w:tcPr>
            <w:tcW w:w="8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9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Contingent</w:t>
            </w:r>
          </w:p>
        </w:tc>
        <w:tc>
          <w:tcPr>
            <w:tcW w:w="10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80" w:type="dxa"/>
            <w:vAlign w:val="bottom"/>
            <w:vMerge w:val="continue"/>
          </w:tcPr>
          <w:p>
            <w:pPr>
              <w:spacing w:after="0"/>
              <w:rPr>
                <w:sz w:val="10"/>
                <w:szCs w:val="10"/>
                <w:color w:val="auto"/>
              </w:rPr>
            </w:pP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Ended</w:t>
            </w:r>
          </w:p>
        </w:tc>
        <w:tc>
          <w:tcPr>
            <w:tcW w:w="600" w:type="dxa"/>
            <w:vAlign w:val="bottom"/>
            <w:vMerge w:val="continue"/>
          </w:tcPr>
          <w:p>
            <w:pPr>
              <w:spacing w:after="0"/>
              <w:rPr>
                <w:sz w:val="10"/>
                <w:szCs w:val="10"/>
                <w:color w:val="auto"/>
              </w:rPr>
            </w:pPr>
          </w:p>
        </w:tc>
        <w:tc>
          <w:tcPr>
            <w:tcW w:w="8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Integration</w:t>
            </w:r>
          </w:p>
        </w:tc>
        <w:tc>
          <w:tcPr>
            <w:tcW w:w="960" w:type="dxa"/>
            <w:vAlign w:val="bottom"/>
            <w:vMerge w:val="continue"/>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Amortization</w:t>
            </w:r>
          </w:p>
        </w:tc>
        <w:tc>
          <w:tcPr>
            <w:tcW w:w="820" w:type="dxa"/>
            <w:vAlign w:val="bottom"/>
            <w:vMerge w:val="restart"/>
          </w:tcPr>
          <w:p>
            <w:pPr>
              <w:jc w:val="right"/>
              <w:ind w:right="31"/>
              <w:spacing w:after="0"/>
              <w:rPr>
                <w:sz w:val="20"/>
                <w:szCs w:val="20"/>
                <w:color w:val="auto"/>
              </w:rPr>
            </w:pPr>
            <w:r>
              <w:rPr>
                <w:rFonts w:ascii="Arial" w:cs="Arial" w:eastAsia="Arial" w:hAnsi="Arial"/>
                <w:sz w:val="12"/>
                <w:szCs w:val="12"/>
                <w:b w:val="1"/>
                <w:bCs w:val="1"/>
                <w:color w:val="auto"/>
              </w:rPr>
              <w:t>Impairment</w:t>
            </w:r>
          </w:p>
        </w:tc>
        <w:tc>
          <w:tcPr>
            <w:tcW w:w="9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Remediation</w:t>
            </w:r>
          </w:p>
        </w:tc>
        <w:tc>
          <w:tcPr>
            <w:tcW w:w="920" w:type="dxa"/>
            <w:vAlign w:val="bottom"/>
            <w:vMerge w:val="continue"/>
          </w:tcPr>
          <w:p>
            <w:pPr>
              <w:spacing w:after="0"/>
              <w:rPr>
                <w:sz w:val="10"/>
                <w:szCs w:val="10"/>
                <w:color w:val="auto"/>
              </w:rPr>
            </w:pPr>
          </w:p>
        </w:tc>
        <w:tc>
          <w:tcPr>
            <w:tcW w:w="98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Consideration</w:t>
            </w:r>
          </w:p>
        </w:tc>
        <w:tc>
          <w:tcPr>
            <w:tcW w:w="10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2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Financial</w:t>
            </w:r>
          </w:p>
        </w:tc>
        <w:tc>
          <w:tcPr>
            <w:tcW w:w="8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Expenses</w:t>
            </w:r>
          </w:p>
        </w:tc>
        <w:tc>
          <w:tcPr>
            <w:tcW w:w="96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Expenses</w:t>
            </w:r>
          </w:p>
        </w:tc>
        <w:tc>
          <w:tcPr>
            <w:tcW w:w="9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820" w:type="dxa"/>
            <w:vAlign w:val="bottom"/>
            <w:vMerge w:val="continue"/>
          </w:tcPr>
          <w:p>
            <w:pPr>
              <w:spacing w:after="0"/>
              <w:rPr>
                <w:sz w:val="10"/>
                <w:szCs w:val="10"/>
                <w:color w:val="auto"/>
              </w:rPr>
            </w:pPr>
          </w:p>
        </w:tc>
        <w:tc>
          <w:tcPr>
            <w:tcW w:w="9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and Other</w:t>
            </w:r>
          </w:p>
        </w:tc>
        <w:tc>
          <w:tcPr>
            <w:tcW w:w="100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Costs</w:t>
            </w:r>
          </w:p>
        </w:tc>
        <w:tc>
          <w:tcPr>
            <w:tcW w:w="9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720" w:type="dxa"/>
            <w:vAlign w:val="bottom"/>
          </w:tcPr>
          <w:p>
            <w:pPr>
              <w:ind w:left="100"/>
              <w:spacing w:after="0" w:line="11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95"/>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rPr>
              <w:t>(F)</w:t>
            </w: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2"/>
        </w:trPr>
        <w:tc>
          <w:tcPr>
            <w:tcW w:w="920" w:type="dxa"/>
            <w:vAlign w:val="bottom"/>
          </w:tcPr>
          <w:p>
            <w:pPr>
              <w:ind w:left="20"/>
              <w:spacing w:after="0" w:line="142" w:lineRule="exact"/>
              <w:rPr>
                <w:sz w:val="20"/>
                <w:szCs w:val="20"/>
                <w:color w:val="auto"/>
              </w:rPr>
            </w:pPr>
            <w:r>
              <w:rPr>
                <w:rFonts w:ascii="Arial" w:cs="Arial" w:eastAsia="Arial" w:hAnsi="Arial"/>
                <w:sz w:val="14"/>
                <w:szCs w:val="14"/>
                <w:color w:val="auto"/>
              </w:rPr>
              <w:t>Cost of sales</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 exclusive of</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$79.2</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($0.3)</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($0.4)</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($0.6)</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Product</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0.1</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440"/>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Gross profit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68.0 %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68.6 %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Selling,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112.6</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(8.9)</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Selling,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general and</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administrative</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45.5 %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38.9 %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44.6</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(1.2)</w:t>
            </w: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color w:val="auto"/>
              </w:rPr>
              <w:t>(1.6)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development</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as a percent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18.0 %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Litigation</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3.0</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(3.0)</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provision, net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Other</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operating</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12.5</w:t>
            </w: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12"/>
              <w:spacing w:after="0"/>
              <w:rPr>
                <w:sz w:val="20"/>
                <w:szCs w:val="20"/>
                <w:color w:val="auto"/>
              </w:rPr>
            </w:pPr>
            <w:r>
              <w:rPr>
                <w:rFonts w:ascii="Arial" w:cs="Arial" w:eastAsia="Arial" w:hAnsi="Arial"/>
                <w:sz w:val="14"/>
                <w:szCs w:val="14"/>
                <w:color w:val="auto"/>
              </w:rPr>
              <w:t>(6.1)</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(6.7)</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(loss) income</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from</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color w:val="auto"/>
              </w:rPr>
              <w:t>(4.4)</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6.1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7.0</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13.6</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9.5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Operating</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margin</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w w:val="98"/>
              </w:rPr>
              <w:t>—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Income tax</w:t>
            </w: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color w:val="auto"/>
              </w:rPr>
              <w:t>2.9</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color w:val="auto"/>
              </w:rPr>
              <w:t>0.1</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0.6</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0.2</w:t>
            </w:r>
          </w:p>
        </w:tc>
        <w:tc>
          <w:tcPr>
            <w:tcW w:w="920" w:type="dxa"/>
            <w:vAlign w:val="bottom"/>
            <w:vMerge w:val="restart"/>
          </w:tcPr>
          <w:p>
            <w:pPr>
              <w:ind w:left="460"/>
              <w:spacing w:after="0"/>
              <w:rPr>
                <w:sz w:val="20"/>
                <w:szCs w:val="20"/>
                <w:color w:val="auto"/>
              </w:rPr>
            </w:pPr>
            <w:r>
              <w:rPr>
                <w:rFonts w:ascii="Arial" w:cs="Arial" w:eastAsia="Arial" w:hAnsi="Arial"/>
                <w:sz w:val="14"/>
                <w:szCs w:val="14"/>
                <w:color w:val="auto"/>
              </w:rPr>
              <w:t>(2.3)</w:t>
            </w:r>
          </w:p>
        </w:tc>
        <w:tc>
          <w:tcPr>
            <w:tcW w:w="88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Net (loss)</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income from</w:t>
            </w: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color w:val="auto"/>
              </w:rPr>
              <w:t>(29.7)</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0.6</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6.0</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6.5</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(1.1)</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10.6</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8.3</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9.3</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2.3</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4.6</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920" w:type="dxa"/>
            <w:vAlign w:val="bottom"/>
          </w:tcPr>
          <w:p>
            <w:pPr>
              <w:ind w:left="20"/>
              <w:spacing w:after="0" w:line="147" w:lineRule="exact"/>
              <w:rPr>
                <w:sz w:val="20"/>
                <w:szCs w:val="20"/>
                <w:color w:val="auto"/>
              </w:rPr>
            </w:pPr>
            <w:r>
              <w:rPr>
                <w:rFonts w:ascii="Arial" w:cs="Arial" w:eastAsia="Arial" w:hAnsi="Arial"/>
                <w:sz w:val="14"/>
                <w:szCs w:val="14"/>
                <w:color w:val="auto"/>
              </w:rPr>
              <w:t>Diluted EPS -</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ind w:left="20"/>
              <w:spacing w:after="0" w:line="131" w:lineRule="exact"/>
              <w:rPr>
                <w:sz w:val="20"/>
                <w:szCs w:val="20"/>
                <w:color w:val="auto"/>
              </w:rPr>
            </w:pPr>
            <w:r>
              <w:rPr>
                <w:rFonts w:ascii="Arial" w:cs="Arial" w:eastAsia="Arial" w:hAnsi="Arial"/>
                <w:sz w:val="14"/>
                <w:szCs w:val="14"/>
                <w:color w:val="auto"/>
              </w:rPr>
              <w:t>Continuing</w:t>
            </w: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color w:val="auto"/>
                <w:w w:val="99"/>
              </w:rPr>
              <w:t>($0.61)</w:t>
            </w: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color w:val="auto"/>
              </w:rPr>
              <w:t>$0.01</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$0.12</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$0.13</w:t>
            </w:r>
          </w:p>
        </w:tc>
        <w:tc>
          <w:tcPr>
            <w:tcW w:w="820" w:type="dxa"/>
            <w:vAlign w:val="bottom"/>
            <w:vMerge w:val="restart"/>
          </w:tcPr>
          <w:p>
            <w:pPr>
              <w:jc w:val="right"/>
              <w:ind w:right="111"/>
              <w:spacing w:after="0"/>
              <w:rPr>
                <w:sz w:val="20"/>
                <w:szCs w:val="20"/>
                <w:color w:val="auto"/>
              </w:rPr>
            </w:pPr>
            <w:r>
              <w:rPr>
                <w:rFonts w:ascii="Arial" w:cs="Arial" w:eastAsia="Arial" w:hAnsi="Arial"/>
                <w:sz w:val="14"/>
                <w:szCs w:val="14"/>
                <w:color w:val="auto"/>
              </w:rPr>
              <w:t>($0.02)</w:t>
            </w:r>
          </w:p>
        </w:tc>
        <w:tc>
          <w:tcPr>
            <w:tcW w:w="90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2"/>
              <w:spacing w:after="0"/>
              <w:rPr>
                <w:sz w:val="20"/>
                <w:szCs w:val="20"/>
                <w:color w:val="auto"/>
              </w:rPr>
            </w:pPr>
            <w:r>
              <w:rPr>
                <w:rFonts w:ascii="Arial" w:cs="Arial" w:eastAsia="Arial" w:hAnsi="Arial"/>
                <w:sz w:val="14"/>
                <w:szCs w:val="14"/>
                <w:color w:val="auto"/>
              </w:rPr>
              <w:t>$0.21</w:t>
            </w:r>
          </w:p>
        </w:tc>
        <w:tc>
          <w:tcPr>
            <w:tcW w:w="980" w:type="dxa"/>
            <w:vAlign w:val="bottom"/>
            <w:vMerge w:val="restart"/>
          </w:tcPr>
          <w:p>
            <w:pPr>
              <w:jc w:val="right"/>
              <w:ind w:right="152"/>
              <w:spacing w:after="0"/>
              <w:rPr>
                <w:sz w:val="20"/>
                <w:szCs w:val="20"/>
                <w:color w:val="auto"/>
              </w:rPr>
            </w:pPr>
            <w:r>
              <w:rPr>
                <w:rFonts w:ascii="Arial" w:cs="Arial" w:eastAsia="Arial" w:hAnsi="Arial"/>
                <w:sz w:val="14"/>
                <w:szCs w:val="14"/>
                <w:color w:val="auto"/>
              </w:rPr>
              <w:t>$0.17</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$0.19</w:t>
            </w: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color w:val="auto"/>
              </w:rPr>
              <w:t>$0.05</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$0.09</w:t>
            </w:r>
          </w:p>
        </w:tc>
        <w:tc>
          <w:tcPr>
            <w:tcW w:w="720" w:type="dxa"/>
            <w:vAlign w:val="bottom"/>
            <w:vMerge w:val="restart"/>
          </w:tcPr>
          <w:p>
            <w:pPr>
              <w:jc w:val="right"/>
              <w:ind w:right="112"/>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69"/>
        </w:trPr>
        <w:tc>
          <w:tcPr>
            <w:tcW w:w="9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March 31, 2021 include:</w:t>
      </w:r>
    </w:p>
    <w:p>
      <w:pPr>
        <w:spacing w:after="0" w:line="39" w:lineRule="exact"/>
        <w:rPr>
          <w:sz w:val="20"/>
          <w:szCs w:val="20"/>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Revaluation associated with the classification of Heart Valves as held for sale</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22" w:lineRule="exact"/>
        <w:rPr>
          <w:rFonts w:ascii="Arial" w:cs="Arial" w:eastAsia="Arial" w:hAnsi="Arial"/>
          <w:sz w:val="14"/>
          <w:szCs w:val="14"/>
          <w:color w:val="auto"/>
        </w:rPr>
      </w:pPr>
    </w:p>
    <w:p>
      <w:pPr>
        <w:ind w:left="360" w:right="200" w:hanging="338"/>
        <w:spacing w:after="0" w:line="223"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and remeasurement of contingent consideration related to acquisitions and gain from remeasurement of an investment</w:t>
      </w:r>
    </w:p>
    <w:p>
      <w:pPr>
        <w:spacing w:after="0" w:line="15"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2" w:lineRule="exact"/>
        <w:rPr>
          <w:rFonts w:ascii="Arial" w:cs="Arial" w:eastAsia="Arial" w:hAnsi="Arial"/>
          <w:sz w:val="14"/>
          <w:szCs w:val="14"/>
          <w:color w:val="auto"/>
        </w:rPr>
      </w:pPr>
    </w:p>
    <w:p>
      <w:pPr>
        <w:ind w:left="360" w:hanging="338"/>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340"/>
          </w:cols>
          <w:pgMar w:left="320" w:top="876"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940" w:type="dxa"/>
            <w:vAlign w:val="bottom"/>
            <w:tcBorders>
              <w:top w:val="single" w:sz="8" w:color="auto"/>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Specified Items</w:t>
            </w:r>
          </w:p>
        </w:tc>
        <w:tc>
          <w:tcPr>
            <w:tcW w:w="10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Merger and</w:t>
            </w:r>
          </w:p>
        </w:tc>
        <w:tc>
          <w:tcPr>
            <w:tcW w:w="960" w:type="dxa"/>
            <w:vAlign w:val="bottom"/>
          </w:tcPr>
          <w:p>
            <w:pPr>
              <w:spacing w:after="0"/>
              <w:rPr>
                <w:sz w:val="9"/>
                <w:szCs w:val="9"/>
                <w:color w:val="auto"/>
              </w:rPr>
            </w:pPr>
          </w:p>
        </w:tc>
        <w:tc>
          <w:tcPr>
            <w:tcW w:w="940" w:type="dxa"/>
            <w:vAlign w:val="bottom"/>
          </w:tcPr>
          <w:p>
            <w:pPr>
              <w:jc w:val="center"/>
              <w:ind w:right="50"/>
              <w:spacing w:after="0" w:line="111" w:lineRule="exact"/>
              <w:rPr>
                <w:sz w:val="20"/>
                <w:szCs w:val="20"/>
                <w:color w:val="auto"/>
              </w:rPr>
            </w:pPr>
            <w:r>
              <w:rPr>
                <w:rFonts w:ascii="Arial" w:cs="Arial" w:eastAsia="Arial" w:hAnsi="Arial"/>
                <w:sz w:val="12"/>
                <w:szCs w:val="12"/>
                <w:b w:val="1"/>
                <w:bCs w:val="1"/>
                <w:color w:val="auto"/>
              </w:rPr>
              <w:t>Depreciation</w:t>
            </w:r>
          </w:p>
        </w:tc>
        <w:tc>
          <w:tcPr>
            <w:tcW w:w="88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Product</w:t>
            </w:r>
          </w:p>
        </w:tc>
        <w:tc>
          <w:tcPr>
            <w:tcW w:w="1060" w:type="dxa"/>
            <w:vAlign w:val="bottom"/>
          </w:tcPr>
          <w:p>
            <w:pPr>
              <w:jc w:val="center"/>
              <w:ind w:right="12"/>
              <w:spacing w:after="0" w:line="111" w:lineRule="exact"/>
              <w:rPr>
                <w:sz w:val="20"/>
                <w:szCs w:val="20"/>
                <w:color w:val="auto"/>
              </w:rPr>
            </w:pPr>
            <w:r>
              <w:rPr>
                <w:rFonts w:ascii="Arial" w:cs="Arial" w:eastAsia="Arial" w:hAnsi="Arial"/>
                <w:sz w:val="12"/>
                <w:szCs w:val="12"/>
                <w:b w:val="1"/>
                <w:bCs w:val="1"/>
                <w:color w:val="auto"/>
              </w:rPr>
              <w:t>Certain Legal,</w:t>
            </w: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0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26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40" w:type="dxa"/>
            <w:vAlign w:val="bottom"/>
            <w:vMerge w:val="continue"/>
          </w:tcPr>
          <w:p>
            <w:pPr>
              <w:spacing w:after="0"/>
              <w:rPr>
                <w:sz w:val="10"/>
                <w:szCs w:val="10"/>
                <w:color w:val="auto"/>
              </w:rPr>
            </w:pPr>
          </w:p>
        </w:tc>
        <w:tc>
          <w:tcPr>
            <w:tcW w:w="960" w:type="dxa"/>
            <w:vAlign w:val="bottom"/>
            <w:vMerge w:val="restart"/>
          </w:tcPr>
          <w:p>
            <w:pPr>
              <w:jc w:val="center"/>
              <w:ind w:right="12"/>
              <w:spacing w:after="0"/>
              <w:rPr>
                <w:sz w:val="20"/>
                <w:szCs w:val="20"/>
                <w:color w:val="auto"/>
              </w:rPr>
            </w:pPr>
            <w:r>
              <w:rPr>
                <w:rFonts w:ascii="Arial" w:cs="Arial" w:eastAsia="Arial" w:hAnsi="Arial"/>
                <w:sz w:val="12"/>
                <w:szCs w:val="12"/>
                <w:b w:val="1"/>
                <w:bCs w:val="1"/>
                <w:color w:val="auto"/>
              </w:rPr>
              <w:t>Restructuring</w:t>
            </w:r>
          </w:p>
        </w:tc>
        <w:tc>
          <w:tcPr>
            <w:tcW w:w="940" w:type="dxa"/>
            <w:vAlign w:val="bottom"/>
          </w:tcPr>
          <w:p>
            <w:pPr>
              <w:jc w:val="center"/>
              <w:ind w:right="50"/>
              <w:spacing w:after="0" w:line="118" w:lineRule="exact"/>
              <w:rPr>
                <w:sz w:val="20"/>
                <w:szCs w:val="20"/>
                <w:color w:val="auto"/>
              </w:rPr>
            </w:pPr>
            <w:r>
              <w:rPr>
                <w:rFonts w:ascii="Arial" w:cs="Arial" w:eastAsia="Arial" w:hAnsi="Arial"/>
                <w:sz w:val="12"/>
                <w:szCs w:val="12"/>
                <w:b w:val="1"/>
                <w:bCs w:val="1"/>
                <w:color w:val="auto"/>
              </w:rPr>
              <w:t>and</w:t>
            </w:r>
          </w:p>
        </w:tc>
        <w:tc>
          <w:tcPr>
            <w:tcW w:w="880" w:type="dxa"/>
            <w:vAlign w:val="bottom"/>
            <w:vMerge w:val="continue"/>
          </w:tcPr>
          <w:p>
            <w:pPr>
              <w:spacing w:after="0"/>
              <w:rPr>
                <w:sz w:val="10"/>
                <w:szCs w:val="10"/>
                <w:color w:val="auto"/>
              </w:rPr>
            </w:pPr>
          </w:p>
        </w:tc>
        <w:tc>
          <w:tcPr>
            <w:tcW w:w="106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Contingent</w:t>
            </w:r>
          </w:p>
        </w:tc>
        <w:tc>
          <w:tcPr>
            <w:tcW w:w="10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 Tax</w:t>
            </w:r>
          </w:p>
        </w:tc>
        <w:tc>
          <w:tcPr>
            <w:tcW w:w="8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8"/>
        </w:trPr>
        <w:tc>
          <w:tcPr>
            <w:tcW w:w="2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vMerge w:val="continue"/>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Integration</w:t>
            </w:r>
          </w:p>
        </w:tc>
        <w:tc>
          <w:tcPr>
            <w:tcW w:w="960" w:type="dxa"/>
            <w:vAlign w:val="bottom"/>
            <w:vMerge w:val="continue"/>
          </w:tcPr>
          <w:p>
            <w:pPr>
              <w:spacing w:after="0"/>
              <w:rPr>
                <w:sz w:val="10"/>
                <w:szCs w:val="10"/>
                <w:color w:val="auto"/>
              </w:rPr>
            </w:pPr>
          </w:p>
        </w:tc>
        <w:tc>
          <w:tcPr>
            <w:tcW w:w="940" w:type="dxa"/>
            <w:vAlign w:val="bottom"/>
          </w:tcPr>
          <w:p>
            <w:pPr>
              <w:jc w:val="center"/>
              <w:ind w:right="30"/>
              <w:spacing w:after="0" w:line="118" w:lineRule="exact"/>
              <w:rPr>
                <w:sz w:val="20"/>
                <w:szCs w:val="20"/>
                <w:color w:val="auto"/>
              </w:rPr>
            </w:pPr>
            <w:r>
              <w:rPr>
                <w:rFonts w:ascii="Arial" w:cs="Arial" w:eastAsia="Arial" w:hAnsi="Arial"/>
                <w:sz w:val="12"/>
                <w:szCs w:val="12"/>
                <w:b w:val="1"/>
                <w:bCs w:val="1"/>
                <w:color w:val="auto"/>
              </w:rPr>
              <w:t>Amortization</w:t>
            </w:r>
          </w:p>
        </w:tc>
        <w:tc>
          <w:tcPr>
            <w:tcW w:w="880" w:type="dxa"/>
            <w:vAlign w:val="bottom"/>
          </w:tcPr>
          <w:p>
            <w:pPr>
              <w:jc w:val="center"/>
              <w:ind w:right="72"/>
              <w:spacing w:after="0" w:line="118" w:lineRule="exact"/>
              <w:rPr>
                <w:sz w:val="20"/>
                <w:szCs w:val="20"/>
                <w:color w:val="auto"/>
              </w:rPr>
            </w:pPr>
            <w:r>
              <w:rPr>
                <w:rFonts w:ascii="Arial" w:cs="Arial" w:eastAsia="Arial" w:hAnsi="Arial"/>
                <w:sz w:val="12"/>
                <w:szCs w:val="12"/>
                <w:b w:val="1"/>
                <w:bCs w:val="1"/>
                <w:color w:val="auto"/>
              </w:rPr>
              <w:t>Remediation</w:t>
            </w:r>
          </w:p>
        </w:tc>
        <w:tc>
          <w:tcPr>
            <w:tcW w:w="106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Consideration</w:t>
            </w:r>
          </w:p>
        </w:tc>
        <w:tc>
          <w:tcPr>
            <w:tcW w:w="10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Compensation</w:t>
            </w:r>
          </w:p>
        </w:tc>
        <w:tc>
          <w:tcPr>
            <w:tcW w:w="900" w:type="dxa"/>
            <w:vAlign w:val="bottom"/>
            <w:vMerge w:val="continue"/>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60" w:type="dxa"/>
            <w:vAlign w:val="bottom"/>
            <w:vMerge w:val="continue"/>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Financial</w:t>
            </w:r>
          </w:p>
        </w:tc>
        <w:tc>
          <w:tcPr>
            <w:tcW w:w="84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w w:val="99"/>
              </w:rPr>
              <w:t>Expenses</w:t>
            </w:r>
          </w:p>
        </w:tc>
        <w:tc>
          <w:tcPr>
            <w:tcW w:w="960" w:type="dxa"/>
            <w:vAlign w:val="bottom"/>
          </w:tcPr>
          <w:p>
            <w:pPr>
              <w:jc w:val="center"/>
              <w:ind w:right="32"/>
              <w:spacing w:after="0" w:line="118" w:lineRule="exact"/>
              <w:rPr>
                <w:sz w:val="20"/>
                <w:szCs w:val="20"/>
                <w:color w:val="auto"/>
              </w:rPr>
            </w:pPr>
            <w:r>
              <w:rPr>
                <w:rFonts w:ascii="Arial" w:cs="Arial" w:eastAsia="Arial" w:hAnsi="Arial"/>
                <w:sz w:val="12"/>
                <w:szCs w:val="12"/>
                <w:b w:val="1"/>
                <w:bCs w:val="1"/>
                <w:color w:val="auto"/>
              </w:rPr>
              <w:t>Expenses</w:t>
            </w:r>
          </w:p>
        </w:tc>
        <w:tc>
          <w:tcPr>
            <w:tcW w:w="940" w:type="dxa"/>
            <w:vAlign w:val="bottom"/>
          </w:tcPr>
          <w:p>
            <w:pPr>
              <w:jc w:val="center"/>
              <w:ind w:right="70"/>
              <w:spacing w:after="0" w:line="118"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92"/>
              <w:spacing w:after="0" w:line="118" w:lineRule="exact"/>
              <w:rPr>
                <w:sz w:val="20"/>
                <w:szCs w:val="20"/>
                <w:color w:val="auto"/>
              </w:rPr>
            </w:pPr>
            <w:r>
              <w:rPr>
                <w:rFonts w:ascii="Arial" w:cs="Arial" w:eastAsia="Arial" w:hAnsi="Arial"/>
                <w:sz w:val="12"/>
                <w:szCs w:val="12"/>
                <w:b w:val="1"/>
                <w:bCs w:val="1"/>
                <w:color w:val="auto"/>
                <w:w w:val="99"/>
              </w:rPr>
              <w:t>Expenses</w:t>
            </w:r>
          </w:p>
        </w:tc>
        <w:tc>
          <w:tcPr>
            <w:tcW w:w="106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and Other</w:t>
            </w:r>
          </w:p>
        </w:tc>
        <w:tc>
          <w:tcPr>
            <w:tcW w:w="102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Costs</w:t>
            </w:r>
          </w:p>
        </w:tc>
        <w:tc>
          <w:tcPr>
            <w:tcW w:w="900" w:type="dxa"/>
            <w:vAlign w:val="bottom"/>
          </w:tcPr>
          <w:p>
            <w:pPr>
              <w:jc w:val="center"/>
              <w:ind w:right="12"/>
              <w:spacing w:after="0" w:line="118" w:lineRule="exact"/>
              <w:rPr>
                <w:sz w:val="20"/>
                <w:szCs w:val="20"/>
                <w:color w:val="auto"/>
              </w:rPr>
            </w:pPr>
            <w:r>
              <w:rPr>
                <w:rFonts w:ascii="Arial" w:cs="Arial" w:eastAsia="Arial" w:hAnsi="Arial"/>
                <w:sz w:val="12"/>
                <w:szCs w:val="12"/>
                <w:b w:val="1"/>
                <w:bCs w:val="1"/>
                <w:color w:val="auto"/>
              </w:rPr>
              <w:t>Adjustments</w:t>
            </w:r>
          </w:p>
        </w:tc>
        <w:tc>
          <w:tcPr>
            <w:tcW w:w="88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rPr>
              <w:t>Adjustments</w:t>
            </w:r>
          </w:p>
        </w:tc>
        <w:tc>
          <w:tcPr>
            <w:tcW w:w="7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9"/>
              </w:rPr>
              <w:t>Financial</w:t>
            </w:r>
          </w:p>
        </w:tc>
        <w:tc>
          <w:tcPr>
            <w:tcW w:w="0" w:type="dxa"/>
            <w:vAlign w:val="bottom"/>
          </w:tcPr>
          <w:p>
            <w:pPr>
              <w:spacing w:after="0"/>
              <w:rPr>
                <w:sz w:val="1"/>
                <w:szCs w:val="1"/>
                <w:color w:val="auto"/>
              </w:rPr>
            </w:pPr>
          </w:p>
        </w:tc>
      </w:tr>
      <w:tr>
        <w:trPr>
          <w:trHeight w:val="171"/>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2020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95"/>
              </w:rPr>
              <w:t>(B)</w:t>
            </w: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5"/>
              </w:rPr>
              <w:t>(C)</w:t>
            </w:r>
          </w:p>
        </w:tc>
        <w:tc>
          <w:tcPr>
            <w:tcW w:w="88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5"/>
              </w:rPr>
              <w:t>(D)</w:t>
            </w: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99"/>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2"/>
        </w:trPr>
        <w:tc>
          <w:tcPr>
            <w:tcW w:w="2260" w:type="dxa"/>
            <w:vAlign w:val="bottom"/>
          </w:tcPr>
          <w:p>
            <w:pPr>
              <w:ind w:left="20"/>
              <w:spacing w:after="0" w:line="142" w:lineRule="exact"/>
              <w:rPr>
                <w:sz w:val="20"/>
                <w:szCs w:val="20"/>
                <w:color w:val="auto"/>
              </w:rPr>
            </w:pPr>
            <w:r>
              <w:rPr>
                <w:rFonts w:ascii="Arial" w:cs="Arial" w:eastAsia="Arial" w:hAnsi="Arial"/>
                <w:sz w:val="14"/>
                <w:szCs w:val="14"/>
                <w:color w:val="auto"/>
              </w:rPr>
              <w:t>Cost of sales - exclusive of</w:t>
            </w: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color w:val="auto"/>
              </w:rPr>
              <w:t>$68.9</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($0.4)</w:t>
            </w: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52"/>
              <w:spacing w:after="0"/>
              <w:rPr>
                <w:sz w:val="20"/>
                <w:szCs w:val="20"/>
                <w:color w:val="auto"/>
              </w:rPr>
            </w:pPr>
            <w:r>
              <w:rPr>
                <w:rFonts w:ascii="Arial" w:cs="Arial" w:eastAsia="Arial" w:hAnsi="Arial"/>
                <w:sz w:val="14"/>
                <w:szCs w:val="14"/>
                <w:color w:val="auto"/>
              </w:rPr>
              <w:t>$8.8</w:t>
            </w:r>
          </w:p>
        </w:tc>
        <w:tc>
          <w:tcPr>
            <w:tcW w:w="1020" w:type="dxa"/>
            <w:vAlign w:val="bottom"/>
            <w:vMerge w:val="restart"/>
          </w:tcPr>
          <w:p>
            <w:pPr>
              <w:jc w:val="right"/>
              <w:ind w:right="92"/>
              <w:spacing w:after="0"/>
              <w:rPr>
                <w:sz w:val="20"/>
                <w:szCs w:val="20"/>
                <w:color w:val="auto"/>
              </w:rPr>
            </w:pPr>
            <w:r>
              <w:rPr>
                <w:rFonts w:ascii="Arial" w:cs="Arial" w:eastAsia="Arial" w:hAnsi="Arial"/>
                <w:sz w:val="14"/>
                <w:szCs w:val="14"/>
                <w:color w:val="auto"/>
              </w:rPr>
              <w:t>($0.6)</w:t>
            </w: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Product remediation</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(1.5)</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60" w:type="dxa"/>
            <w:vAlign w:val="bottom"/>
          </w:tcPr>
          <w:p>
            <w:pPr>
              <w:jc w:val="right"/>
              <w:spacing w:after="0"/>
              <w:rPr>
                <w:sz w:val="20"/>
                <w:szCs w:val="20"/>
                <w:color w:val="auto"/>
              </w:rPr>
            </w:pPr>
            <w:r>
              <w:rPr>
                <w:rFonts w:ascii="Arial" w:cs="Arial" w:eastAsia="Arial" w:hAnsi="Arial"/>
                <w:sz w:val="14"/>
                <w:szCs w:val="14"/>
                <w:color w:val="auto"/>
              </w:rPr>
              <w:t>71.0 %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0.2 %</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0.6 %</w:t>
            </w:r>
          </w:p>
        </w:tc>
        <w:tc>
          <w:tcPr>
            <w:tcW w:w="1060" w:type="dxa"/>
            <w:vAlign w:val="bottom"/>
          </w:tcPr>
          <w:p>
            <w:pPr>
              <w:jc w:val="right"/>
              <w:spacing w:after="0"/>
              <w:rPr>
                <w:sz w:val="20"/>
                <w:szCs w:val="20"/>
                <w:color w:val="auto"/>
              </w:rPr>
            </w:pPr>
            <w:r>
              <w:rPr>
                <w:rFonts w:ascii="Arial" w:cs="Arial" w:eastAsia="Arial" w:hAnsi="Arial"/>
                <w:sz w:val="14"/>
                <w:szCs w:val="14"/>
                <w:color w:val="auto"/>
              </w:rPr>
              <w:t>(3.6)%</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68.3 %</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120.2</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(9.1)</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(7.3)</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46"/>
        </w:trPr>
        <w:tc>
          <w:tcPr>
            <w:tcW w:w="2260" w:type="dxa"/>
            <w:vAlign w:val="bottom"/>
          </w:tcPr>
          <w:p>
            <w:pPr>
              <w:ind w:left="20"/>
              <w:spacing w:after="0" w:line="147" w:lineRule="exact"/>
              <w:rPr>
                <w:sz w:val="20"/>
                <w:szCs w:val="20"/>
                <w:color w:val="auto"/>
              </w:rPr>
            </w:pPr>
            <w:r>
              <w:rPr>
                <w:rFonts w:ascii="Arial" w:cs="Arial" w:eastAsia="Arial" w:hAnsi="Arial"/>
                <w:sz w:val="14"/>
                <w:szCs w:val="14"/>
                <w:color w:val="auto"/>
              </w:rPr>
              <w:t>Selling, general and administrative</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42.8 %</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as a percent of net sales</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35.9</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6.2</w:t>
            </w:r>
          </w:p>
        </w:tc>
        <w:tc>
          <w:tcPr>
            <w:tcW w:w="1020" w:type="dxa"/>
            <w:vAlign w:val="bottom"/>
          </w:tcPr>
          <w:p>
            <w:pPr>
              <w:jc w:val="right"/>
              <w:ind w:right="92"/>
              <w:spacing w:after="0"/>
              <w:rPr>
                <w:sz w:val="20"/>
                <w:szCs w:val="20"/>
                <w:color w:val="auto"/>
              </w:rPr>
            </w:pPr>
            <w:r>
              <w:rPr>
                <w:rFonts w:ascii="Arial" w:cs="Arial" w:eastAsia="Arial" w:hAnsi="Arial"/>
                <w:sz w:val="14"/>
                <w:szCs w:val="14"/>
                <w:color w:val="auto"/>
              </w:rPr>
              <w:t>(1.2)</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46"/>
        </w:trPr>
        <w:tc>
          <w:tcPr>
            <w:tcW w:w="2260" w:type="dxa"/>
            <w:vAlign w:val="bottom"/>
          </w:tcPr>
          <w:p>
            <w:pPr>
              <w:ind w:left="20"/>
              <w:spacing w:after="0" w:line="147" w:lineRule="exact"/>
              <w:rPr>
                <w:sz w:val="20"/>
                <w:szCs w:val="20"/>
                <w:color w:val="auto"/>
              </w:rPr>
            </w:pPr>
            <w:r>
              <w:rPr>
                <w:rFonts w:ascii="Arial" w:cs="Arial" w:eastAsia="Arial" w:hAnsi="Arial"/>
                <w:sz w:val="14"/>
                <w:szCs w:val="14"/>
                <w:color w:val="auto"/>
              </w:rPr>
              <w:t>Research and development as a</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14.8 %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ind w:right="1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color w:val="auto"/>
              </w:rPr>
              <w:t>— %</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16.9 %</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760" w:type="dxa"/>
            <w:vAlign w:val="bottom"/>
          </w:tcPr>
          <w:p>
            <w:pPr>
              <w:jc w:val="right"/>
              <w:ind w:right="132"/>
              <w:spacing w:after="0"/>
              <w:rPr>
                <w:sz w:val="20"/>
                <w:szCs w:val="20"/>
                <w:color w:val="auto"/>
              </w:rPr>
            </w:pPr>
            <w:r>
              <w:rPr>
                <w:rFonts w:ascii="Arial" w:cs="Arial" w:eastAsia="Arial" w:hAnsi="Arial"/>
                <w:sz w:val="14"/>
                <w:szCs w:val="14"/>
                <w:color w:val="auto"/>
              </w:rPr>
              <w:t>15.3</w:t>
            </w:r>
          </w:p>
        </w:tc>
        <w:tc>
          <w:tcPr>
            <w:tcW w:w="840" w:type="dxa"/>
            <w:vAlign w:val="bottom"/>
          </w:tcPr>
          <w:p>
            <w:pPr>
              <w:jc w:val="right"/>
              <w:ind w:right="112"/>
              <w:spacing w:after="0"/>
              <w:rPr>
                <w:sz w:val="20"/>
                <w:szCs w:val="20"/>
                <w:color w:val="auto"/>
              </w:rPr>
            </w:pPr>
            <w:r>
              <w:rPr>
                <w:rFonts w:ascii="Arial" w:cs="Arial" w:eastAsia="Arial" w:hAnsi="Arial"/>
                <w:sz w:val="14"/>
                <w:szCs w:val="14"/>
                <w:color w:val="auto"/>
              </w:rPr>
              <w:t>(3.5)</w:t>
            </w:r>
          </w:p>
        </w:tc>
        <w:tc>
          <w:tcPr>
            <w:tcW w:w="960" w:type="dxa"/>
            <w:vAlign w:val="bottom"/>
          </w:tcPr>
          <w:p>
            <w:pPr>
              <w:jc w:val="right"/>
              <w:ind w:right="112"/>
              <w:spacing w:after="0"/>
              <w:rPr>
                <w:sz w:val="20"/>
                <w:szCs w:val="20"/>
                <w:color w:val="auto"/>
              </w:rPr>
            </w:pPr>
            <w:r>
              <w:rPr>
                <w:rFonts w:ascii="Arial" w:cs="Arial" w:eastAsia="Arial" w:hAnsi="Arial"/>
                <w:sz w:val="14"/>
                <w:szCs w:val="14"/>
                <w:color w:val="auto"/>
              </w:rPr>
              <w:t>(1.6)</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(10.3)</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ind w:left="20"/>
              <w:spacing w:after="0" w:line="147" w:lineRule="exact"/>
              <w:rPr>
                <w:sz w:val="20"/>
                <w:szCs w:val="20"/>
                <w:color w:val="auto"/>
              </w:rPr>
            </w:pPr>
            <w:r>
              <w:rPr>
                <w:rFonts w:ascii="Arial" w:cs="Arial" w:eastAsia="Arial" w:hAnsi="Arial"/>
                <w:sz w:val="14"/>
                <w:szCs w:val="14"/>
                <w:color w:val="auto"/>
              </w:rPr>
              <w:t>Operating income from continuing</w:t>
            </w: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color w:val="auto"/>
              </w:rPr>
              <w:t>0.6</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3.5</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1.6</w:t>
            </w:r>
          </w:p>
        </w:tc>
        <w:tc>
          <w:tcPr>
            <w:tcW w:w="940" w:type="dxa"/>
            <w:vAlign w:val="bottom"/>
            <w:vMerge w:val="restart"/>
          </w:tcPr>
          <w:p>
            <w:pPr>
              <w:jc w:val="right"/>
              <w:ind w:right="190"/>
              <w:spacing w:after="0"/>
              <w:rPr>
                <w:sz w:val="20"/>
                <w:szCs w:val="20"/>
                <w:color w:val="auto"/>
              </w:rPr>
            </w:pPr>
            <w:r>
              <w:rPr>
                <w:rFonts w:ascii="Arial" w:cs="Arial" w:eastAsia="Arial" w:hAnsi="Arial"/>
                <w:sz w:val="14"/>
                <w:szCs w:val="14"/>
                <w:color w:val="auto"/>
              </w:rPr>
              <w:t>10.7</w:t>
            </w: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color w:val="auto"/>
              </w:rPr>
              <w:t>1.5</w:t>
            </w: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color w:val="auto"/>
              </w:rPr>
              <w:t>(5.9)</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9.0</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60" w:type="dxa"/>
            <w:vAlign w:val="bottom"/>
          </w:tcPr>
          <w:p>
            <w:pPr>
              <w:jc w:val="right"/>
              <w:spacing w:after="0"/>
              <w:rPr>
                <w:sz w:val="20"/>
                <w:szCs w:val="20"/>
                <w:color w:val="auto"/>
              </w:rPr>
            </w:pPr>
            <w:r>
              <w:rPr>
                <w:rFonts w:ascii="Arial" w:cs="Arial" w:eastAsia="Arial" w:hAnsi="Arial"/>
                <w:sz w:val="14"/>
                <w:szCs w:val="14"/>
                <w:color w:val="auto"/>
              </w:rPr>
              <w:t>0.3 %</w:t>
            </w:r>
          </w:p>
        </w:tc>
        <w:tc>
          <w:tcPr>
            <w:tcW w:w="840" w:type="dxa"/>
            <w:vAlign w:val="bottom"/>
          </w:tcPr>
          <w:p>
            <w:pPr>
              <w:jc w:val="right"/>
              <w:spacing w:after="0"/>
              <w:rPr>
                <w:sz w:val="20"/>
                <w:szCs w:val="20"/>
                <w:color w:val="auto"/>
              </w:rPr>
            </w:pPr>
            <w:r>
              <w:rPr>
                <w:rFonts w:ascii="Arial" w:cs="Arial" w:eastAsia="Arial" w:hAnsi="Arial"/>
                <w:sz w:val="14"/>
                <w:szCs w:val="14"/>
                <w:color w:val="auto"/>
              </w:rPr>
              <w:t>1.4 %</w:t>
            </w:r>
          </w:p>
        </w:tc>
        <w:tc>
          <w:tcPr>
            <w:tcW w:w="960" w:type="dxa"/>
            <w:vAlign w:val="bottom"/>
          </w:tcPr>
          <w:p>
            <w:pPr>
              <w:jc w:val="right"/>
              <w:spacing w:after="0"/>
              <w:rPr>
                <w:sz w:val="20"/>
                <w:szCs w:val="20"/>
                <w:color w:val="auto"/>
              </w:rPr>
            </w:pPr>
            <w:r>
              <w:rPr>
                <w:rFonts w:ascii="Arial" w:cs="Arial" w:eastAsia="Arial" w:hAnsi="Arial"/>
                <w:sz w:val="14"/>
                <w:szCs w:val="14"/>
                <w:color w:val="auto"/>
              </w:rPr>
              <w:t>0.7 %</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4.4 %</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0.6 %</w:t>
            </w: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1020" w:type="dxa"/>
            <w:vAlign w:val="bottom"/>
          </w:tcPr>
          <w:p>
            <w:pPr>
              <w:jc w:val="right"/>
              <w:spacing w:after="0"/>
              <w:rPr>
                <w:sz w:val="20"/>
                <w:szCs w:val="20"/>
                <w:color w:val="auto"/>
              </w:rPr>
            </w:pPr>
            <w:r>
              <w:rPr>
                <w:rFonts w:ascii="Arial" w:cs="Arial" w:eastAsia="Arial" w:hAnsi="Arial"/>
                <w:sz w:val="14"/>
                <w:szCs w:val="14"/>
                <w:color w:val="auto"/>
              </w:rPr>
              <w:t>3.7 %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760" w:type="dxa"/>
            <w:vAlign w:val="bottom"/>
          </w:tcPr>
          <w:p>
            <w:pPr>
              <w:jc w:val="right"/>
              <w:ind w:right="92"/>
              <w:spacing w:after="0"/>
              <w:rPr>
                <w:sz w:val="20"/>
                <w:szCs w:val="20"/>
                <w:color w:val="auto"/>
              </w:rPr>
            </w:pPr>
            <w:r>
              <w:rPr>
                <w:rFonts w:ascii="Arial" w:cs="Arial" w:eastAsia="Arial" w:hAnsi="Arial"/>
                <w:sz w:val="14"/>
                <w:szCs w:val="14"/>
                <w:color w:val="auto"/>
              </w:rPr>
              <w:t>(44.7)</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0.3</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0.2</w:t>
            </w:r>
          </w:p>
        </w:tc>
        <w:tc>
          <w:tcPr>
            <w:tcW w:w="940" w:type="dxa"/>
            <w:vAlign w:val="bottom"/>
          </w:tcPr>
          <w:p>
            <w:pPr>
              <w:jc w:val="right"/>
              <w:ind w:right="190"/>
              <w:spacing w:after="0"/>
              <w:rPr>
                <w:sz w:val="20"/>
                <w:szCs w:val="20"/>
                <w:color w:val="auto"/>
              </w:rPr>
            </w:pPr>
            <w:r>
              <w:rPr>
                <w:rFonts w:ascii="Arial" w:cs="Arial" w:eastAsia="Arial" w:hAnsi="Arial"/>
                <w:sz w:val="14"/>
                <w:szCs w:val="14"/>
                <w:color w:val="auto"/>
              </w:rPr>
              <w:t>1.6</w:t>
            </w:r>
          </w:p>
        </w:tc>
        <w:tc>
          <w:tcPr>
            <w:tcW w:w="880" w:type="dxa"/>
            <w:vAlign w:val="bottom"/>
          </w:tcPr>
          <w:p>
            <w:pPr>
              <w:jc w:val="right"/>
              <w:ind w:right="172"/>
              <w:spacing w:after="0"/>
              <w:rPr>
                <w:sz w:val="20"/>
                <w:szCs w:val="20"/>
                <w:color w:val="auto"/>
              </w:rPr>
            </w:pPr>
            <w:r>
              <w:rPr>
                <w:rFonts w:ascii="Arial" w:cs="Arial" w:eastAsia="Arial" w:hAnsi="Arial"/>
                <w:sz w:val="14"/>
                <w:szCs w:val="14"/>
                <w:color w:val="auto"/>
              </w:rPr>
              <w:t>0.3</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1.4</w:t>
            </w:r>
          </w:p>
        </w:tc>
        <w:tc>
          <w:tcPr>
            <w:tcW w:w="1020" w:type="dxa"/>
            <w:vAlign w:val="bottom"/>
          </w:tcPr>
          <w:p>
            <w:pPr>
              <w:jc w:val="right"/>
              <w:ind w:right="132"/>
              <w:spacing w:after="0"/>
              <w:rPr>
                <w:sz w:val="20"/>
                <w:szCs w:val="20"/>
                <w:color w:val="auto"/>
              </w:rPr>
            </w:pPr>
            <w:r>
              <w:rPr>
                <w:rFonts w:ascii="Arial" w:cs="Arial" w:eastAsia="Arial" w:hAnsi="Arial"/>
                <w:sz w:val="14"/>
                <w:szCs w:val="14"/>
                <w:color w:val="auto"/>
              </w:rPr>
              <w:t>1.0</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40.9</w:t>
            </w:r>
          </w:p>
        </w:tc>
        <w:tc>
          <w:tcPr>
            <w:tcW w:w="880" w:type="dxa"/>
            <w:vAlign w:val="bottom"/>
          </w:tcPr>
          <w:p>
            <w:pPr>
              <w:jc w:val="right"/>
              <w:ind w:right="112"/>
              <w:spacing w:after="0"/>
              <w:rPr>
                <w:sz w:val="20"/>
                <w:szCs w:val="20"/>
                <w:color w:val="auto"/>
              </w:rPr>
            </w:pPr>
            <w:r>
              <w:rPr>
                <w:rFonts w:ascii="Arial" w:cs="Arial" w:eastAsia="Arial" w:hAnsi="Arial"/>
                <w:sz w:val="14"/>
                <w:szCs w:val="14"/>
                <w:color w:val="auto"/>
              </w:rPr>
              <w:t>0.5</w:t>
            </w:r>
          </w:p>
        </w:tc>
        <w:tc>
          <w:tcPr>
            <w:tcW w:w="74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2260" w:type="dxa"/>
            <w:vAlign w:val="bottom"/>
          </w:tcPr>
          <w:p>
            <w:pPr>
              <w:ind w:left="20"/>
              <w:spacing w:after="0" w:line="147" w:lineRule="exact"/>
              <w:rPr>
                <w:sz w:val="20"/>
                <w:szCs w:val="20"/>
                <w:color w:val="auto"/>
              </w:rPr>
            </w:pPr>
            <w:r>
              <w:rPr>
                <w:rFonts w:ascii="Arial" w:cs="Arial" w:eastAsia="Arial" w:hAnsi="Arial"/>
                <w:sz w:val="14"/>
                <w:szCs w:val="14"/>
                <w:color w:val="auto"/>
              </w:rPr>
              <w:t>Net income from continuing</w:t>
            </w: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color w:val="auto"/>
              </w:rPr>
              <w:t>38.6</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3.2</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1.4</w:t>
            </w:r>
          </w:p>
        </w:tc>
        <w:tc>
          <w:tcPr>
            <w:tcW w:w="940" w:type="dxa"/>
            <w:vAlign w:val="bottom"/>
            <w:vMerge w:val="restart"/>
          </w:tcPr>
          <w:p>
            <w:pPr>
              <w:jc w:val="right"/>
              <w:ind w:right="190"/>
              <w:spacing w:after="0"/>
              <w:rPr>
                <w:sz w:val="20"/>
                <w:szCs w:val="20"/>
                <w:color w:val="auto"/>
              </w:rPr>
            </w:pPr>
            <w:r>
              <w:rPr>
                <w:rFonts w:ascii="Arial" w:cs="Arial" w:eastAsia="Arial" w:hAnsi="Arial"/>
                <w:sz w:val="14"/>
                <w:szCs w:val="14"/>
                <w:color w:val="auto"/>
              </w:rPr>
              <w:t>9.2</w:t>
            </w: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color w:val="auto"/>
              </w:rPr>
              <w:t>1.2</w:t>
            </w: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color w:val="auto"/>
              </w:rPr>
              <w:t>(7.3)</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8.0</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(40.9)</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2.6</w:t>
            </w: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60" w:type="dxa"/>
            <w:vAlign w:val="bottom"/>
          </w:tcPr>
          <w:p>
            <w:pPr>
              <w:ind w:left="20"/>
              <w:spacing w:after="0" w:line="147" w:lineRule="exact"/>
              <w:rPr>
                <w:sz w:val="20"/>
                <w:szCs w:val="20"/>
                <w:color w:val="auto"/>
              </w:rPr>
            </w:pPr>
            <w:r>
              <w:rPr>
                <w:rFonts w:ascii="Arial" w:cs="Arial" w:eastAsia="Arial" w:hAnsi="Arial"/>
                <w:sz w:val="14"/>
                <w:szCs w:val="14"/>
                <w:color w:val="auto"/>
              </w:rPr>
              <w:t>Diluted EPS - Continuing</w:t>
            </w: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color w:val="auto"/>
              </w:rPr>
              <w:t>$0.79</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color w:val="auto"/>
              </w:rPr>
              <w:t>$0.07</w:t>
            </w: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color w:val="auto"/>
              </w:rPr>
              <w:t>$0.03</w:t>
            </w:r>
          </w:p>
        </w:tc>
        <w:tc>
          <w:tcPr>
            <w:tcW w:w="940" w:type="dxa"/>
            <w:vAlign w:val="bottom"/>
            <w:vMerge w:val="restart"/>
          </w:tcPr>
          <w:p>
            <w:pPr>
              <w:jc w:val="right"/>
              <w:ind w:right="190"/>
              <w:spacing w:after="0"/>
              <w:rPr>
                <w:sz w:val="20"/>
                <w:szCs w:val="20"/>
                <w:color w:val="auto"/>
              </w:rPr>
            </w:pPr>
            <w:r>
              <w:rPr>
                <w:rFonts w:ascii="Arial" w:cs="Arial" w:eastAsia="Arial" w:hAnsi="Arial"/>
                <w:sz w:val="14"/>
                <w:szCs w:val="14"/>
                <w:color w:val="auto"/>
              </w:rPr>
              <w:t>$0.19</w:t>
            </w: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color w:val="auto"/>
              </w:rPr>
              <w:t>$0.02</w:t>
            </w:r>
          </w:p>
        </w:tc>
        <w:tc>
          <w:tcPr>
            <w:tcW w:w="1060" w:type="dxa"/>
            <w:vAlign w:val="bottom"/>
            <w:vMerge w:val="restart"/>
          </w:tcPr>
          <w:p>
            <w:pPr>
              <w:jc w:val="right"/>
              <w:ind w:right="112"/>
              <w:spacing w:after="0"/>
              <w:rPr>
                <w:sz w:val="20"/>
                <w:szCs w:val="20"/>
                <w:color w:val="auto"/>
              </w:rPr>
            </w:pPr>
            <w:r>
              <w:rPr>
                <w:rFonts w:ascii="Arial" w:cs="Arial" w:eastAsia="Arial" w:hAnsi="Arial"/>
                <w:sz w:val="14"/>
                <w:szCs w:val="14"/>
                <w:color w:val="auto"/>
              </w:rPr>
              <w:t>($0.15)</w:t>
            </w:r>
          </w:p>
        </w:tc>
        <w:tc>
          <w:tcPr>
            <w:tcW w:w="1020" w:type="dxa"/>
            <w:vAlign w:val="bottom"/>
            <w:vMerge w:val="restart"/>
          </w:tcPr>
          <w:p>
            <w:pPr>
              <w:jc w:val="right"/>
              <w:ind w:right="132"/>
              <w:spacing w:after="0"/>
              <w:rPr>
                <w:sz w:val="20"/>
                <w:szCs w:val="20"/>
                <w:color w:val="auto"/>
              </w:rPr>
            </w:pPr>
            <w:r>
              <w:rPr>
                <w:rFonts w:ascii="Arial" w:cs="Arial" w:eastAsia="Arial" w:hAnsi="Arial"/>
                <w:sz w:val="14"/>
                <w:szCs w:val="14"/>
                <w:color w:val="auto"/>
              </w:rPr>
              <w:t>$0.16</w:t>
            </w: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color w:val="auto"/>
              </w:rPr>
              <w:t>($0.84)</w:t>
            </w: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color w:val="auto"/>
              </w:rPr>
              <w:t>$0.05</w:t>
            </w:r>
          </w:p>
        </w:tc>
        <w:tc>
          <w:tcPr>
            <w:tcW w:w="740" w:type="dxa"/>
            <w:vAlign w:val="bottom"/>
            <w:vMerge w:val="restart"/>
          </w:tcPr>
          <w:p>
            <w:pPr>
              <w:jc w:val="right"/>
              <w:ind w:right="112"/>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169"/>
        </w:trPr>
        <w:tc>
          <w:tcPr>
            <w:tcW w:w="226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4820" w:type="dxa"/>
            <w:vAlign w:val="bottom"/>
            <w:gridSpan w:val="4"/>
          </w:tcPr>
          <w:p>
            <w:pPr>
              <w:ind w:left="20"/>
              <w:spacing w:after="0"/>
              <w:rPr>
                <w:sz w:val="20"/>
                <w:szCs w:val="20"/>
                <w:color w:val="auto"/>
              </w:rPr>
            </w:pPr>
            <w:r>
              <w:rPr>
                <w:rFonts w:ascii="Arial" w:cs="Arial" w:eastAsia="Arial" w:hAnsi="Arial"/>
                <w:sz w:val="14"/>
                <w:szCs w:val="14"/>
                <w:b w:val="1"/>
                <w:bCs w:val="1"/>
                <w:color w:val="auto"/>
              </w:rPr>
              <w:t>GAAP results for the three months ended March 31, 2020 include:</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40" w:type="dxa"/>
            <w:vAlign w:val="bottom"/>
            <w:gridSpan w:val="6"/>
          </w:tcPr>
          <w:p>
            <w:pPr>
              <w:ind w:left="20"/>
              <w:spacing w:after="0"/>
              <w:rPr>
                <w:sz w:val="20"/>
                <w:szCs w:val="20"/>
                <w:color w:val="auto"/>
              </w:rPr>
            </w:pPr>
            <w:r>
              <w:rPr>
                <w:rFonts w:ascii="Arial" w:cs="Arial" w:eastAsia="Arial" w:hAnsi="Arial"/>
                <w:sz w:val="14"/>
                <w:szCs w:val="14"/>
                <w:color w:val="auto"/>
              </w:rPr>
              <w:t>(A)  Merger and integration expenses related to our legacy companies and recent acquisitions</w:t>
            </w: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gridSpan w:val="4"/>
          </w:tcPr>
          <w:p>
            <w:pPr>
              <w:ind w:left="20"/>
              <w:spacing w:after="0"/>
              <w:rPr>
                <w:sz w:val="20"/>
                <w:szCs w:val="20"/>
                <w:color w:val="auto"/>
              </w:rPr>
            </w:pPr>
            <w:r>
              <w:rPr>
                <w:rFonts w:ascii="Arial" w:cs="Arial" w:eastAsia="Arial" w:hAnsi="Arial"/>
                <w:sz w:val="14"/>
                <w:szCs w:val="14"/>
                <w:color w:val="auto"/>
              </w:rPr>
              <w:t>(B)  Restructuring expenses related to organizational changes</w:t>
            </w: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gridSpan w:val="5"/>
          </w:tcPr>
          <w:p>
            <w:pPr>
              <w:ind w:left="20"/>
              <w:spacing w:after="0"/>
              <w:rPr>
                <w:sz w:val="20"/>
                <w:szCs w:val="20"/>
                <w:color w:val="auto"/>
              </w:rPr>
            </w:pPr>
            <w:r>
              <w:rPr>
                <w:rFonts w:ascii="Arial" w:cs="Arial" w:eastAsia="Arial" w:hAnsi="Arial"/>
                <w:sz w:val="14"/>
                <w:szCs w:val="14"/>
                <w:color w:val="auto"/>
              </w:rPr>
              <w:t>(C)  Includes depreciation and amortization associated with purchase price accounting</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(D)  Costs related to the 3T Heater-Cooler remediation plan</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500" w:type="dxa"/>
            <w:vAlign w:val="bottom"/>
            <w:gridSpan w:val="10"/>
          </w:tcPr>
          <w:p>
            <w:pPr>
              <w:ind w:left="20"/>
              <w:spacing w:after="0"/>
              <w:rPr>
                <w:sz w:val="20"/>
                <w:szCs w:val="20"/>
                <w:color w:val="auto"/>
              </w:rPr>
            </w:pPr>
            <w:r>
              <w:rPr>
                <w:rFonts w:ascii="Arial" w:cs="Arial" w:eastAsia="Arial" w:hAnsi="Arial"/>
                <w:sz w:val="14"/>
                <w:szCs w:val="14"/>
                <w:color w:val="auto"/>
              </w:rPr>
              <w:t>(E)  Legal expenses primarily related to 3T Heater-Cooler defense, settlements and other matters and remeasurement of contingent consideration related to acquisitions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gridSpan w:val="4"/>
          </w:tcPr>
          <w:p>
            <w:pPr>
              <w:ind w:left="20"/>
              <w:spacing w:after="0"/>
              <w:rPr>
                <w:sz w:val="20"/>
                <w:szCs w:val="20"/>
                <w:color w:val="auto"/>
              </w:rPr>
            </w:pPr>
            <w:r>
              <w:rPr>
                <w:rFonts w:ascii="Arial" w:cs="Arial" w:eastAsia="Arial" w:hAnsi="Arial"/>
                <w:sz w:val="14"/>
                <w:szCs w:val="14"/>
                <w:color w:val="auto"/>
              </w:rPr>
              <w:t>(F)  Non-cash expenses associated with stock-based compensation costs</w:t>
            </w: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60" w:type="dxa"/>
            <w:vAlign w:val="bottom"/>
            <w:gridSpan w:val="5"/>
          </w:tcPr>
          <w:p>
            <w:pPr>
              <w:ind w:left="20"/>
              <w:spacing w:after="0"/>
              <w:rPr>
                <w:sz w:val="20"/>
                <w:szCs w:val="20"/>
                <w:color w:val="auto"/>
              </w:rPr>
            </w:pPr>
            <w:r>
              <w:rPr>
                <w:rFonts w:ascii="Arial" w:cs="Arial" w:eastAsia="Arial" w:hAnsi="Arial"/>
                <w:sz w:val="14"/>
                <w:szCs w:val="14"/>
                <w:color w:val="auto"/>
              </w:rPr>
              <w:t>(G)  Primarily relates to discrete tax items and the tax impact of intercompany transactions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2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(H)  Primarily relates to intellectual property migration, interest related to 3T Heater-Cooler matter and other non-recurring impacts to interest expense</w:t>
            </w: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 Numbers may not add precisely due to rounding.</w:t>
            </w:r>
          </w:p>
        </w:tc>
        <w:tc>
          <w:tcPr>
            <w:tcW w:w="9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12</w:t>
            </w: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6" w:right="339" w:bottom="1440" w:gutter="0" w:footer="0" w:header="0"/>
        </w:sectPr>
      </w:pPr>
    </w:p>
    <w:bookmarkStart w:id="15" w:name="page16"/>
    <w:bookmarkEnd w:id="15"/>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LIVANOVA PLC AND SUBSIDIARIES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 - UNAUDITED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8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22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March 31, 2021</w:t>
            </w:r>
          </w:p>
        </w:tc>
        <w:tc>
          <w:tcPr>
            <w:tcW w:w="2140" w:type="dxa"/>
            <w:vAlign w:val="bottom"/>
            <w:vMerge w:val="restart"/>
          </w:tcPr>
          <w:p>
            <w:pPr>
              <w:jc w:val="right"/>
              <w:ind w:right="192"/>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23"/>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gridSpan w:val="2"/>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800" w:type="dxa"/>
            <w:vAlign w:val="bottom"/>
            <w:vMerge w:val="continue"/>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140" w:type="dxa"/>
            <w:vAlign w:val="bottom"/>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Accounts receivable, net of allowance</w:t>
            </w:r>
          </w:p>
        </w:tc>
        <w:tc>
          <w:tcPr>
            <w:tcW w:w="2140" w:type="dxa"/>
            <w:vAlign w:val="bottom"/>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14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Prepaid and refundable taxes</w:t>
            </w:r>
          </w:p>
        </w:tc>
        <w:tc>
          <w:tcPr>
            <w:tcW w:w="214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Assets held for sale</w:t>
            </w:r>
          </w:p>
        </w:tc>
        <w:tc>
          <w:tcPr>
            <w:tcW w:w="214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Total Current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690.6</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Property, plant and equipment, net</w:t>
            </w:r>
          </w:p>
        </w:tc>
        <w:tc>
          <w:tcPr>
            <w:tcW w:w="214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Goodwill</w:t>
            </w:r>
          </w:p>
        </w:tc>
        <w:tc>
          <w:tcPr>
            <w:tcW w:w="2140" w:type="dxa"/>
            <w:vAlign w:val="bottom"/>
          </w:tcPr>
          <w:p>
            <w:pPr>
              <w:jc w:val="right"/>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922.3</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140" w:type="dxa"/>
            <w:vAlign w:val="bottom"/>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Operating lease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1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Long-term derivative assets</w:t>
            </w:r>
          </w:p>
        </w:tc>
        <w:tc>
          <w:tcPr>
            <w:tcW w:w="214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Total Assets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$2,369.2</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$2,411.4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80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8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Current debt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1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Accrued liabilities and other</w:t>
            </w:r>
          </w:p>
        </w:tc>
        <w:tc>
          <w:tcPr>
            <w:tcW w:w="214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Current litigation provision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Taxes payable</w:t>
            </w:r>
          </w:p>
        </w:tc>
        <w:tc>
          <w:tcPr>
            <w:tcW w:w="21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Accrued employee compensation and related benefits</w:t>
            </w:r>
          </w:p>
        </w:tc>
        <w:tc>
          <w:tcPr>
            <w:tcW w:w="21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Liabilities held for sale</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295.4</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309.1</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8"/>
                <w:szCs w:val="18"/>
                <w:color w:val="auto"/>
              </w:rPr>
              <w:t>Long-term debt obligations</w:t>
            </w:r>
          </w:p>
        </w:tc>
        <w:tc>
          <w:tcPr>
            <w:tcW w:w="2140" w:type="dxa"/>
            <w:vAlign w:val="bottom"/>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Contingent consideration</w:t>
            </w:r>
          </w:p>
        </w:tc>
        <w:tc>
          <w:tcPr>
            <w:tcW w:w="214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Litigation provision liability</w:t>
            </w:r>
          </w:p>
        </w:tc>
        <w:tc>
          <w:tcPr>
            <w:tcW w:w="2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Long-term employee compensation and related benefits</w:t>
            </w:r>
          </w:p>
        </w:tc>
        <w:tc>
          <w:tcPr>
            <w:tcW w:w="2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Long-term derivative liabilities</w:t>
            </w:r>
          </w:p>
        </w:tc>
        <w:tc>
          <w:tcPr>
            <w:tcW w:w="214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68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Liabilities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$2,369.2</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$2,411.4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180"/>
          </w:cols>
          <w:pgMar w:left="360" w:top="1440"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spacing w:after="0"/>
              <w:rPr>
                <w:sz w:val="20"/>
                <w:szCs w:val="20"/>
                <w:color w:val="auto"/>
              </w:rPr>
            </w:pPr>
            <w:r>
              <w:rPr>
                <w:rFonts w:ascii="Arial" w:cs="Arial" w:eastAsia="Arial" w:hAnsi="Arial"/>
                <w:sz w:val="14"/>
                <w:szCs w:val="14"/>
                <w:b w:val="1"/>
                <w:bCs w:val="1"/>
                <w:color w:val="auto"/>
              </w:rPr>
              <w:t>CONDENSED CONSOLIDATED STATEMENTS OF CASH FLOWS - UNAUDITED</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370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7"/>
        </w:trPr>
        <w:tc>
          <w:tcPr>
            <w:tcW w:w="752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18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752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120"/>
              <w:spacing w:after="0"/>
              <w:rPr>
                <w:sz w:val="20"/>
                <w:szCs w:val="20"/>
                <w:color w:val="auto"/>
              </w:rPr>
            </w:pPr>
            <w:r>
              <w:rPr>
                <w:rFonts w:ascii="Arial" w:cs="Arial" w:eastAsia="Arial" w:hAnsi="Arial"/>
                <w:sz w:val="14"/>
                <w:szCs w:val="14"/>
                <w:color w:val="auto"/>
              </w:rPr>
              <w:t>Net (loss) income</w:t>
            </w:r>
          </w:p>
        </w:tc>
        <w:tc>
          <w:tcPr>
            <w:tcW w:w="18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4"/>
        </w:trPr>
        <w:tc>
          <w:tcPr>
            <w:tcW w:w="7520" w:type="dxa"/>
            <w:vAlign w:val="bottom"/>
          </w:tcPr>
          <w:p>
            <w:pPr>
              <w:ind w:left="120"/>
              <w:spacing w:after="0"/>
              <w:rPr>
                <w:sz w:val="20"/>
                <w:szCs w:val="20"/>
                <w:color w:val="auto"/>
              </w:rPr>
            </w:pPr>
            <w:r>
              <w:rPr>
                <w:rFonts w:ascii="Arial" w:cs="Arial" w:eastAsia="Arial" w:hAnsi="Arial"/>
                <w:sz w:val="14"/>
                <w:szCs w:val="14"/>
                <w:color w:val="auto"/>
              </w:rPr>
              <w:t>Non-cash items included in net loss:</w:t>
            </w: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Remeasurement of derivative instruments</w:t>
            </w:r>
          </w:p>
        </w:tc>
        <w:tc>
          <w:tcPr>
            <w:tcW w:w="18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8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Amortization</w:t>
            </w:r>
          </w:p>
        </w:tc>
        <w:tc>
          <w:tcPr>
            <w:tcW w:w="18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Depreciation</w:t>
            </w:r>
          </w:p>
        </w:tc>
        <w:tc>
          <w:tcPr>
            <w:tcW w:w="18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Amortization of operating lease assets</w:t>
            </w:r>
          </w:p>
        </w:tc>
        <w:tc>
          <w:tcPr>
            <w:tcW w:w="18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Remeasurement of Respicardia investment and loan</w:t>
            </w:r>
          </w:p>
        </w:tc>
        <w:tc>
          <w:tcPr>
            <w:tcW w:w="18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Amortization of debt issuance costs</w:t>
            </w:r>
          </w:p>
        </w:tc>
        <w:tc>
          <w:tcPr>
            <w:tcW w:w="1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Remeasurement of contingent consideration to fair value</w:t>
            </w:r>
          </w:p>
        </w:tc>
        <w:tc>
          <w:tcPr>
            <w:tcW w:w="180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Deferred tax expense (benefit)</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83"/>
        </w:trPr>
        <w:tc>
          <w:tcPr>
            <w:tcW w:w="7520" w:type="dxa"/>
            <w:vAlign w:val="bottom"/>
          </w:tcPr>
          <w:p>
            <w:pPr>
              <w:ind w:left="100"/>
              <w:spacing w:after="0"/>
              <w:rPr>
                <w:sz w:val="20"/>
                <w:szCs w:val="20"/>
                <w:color w:val="auto"/>
              </w:rPr>
            </w:pPr>
            <w:r>
              <w:rPr>
                <w:rFonts w:ascii="Arial" w:cs="Arial" w:eastAsia="Arial" w:hAnsi="Arial"/>
                <w:sz w:val="14"/>
                <w:szCs w:val="14"/>
                <w:color w:val="auto"/>
              </w:rPr>
              <w:t>Other</w:t>
            </w:r>
          </w:p>
        </w:tc>
        <w:tc>
          <w:tcPr>
            <w:tcW w:w="18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5"/>
        </w:trPr>
        <w:tc>
          <w:tcPr>
            <w:tcW w:w="752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18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Other current and non-current assets</w:t>
            </w:r>
          </w:p>
        </w:tc>
        <w:tc>
          <w:tcPr>
            <w:tcW w:w="180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Accounts payable and accrued current and non-current liabilities</w:t>
            </w:r>
          </w:p>
        </w:tc>
        <w:tc>
          <w:tcPr>
            <w:tcW w:w="1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Taxes payable</w:t>
            </w:r>
          </w:p>
        </w:tc>
        <w:tc>
          <w:tcPr>
            <w:tcW w:w="1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20" w:type="dxa"/>
            <w:vAlign w:val="bottom"/>
          </w:tcPr>
          <w:p>
            <w:pPr>
              <w:ind w:left="100"/>
              <w:spacing w:after="0"/>
              <w:rPr>
                <w:sz w:val="20"/>
                <w:szCs w:val="20"/>
                <w:color w:val="auto"/>
              </w:rPr>
            </w:pPr>
            <w:r>
              <w:rPr>
                <w:rFonts w:ascii="Arial" w:cs="Arial" w:eastAsia="Arial" w:hAnsi="Arial"/>
                <w:sz w:val="14"/>
                <w:szCs w:val="14"/>
                <w:color w:val="auto"/>
              </w:rPr>
              <w:t>Litigation provision liability</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77"/>
        </w:trPr>
        <w:tc>
          <w:tcPr>
            <w:tcW w:w="7520" w:type="dxa"/>
            <w:vAlign w:val="bottom"/>
          </w:tcPr>
          <w:p>
            <w:pPr>
              <w:ind w:left="2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66"/>
        </w:trPr>
        <w:tc>
          <w:tcPr>
            <w:tcW w:w="75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180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Purchase of investments</w:t>
            </w:r>
          </w:p>
        </w:tc>
        <w:tc>
          <w:tcPr>
            <w:tcW w:w="1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Proceeds from asset sales</w:t>
            </w:r>
          </w:p>
        </w:tc>
        <w:tc>
          <w:tcPr>
            <w:tcW w:w="180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1"/>
        </w:trPr>
        <w:tc>
          <w:tcPr>
            <w:tcW w:w="7520" w:type="dxa"/>
            <w:vAlign w:val="bottom"/>
          </w:tcPr>
          <w:p>
            <w:pPr>
              <w:ind w:left="100"/>
              <w:spacing w:after="0"/>
              <w:rPr>
                <w:sz w:val="20"/>
                <w:szCs w:val="20"/>
                <w:color w:val="auto"/>
              </w:rPr>
            </w:pPr>
            <w:r>
              <w:rPr>
                <w:rFonts w:ascii="Arial" w:cs="Arial" w:eastAsia="Arial" w:hAnsi="Arial"/>
                <w:sz w:val="14"/>
                <w:szCs w:val="14"/>
                <w:color w:val="auto"/>
              </w:rPr>
              <w:t>Other</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7"/>
        </w:trPr>
        <w:tc>
          <w:tcPr>
            <w:tcW w:w="7520" w:type="dxa"/>
            <w:vAlign w:val="bottom"/>
          </w:tcPr>
          <w:p>
            <w:pPr>
              <w:ind w:left="220"/>
              <w:spacing w:after="0"/>
              <w:rPr>
                <w:sz w:val="20"/>
                <w:szCs w:val="20"/>
                <w:color w:val="auto"/>
              </w:rPr>
            </w:pPr>
            <w:r>
              <w:rPr>
                <w:rFonts w:ascii="Arial" w:cs="Arial" w:eastAsia="Arial" w:hAnsi="Arial"/>
                <w:sz w:val="14"/>
                <w:szCs w:val="14"/>
                <w:b w:val="1"/>
                <w:bCs w:val="1"/>
                <w:color w:val="auto"/>
              </w:rPr>
              <w:t>Net cash used in investing activities</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66"/>
        </w:trPr>
        <w:tc>
          <w:tcPr>
            <w:tcW w:w="75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520" w:type="dxa"/>
            <w:vAlign w:val="bottom"/>
          </w:tcPr>
          <w:p>
            <w:pPr>
              <w:ind w:left="120"/>
              <w:spacing w:after="0"/>
              <w:rPr>
                <w:sz w:val="20"/>
                <w:szCs w:val="20"/>
                <w:color w:val="auto"/>
              </w:rPr>
            </w:pPr>
            <w:r>
              <w:rPr>
                <w:rFonts w:ascii="Arial" w:cs="Arial" w:eastAsia="Arial" w:hAnsi="Arial"/>
                <w:sz w:val="14"/>
                <w:szCs w:val="14"/>
                <w:color w:val="auto"/>
              </w:rPr>
              <w:t>Payment of contingent consideration</w:t>
            </w:r>
          </w:p>
        </w:tc>
        <w:tc>
          <w:tcPr>
            <w:tcW w:w="18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18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Change in short-term borrowing, net</w:t>
            </w:r>
          </w:p>
        </w:tc>
        <w:tc>
          <w:tcPr>
            <w:tcW w:w="18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Proceeds from long-term debt obligations</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Proceeds from short term borrowings (maturities greater than 90 days)</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84"/>
        </w:trPr>
        <w:tc>
          <w:tcPr>
            <w:tcW w:w="7520" w:type="dxa"/>
            <w:vAlign w:val="bottom"/>
          </w:tcPr>
          <w:p>
            <w:pPr>
              <w:ind w:left="100"/>
              <w:spacing w:after="0"/>
              <w:rPr>
                <w:sz w:val="20"/>
                <w:szCs w:val="20"/>
                <w:color w:val="auto"/>
              </w:rPr>
            </w:pPr>
            <w:r>
              <w:rPr>
                <w:rFonts w:ascii="Arial" w:cs="Arial" w:eastAsia="Arial" w:hAnsi="Arial"/>
                <w:sz w:val="14"/>
                <w:szCs w:val="14"/>
                <w:color w:val="auto"/>
              </w:rPr>
              <w:t>Closing adjustment payment for sale of CRM business</w:t>
            </w:r>
          </w:p>
        </w:tc>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1"/>
        </w:trPr>
        <w:tc>
          <w:tcPr>
            <w:tcW w:w="7520" w:type="dxa"/>
            <w:vAlign w:val="bottom"/>
          </w:tcPr>
          <w:p>
            <w:pPr>
              <w:ind w:left="100"/>
              <w:spacing w:after="0"/>
              <w:rPr>
                <w:sz w:val="20"/>
                <w:szCs w:val="20"/>
                <w:color w:val="auto"/>
              </w:rPr>
            </w:pPr>
            <w:r>
              <w:rPr>
                <w:rFonts w:ascii="Arial" w:cs="Arial" w:eastAsia="Arial" w:hAnsi="Arial"/>
                <w:sz w:val="14"/>
                <w:szCs w:val="14"/>
                <w:color w:val="auto"/>
              </w:rPr>
              <w:t>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7520" w:type="dxa"/>
            <w:vAlign w:val="bottom"/>
          </w:tcPr>
          <w:p>
            <w:pPr>
              <w:ind w:left="22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79"/>
        </w:trPr>
        <w:tc>
          <w:tcPr>
            <w:tcW w:w="752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8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7520" w:type="dxa"/>
            <w:vAlign w:val="bottom"/>
          </w:tcPr>
          <w:p>
            <w:pPr>
              <w:ind w:left="3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77"/>
        </w:trPr>
        <w:tc>
          <w:tcPr>
            <w:tcW w:w="752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77"/>
        </w:trPr>
        <w:tc>
          <w:tcPr>
            <w:tcW w:w="752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$252.5</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-135890</wp:posOffset>
            </wp:positionV>
            <wp:extent cx="2350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07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Numbers may not add precisely due to rounding.</w:t>
      </w:r>
    </w:p>
    <w:p>
      <w:pPr>
        <w:sectPr>
          <w:pgSz w:w="11900" w:h="16838" w:orient="portrait"/>
          <w:cols w:equalWidth="0" w:num="1">
            <w:col w:w="11220"/>
          </w:cols>
          <w:pgMar w:left="340" w:top="732" w:right="339" w:bottom="1440" w:gutter="0" w:footer="0" w:header="0"/>
        </w:sectPr>
      </w:pPr>
    </w:p>
    <w:bookmarkStart w:id="17" w:name="page18"/>
    <w:bookmarkEnd w:id="17"/>
    <w:p>
      <w:pPr>
        <w:spacing w:after="0" w:line="22" w:lineRule="exact"/>
        <w:rPr>
          <w:sz w:val="20"/>
          <w:szCs w:val="20"/>
          <w:color w:val="auto"/>
        </w:rPr>
      </w:pPr>
    </w:p>
    <w:p>
      <w:pPr>
        <w:ind w:right="220"/>
        <w:spacing w:after="0" w:line="358"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diluted weighted average shares outstanding</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 effects of stock-based compensation instruments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Three Months Ended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2540</wp:posOffset>
            </wp:positionV>
            <wp:extent cx="1433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48.7</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2540</wp:posOffset>
            </wp:positionV>
            <wp:extent cx="14338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2540</wp:posOffset>
            </wp:positionV>
            <wp:extent cx="1433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3830" cy="82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27305</wp:posOffset>
            </wp:positionV>
            <wp:extent cx="14338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8520" w:space="720"/>
            <w:col w:w="1920"/>
          </w:cols>
          <w:pgMar w:left="320" w:top="1440" w:right="419" w:bottom="1440" w:gutter="0" w:footer="0" w:header="0"/>
          <w:type w:val="continuous"/>
        </w:sectPr>
      </w:pPr>
    </w:p>
    <w:p>
      <w:pPr>
        <w:ind w:left="440" w:right="300" w:hanging="418"/>
        <w:spacing w:after="0" w:line="225"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3" w:lineRule="exact"/>
        <w:rPr>
          <w:sz w:val="20"/>
          <w:szCs w:val="20"/>
          <w:color w:val="auto"/>
        </w:rPr>
      </w:pPr>
    </w:p>
    <w:p>
      <w:pPr>
        <w:ind w:left="440" w:hanging="418"/>
        <w:spacing w:after="0"/>
        <w:tabs>
          <w:tab w:leader="none" w:pos="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15</w:t>
      </w:r>
    </w:p>
    <w:sectPr>
      <w:pgSz w:w="11900" w:h="16838" w:orient="portrait"/>
      <w:cols w:equalWidth="0" w:num="1">
        <w:col w:w="11160"/>
      </w:cols>
      <w:pgMar w:left="320" w:top="144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upp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2021-04-28T05:57:53Z</dcterms:created>
  <dcterms:modified xsi:type="dcterms:W3CDTF">2021-04-28T05:57:53Z</dcterms:modified>
</cp:coreProperties>
</file>