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Mauro Demetrio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Chief Integration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ind w:left="880"/>
              <w:spacing w:after="0"/>
              <w:rPr>
                <w:sz w:val="20"/>
                <w:szCs w:val="20"/>
                <w:color w:val="auto"/>
              </w:rPr>
            </w:pPr>
            <w:r>
              <w:rPr>
                <w:rFonts w:ascii="Arial" w:cs="Arial" w:eastAsia="Arial" w:hAnsi="Arial"/>
                <w:sz w:val="18"/>
                <w:szCs w:val="18"/>
                <w:color w:val="0000FF"/>
              </w:rPr>
              <w:t>12/31/2015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000FF"/>
              </w:rPr>
              <w:t>5,802</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21,495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2,736</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59.37</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18,759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8"/>
                <w:szCs w:val="18"/>
                <w:color w:val="0000FF"/>
                <w:w w:val="93"/>
              </w:rPr>
              <w:t>5,802</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5,802</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par value ?1.00, of LivaNova PLC (the "Company").</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October 19, 2015, reporting person was granted 5,802 RSUs to be issued under the Sorin LTI Award pursuant to the Sorin Plans (as defined below). Each RSU represents a contingent right to receive one share of the Company's Ordinary Shares. All of such RSUs vested and all restrictions thereon lapsed on December 31, 2015.</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A number of shares otherwise issuable to reporting person have been withheld in order to satisfy the tax withholding obligations of LivaNova and its subsidiaries pursuant to the vesting of existing Sorin equity award plans (the "Sorin Plans").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01/05/2016</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2019-12-09T02:21:57Z</dcterms:created>
  <dcterms:modified xsi:type="dcterms:W3CDTF">2019-12-09T02:21:57Z</dcterms:modified>
</cp:coreProperties>
</file>