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199"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line="200"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1"/>
          <w:szCs w:val="11"/>
          <w:color w:val="auto"/>
        </w:rPr>
        <w:t>_________________________</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(Mark One)</w:t>
      </w:r>
    </w:p>
    <w:p>
      <w:pPr>
        <w:spacing w:after="0" w:line="10" w:lineRule="exact"/>
        <w:rPr>
          <w:sz w:val="24"/>
          <w:szCs w:val="24"/>
          <w:color w:val="auto"/>
        </w:rPr>
      </w:pPr>
    </w:p>
    <w:p>
      <w:pPr>
        <w:jc w:val="center"/>
        <w:ind w:left="3840" w:right="1020" w:hanging="2804"/>
        <w:spacing w:after="0" w:line="255" w:lineRule="auto"/>
        <w:tabs>
          <w:tab w:leader="none" w:pos="123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jc w:val="center"/>
        <w:ind w:left="3160" w:right="1020" w:hanging="2130"/>
        <w:spacing w:after="0" w:line="266" w:lineRule="auto"/>
        <w:tabs>
          <w:tab w:leader="none" w:pos="1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 to _______________</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20320</wp:posOffset>
            </wp:positionV>
            <wp:extent cx="207518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518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LivaNova PLC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2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 xml:space="preserve">England and Wales </w:t>
            </w:r>
            <w:r>
              <w:rPr>
                <w:rFonts w:ascii="Arial" w:cs="Arial" w:eastAsia="Arial" w:hAnsi="Arial"/>
                <w:sz w:val="14"/>
                <w:szCs w:val="14"/>
                <w:i w:val="1"/>
                <w:iCs w:val="1"/>
                <w:color w:val="FFFFFF"/>
                <w:w w:val="92"/>
              </w:rPr>
              <w:t>...................</w:t>
            </w:r>
          </w:p>
        </w:tc>
        <w:tc>
          <w:tcPr>
            <w:tcW w:w="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98-1268150</w:t>
            </w:r>
          </w:p>
        </w:tc>
        <w:tc>
          <w:tcPr>
            <w:tcW w:w="25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20" w:type="dxa"/>
            <w:vAlign w:val="bottom"/>
            <w:gridSpan w:val="3"/>
          </w:tcPr>
          <w:p>
            <w:pPr>
              <w:jc w:val="right"/>
              <w:spacing w:after="0"/>
              <w:rPr>
                <w:sz w:val="20"/>
                <w:szCs w:val="20"/>
                <w:color w:val="auto"/>
              </w:rPr>
            </w:pPr>
            <w:r>
              <w:rPr>
                <w:rFonts w:ascii="Arial" w:cs="Arial" w:eastAsia="Arial" w:hAnsi="Arial"/>
                <w:sz w:val="14"/>
                <w:szCs w:val="14"/>
                <w:i w:val="1"/>
                <w:iCs w:val="1"/>
                <w:color w:val="auto"/>
              </w:rPr>
              <w:t xml:space="preserve">(State or other jurisdiction of </w:t>
            </w:r>
            <w:r>
              <w:rPr>
                <w:rFonts w:ascii="Arial" w:cs="Arial" w:eastAsia="Arial" w:hAnsi="Arial"/>
                <w:sz w:val="14"/>
                <w:szCs w:val="14"/>
                <w:i w:val="1"/>
                <w:iCs w:val="1"/>
                <w:color w:val="FFFFFF"/>
              </w:rPr>
              <w:t>..........</w:t>
            </w:r>
          </w:p>
        </w:tc>
        <w:tc>
          <w:tcPr>
            <w:tcW w:w="5100" w:type="dxa"/>
            <w:vAlign w:val="bottom"/>
            <w:gridSpan w:val="4"/>
          </w:tcPr>
          <w:p>
            <w:pPr>
              <w:jc w:val="center"/>
              <w:ind w:right="4160"/>
              <w:spacing w:after="0"/>
              <w:rPr>
                <w:sz w:val="20"/>
                <w:szCs w:val="20"/>
                <w:color w:val="auto"/>
              </w:rPr>
            </w:pPr>
            <w:r>
              <w:rPr>
                <w:rFonts w:ascii="Arial" w:cs="Arial" w:eastAsia="Arial" w:hAnsi="Arial"/>
                <w:sz w:val="14"/>
                <w:szCs w:val="14"/>
                <w:i w:val="1"/>
                <w:iCs w:val="1"/>
                <w:color w:val="auto"/>
                <w:w w:val="91"/>
              </w:rPr>
              <w:t>(I.R.S. Employer</w:t>
            </w:r>
          </w:p>
        </w:tc>
      </w:tr>
      <w:tr>
        <w:trPr>
          <w:trHeight w:val="182"/>
        </w:trPr>
        <w:tc>
          <w:tcPr>
            <w:tcW w:w="2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20" w:type="dxa"/>
            <w:vAlign w:val="bottom"/>
            <w:gridSpan w:val="3"/>
          </w:tcPr>
          <w:p>
            <w:pPr>
              <w:jc w:val="right"/>
              <w:ind w:right="28"/>
              <w:spacing w:after="0"/>
              <w:rPr>
                <w:sz w:val="20"/>
                <w:szCs w:val="20"/>
                <w:color w:val="auto"/>
              </w:rPr>
            </w:pPr>
            <w:r>
              <w:rPr>
                <w:rFonts w:ascii="Arial" w:cs="Arial" w:eastAsia="Arial" w:hAnsi="Arial"/>
                <w:sz w:val="14"/>
                <w:szCs w:val="14"/>
                <w:i w:val="1"/>
                <w:iCs w:val="1"/>
                <w:color w:val="auto"/>
              </w:rPr>
              <w:t xml:space="preserve">incorporation or organization) </w:t>
            </w:r>
            <w:r>
              <w:rPr>
                <w:rFonts w:ascii="Arial" w:cs="Arial" w:eastAsia="Arial" w:hAnsi="Arial"/>
                <w:sz w:val="14"/>
                <w:szCs w:val="14"/>
                <w:i w:val="1"/>
                <w:iCs w:val="1"/>
                <w:color w:val="FFFFFF"/>
              </w:rPr>
              <w:t>........</w:t>
            </w:r>
          </w:p>
        </w:tc>
        <w:tc>
          <w:tcPr>
            <w:tcW w:w="5100" w:type="dxa"/>
            <w:vAlign w:val="bottom"/>
            <w:gridSpan w:val="4"/>
          </w:tcPr>
          <w:p>
            <w:pPr>
              <w:jc w:val="center"/>
              <w:ind w:right="4100"/>
              <w:spacing w:after="0"/>
              <w:rPr>
                <w:sz w:val="20"/>
                <w:szCs w:val="20"/>
                <w:color w:val="auto"/>
              </w:rPr>
            </w:pPr>
            <w:r>
              <w:rPr>
                <w:rFonts w:ascii="Arial" w:cs="Arial" w:eastAsia="Arial" w:hAnsi="Arial"/>
                <w:sz w:val="14"/>
                <w:szCs w:val="14"/>
                <w:i w:val="1"/>
                <w:iCs w:val="1"/>
                <w:color w:val="auto"/>
                <w:w w:val="91"/>
              </w:rPr>
              <w:t>Identification No.)</w:t>
            </w:r>
          </w:p>
        </w:tc>
      </w:tr>
      <w:tr>
        <w:trPr>
          <w:trHeight w:val="371"/>
        </w:trPr>
        <w:tc>
          <w:tcPr>
            <w:tcW w:w="2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20" w:type="dxa"/>
            <w:vAlign w:val="bottom"/>
            <w:gridSpan w:val="7"/>
          </w:tcPr>
          <w:p>
            <w:pPr>
              <w:jc w:val="center"/>
              <w:ind w:right="3580"/>
              <w:spacing w:after="0"/>
              <w:rPr>
                <w:sz w:val="20"/>
                <w:szCs w:val="20"/>
                <w:color w:val="auto"/>
              </w:rPr>
            </w:pPr>
            <w:r>
              <w:rPr>
                <w:rFonts w:ascii="Arial" w:cs="Arial" w:eastAsia="Arial" w:hAnsi="Arial"/>
                <w:sz w:val="14"/>
                <w:szCs w:val="14"/>
                <w:b w:val="1"/>
                <w:bCs w:val="1"/>
                <w:color w:val="auto"/>
                <w:w w:val="95"/>
              </w:rPr>
              <w:t>20 Eastbourne Terrace, London, United Kingdom</w:t>
            </w:r>
            <w:r>
              <w:rPr>
                <w:rFonts w:ascii="Arial" w:cs="Arial" w:eastAsia="Arial" w:hAnsi="Arial"/>
                <w:sz w:val="18"/>
                <w:szCs w:val="18"/>
                <w:color w:val="auto"/>
                <w:w w:val="95"/>
              </w:rPr>
              <w:t>,</w:t>
            </w:r>
            <w:r>
              <w:rPr>
                <w:rFonts w:ascii="Arial" w:cs="Arial" w:eastAsia="Arial" w:hAnsi="Arial"/>
                <w:sz w:val="14"/>
                <w:szCs w:val="14"/>
                <w:b w:val="1"/>
                <w:bCs w:val="1"/>
                <w:color w:val="auto"/>
                <w:w w:val="95"/>
              </w:rPr>
              <w:t xml:space="preserve"> W2 6LG</w:t>
            </w:r>
          </w:p>
        </w:tc>
      </w:tr>
      <w:tr>
        <w:trPr>
          <w:trHeight w:val="182"/>
        </w:trPr>
        <w:tc>
          <w:tcPr>
            <w:tcW w:w="2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20" w:type="dxa"/>
            <w:vAlign w:val="bottom"/>
            <w:gridSpan w:val="3"/>
          </w:tcPr>
          <w:p>
            <w:pPr>
              <w:jc w:val="right"/>
              <w:spacing w:after="0"/>
              <w:rPr>
                <w:sz w:val="20"/>
                <w:szCs w:val="20"/>
                <w:color w:val="auto"/>
              </w:rPr>
            </w:pPr>
            <w:r>
              <w:rPr>
                <w:rFonts w:ascii="Arial" w:cs="Arial" w:eastAsia="Arial" w:hAnsi="Arial"/>
                <w:sz w:val="14"/>
                <w:szCs w:val="14"/>
                <w:i w:val="1"/>
                <w:iCs w:val="1"/>
                <w:color w:val="auto"/>
                <w:w w:val="81"/>
              </w:rPr>
              <w:t xml:space="preserve">(Address of principal executive offices) </w:t>
            </w:r>
            <w:r>
              <w:rPr>
                <w:rFonts w:ascii="Arial" w:cs="Arial" w:eastAsia="Arial" w:hAnsi="Arial"/>
                <w:sz w:val="14"/>
                <w:szCs w:val="14"/>
                <w:i w:val="1"/>
                <w:iCs w:val="1"/>
                <w:color w:val="FFFFFF"/>
                <w:w w:val="81"/>
              </w:rPr>
              <w:t>.......................</w:t>
            </w:r>
          </w:p>
        </w:tc>
        <w:tc>
          <w:tcPr>
            <w:tcW w:w="60" w:type="dxa"/>
            <w:vAlign w:val="bottom"/>
          </w:tcPr>
          <w:p>
            <w:pPr>
              <w:spacing w:after="0"/>
              <w:rPr>
                <w:sz w:val="15"/>
                <w:szCs w:val="15"/>
                <w:color w:val="auto"/>
              </w:rPr>
            </w:pPr>
          </w:p>
        </w:tc>
        <w:tc>
          <w:tcPr>
            <w:tcW w:w="5040" w:type="dxa"/>
            <w:vAlign w:val="bottom"/>
            <w:gridSpan w:val="3"/>
          </w:tcPr>
          <w:p>
            <w:pPr>
              <w:ind w:left="600"/>
              <w:spacing w:after="0"/>
              <w:rPr>
                <w:sz w:val="20"/>
                <w:szCs w:val="20"/>
                <w:color w:val="auto"/>
              </w:rPr>
            </w:pPr>
            <w:r>
              <w:rPr>
                <w:rFonts w:ascii="Arial" w:cs="Arial" w:eastAsia="Arial" w:hAnsi="Arial"/>
                <w:sz w:val="14"/>
                <w:szCs w:val="14"/>
                <w:i w:val="1"/>
                <w:iCs w:val="1"/>
                <w:color w:val="auto"/>
              </w:rPr>
              <w:t>(Zip Code)</w:t>
            </w:r>
          </w:p>
        </w:tc>
      </w:tr>
      <w:tr>
        <w:trPr>
          <w:trHeight w:val="338"/>
        </w:trPr>
        <w:tc>
          <w:tcPr>
            <w:tcW w:w="2560" w:type="dxa"/>
            <w:vAlign w:val="bottom"/>
          </w:tcPr>
          <w:p>
            <w:pPr>
              <w:spacing w:after="0"/>
              <w:rPr>
                <w:sz w:val="24"/>
                <w:szCs w:val="24"/>
                <w:color w:val="auto"/>
              </w:rPr>
            </w:pPr>
          </w:p>
        </w:tc>
        <w:tc>
          <w:tcPr>
            <w:tcW w:w="8860" w:type="dxa"/>
            <w:vAlign w:val="bottom"/>
            <w:gridSpan w:val="8"/>
          </w:tcPr>
          <w:p>
            <w:pPr>
              <w:jc w:val="center"/>
              <w:ind w:right="2540"/>
              <w:spacing w:after="0"/>
              <w:rPr>
                <w:sz w:val="20"/>
                <w:szCs w:val="20"/>
                <w:color w:val="auto"/>
              </w:rPr>
            </w:pPr>
            <w:r>
              <w:rPr>
                <w:rFonts w:ascii="Arial" w:cs="Arial" w:eastAsia="Arial" w:hAnsi="Arial"/>
                <w:sz w:val="14"/>
                <w:szCs w:val="14"/>
                <w:i w:val="1"/>
                <w:iCs w:val="1"/>
                <w:color w:val="auto"/>
                <w:w w:val="93"/>
              </w:rPr>
              <w:t xml:space="preserve">Registrant’s telephone number, including area code: </w:t>
            </w:r>
            <w:r>
              <w:rPr>
                <w:rFonts w:ascii="Arial" w:cs="Arial" w:eastAsia="Arial" w:hAnsi="Arial"/>
                <w:sz w:val="14"/>
                <w:szCs w:val="14"/>
                <w:b w:val="1"/>
                <w:bCs w:val="1"/>
                <w:color w:val="auto"/>
                <w:w w:val="93"/>
              </w:rPr>
              <w:t>(44) (0) 203 325-0660</w:t>
            </w:r>
          </w:p>
        </w:tc>
      </w:tr>
      <w:tr>
        <w:trPr>
          <w:trHeight w:val="222"/>
        </w:trPr>
        <w:tc>
          <w:tcPr>
            <w:tcW w:w="256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1640" w:type="dxa"/>
            <w:vAlign w:val="bottom"/>
            <w:tcBorders>
              <w:bottom w:val="single" w:sz="8" w:color="9A9A9A"/>
            </w:tcBorders>
            <w:gridSpan w:val="2"/>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gridSpan w:val="2"/>
          </w:tcPr>
          <w:p>
            <w:pPr>
              <w:spacing w:after="0"/>
              <w:rPr>
                <w:sz w:val="19"/>
                <w:szCs w:val="19"/>
                <w:color w:val="auto"/>
              </w:rPr>
            </w:pPr>
          </w:p>
        </w:tc>
        <w:tc>
          <w:tcPr>
            <w:tcW w:w="2540" w:type="dxa"/>
            <w:vAlign w:val="bottom"/>
            <w:tcBorders>
              <w:bottom w:val="single" w:sz="8" w:color="9A9A9A"/>
            </w:tcBorders>
          </w:tcPr>
          <w:p>
            <w:pPr>
              <w:spacing w:after="0"/>
              <w:rPr>
                <w:sz w:val="19"/>
                <w:szCs w:val="19"/>
                <w:color w:val="auto"/>
              </w:rPr>
            </w:pPr>
          </w:p>
        </w:tc>
        <w:tc>
          <w:tcPr>
            <w:tcW w:w="1680" w:type="dxa"/>
            <w:vAlign w:val="bottom"/>
            <w:tcBorders>
              <w:bottom w:val="single" w:sz="8" w:color="9A9A9A"/>
            </w:tcBorders>
          </w:tcPr>
          <w:p>
            <w:pPr>
              <w:spacing w:after="0"/>
              <w:rPr>
                <w:sz w:val="19"/>
                <w:szCs w:val="19"/>
                <w:color w:val="auto"/>
              </w:rPr>
            </w:pPr>
          </w:p>
        </w:tc>
      </w:tr>
      <w:tr>
        <w:trPr>
          <w:trHeight w:val="407"/>
        </w:trPr>
        <w:tc>
          <w:tcPr>
            <w:tcW w:w="2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20" w:type="dxa"/>
            <w:vAlign w:val="bottom"/>
            <w:gridSpan w:val="7"/>
          </w:tcPr>
          <w:p>
            <w:pPr>
              <w:jc w:val="center"/>
              <w:ind w:right="3580"/>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390"/>
        </w:trPr>
        <w:tc>
          <w:tcPr>
            <w:tcW w:w="2560" w:type="dxa"/>
            <w:vAlign w:val="bottom"/>
          </w:tcPr>
          <w:p>
            <w:pPr>
              <w:spacing w:after="0"/>
              <w:rPr>
                <w:sz w:val="24"/>
                <w:szCs w:val="24"/>
                <w:color w:val="auto"/>
              </w:rPr>
            </w:pPr>
          </w:p>
        </w:tc>
        <w:tc>
          <w:tcPr>
            <w:tcW w:w="1840" w:type="dxa"/>
            <w:vAlign w:val="bottom"/>
            <w:gridSpan w:val="2"/>
          </w:tcPr>
          <w:p>
            <w:pPr>
              <w:jc w:val="center"/>
              <w:ind w:right="728"/>
              <w:spacing w:after="0"/>
              <w:rPr>
                <w:sz w:val="20"/>
                <w:szCs w:val="20"/>
                <w:color w:val="auto"/>
              </w:rPr>
            </w:pPr>
            <w:r>
              <w:rPr>
                <w:rFonts w:ascii="Arial" w:cs="Arial" w:eastAsia="Arial" w:hAnsi="Arial"/>
                <w:sz w:val="14"/>
                <w:szCs w:val="14"/>
                <w:color w:val="auto"/>
                <w:w w:val="92"/>
              </w:rPr>
              <w:t>Title of each class</w:t>
            </w:r>
          </w:p>
        </w:tc>
        <w:tc>
          <w:tcPr>
            <w:tcW w:w="8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w w:val="92"/>
              </w:rPr>
              <w:t>Trading Symbol(s)</w:t>
            </w:r>
          </w:p>
        </w:tc>
        <w:tc>
          <w:tcPr>
            <w:tcW w:w="820" w:type="dxa"/>
            <w:vAlign w:val="bottom"/>
          </w:tcPr>
          <w:p>
            <w:pPr>
              <w:spacing w:after="0"/>
              <w:rPr>
                <w:sz w:val="24"/>
                <w:szCs w:val="24"/>
                <w:color w:val="auto"/>
              </w:rPr>
            </w:pPr>
          </w:p>
        </w:tc>
        <w:tc>
          <w:tcPr>
            <w:tcW w:w="4220" w:type="dxa"/>
            <w:vAlign w:val="bottom"/>
            <w:gridSpan w:val="2"/>
          </w:tcPr>
          <w:p>
            <w:pPr>
              <w:jc w:val="center"/>
              <w:ind w:right="1680"/>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2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79"/>
        </w:trPr>
        <w:tc>
          <w:tcPr>
            <w:tcW w:w="4400" w:type="dxa"/>
            <w:vAlign w:val="bottom"/>
            <w:gridSpan w:val="3"/>
          </w:tcPr>
          <w:p>
            <w:pPr>
              <w:jc w:val="center"/>
              <w:ind w:left="1708"/>
              <w:spacing w:after="0"/>
              <w:rPr>
                <w:sz w:val="20"/>
                <w:szCs w:val="20"/>
                <w:color w:val="auto"/>
              </w:rPr>
            </w:pPr>
            <w:r>
              <w:rPr>
                <w:rFonts w:ascii="Arial" w:cs="Arial" w:eastAsia="Arial" w:hAnsi="Arial"/>
                <w:sz w:val="14"/>
                <w:szCs w:val="14"/>
                <w:color w:val="auto"/>
                <w:w w:val="91"/>
              </w:rPr>
              <w:t>Ordinary Shares - £1.00 par value per share</w:t>
            </w:r>
          </w:p>
        </w:tc>
        <w:tc>
          <w:tcPr>
            <w:tcW w:w="840" w:type="dxa"/>
            <w:vAlign w:val="bottom"/>
          </w:tcPr>
          <w:p>
            <w:pPr>
              <w:spacing w:after="0"/>
              <w:rPr>
                <w:sz w:val="24"/>
                <w:szCs w:val="24"/>
                <w:color w:val="auto"/>
              </w:rPr>
            </w:pP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LIVN</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20" w:type="dxa"/>
            <w:vAlign w:val="bottom"/>
            <w:gridSpan w:val="2"/>
          </w:tcPr>
          <w:p>
            <w:pPr>
              <w:jc w:val="center"/>
              <w:ind w:right="1700"/>
              <w:spacing w:after="0"/>
              <w:rPr>
                <w:sz w:val="20"/>
                <w:szCs w:val="20"/>
                <w:color w:val="auto"/>
              </w:rPr>
            </w:pPr>
            <w:r>
              <w:rPr>
                <w:rFonts w:ascii="Arial" w:cs="Arial" w:eastAsia="Arial" w:hAnsi="Arial"/>
                <w:sz w:val="14"/>
                <w:szCs w:val="14"/>
                <w:color w:val="auto"/>
                <w:w w:val="98"/>
              </w:rPr>
              <w:t>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-724535</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-724535</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95" w:lineRule="exact"/>
        <w:rPr>
          <w:sz w:val="24"/>
          <w:szCs w:val="24"/>
          <w:color w:val="auto"/>
        </w:rPr>
      </w:pPr>
    </w:p>
    <w:p>
      <w:pPr>
        <w:ind w:right="22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10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48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60" w:right="239" w:bottom="1440" w:gutter="0" w:footer="0" w:header="0"/>
        </w:sectPr>
      </w:pPr>
    </w:p>
    <w:p>
      <w:pPr>
        <w:spacing w:after="0" w:line="348"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1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820"/>
              <w:spacing w:after="0"/>
              <w:rPr>
                <w:sz w:val="20"/>
                <w:szCs w:val="20"/>
                <w:color w:val="auto"/>
              </w:rPr>
            </w:pPr>
            <w:r>
              <w:rPr>
                <w:rFonts w:ascii="Arial" w:cs="Arial" w:eastAsia="Arial" w:hAnsi="Arial"/>
                <w:sz w:val="16"/>
                <w:szCs w:val="16"/>
                <w:color w:val="auto"/>
              </w:rPr>
              <w:t>Accelerated filer</w:t>
            </w:r>
          </w:p>
        </w:tc>
      </w:tr>
      <w:tr>
        <w:trPr>
          <w:trHeight w:val="270"/>
        </w:trPr>
        <w:tc>
          <w:tcPr>
            <w:tcW w:w="21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820"/>
              <w:spacing w:after="0"/>
              <w:rPr>
                <w:sz w:val="20"/>
                <w:szCs w:val="20"/>
                <w:color w:val="auto"/>
              </w:rPr>
            </w:pPr>
            <w:r>
              <w:rPr>
                <w:rFonts w:ascii="Arial" w:cs="Arial" w:eastAsia="Arial" w:hAnsi="Arial"/>
                <w:sz w:val="16"/>
                <w:szCs w:val="16"/>
                <w:color w:val="auto"/>
                <w:w w:val="92"/>
              </w:rPr>
              <w:t>Smaller reporting company</w:t>
            </w:r>
          </w:p>
        </w:tc>
      </w:tr>
      <w:tr>
        <w:trPr>
          <w:trHeight w:val="283"/>
        </w:trPr>
        <w:tc>
          <w:tcPr>
            <w:tcW w:w="21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spacing w:after="0"/>
              <w:rPr>
                <w:sz w:val="24"/>
                <w:szCs w:val="24"/>
                <w:color w:val="auto"/>
              </w:rPr>
            </w:pPr>
          </w:p>
        </w:tc>
      </w:tr>
    </w:tbl>
    <w:p>
      <w:pPr>
        <w:spacing w:after="0" w:line="105" w:lineRule="exact"/>
        <w:rPr>
          <w:sz w:val="24"/>
          <w:szCs w:val="24"/>
          <w:color w:val="auto"/>
        </w:rPr>
      </w:pPr>
    </w:p>
    <w:p>
      <w:pPr>
        <w:ind w:left="4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8" w:lineRule="exact"/>
        <w:rPr>
          <w:sz w:val="24"/>
          <w:szCs w:val="24"/>
          <w:color w:val="auto"/>
        </w:rPr>
      </w:pPr>
    </w:p>
    <w:p>
      <w:pPr>
        <w:ind w:left="180"/>
        <w:spacing w:after="0" w:line="184" w:lineRule="exact"/>
        <w:tabs>
          <w:tab w:leader="none" w:pos="67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4"/>
          <w:szCs w:val="14"/>
          <w:color w:val="auto"/>
        </w:rPr>
        <w:t>☑</w:t>
      </w:r>
    </w:p>
    <w:p>
      <w:pPr>
        <w:spacing w:after="0" w:line="224" w:lineRule="exact"/>
        <w:rPr>
          <w:sz w:val="24"/>
          <w:szCs w:val="24"/>
          <w:color w:val="auto"/>
        </w:rPr>
      </w:pPr>
    </w:p>
    <w:p>
      <w:pPr>
        <w:ind w:left="2680"/>
        <w:spacing w:after="0"/>
        <w:tabs>
          <w:tab w:leader="none" w:pos="7480" w:val="left"/>
        </w:tabs>
        <w:rPr>
          <w:sz w:val="20"/>
          <w:szCs w:val="20"/>
          <w:color w:val="auto"/>
        </w:rPr>
      </w:pPr>
      <w:r>
        <w:rPr>
          <w:rFonts w:ascii="Arial" w:cs="Arial" w:eastAsia="Arial" w:hAnsi="Arial"/>
          <w:sz w:val="16"/>
          <w:szCs w:val="16"/>
          <w:i w:val="1"/>
          <w:iCs w:val="1"/>
          <w:color w:val="auto"/>
        </w:rPr>
        <w:t>Class</w:t>
      </w:r>
      <w:r>
        <w:rPr>
          <w:sz w:val="20"/>
          <w:szCs w:val="20"/>
          <w:color w:val="auto"/>
        </w:rPr>
        <w:tab/>
      </w:r>
      <w:r>
        <w:rPr>
          <w:rFonts w:ascii="Arial" w:cs="Arial" w:eastAsia="Arial" w:hAnsi="Arial"/>
          <w:sz w:val="16"/>
          <w:szCs w:val="16"/>
          <w:i w:val="1"/>
          <w:iCs w:val="1"/>
          <w:color w:val="auto"/>
        </w:rPr>
        <w:t>Outstanding at October 28, 2019</w:t>
      </w:r>
    </w:p>
    <w:p>
      <w:pPr>
        <w:spacing w:after="0" w:line="64" w:lineRule="exact"/>
        <w:rPr>
          <w:sz w:val="24"/>
          <w:szCs w:val="24"/>
          <w:color w:val="auto"/>
        </w:rPr>
      </w:pPr>
    </w:p>
    <w:p>
      <w:pPr>
        <w:ind w:left="1600"/>
        <w:spacing w:after="0"/>
        <w:tabs>
          <w:tab w:leader="none" w:pos="8220" w:val="left"/>
        </w:tabs>
        <w:rPr>
          <w:sz w:val="20"/>
          <w:szCs w:val="20"/>
          <w:color w:val="auto"/>
        </w:rPr>
      </w:pPr>
      <w:r>
        <w:rPr>
          <w:rFonts w:ascii="Arial" w:cs="Arial" w:eastAsia="Arial" w:hAnsi="Arial"/>
          <w:sz w:val="14"/>
          <w:szCs w:val="14"/>
          <w:color w:val="auto"/>
        </w:rPr>
        <w:t>Ordinary Shares - £1.00 par value per share</w:t>
      </w:r>
      <w:r>
        <w:rPr>
          <w:sz w:val="20"/>
          <w:szCs w:val="20"/>
          <w:color w:val="auto"/>
        </w:rPr>
        <w:tab/>
      </w:r>
      <w:r>
        <w:rPr>
          <w:rFonts w:ascii="Arial" w:cs="Arial" w:eastAsia="Arial" w:hAnsi="Arial"/>
          <w:sz w:val="13"/>
          <w:szCs w:val="13"/>
          <w:color w:val="auto"/>
        </w:rPr>
        <w:t>48,400,468</w:t>
      </w:r>
    </w:p>
    <w:p>
      <w:pPr>
        <w:spacing w:after="0" w:line="262" w:lineRule="exact"/>
        <w:rPr>
          <w:sz w:val="24"/>
          <w:szCs w:val="24"/>
          <w:color w:val="auto"/>
        </w:rPr>
      </w:pPr>
    </w:p>
    <w:p>
      <w:pPr>
        <w:jc w:val="center"/>
        <w:ind w:left="90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br w:type="column"/>
      </w:r>
    </w:p>
    <w:p>
      <w:pPr>
        <w:spacing w:after="0" w:line="32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10680" w:space="420"/>
            <w:col w:w="320"/>
          </w:cols>
          <w:pgMar w:left="240" w:top="76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LIVANOVA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20" w:type="dxa"/>
            <w:vAlign w:val="bottom"/>
            <w:gridSpan w:val="9"/>
          </w:tcPr>
          <w:p>
            <w:pPr>
              <w:jc w:val="center"/>
              <w:ind w:right="300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PAGE NO.</w:t>
            </w:r>
          </w:p>
        </w:tc>
      </w:tr>
      <w:tr>
        <w:trPr>
          <w:trHeight w:val="34"/>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Note About Forward Looking Statements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Financial Statements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(Loss)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 (Loss)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Balance Sheets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0000EE"/>
            </w:tcBorders>
            <w:gridSpan w:val="12"/>
            <w:shd w:val="clear" w:color="auto" w:fill="CCEEFF"/>
          </w:tcPr>
          <w:p>
            <w:pPr>
              <w:spacing w:after="0" w:line="202"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4940" w:type="dxa"/>
            <w:vAlign w:val="bottom"/>
            <w:tcBorders>
              <w:bottom w:val="single" w:sz="8" w:color="CCEEFF"/>
            </w:tcBorders>
            <w:gridSpan w:val="5"/>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line="20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Item 2</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360" w:type="dxa"/>
            <w:vAlign w:val="bottom"/>
            <w:gridSpan w:val="14"/>
            <w:shd w:val="clear" w:color="auto" w:fill="CCEEFF"/>
          </w:tcPr>
          <w:p>
            <w:pPr>
              <w:spacing w:after="0" w:line="202"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4840" w:type="dxa"/>
            <w:vAlign w:val="bottom"/>
            <w:gridSpan w:val="3"/>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gridSpan w:val="14"/>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4840" w:type="dxa"/>
            <w:vAlign w:val="bottom"/>
            <w:gridSpan w:val="3"/>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95"/>
        </w:trPr>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220" w:type="dxa"/>
            <w:vAlign w:val="bottom"/>
            <w:tcBorders>
              <w:bottom w:val="single" w:sz="8" w:color="CCEEFF"/>
            </w:tcBorders>
            <w:gridSpan w:val="9"/>
            <w:shd w:val="clear" w:color="auto" w:fill="CCEEFF"/>
          </w:tcPr>
          <w:p>
            <w:pPr>
              <w:jc w:val="center"/>
              <w:ind w:right="3020"/>
              <w:spacing w:after="0"/>
              <w:rPr>
                <w:sz w:val="20"/>
                <w:szCs w:val="20"/>
                <w:color w:val="auto"/>
              </w:rPr>
            </w:pPr>
            <w:r>
              <w:rPr>
                <w:rFonts w:ascii="Arial" w:cs="Arial" w:eastAsia="Arial" w:hAnsi="Arial"/>
                <w:sz w:val="18"/>
                <w:szCs w:val="18"/>
                <w:b w:val="1"/>
                <w:bCs w:val="1"/>
                <w:color w:val="auto"/>
              </w:rPr>
              <w:t>PART II. OTHER INFORMATION</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r>
      <w:tr>
        <w:trPr>
          <w:trHeight w:val="196"/>
        </w:trPr>
        <w:tc>
          <w:tcPr>
            <w:tcW w:w="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3"/>
          </w:tcPr>
          <w:p>
            <w:pPr>
              <w:spacing w:after="0" w:line="163" w:lineRule="exact"/>
              <w:rPr>
                <w:rFonts w:ascii="Arial" w:cs="Arial" w:eastAsia="Arial" w:hAnsi="Arial"/>
                <w:sz w:val="18"/>
                <w:szCs w:val="18"/>
                <w:color w:val="0000EE"/>
              </w:rPr>
            </w:pPr>
            <w:hyperlink w:anchor="page44">
              <w:r>
                <w:rPr>
                  <w:rFonts w:ascii="Arial" w:cs="Arial" w:eastAsia="Arial" w:hAnsi="Arial"/>
                  <w:sz w:val="18"/>
                  <w:szCs w:val="18"/>
                  <w:color w:val="0000EE"/>
                </w:rPr>
                <w:t>Item 1</w:t>
              </w:r>
            </w:hyperlink>
          </w:p>
        </w:tc>
        <w:tc>
          <w:tcPr>
            <w:tcW w:w="40" w:type="dxa"/>
            <w:vAlign w:val="bottom"/>
            <w:tcBorders>
              <w:top w:val="single" w:sz="8" w:color="auto"/>
            </w:tcBorders>
          </w:tcPr>
          <w:p>
            <w:pPr>
              <w:spacing w:after="0"/>
              <w:rPr>
                <w:sz w:val="17"/>
                <w:szCs w:val="17"/>
                <w:color w:val="auto"/>
              </w:rPr>
            </w:pPr>
          </w:p>
        </w:tc>
        <w:tc>
          <w:tcPr>
            <w:tcW w:w="9200" w:type="dxa"/>
            <w:vAlign w:val="bottom"/>
            <w:tcBorders>
              <w:top w:val="single" w:sz="8" w:color="auto"/>
            </w:tcBorders>
            <w:gridSpan w:val="17"/>
          </w:tcPr>
          <w:p>
            <w:pPr>
              <w:spacing w:after="0" w:line="170"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720" w:type="dxa"/>
            <w:vAlign w:val="bottom"/>
            <w:tcBorders>
              <w:top w:val="single" w:sz="8" w:color="CCEEFF"/>
            </w:tcBorders>
            <w:gridSpan w:val="3"/>
          </w:tcPr>
          <w:p>
            <w:pPr>
              <w:jc w:val="center"/>
              <w:ind w:left="450"/>
              <w:spacing w:after="0" w:line="163"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tcBorders>
              <w:top w:val="single" w:sz="8" w:color="CCEEFF"/>
            </w:tcBorders>
          </w:tcPr>
          <w:p>
            <w:pPr>
              <w:spacing w:after="0"/>
              <w:rPr>
                <w:sz w:val="17"/>
                <w:szCs w:val="17"/>
                <w:color w:val="auto"/>
              </w:rPr>
            </w:pPr>
          </w:p>
        </w:tc>
      </w:tr>
      <w:tr>
        <w:trPr>
          <w:trHeight w:val="41"/>
        </w:trPr>
        <w:tc>
          <w:tcPr>
            <w:tcW w:w="40" w:type="dxa"/>
            <w:vAlign w:val="bottom"/>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20" w:type="dxa"/>
            <w:vAlign w:val="bottom"/>
          </w:tcPr>
          <w:p>
            <w:pPr>
              <w:spacing w:after="0"/>
              <w:rPr>
                <w:sz w:val="3"/>
                <w:szCs w:val="3"/>
                <w:color w:val="auto"/>
              </w:rPr>
            </w:pPr>
          </w:p>
        </w:tc>
      </w:tr>
      <w:tr>
        <w:trPr>
          <w:trHeight w:val="203"/>
        </w:trPr>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1A</w:t>
              </w:r>
            </w:hyperlink>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80" w:type="dxa"/>
            <w:vAlign w:val="bottom"/>
            <w:gridSpan w:val="2"/>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2</w:t>
              </w:r>
            </w:hyperlink>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Defaults Upon Senior Securities</w:t>
              </w:r>
            </w:hyperlink>
          </w:p>
        </w:tc>
        <w:tc>
          <w:tcPr>
            <w:tcW w:w="6880" w:type="dxa"/>
            <w:vAlign w:val="bottom"/>
            <w:gridSpan w:val="11"/>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320" w:type="dxa"/>
            <w:vAlign w:val="bottom"/>
            <w:gridSpan w:val="6"/>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6880" w:type="dxa"/>
            <w:vAlign w:val="bottom"/>
            <w:gridSpan w:val="11"/>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5</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6</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line="202"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7900" w:type="dxa"/>
            <w:vAlign w:val="bottom"/>
            <w:gridSpan w:val="14"/>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Quarterly Report on Form 10-Q, “LivaNova,” “the Company,” “we,” “us” and “our” refer to LivaNova PLC and its consolidated subsidiaries.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59" w:lineRule="exact"/>
        <w:rPr>
          <w:sz w:val="20"/>
          <w:szCs w:val="20"/>
          <w:color w:val="auto"/>
        </w:rPr>
      </w:pPr>
    </w:p>
    <w:p>
      <w:pPr>
        <w:ind w:left="660" w:right="140" w:hanging="328"/>
        <w:spacing w:after="0" w:line="1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the VITARIA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and our proprietary pulse generator products: Model 102 (Pulse</w:t>
      </w:r>
      <w:r>
        <w:rPr>
          <w:rFonts w:ascii="Arial" w:cs="Arial" w:eastAsia="Arial" w:hAnsi="Arial"/>
          <w:sz w:val="28"/>
          <w:szCs w:val="28"/>
          <w:color w:val="auto"/>
          <w:vertAlign w:val="superscript"/>
        </w:rPr>
        <w:t>®</w:t>
      </w:r>
      <w:r>
        <w:rPr>
          <w:rFonts w:ascii="Arial" w:cs="Arial" w:eastAsia="Arial" w:hAnsi="Arial"/>
          <w:sz w:val="18"/>
          <w:szCs w:val="18"/>
          <w:color w:val="auto"/>
        </w:rPr>
        <w:t>), Model 102R (Pulse Duo</w:t>
      </w:r>
      <w:r>
        <w:rPr>
          <w:rFonts w:ascii="Arial" w:cs="Arial" w:eastAsia="Arial" w:hAnsi="Arial"/>
          <w:sz w:val="28"/>
          <w:szCs w:val="28"/>
          <w:color w:val="auto"/>
          <w:vertAlign w:val="superscript"/>
        </w:rPr>
        <w:t>®</w:t>
      </w:r>
      <w:r>
        <w:rPr>
          <w:rFonts w:ascii="Arial" w:cs="Arial" w:eastAsia="Arial" w:hAnsi="Arial"/>
          <w:sz w:val="18"/>
          <w:szCs w:val="18"/>
          <w:color w:val="auto"/>
        </w:rPr>
        <w:t>), Model 103 (Demipulse</w:t>
      </w:r>
      <w:r>
        <w:rPr>
          <w:rFonts w:ascii="Arial" w:cs="Arial" w:eastAsia="Arial" w:hAnsi="Arial"/>
          <w:sz w:val="28"/>
          <w:szCs w:val="28"/>
          <w:color w:val="auto"/>
          <w:vertAlign w:val="superscript"/>
        </w:rPr>
        <w:t>®</w:t>
      </w:r>
      <w:r>
        <w:rPr>
          <w:rFonts w:ascii="Arial" w:cs="Arial" w:eastAsia="Arial" w:hAnsi="Arial"/>
          <w:sz w:val="18"/>
          <w:szCs w:val="18"/>
          <w:color w:val="auto"/>
        </w:rPr>
        <w:t>), Model 104 (Demipulse Duo</w:t>
      </w:r>
      <w:r>
        <w:rPr>
          <w:rFonts w:ascii="Arial" w:cs="Arial" w:eastAsia="Arial" w:hAnsi="Arial"/>
          <w:sz w:val="28"/>
          <w:szCs w:val="28"/>
          <w:color w:val="auto"/>
          <w:vertAlign w:val="superscript"/>
        </w:rPr>
        <w:t>®</w:t>
      </w:r>
      <w:r>
        <w:rPr>
          <w:rFonts w:ascii="Arial" w:cs="Arial" w:eastAsia="Arial" w:hAnsi="Arial"/>
          <w:sz w:val="18"/>
          <w:szCs w:val="18"/>
          <w:color w:val="auto"/>
        </w:rPr>
        <w:t>), Model 105 (AspireHC</w:t>
      </w:r>
      <w:r>
        <w:rPr>
          <w:rFonts w:ascii="Arial" w:cs="Arial" w:eastAsia="Arial" w:hAnsi="Arial"/>
          <w:sz w:val="28"/>
          <w:szCs w:val="28"/>
          <w:color w:val="auto"/>
          <w:vertAlign w:val="superscript"/>
        </w:rPr>
        <w:t>®</w:t>
      </w:r>
      <w:r>
        <w:rPr>
          <w:rFonts w:ascii="Arial" w:cs="Arial" w:eastAsia="Arial" w:hAnsi="Arial"/>
          <w:sz w:val="18"/>
          <w:szCs w:val="18"/>
          <w:color w:val="auto"/>
        </w:rPr>
        <w:t>), Model 106 (AspireSR</w:t>
      </w:r>
      <w:r>
        <w:rPr>
          <w:rFonts w:ascii="Arial" w:cs="Arial" w:eastAsia="Arial" w:hAnsi="Arial"/>
          <w:sz w:val="28"/>
          <w:szCs w:val="28"/>
          <w:color w:val="auto"/>
          <w:vertAlign w:val="superscript"/>
        </w:rPr>
        <w:t>®</w:t>
      </w:r>
      <w:r>
        <w:rPr>
          <w:rFonts w:ascii="Arial" w:cs="Arial" w:eastAsia="Arial" w:hAnsi="Arial"/>
          <w:sz w:val="18"/>
          <w:szCs w:val="18"/>
          <w:color w:val="auto"/>
        </w:rPr>
        <w:t>) and Model 1000 (SenTiva™).</w:t>
      </w:r>
    </w:p>
    <w:p>
      <w:pPr>
        <w:spacing w:after="0" w:line="3" w:lineRule="exact"/>
        <w:rPr>
          <w:rFonts w:ascii="Arial" w:cs="Arial" w:eastAsia="Arial" w:hAnsi="Arial"/>
          <w:sz w:val="18"/>
          <w:szCs w:val="18"/>
          <w:color w:val="auto"/>
        </w:rPr>
      </w:pPr>
    </w:p>
    <w:p>
      <w:pPr>
        <w:ind w:left="660" w:right="78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Cardiopulmonary product systems: S5</w:t>
      </w:r>
      <w:r>
        <w:rPr>
          <w:rFonts w:ascii="Arial" w:cs="Arial" w:eastAsia="Arial" w:hAnsi="Arial"/>
          <w:sz w:val="28"/>
          <w:szCs w:val="28"/>
          <w:color w:val="auto"/>
          <w:vertAlign w:val="superscript"/>
        </w:rPr>
        <w:t>®</w:t>
      </w:r>
      <w:r>
        <w:rPr>
          <w:rFonts w:ascii="Arial" w:cs="Arial" w:eastAsia="Arial" w:hAnsi="Arial"/>
          <w:sz w:val="18"/>
          <w:szCs w:val="18"/>
          <w:color w:val="auto"/>
        </w:rPr>
        <w:t xml:space="preserve"> heart-lung machine, S3</w:t>
      </w:r>
      <w:r>
        <w:rPr>
          <w:rFonts w:ascii="Arial" w:cs="Arial" w:eastAsia="Arial" w:hAnsi="Arial"/>
          <w:sz w:val="28"/>
          <w:szCs w:val="28"/>
          <w:color w:val="auto"/>
          <w:vertAlign w:val="superscript"/>
        </w:rPr>
        <w:t>®</w:t>
      </w:r>
      <w:r>
        <w:rPr>
          <w:rFonts w:ascii="Arial" w:cs="Arial" w:eastAsia="Arial" w:hAnsi="Arial"/>
          <w:sz w:val="18"/>
          <w:szCs w:val="18"/>
          <w:color w:val="auto"/>
        </w:rPr>
        <w:t xml:space="preserve"> heart-lung machine, Inspire™, Heartlink™, XTRA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Autotransfusion System, 3T Heater-Cooler</w:t>
      </w:r>
      <w:r>
        <w:rPr>
          <w:rFonts w:ascii="Arial" w:cs="Arial" w:eastAsia="Arial" w:hAnsi="Arial"/>
          <w:sz w:val="28"/>
          <w:szCs w:val="28"/>
          <w:color w:val="auto"/>
          <w:vertAlign w:val="superscript"/>
        </w:rPr>
        <w:t>®</w:t>
      </w:r>
      <w:r>
        <w:rPr>
          <w:rFonts w:ascii="Arial" w:cs="Arial" w:eastAsia="Arial" w:hAnsi="Arial"/>
          <w:sz w:val="18"/>
          <w:szCs w:val="18"/>
          <w:color w:val="auto"/>
        </w:rPr>
        <w:t>, Connect™ and Revolution</w:t>
      </w:r>
      <w:r>
        <w:rPr>
          <w:rFonts w:ascii="Arial" w:cs="Arial" w:eastAsia="Arial" w:hAnsi="Arial"/>
          <w:sz w:val="28"/>
          <w:szCs w:val="28"/>
          <w:color w:val="auto"/>
          <w:vertAlign w:val="superscript"/>
        </w:rPr>
        <w:t>®</w:t>
      </w:r>
      <w:r>
        <w:rPr>
          <w:rFonts w:ascii="Arial" w:cs="Arial" w:eastAsia="Arial" w:hAnsi="Arial"/>
          <w:sz w:val="21"/>
          <w:szCs w:val="21"/>
          <w:color w:val="auto"/>
        </w:rPr>
        <w:t>.</w:t>
      </w:r>
    </w:p>
    <w:p>
      <w:pPr>
        <w:ind w:left="660" w:right="280" w:hanging="328"/>
        <w:spacing w:after="0" w:line="1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line of surgical tissue and mechanical valve replacements and repair products: Mitroflow</w:t>
      </w:r>
      <w:r>
        <w:rPr>
          <w:rFonts w:ascii="Arial" w:cs="Arial" w:eastAsia="Arial" w:hAnsi="Arial"/>
          <w:sz w:val="28"/>
          <w:szCs w:val="28"/>
          <w:color w:val="auto"/>
          <w:vertAlign w:val="superscript"/>
        </w:rPr>
        <w:t>®</w:t>
      </w:r>
      <w:r>
        <w:rPr>
          <w:rFonts w:ascii="Arial" w:cs="Arial" w:eastAsia="Arial" w:hAnsi="Arial"/>
          <w:sz w:val="18"/>
          <w:szCs w:val="18"/>
          <w:color w:val="auto"/>
        </w:rPr>
        <w:t>, Crown PRT</w:t>
      </w:r>
      <w:r>
        <w:rPr>
          <w:rFonts w:ascii="Arial" w:cs="Arial" w:eastAsia="Arial" w:hAnsi="Arial"/>
          <w:sz w:val="28"/>
          <w:szCs w:val="28"/>
          <w:color w:val="auto"/>
          <w:vertAlign w:val="superscript"/>
        </w:rPr>
        <w:t>®</w:t>
      </w:r>
      <w:r>
        <w:rPr>
          <w:rFonts w:ascii="Arial" w:cs="Arial" w:eastAsia="Arial" w:hAnsi="Arial"/>
          <w:sz w:val="18"/>
          <w:szCs w:val="18"/>
          <w:color w:val="auto"/>
        </w:rPr>
        <w:t>, Solo Smart™, Perceval</w:t>
      </w:r>
      <w:r>
        <w:rPr>
          <w:rFonts w:ascii="Arial" w:cs="Arial" w:eastAsia="Arial" w:hAnsi="Arial"/>
          <w:sz w:val="28"/>
          <w:szCs w:val="28"/>
          <w:color w:val="auto"/>
          <w:vertAlign w:val="superscript"/>
        </w:rPr>
        <w:t>®</w:t>
      </w:r>
      <w:r>
        <w:rPr>
          <w:rFonts w:ascii="Arial" w:cs="Arial" w:eastAsia="Arial" w:hAnsi="Arial"/>
          <w:sz w:val="18"/>
          <w:szCs w:val="18"/>
          <w:color w:val="auto"/>
        </w:rPr>
        <w:t>, Miami Instruments™, Top Hat</w:t>
      </w:r>
      <w:r>
        <w:rPr>
          <w:rFonts w:ascii="Arial" w:cs="Arial" w:eastAsia="Arial" w:hAnsi="Arial"/>
          <w:sz w:val="28"/>
          <w:szCs w:val="28"/>
          <w:color w:val="auto"/>
          <w:vertAlign w:val="superscript"/>
        </w:rPr>
        <w:t>®</w:t>
      </w:r>
      <w:r>
        <w:rPr>
          <w:rFonts w:ascii="Arial" w:cs="Arial" w:eastAsia="Arial" w:hAnsi="Arial"/>
          <w:sz w:val="18"/>
          <w:szCs w:val="18"/>
          <w:color w:val="auto"/>
        </w:rPr>
        <w:t>, Reduced Series Aortic Valves™, Carbomedics</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Carbo-Seal</w:t>
      </w:r>
      <w:r>
        <w:rPr>
          <w:rFonts w:ascii="Arial" w:cs="Arial" w:eastAsia="Arial" w:hAnsi="Arial"/>
          <w:sz w:val="28"/>
          <w:szCs w:val="28"/>
          <w:color w:val="auto"/>
          <w:vertAlign w:val="superscript"/>
        </w:rPr>
        <w:t>®</w:t>
      </w:r>
      <w:r>
        <w:rPr>
          <w:rFonts w:ascii="Arial" w:cs="Arial" w:eastAsia="Arial" w:hAnsi="Arial"/>
          <w:sz w:val="18"/>
          <w:szCs w:val="18"/>
          <w:color w:val="auto"/>
        </w:rPr>
        <w:t>, Carbo-Seal Valsalva</w:t>
      </w:r>
      <w:r>
        <w:rPr>
          <w:rFonts w:ascii="Arial" w:cs="Arial" w:eastAsia="Arial" w:hAnsi="Arial"/>
          <w:sz w:val="28"/>
          <w:szCs w:val="28"/>
          <w:color w:val="auto"/>
          <w:vertAlign w:val="superscript"/>
        </w:rPr>
        <w:t>®</w:t>
      </w:r>
      <w:r>
        <w:rPr>
          <w:rFonts w:ascii="Arial" w:cs="Arial" w:eastAsia="Arial" w:hAnsi="Arial"/>
          <w:sz w:val="18"/>
          <w:szCs w:val="18"/>
          <w:color w:val="auto"/>
        </w:rPr>
        <w:t>, Carbomedics</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Standard™, Orbis™ and Optiform</w:t>
      </w:r>
      <w:r>
        <w:rPr>
          <w:rFonts w:ascii="Arial" w:cs="Arial" w:eastAsia="Arial" w:hAnsi="Arial"/>
          <w:sz w:val="28"/>
          <w:szCs w:val="28"/>
          <w:color w:val="auto"/>
          <w:vertAlign w:val="superscript"/>
        </w:rPr>
        <w:t>®</w:t>
      </w:r>
      <w:r>
        <w:rPr>
          <w:rFonts w:ascii="Arial" w:cs="Arial" w:eastAsia="Arial" w:hAnsi="Arial"/>
          <w:sz w:val="18"/>
          <w:szCs w:val="18"/>
          <w:color w:val="auto"/>
        </w:rPr>
        <w:t>, Memo 3D</w:t>
      </w:r>
      <w:r>
        <w:rPr>
          <w:rFonts w:ascii="Arial" w:cs="Arial" w:eastAsia="Arial" w:hAnsi="Arial"/>
          <w:sz w:val="28"/>
          <w:szCs w:val="28"/>
          <w:color w:val="auto"/>
          <w:vertAlign w:val="superscript"/>
        </w:rPr>
        <w:t>®</w:t>
      </w:r>
      <w:r>
        <w:rPr>
          <w:rFonts w:ascii="Arial" w:cs="Arial" w:eastAsia="Arial" w:hAnsi="Arial"/>
          <w:sz w:val="18"/>
          <w:szCs w:val="18"/>
          <w:color w:val="auto"/>
        </w:rPr>
        <w:t>, Memo 3D</w:t>
      </w:r>
      <w:r>
        <w:rPr>
          <w:rFonts w:ascii="Arial" w:cs="Arial" w:eastAsia="Arial" w:hAnsi="Arial"/>
          <w:sz w:val="28"/>
          <w:szCs w:val="28"/>
          <w:color w:val="auto"/>
          <w:vertAlign w:val="superscript"/>
        </w:rPr>
        <w:t>®</w:t>
      </w:r>
      <w:r>
        <w:rPr>
          <w:rFonts w:ascii="Arial" w:cs="Arial" w:eastAsia="Arial" w:hAnsi="Arial"/>
          <w:sz w:val="18"/>
          <w:szCs w:val="18"/>
          <w:color w:val="auto"/>
        </w:rPr>
        <w:t xml:space="preserve"> ReChord™, MEMO 4D</w:t>
      </w:r>
      <w:r>
        <w:rPr>
          <w:rFonts w:ascii="Arial" w:cs="Arial" w:eastAsia="Arial" w:hAnsi="Arial"/>
          <w:sz w:val="28"/>
          <w:szCs w:val="28"/>
          <w:color w:val="auto"/>
          <w:vertAlign w:val="superscript"/>
        </w:rPr>
        <w:t>®</w:t>
      </w:r>
      <w:r>
        <w:rPr>
          <w:rFonts w:ascii="Arial" w:cs="Arial" w:eastAsia="Arial" w:hAnsi="Arial"/>
          <w:sz w:val="18"/>
          <w:szCs w:val="18"/>
          <w:color w:val="auto"/>
        </w:rPr>
        <w:t>, MEMO 4D</w:t>
      </w:r>
      <w:r>
        <w:rPr>
          <w:rFonts w:ascii="Arial" w:cs="Arial" w:eastAsia="Arial" w:hAnsi="Arial"/>
          <w:sz w:val="28"/>
          <w:szCs w:val="28"/>
          <w:color w:val="auto"/>
          <w:vertAlign w:val="superscript"/>
        </w:rPr>
        <w:t>®</w:t>
      </w:r>
      <w:r>
        <w:rPr>
          <w:rFonts w:ascii="Arial" w:cs="Arial" w:eastAsia="Arial" w:hAnsi="Arial"/>
          <w:sz w:val="18"/>
          <w:szCs w:val="18"/>
          <w:color w:val="auto"/>
        </w:rPr>
        <w:t xml:space="preserve"> ReChord™, AnnuloFlo</w:t>
      </w:r>
      <w:r>
        <w:rPr>
          <w:rFonts w:ascii="Arial" w:cs="Arial" w:eastAsia="Arial" w:hAnsi="Arial"/>
          <w:sz w:val="28"/>
          <w:szCs w:val="28"/>
          <w:color w:val="auto"/>
          <w:vertAlign w:val="superscript"/>
        </w:rPr>
        <w:t>®</w:t>
      </w:r>
      <w:r>
        <w:rPr>
          <w:rFonts w:ascii="Arial" w:cs="Arial" w:eastAsia="Arial" w:hAnsi="Arial"/>
          <w:sz w:val="18"/>
          <w:szCs w:val="18"/>
          <w:color w:val="auto"/>
        </w:rPr>
        <w:t>, AnnuloFlex</w:t>
      </w:r>
      <w:r>
        <w:rPr>
          <w:rFonts w:ascii="Arial" w:cs="Arial" w:eastAsia="Arial" w:hAnsi="Arial"/>
          <w:sz w:val="28"/>
          <w:szCs w:val="28"/>
          <w:color w:val="auto"/>
          <w:vertAlign w:val="superscript"/>
        </w:rPr>
        <w:t>®</w:t>
      </w:r>
      <w:r>
        <w:rPr>
          <w:rFonts w:ascii="Arial" w:cs="Arial" w:eastAsia="Arial" w:hAnsi="Arial"/>
          <w:sz w:val="18"/>
          <w:szCs w:val="18"/>
          <w:color w:val="auto"/>
        </w:rPr>
        <w:t>, Bicarbon Slimline™, Bicarbon Filtline™ and Bicarbon Overline</w:t>
      </w:r>
      <w:r>
        <w:rPr>
          <w:rFonts w:ascii="Arial" w:cs="Arial" w:eastAsia="Arial" w:hAnsi="Arial"/>
          <w:sz w:val="28"/>
          <w:szCs w:val="28"/>
          <w:color w:val="auto"/>
          <w:vertAlign w:val="superscript"/>
        </w:rPr>
        <w: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Trademarks for our advanced circulatory support systems: TandemLife</w:t>
      </w:r>
      <w:r>
        <w:rPr>
          <w:rFonts w:ascii="Arial" w:cs="Arial" w:eastAsia="Arial" w:hAnsi="Arial"/>
          <w:sz w:val="27"/>
          <w:szCs w:val="27"/>
          <w:color w:val="auto"/>
          <w:vertAlign w:val="superscript"/>
        </w:rPr>
        <w:t>®</w:t>
      </w:r>
      <w:r>
        <w:rPr>
          <w:rFonts w:ascii="Arial" w:cs="Arial" w:eastAsia="Arial" w:hAnsi="Arial"/>
          <w:sz w:val="17"/>
          <w:szCs w:val="17"/>
          <w:color w:val="auto"/>
        </w:rPr>
        <w:t>, TandemHeart</w:t>
      </w:r>
      <w:r>
        <w:rPr>
          <w:rFonts w:ascii="Arial" w:cs="Arial" w:eastAsia="Arial" w:hAnsi="Arial"/>
          <w:sz w:val="27"/>
          <w:szCs w:val="27"/>
          <w:color w:val="auto"/>
          <w:vertAlign w:val="superscript"/>
        </w:rPr>
        <w:t>®</w:t>
      </w:r>
      <w:r>
        <w:rPr>
          <w:rFonts w:ascii="Arial" w:cs="Arial" w:eastAsia="Arial" w:hAnsi="Arial"/>
          <w:sz w:val="17"/>
          <w:szCs w:val="17"/>
          <w:color w:val="auto"/>
        </w:rPr>
        <w:t>, TandemLung</w:t>
      </w:r>
      <w:r>
        <w:rPr>
          <w:rFonts w:ascii="Arial" w:cs="Arial" w:eastAsia="Arial" w:hAnsi="Arial"/>
          <w:sz w:val="27"/>
          <w:szCs w:val="27"/>
          <w:color w:val="auto"/>
          <w:vertAlign w:val="superscript"/>
        </w:rPr>
        <w:t>®</w:t>
      </w:r>
      <w:r>
        <w:rPr>
          <w:rFonts w:ascii="Arial" w:cs="Arial" w:eastAsia="Arial" w:hAnsi="Arial"/>
          <w:sz w:val="17"/>
          <w:szCs w:val="17"/>
          <w:color w:val="auto"/>
        </w:rPr>
        <w:t>, ProtekDuo</w:t>
      </w:r>
      <w:r>
        <w:rPr>
          <w:rFonts w:ascii="Arial" w:cs="Arial" w:eastAsia="Arial" w:hAnsi="Arial"/>
          <w:sz w:val="27"/>
          <w:szCs w:val="27"/>
          <w:color w:val="auto"/>
          <w:vertAlign w:val="superscript"/>
        </w:rPr>
        <w:t>®</w:t>
      </w:r>
      <w:r>
        <w:rPr>
          <w:rFonts w:ascii="Arial" w:cs="Arial" w:eastAsia="Arial" w:hAnsi="Arial"/>
          <w:sz w:val="17"/>
          <w:szCs w:val="17"/>
          <w:color w:val="auto"/>
        </w:rPr>
        <w:t>, and LifeSPARC™.</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obstructive sleep apnea system: ImThera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Aura6000</w:t>
      </w:r>
      <w:r>
        <w:rPr>
          <w:rFonts w:ascii="Arial" w:cs="Arial" w:eastAsia="Arial" w:hAnsi="Arial"/>
          <w:sz w:val="28"/>
          <w:szCs w:val="28"/>
          <w:color w:val="auto"/>
          <w:vertAlign w:val="superscript"/>
        </w:rPr>
        <w:t>®</w:t>
      </w:r>
      <w:r>
        <w:rPr>
          <w:rFonts w:ascii="Arial" w:cs="Arial" w:eastAsia="Arial" w:hAnsi="Arial"/>
          <w:sz w:val="18"/>
          <w:szCs w:val="18"/>
          <w:color w:val="auto"/>
        </w:rPr>
        <w:t>.</w:t>
      </w:r>
    </w:p>
    <w:p>
      <w:pPr>
        <w:spacing w:after="0" w:line="67" w:lineRule="exact"/>
        <w:rPr>
          <w:sz w:val="20"/>
          <w:szCs w:val="20"/>
          <w:color w:val="auto"/>
        </w:rPr>
      </w:pPr>
    </w:p>
    <w:p>
      <w:pPr>
        <w:ind w:right="120" w:firstLine="162"/>
        <w:spacing w:after="0" w:line="317" w:lineRule="auto"/>
        <w:rPr>
          <w:sz w:val="20"/>
          <w:szCs w:val="20"/>
          <w:color w:val="auto"/>
        </w:rPr>
      </w:pPr>
      <w:r>
        <w:rPr>
          <w:rFonts w:ascii="Arial" w:cs="Arial" w:eastAsia="Arial" w:hAnsi="Arial"/>
          <w:sz w:val="16"/>
          <w:szCs w:val="16"/>
          <w:color w:val="auto"/>
        </w:rPr>
        <w:t>These trademarks and trade names are the property of LivaNova or the property of our consolidated subsidiaries and are protected under applicable intellectual property laws. Solely for convenience, our trademarks and tradenames referred to in this Quarterly Report on Form 10-Q may appear without the</w:t>
      </w:r>
    </w:p>
    <w:p>
      <w:pPr>
        <w:spacing w:after="0" w:line="1" w:lineRule="exact"/>
        <w:rPr>
          <w:sz w:val="20"/>
          <w:szCs w:val="20"/>
          <w:color w:val="auto"/>
        </w:rPr>
      </w:pPr>
    </w:p>
    <w:p>
      <w:pPr>
        <w:ind w:right="360" w:firstLine="8"/>
        <w:spacing w:after="0" w:line="227" w:lineRule="auto"/>
        <w:tabs>
          <w:tab w:leader="none" w:pos="154"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 xml:space="preserve">or </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to these trademarks and tradenames.</w:t>
      </w:r>
    </w:p>
    <w:p>
      <w:pPr>
        <w:spacing w:after="0" w:line="21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62"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Certain statements in this Quarterly Report on Form 10-Q, other than purely historical information, are “forward-looking statements” within the meaning of the Private Securities Litigation Reform Act of 1995, Section 27A of the Securities Act of 1933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80" w:lineRule="exact"/>
        <w:rPr>
          <w:sz w:val="20"/>
          <w:szCs w:val="20"/>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common stock price;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117" w:lineRule="exact"/>
        <w:rPr>
          <w:rFonts w:ascii="Arial" w:cs="Arial" w:eastAsia="Arial" w:hAnsi="Arial"/>
          <w:sz w:val="18"/>
          <w:szCs w:val="18"/>
          <w:color w:val="auto"/>
        </w:rPr>
      </w:pPr>
    </w:p>
    <w:p>
      <w:pPr>
        <w:ind w:left="580" w:right="40" w:hanging="329"/>
        <w:spacing w:after="0" w:line="259"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78"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obtain or maintain coverage and reimbursement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7"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product liability, intellectual property, shareholder-related, environmental-related, income tax and other litigation, disputes, losses and costs;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providers of alternative medical therapies, such as pharmaceutical companies and providers of cannabis;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cyber-attacks or other disruptions to our information technology systems;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applicable U.S. laws and regulations, including federal and state privacy and security laws and regulations;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applicable non-U.S. laws and regulations;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42" w:right="259" w:bottom="1440" w:gutter="0" w:footer="0" w:header="0"/>
        </w:sectPr>
      </w:pPr>
    </w:p>
    <w:bookmarkStart w:id="3" w:name="page4"/>
    <w:bookmarkEnd w:id="3"/>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new acquisitions to further our strategic objectives or strengthen our existing businesses;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accounting rules that adversely affect the characterization of our consolidated financial position, results of operations or cash flows;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17" w:lineRule="exact"/>
        <w:rPr>
          <w:rFonts w:ascii="Arial" w:cs="Arial" w:eastAsia="Arial" w:hAnsi="Arial"/>
          <w:sz w:val="18"/>
          <w:szCs w:val="18"/>
          <w:color w:val="auto"/>
        </w:rPr>
      </w:pPr>
    </w:p>
    <w:p>
      <w:pPr>
        <w:ind w:left="580" w:right="320" w:hanging="329"/>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including volatility caused by the implementation of Brexit and/or changes to existing trade agreements and relationships between the U.S. and other countries;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laws, including changes related to Brexit, or exposure to additional income tax liabilities;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Other factors that could cause our actual results to differ from our projected results are described in (1) “Part II, Item 1A. Risk Factors” and elsewhere in this Quarterly Report on Form 10-Q, (2) our Annual Report on Form 10-K for the fiscal year ended December 31, 2018 (“2018 Form 10-K”), (3) our reports and registration statements filed and furnished from time to time with the Securities and Exchange Commission (“SEC”) and (4) other announcements we make from time to time.</w:t>
      </w:r>
    </w:p>
    <w:p>
      <w:pPr>
        <w:spacing w:after="0" w:line="79"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condensed consolidated financial statements and related notes included elsewhere in this report. Operating results for the three and nine months ended September 30, 2019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2018 Form 10-K.</w:t>
      </w:r>
    </w:p>
    <w:p>
      <w:pPr>
        <w:spacing w:after="0" w:line="17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Financial Information and Currency of Financial Statements</w:t>
      </w:r>
    </w:p>
    <w:p>
      <w:pPr>
        <w:spacing w:after="0" w:line="162" w:lineRule="exact"/>
        <w:rPr>
          <w:sz w:val="20"/>
          <w:szCs w:val="20"/>
          <w:color w:val="auto"/>
        </w:rPr>
      </w:pPr>
    </w:p>
    <w:p>
      <w:pPr>
        <w:jc w:val="both"/>
        <w:ind w:right="280" w:firstLine="162"/>
        <w:spacing w:after="0" w:line="264" w:lineRule="auto"/>
        <w:rPr>
          <w:sz w:val="20"/>
          <w:szCs w:val="20"/>
          <w:color w:val="auto"/>
        </w:rPr>
      </w:pPr>
      <w:r>
        <w:rPr>
          <w:rFonts w:ascii="Arial" w:cs="Arial" w:eastAsia="Arial" w:hAnsi="Arial"/>
          <w:sz w:val="18"/>
          <w:szCs w:val="18"/>
          <w:color w:val="auto"/>
        </w:rPr>
        <w:t>All of the financial information included in this quarterly report has been prepared in accordance with generally accepted accounting principles in the United States of America (“U.S.” and such principles, “U.S. GAAP”). The reporting currency of our condensed consolidated financial statements is U.S. dollars.</w:t>
      </w:r>
    </w:p>
    <w:p>
      <w:pPr>
        <w:spacing w:after="0" w:line="28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692" w:right="35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Financial Statements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5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268,610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272,082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796,580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809,978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 - exclusive of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245,324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270,891</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Product remediation</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8,691</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375,932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342,736</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45,904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42,417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124,023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108,384</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20,028</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2,793</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29,690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28,075</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 recovery</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color w:val="auto"/>
              </w:rPr>
              <w:t>Operating income (loss) from continuing operations</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25,761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(24,894)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28,380</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(7,750)</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Foreign exchange and other gains (losses)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before tax</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31,907</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Net income (loss) from continuing operations</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32,118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31,077</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from discontinued operations,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(9,915)</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32,118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21,162</w:t>
            </w:r>
          </w:p>
        </w:tc>
      </w:tr>
      <w:tr>
        <w:trPr>
          <w:trHeight w:val="311"/>
        </w:trPr>
        <w:tc>
          <w:tcPr>
            <w:tcW w:w="5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Basic income (loss) per share:</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0.63</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37"/>
        </w:trPr>
        <w:tc>
          <w:tcPr>
            <w:tcW w:w="5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0.43</w:t>
            </w:r>
          </w:p>
        </w:tc>
      </w:tr>
      <w:tr>
        <w:trPr>
          <w:trHeight w:val="67"/>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5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Shares used in computing basic income (loss) per share</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48,395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48,637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48,329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48,484</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used in computing diluted income (loss) per share</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48,820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48,637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48,329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49,427</w:t>
            </w:r>
          </w:p>
        </w:tc>
      </w:tr>
      <w:tr>
        <w:trPr>
          <w:trHeight w:val="27"/>
        </w:trPr>
        <w:tc>
          <w:tcPr>
            <w:tcW w:w="5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3" w:right="23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(loss) gain on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(27,775)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(45,738)</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(loss) income</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(45,558)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3,682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(24,396)</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88" w:right="23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ind w:left="4400"/>
              <w:spacing w:after="0"/>
              <w:rPr>
                <w:sz w:val="20"/>
                <w:szCs w:val="20"/>
                <w:color w:val="auto"/>
              </w:rPr>
            </w:pPr>
            <w:r>
              <w:rPr>
                <w:rFonts w:ascii="Arial" w:cs="Arial" w:eastAsia="Arial" w:hAnsi="Arial"/>
                <w:sz w:val="16"/>
                <w:szCs w:val="16"/>
                <w:b w:val="1"/>
                <w:bCs w:val="1"/>
                <w:color w:val="auto"/>
              </w:rPr>
              <w:t>(In thousands, except share amounts)</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2019</w:t>
            </w:r>
          </w:p>
        </w:tc>
        <w:tc>
          <w:tcPr>
            <w:tcW w:w="160" w:type="dxa"/>
            <w:vAlign w:val="bottom"/>
          </w:tcPr>
          <w:p>
            <w:pPr>
              <w:spacing w:after="0"/>
              <w:rPr>
                <w:sz w:val="24"/>
                <w:szCs w:val="24"/>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2018</w:t>
            </w:r>
          </w:p>
        </w:tc>
        <w:tc>
          <w:tcPr>
            <w:tcW w:w="0" w:type="dxa"/>
            <w:vAlign w:val="bottom"/>
          </w:tcPr>
          <w:p>
            <w:pPr>
              <w:spacing w:after="0"/>
              <w:rPr>
                <w:sz w:val="1"/>
                <w:szCs w:val="1"/>
                <w:color w:val="auto"/>
              </w:rPr>
            </w:pPr>
          </w:p>
        </w:tc>
      </w:tr>
      <w:tr>
        <w:trPr>
          <w:trHeight w:val="33"/>
        </w:trPr>
        <w:tc>
          <w:tcPr>
            <w:tcW w:w="7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Current Assets:</w:t>
            </w: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75,313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47,204</w:t>
            </w:r>
          </w:p>
        </w:tc>
        <w:tc>
          <w:tcPr>
            <w:tcW w:w="0" w:type="dxa"/>
            <w:vAlign w:val="bottom"/>
          </w:tcPr>
          <w:p>
            <w:pPr>
              <w:spacing w:after="0"/>
              <w:rPr>
                <w:sz w:val="1"/>
                <w:szCs w:val="1"/>
                <w:color w:val="auto"/>
              </w:rPr>
            </w:pPr>
          </w:p>
        </w:tc>
      </w:tr>
      <w:tr>
        <w:trPr>
          <w:trHeight w:val="237"/>
        </w:trPr>
        <w:tc>
          <w:tcPr>
            <w:tcW w:w="7660" w:type="dxa"/>
            <w:vAlign w:val="bottom"/>
          </w:tcPr>
          <w:p>
            <w:pPr>
              <w:ind w:left="160"/>
              <w:spacing w:after="0"/>
              <w:rPr>
                <w:sz w:val="20"/>
                <w:szCs w:val="20"/>
                <w:color w:val="auto"/>
              </w:rPr>
            </w:pPr>
            <w:r>
              <w:rPr>
                <w:rFonts w:ascii="Arial" w:cs="Arial" w:eastAsia="Arial" w:hAnsi="Arial"/>
                <w:sz w:val="16"/>
                <w:szCs w:val="16"/>
                <w:color w:val="auto"/>
                <w:w w:val="96"/>
              </w:rPr>
              <w:t>Accounts receivable, net of allowance of $12,247 at September 30, 2019 and $11,598 at December 31, 2018</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243,179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256,135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167,756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153,535</w:t>
            </w:r>
          </w:p>
        </w:tc>
        <w:tc>
          <w:tcPr>
            <w:tcW w:w="0" w:type="dxa"/>
            <w:vAlign w:val="bottom"/>
          </w:tcPr>
          <w:p>
            <w:pPr>
              <w:spacing w:after="0"/>
              <w:rPr>
                <w:sz w:val="1"/>
                <w:szCs w:val="1"/>
                <w:color w:val="auto"/>
              </w:rPr>
            </w:pPr>
          </w:p>
        </w:tc>
      </w:tr>
      <w:tr>
        <w:trPr>
          <w:trHeight w:val="237"/>
        </w:trPr>
        <w:tc>
          <w:tcPr>
            <w:tcW w:w="7660" w:type="dxa"/>
            <w:vAlign w:val="bottom"/>
          </w:tcPr>
          <w:p>
            <w:pPr>
              <w:ind w:left="160"/>
              <w:spacing w:after="0"/>
              <w:rPr>
                <w:sz w:val="20"/>
                <w:szCs w:val="20"/>
                <w:color w:val="auto"/>
              </w:rPr>
            </w:pPr>
            <w:r>
              <w:rPr>
                <w:rFonts w:ascii="Arial" w:cs="Arial" w:eastAsia="Arial" w:hAnsi="Arial"/>
                <w:sz w:val="16"/>
                <w:szCs w:val="16"/>
                <w:color w:val="auto"/>
              </w:rPr>
              <w:t>Prepaid and refundable taxes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38,093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46,852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29,571</w:t>
            </w:r>
          </w:p>
        </w:tc>
        <w:tc>
          <w:tcPr>
            <w:tcW w:w="0" w:type="dxa"/>
            <w:vAlign w:val="bottom"/>
          </w:tcPr>
          <w:p>
            <w:pPr>
              <w:spacing w:after="0"/>
              <w:rPr>
                <w:sz w:val="1"/>
                <w:szCs w:val="1"/>
                <w:color w:val="auto"/>
              </w:rPr>
            </w:pPr>
          </w:p>
        </w:tc>
      </w:tr>
      <w:tr>
        <w:trPr>
          <w:trHeight w:val="217"/>
        </w:trPr>
        <w:tc>
          <w:tcPr>
            <w:tcW w:w="7660" w:type="dxa"/>
            <w:vAlign w:val="bottom"/>
          </w:tcPr>
          <w:p>
            <w:pPr>
              <w:ind w:left="2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546,846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533,297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179,507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191,400</w:t>
            </w: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945,544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956,815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699,493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770,439</w:t>
            </w: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6"/>
                <w:szCs w:val="16"/>
                <w:color w:val="auto"/>
              </w:rPr>
              <w:t>Operating lease assets (Note 11)</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54,283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24,823</w:t>
            </w: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53,577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68,146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4,781</w:t>
            </w:r>
          </w:p>
        </w:tc>
        <w:tc>
          <w:tcPr>
            <w:tcW w:w="0" w:type="dxa"/>
            <w:vAlign w:val="bottom"/>
          </w:tcPr>
          <w:p>
            <w:pPr>
              <w:spacing w:after="0"/>
              <w:rPr>
                <w:sz w:val="1"/>
                <w:szCs w:val="1"/>
                <w:color w:val="auto"/>
              </w:rPr>
            </w:pPr>
          </w:p>
        </w:tc>
      </w:tr>
      <w:tr>
        <w:trPr>
          <w:trHeight w:val="284"/>
        </w:trPr>
        <w:tc>
          <w:tcPr>
            <w:tcW w:w="76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2,509,941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2,549,701</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Current debt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28,794</w:t>
            </w:r>
          </w:p>
        </w:tc>
        <w:tc>
          <w:tcPr>
            <w:tcW w:w="0" w:type="dxa"/>
            <w:vAlign w:val="bottom"/>
          </w:tcPr>
          <w:p>
            <w:pPr>
              <w:spacing w:after="0"/>
              <w:rPr>
                <w:sz w:val="1"/>
                <w:szCs w:val="1"/>
                <w:color w:val="auto"/>
              </w:rPr>
            </w:pPr>
          </w:p>
        </w:tc>
      </w:tr>
      <w:tr>
        <w:trPr>
          <w:trHeight w:val="237"/>
        </w:trPr>
        <w:tc>
          <w:tcPr>
            <w:tcW w:w="766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75,522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76,735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liabilities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128,456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124,285</w:t>
            </w:r>
          </w:p>
        </w:tc>
        <w:tc>
          <w:tcPr>
            <w:tcW w:w="0" w:type="dxa"/>
            <w:vAlign w:val="bottom"/>
          </w:tcPr>
          <w:p>
            <w:pPr>
              <w:spacing w:after="0"/>
              <w:rPr>
                <w:sz w:val="1"/>
                <w:szCs w:val="1"/>
                <w:color w:val="auto"/>
              </w:rPr>
            </w:pPr>
          </w:p>
        </w:tc>
      </w:tr>
      <w:tr>
        <w:trPr>
          <w:trHeight w:val="237"/>
        </w:trPr>
        <w:tc>
          <w:tcPr>
            <w:tcW w:w="7660" w:type="dxa"/>
            <w:vAlign w:val="bottom"/>
          </w:tcPr>
          <w:p>
            <w:pPr>
              <w:ind w:left="160"/>
              <w:spacing w:after="0"/>
              <w:rPr>
                <w:sz w:val="20"/>
                <w:szCs w:val="20"/>
                <w:color w:val="auto"/>
              </w:rPr>
            </w:pPr>
            <w:r>
              <w:rPr>
                <w:rFonts w:ascii="Arial" w:cs="Arial" w:eastAsia="Arial" w:hAnsi="Arial"/>
                <w:sz w:val="16"/>
                <w:szCs w:val="16"/>
                <w:color w:val="auto"/>
              </w:rPr>
              <w:t>Current litigation provision liability</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121,468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161,851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22,530</w:t>
            </w:r>
          </w:p>
        </w:tc>
        <w:tc>
          <w:tcPr>
            <w:tcW w:w="0" w:type="dxa"/>
            <w:vAlign w:val="bottom"/>
          </w:tcPr>
          <w:p>
            <w:pPr>
              <w:spacing w:after="0"/>
              <w:rPr>
                <w:sz w:val="1"/>
                <w:szCs w:val="1"/>
                <w:color w:val="auto"/>
              </w:rPr>
            </w:pPr>
          </w:p>
        </w:tc>
      </w:tr>
      <w:tr>
        <w:trPr>
          <w:trHeight w:val="237"/>
        </w:trPr>
        <w:tc>
          <w:tcPr>
            <w:tcW w:w="7660" w:type="dxa"/>
            <w:vAlign w:val="bottom"/>
          </w:tcPr>
          <w:p>
            <w:pPr>
              <w:ind w:left="160"/>
              <w:spacing w:after="0"/>
              <w:rPr>
                <w:sz w:val="20"/>
                <w:szCs w:val="20"/>
                <w:color w:val="auto"/>
              </w:rPr>
            </w:pPr>
            <w:r>
              <w:rPr>
                <w:rFonts w:ascii="Arial" w:cs="Arial" w:eastAsia="Arial" w:hAnsi="Arial"/>
                <w:sz w:val="16"/>
                <w:szCs w:val="16"/>
                <w:color w:val="auto"/>
              </w:rPr>
              <w:t>Accrued employee compensation and related benefits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64,840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82,551</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469,191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496,746</w:t>
            </w: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6"/>
                <w:szCs w:val="16"/>
                <w:color w:val="auto"/>
              </w:rPr>
              <w:t>Long-term debt obligations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272,887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139,538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140,472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161,381</w:t>
            </w: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6"/>
                <w:szCs w:val="16"/>
                <w:color w:val="auto"/>
              </w:rPr>
              <w:t>Litigation provision liability</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31,500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132,210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68,189</w:t>
            </w: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6"/>
                <w:szCs w:val="16"/>
                <w:color w:val="auto"/>
              </w:rPr>
              <w:t>Long-term operating lease liabilities (Note 11)</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44,724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employee compensation and related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25,264</w:t>
            </w: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13,921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22,635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1,014,659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1,045,963</w:t>
            </w: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6"/>
                <w:szCs w:val="16"/>
                <w:color w:val="auto"/>
              </w:rPr>
              <w:t>Commitments and contingencies (Note 12)</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color w:val="auto"/>
                <w:w w:val="95"/>
              </w:rPr>
              <w:t>Ordinary Shares, £1.00 par value: unlimited shares authorized; 49,380,570 shares issued and 48,399,097 shares</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rPr>
                <w:sz w:val="20"/>
                <w:szCs w:val="20"/>
                <w:color w:val="auto"/>
              </w:rPr>
            </w:pPr>
            <w:r>
              <w:rPr>
                <w:rFonts w:ascii="Arial" w:cs="Arial" w:eastAsia="Arial" w:hAnsi="Arial"/>
                <w:sz w:val="16"/>
                <w:szCs w:val="16"/>
                <w:color w:val="auto"/>
                <w:w w:val="92"/>
              </w:rPr>
              <w:t>outstanding at September 30, 2019; 49,323,418 shares issued and 48,205,783 shares outstanding at December 31,</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20"/>
              <w:spacing w:after="0"/>
              <w:rPr>
                <w:sz w:val="20"/>
                <w:szCs w:val="20"/>
                <w:color w:val="auto"/>
              </w:rPr>
            </w:pPr>
            <w:r>
              <w:rPr>
                <w:rFonts w:ascii="Arial" w:cs="Arial" w:eastAsia="Arial" w:hAnsi="Arial"/>
                <w:sz w:val="16"/>
                <w:szCs w:val="16"/>
                <w:color w:val="auto"/>
              </w:rPr>
              <w:t>2018</w:t>
            </w:r>
          </w:p>
        </w:tc>
        <w:tc>
          <w:tcPr>
            <w:tcW w:w="160" w:type="dxa"/>
            <w:vAlign w:val="bottom"/>
          </w:tcPr>
          <w:p>
            <w:pPr>
              <w:spacing w:after="0"/>
              <w:rPr>
                <w:sz w:val="17"/>
                <w:szCs w:val="17"/>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76,217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76,144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1,725,482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1,705,111</w:t>
            </w: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(41,610)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(24,476)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(263,525)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(251,579)</w:t>
            </w:r>
          </w:p>
        </w:tc>
        <w:tc>
          <w:tcPr>
            <w:tcW w:w="0" w:type="dxa"/>
            <w:vAlign w:val="bottom"/>
          </w:tcPr>
          <w:p>
            <w:pPr>
              <w:spacing w:after="0"/>
              <w:rPr>
                <w:sz w:val="1"/>
                <w:szCs w:val="1"/>
                <w:color w:val="auto"/>
              </w:rPr>
            </w:pP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color w:val="auto"/>
                <w:w w:val="92"/>
              </w:rPr>
              <w:t>Treasury stock at cost, 981,473 ordinary shares at September 30, 2019; 1,117,635 ordinary shares at December 31,</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20"/>
              <w:spacing w:after="0"/>
              <w:rPr>
                <w:sz w:val="20"/>
                <w:szCs w:val="20"/>
                <w:color w:val="auto"/>
              </w:rPr>
            </w:pPr>
            <w:r>
              <w:rPr>
                <w:rFonts w:ascii="Arial" w:cs="Arial" w:eastAsia="Arial" w:hAnsi="Arial"/>
                <w:sz w:val="16"/>
                <w:szCs w:val="16"/>
                <w:color w:val="auto"/>
              </w:rPr>
              <w:t>2018</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1,495,282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1,503,738</w:t>
            </w:r>
          </w:p>
        </w:tc>
        <w:tc>
          <w:tcPr>
            <w:tcW w:w="0" w:type="dxa"/>
            <w:vAlign w:val="bottom"/>
          </w:tcPr>
          <w:p>
            <w:pPr>
              <w:spacing w:after="0"/>
              <w:rPr>
                <w:sz w:val="1"/>
                <w:szCs w:val="1"/>
                <w:color w:val="auto"/>
              </w:rPr>
            </w:pPr>
          </w:p>
        </w:tc>
      </w:tr>
      <w:tr>
        <w:trPr>
          <w:trHeight w:val="244"/>
        </w:trPr>
        <w:tc>
          <w:tcPr>
            <w:tcW w:w="7660" w:type="dxa"/>
            <w:vAlign w:val="bottom"/>
          </w:tcPr>
          <w:p>
            <w:pPr>
              <w:ind w:left="26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2,509,941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2,549,701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675" w:right="239" w:bottom="1440" w:gutter="0" w:footer="0" w:header="0"/>
        </w:sectPr>
      </w:pPr>
    </w:p>
    <w:p>
      <w:pPr>
        <w:spacing w:after="0" w:line="69"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675" w:right="239" w:bottom="1440" w:gutter="0" w:footer="0" w:header="0"/>
          <w:type w:val="continuous"/>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5"/>
              </w:rPr>
              <w:t>Nine Months Ended September 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Non-cash items included in net (loss) income:</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29,690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28,052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benefit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24,127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21,387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24,979</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Amortization of operating lease assets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8,961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income taxes payable on intercompany transfers of property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Gain on acquisition</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(11,484)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b w:val="1"/>
                <w:bCs w:val="1"/>
                <w:color w:val="auto"/>
              </w:rPr>
              <w:t>Changes in operating assets and liabilities: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30,506</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and non-current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(16,757)</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current and non-current liabilities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(28,964)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12,895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Litigation provision liability</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(140,823)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reserve</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(94,008)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99,599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(16,801)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(24,318)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(279,863)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Purchases of intangible assets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asset sales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 of investment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sale of CRM business franchise, net of cash disposed</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186,682</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(30,519)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(107,408)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193,490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Repayment of long-term debt obligations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(12,290)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repurchased from employees for minimum tax withholding</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share issuances under ESPP</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 in short-term borrowing, net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(31,281)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short-term borrowing (maturities greater than 90 days)</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short-term borrowing (maturities greater than 90 days)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Payment of deferred consideration - acquisition of Caisson Interventional, LLC</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(14,073)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153,741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(2,910)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28,109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(13,667)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93,615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75,313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79,948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88" w:right="239" w:bottom="529"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Unaudited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Basis of Presentation</w:t>
      </w:r>
    </w:p>
    <w:p>
      <w:pPr>
        <w:spacing w:after="0" w:line="110" w:lineRule="exact"/>
        <w:rPr>
          <w:sz w:val="20"/>
          <w:szCs w:val="20"/>
          <w:color w:val="auto"/>
        </w:rPr>
      </w:pPr>
    </w:p>
    <w:p>
      <w:pPr>
        <w:ind w:right="20" w:firstLine="162"/>
        <w:spacing w:after="0" w:line="290" w:lineRule="auto"/>
        <w:rPr>
          <w:sz w:val="20"/>
          <w:szCs w:val="20"/>
          <w:color w:val="auto"/>
        </w:rPr>
      </w:pPr>
      <w:r>
        <w:rPr>
          <w:rFonts w:ascii="Arial" w:cs="Arial" w:eastAsia="Arial" w:hAnsi="Arial"/>
          <w:sz w:val="16"/>
          <w:szCs w:val="16"/>
          <w:color w:val="auto"/>
        </w:rPr>
        <w:t>The accompanying condensed consolidated financial statements of LivaNova as of, and for the three and nine months ended September 30, 2019 and 2018, have been prepared in accordance with U.S. GAAP for interim financial information and the instructions to Form 10-Q and Article 10 of Regulation S-X. The accompanying condensed consolidated balance sheet of LivaNova at December 31, 2018 has been derived from audited financial statements contained in our 2018 Form 10-K, but does not include all of the information and footnotes required by U.S. GAAP for complete financial statements. In the opinion of management, the condensed consolidated financial statements reflect all adjustments (consisting of only normal recurring adjustments) considered necessary for a fair statement of the operating results of LivaNova and its subsidiaries, for the three and nine months ended September 30, 2019, and are not necessarily indicative of the results that may be expected for the year ending December 31, 2019. The financial information presented herein should be read in conjunction with the audited consolidated financial statements and notes thereto accompanying our 2018 Form 10-K.</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Reclassifications</w:t>
      </w:r>
    </w:p>
    <w:p>
      <w:pPr>
        <w:spacing w:after="0" w:line="110" w:lineRule="exact"/>
        <w:rPr>
          <w:sz w:val="20"/>
          <w:szCs w:val="20"/>
          <w:color w:val="auto"/>
        </w:rPr>
      </w:pPr>
    </w:p>
    <w:p>
      <w:pPr>
        <w:ind w:right="740" w:firstLine="162"/>
        <w:spacing w:after="0" w:line="277" w:lineRule="auto"/>
        <w:rPr>
          <w:sz w:val="20"/>
          <w:szCs w:val="20"/>
          <w:color w:val="auto"/>
        </w:rPr>
      </w:pPr>
      <w:r>
        <w:rPr>
          <w:rFonts w:ascii="Arial" w:cs="Arial" w:eastAsia="Arial" w:hAnsi="Arial"/>
          <w:sz w:val="18"/>
          <w:szCs w:val="18"/>
          <w:color w:val="auto"/>
        </w:rPr>
        <w:t>We have reclassified certain prior period amounts for comparative purposes. These reclassifications did not have a material effect on our financial condition, results of operations or cash flows.</w:t>
      </w:r>
    </w:p>
    <w:p>
      <w:pPr>
        <w:spacing w:after="0" w:line="62"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Gross profit, as previously presented for the nine months ended September 30, 2018, excluded amortization of certain intangible assets. For the nine months ended September 30, 2018, $10.7 million of such amortization expense should have been included in cost of sales. The Company has determined that this misclassification error was not material to any prior annual or interim periods. For comparability among periods, the Company no longer presents gross profit within its condensed consolidated statements of income (loss).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w:t>
      </w:r>
    </w:p>
    <w:p>
      <w:pPr>
        <w:spacing w:after="0" w:line="110" w:lineRule="exact"/>
        <w:rPr>
          <w:sz w:val="20"/>
          <w:szCs w:val="20"/>
          <w:color w:val="auto"/>
        </w:rPr>
      </w:pPr>
    </w:p>
    <w:p>
      <w:pPr>
        <w:ind w:right="220" w:firstLine="162"/>
        <w:spacing w:after="0" w:line="264" w:lineRule="auto"/>
        <w:rPr>
          <w:sz w:val="20"/>
          <w:szCs w:val="20"/>
          <w:color w:val="auto"/>
        </w:rPr>
      </w:pPr>
      <w:r>
        <w:rPr>
          <w:rFonts w:ascii="Arial" w:cs="Arial" w:eastAsia="Arial" w:hAnsi="Arial"/>
          <w:sz w:val="18"/>
          <w:szCs w:val="18"/>
          <w:color w:val="auto"/>
        </w:rPr>
        <w:t>Our significant accounting policies are detailed in “Note 2. Basis of Presentation, Use of Accounting Estimates and Significant Accounting Policies” and “Note 3. Revenue Recognition” of our 2018 Form 10-K. Changes to our accounting policies as a result of adopting the new lease accounting standard are discussed below.</w:t>
      </w:r>
    </w:p>
    <w:p>
      <w:pPr>
        <w:spacing w:after="0" w:line="73" w:lineRule="exact"/>
        <w:rPr>
          <w:sz w:val="20"/>
          <w:szCs w:val="20"/>
          <w:color w:val="auto"/>
        </w:rPr>
      </w:pPr>
    </w:p>
    <w:p>
      <w:pPr>
        <w:ind w:right="100" w:firstLine="162"/>
        <w:spacing w:after="0" w:line="291" w:lineRule="auto"/>
        <w:rPr>
          <w:sz w:val="20"/>
          <w:szCs w:val="20"/>
          <w:color w:val="auto"/>
        </w:rPr>
      </w:pPr>
      <w:r>
        <w:rPr>
          <w:rFonts w:ascii="Arial" w:cs="Arial" w:eastAsia="Arial" w:hAnsi="Arial"/>
          <w:sz w:val="16"/>
          <w:szCs w:val="16"/>
          <w:color w:val="auto"/>
        </w:rPr>
        <w:t xml:space="preserve">On January 1, 2019, we adopted ASC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including subsequent related accounting updates (collectively referred to as “Topic 842”), which supersedes the previous accounting model for leases. We adopted the standard using the modified retrospective approach with an effective date as of January 1, 2019. Prior year financial statements were not recast under the new standard. In addition, we elected the package of practical expedients permitted under the transition guidance within the new standard, which among other things, allowed us to carry forward our historical assessment of whether contracts are or contain leases and lease classification. We also elected the practical expedient to account for lease and non-lease components together as a single combined lease component, which is applicable to all asset classes. We did not, however, elect the practical expedient related to using hindsight in determining the lease term as this was not relevant following our election of the modified retrospective approach.</w:t>
      </w:r>
    </w:p>
    <w:p>
      <w:pPr>
        <w:spacing w:after="0" w:line="59" w:lineRule="exact"/>
        <w:rPr>
          <w:sz w:val="20"/>
          <w:szCs w:val="20"/>
          <w:color w:val="auto"/>
        </w:rPr>
      </w:pPr>
    </w:p>
    <w:p>
      <w:pPr>
        <w:jc w:val="both"/>
        <w:ind w:right="100" w:firstLine="162"/>
        <w:spacing w:after="0" w:line="257" w:lineRule="auto"/>
        <w:rPr>
          <w:sz w:val="20"/>
          <w:szCs w:val="20"/>
          <w:color w:val="auto"/>
        </w:rPr>
      </w:pPr>
      <w:r>
        <w:rPr>
          <w:rFonts w:ascii="Arial" w:cs="Arial" w:eastAsia="Arial" w:hAnsi="Arial"/>
          <w:sz w:val="18"/>
          <w:szCs w:val="18"/>
          <w:color w:val="auto"/>
        </w:rPr>
        <w:t>In addition, we elect certain practical expedients on an ongoing basis, including the practical expedient for short-term leases pursuant to which a lessee is permitted to make an accounting policy election by class of underlying asset not to recognize a lease liability and operating lease asset for leases with a term of 12 months or less and that do not include an option to purchase the underlying asset that the lessee is reasonably certain to exercise. We have applied this accounting policy to all asset classes in our portfolio and will recognize the lease payments for such short-term leases within profit and loss on a straight-line basis over the lease term.</w:t>
      </w:r>
    </w:p>
    <w:p>
      <w:pPr>
        <w:spacing w:after="0" w:line="80" w:lineRule="exact"/>
        <w:rPr>
          <w:sz w:val="20"/>
          <w:szCs w:val="20"/>
          <w:color w:val="auto"/>
        </w:rPr>
      </w:pPr>
    </w:p>
    <w:p>
      <w:pPr>
        <w:ind w:right="260" w:firstLine="162"/>
        <w:spacing w:after="0" w:line="302" w:lineRule="auto"/>
        <w:rPr>
          <w:sz w:val="20"/>
          <w:szCs w:val="20"/>
          <w:color w:val="auto"/>
        </w:rPr>
      </w:pPr>
      <w:r>
        <w:rPr>
          <w:rFonts w:ascii="Arial" w:cs="Arial" w:eastAsia="Arial" w:hAnsi="Arial"/>
          <w:sz w:val="16"/>
          <w:szCs w:val="16"/>
          <w:color w:val="auto"/>
        </w:rPr>
        <w:t>Furthermore, from a lessor perspective, certain of our agreements that allow the customer to use, rather than purchase, our medical devices will meet the criteria of being a lease in accordance with the new standard. While the amount of revenue and expenses recognized over the contract term will not be impacted, the timing of revenue and expense recognition will be impacted depending upon lease classification. We enacted appropriate changes to our business processes, systems and internal controls to support identification, recognition and disclosure of leases under the new standard.</w:t>
      </w:r>
    </w:p>
    <w:p>
      <w:pPr>
        <w:spacing w:after="0" w:line="46"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We determine if an arrangement is or contains a lease at inception. Operating lease assets and operating lease liabilities are recognized based on the present value of the future minimum lease payments over the lease term at the latter of our lease standard effective date for adoption or the lease commencement date. Variable lease payments, such as common area rent</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88" w:right="239" w:bottom="1440" w:gutter="0" w:footer="0" w:header="0"/>
        </w:sectPr>
      </w:pPr>
    </w:p>
    <w:bookmarkStart w:id="9" w:name="page10"/>
    <w:bookmarkEnd w:id="9"/>
    <w:p>
      <w:pPr>
        <w:spacing w:after="0" w:line="271" w:lineRule="auto"/>
        <w:rPr>
          <w:sz w:val="20"/>
          <w:szCs w:val="20"/>
          <w:color w:val="auto"/>
        </w:rPr>
      </w:pPr>
      <w:r>
        <w:rPr>
          <w:rFonts w:ascii="Arial" w:cs="Arial" w:eastAsia="Arial" w:hAnsi="Arial"/>
          <w:sz w:val="17"/>
          <w:szCs w:val="17"/>
          <w:color w:val="auto"/>
        </w:rPr>
        <w:t>maintenance charges and rent escalations not known upon lease commencement, are not included in determination of the minimum lease payments and will be expensed in the period in which the obligation for those payments is incurred. As most of our leases do not provide an implicit rate, we use our incremental borrowing rate based on the information available at commencement in determining the present value of future payments. The incremental borrowing rate represents an estimate of the interest rate we would incur at lease commencement to borrow an amount equal to the lease payments on a collateralized basis over the term of a lease within a particular currency environment. We used the incremental borrowing rate available nearest to our adoption date for leases that commenced prior to that date. The operating lease asset also includes any lease payments made in advance and excludes lease incentives. Our lease terms may include options to extend or terminate the lease when it is reasonably certain that we will exercise that option. Lease expense for minimum lease payments is recognized on a straight-line basis over the lease term.</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additional information refer to “Note 11. Leases.”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Business Combinations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Miami Instruments</w:t>
      </w:r>
    </w:p>
    <w:p>
      <w:pPr>
        <w:spacing w:after="0" w:line="110"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On June 12, 2019, we acquired the minimally invasive cardiac surgery instruments business from Miami Instruments, LLC (“Miami Instruments”) for cash consideration of up to $17.0 million. The related operations have been integrated into our Cardiovascular business franchise as part of our Heart Valves portfolio. Cash of $10.8 million was paid at closing with up to $6.0 million in contingent consideration based on achieving certain milestones. In connection with this acquisition, we recognized $14.7 million in developed technology and in-process research and development (“IPR&amp;D”) intangible assets and $1.5 million in goodwill.</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Discontinued Operations</w:t>
      </w:r>
    </w:p>
    <w:p>
      <w:pPr>
        <w:spacing w:after="0" w:line="116" w:lineRule="exact"/>
        <w:rPr>
          <w:sz w:val="20"/>
          <w:szCs w:val="20"/>
          <w:color w:val="auto"/>
        </w:rPr>
      </w:pPr>
    </w:p>
    <w:p>
      <w:pPr>
        <w:ind w:right="260" w:firstLine="162"/>
        <w:spacing w:after="0" w:line="312" w:lineRule="auto"/>
        <w:rPr>
          <w:sz w:val="20"/>
          <w:szCs w:val="20"/>
          <w:color w:val="auto"/>
        </w:rPr>
      </w:pPr>
      <w:r>
        <w:rPr>
          <w:rFonts w:ascii="Arial" w:cs="Arial" w:eastAsia="Arial" w:hAnsi="Arial"/>
          <w:sz w:val="16"/>
          <w:szCs w:val="16"/>
          <w:color w:val="auto"/>
        </w:rPr>
        <w:t>In November 2017, we concluded that the sale of our Cardiac Rhythm Management (“CRM”) business franchise represented a strategic shift in our business that would have a major effect on future operations and financial results. Accordingly, the operating results of CRM are classified as discontinued operations on our condensed consolidated statements of income (loss) for all the periods presented in this Quarterly Report on Form 10-Q.</w:t>
      </w:r>
    </w:p>
    <w:p>
      <w:pPr>
        <w:spacing w:after="0" w:line="39" w:lineRule="exact"/>
        <w:rPr>
          <w:sz w:val="20"/>
          <w:szCs w:val="20"/>
          <w:color w:val="auto"/>
        </w:rPr>
      </w:pPr>
    </w:p>
    <w:p>
      <w:pPr>
        <w:ind w:right="60" w:firstLine="162"/>
        <w:spacing w:after="0" w:line="254" w:lineRule="auto"/>
        <w:rPr>
          <w:sz w:val="20"/>
          <w:szCs w:val="20"/>
          <w:color w:val="auto"/>
        </w:rPr>
      </w:pPr>
      <w:r>
        <w:rPr>
          <w:rFonts w:ascii="Arial" w:cs="Arial" w:eastAsia="Arial" w:hAnsi="Arial"/>
          <w:sz w:val="18"/>
          <w:szCs w:val="18"/>
          <w:color w:val="auto"/>
        </w:rPr>
        <w:t>We completed the CRM Sale on April 30, 2018 to MicroPort Cardiac Rhythm B.V. and MicroPort Scientific Corporation for total cash proceeds of $195.9 million, less cash transferred of $9.2 million, subject to a closing working capital adjustment. In conjunction with the sale, we entered into transition services agreements to provide certain support services generally for up to twelve months from the closing date of the sale. The services include, among others, accounting, information technology, human resources, quality assurance, regulatory affairs, supply chain, clinical affairs and customer support. For providing these services, during three and nine months ended September 30, 2019, we recognized income of $0.1 million and $0.9 million, respectively, and during the three and nine months ended September 30, 2018, we recognized income of $1.1 million and $2.0 million, respectively. Income recognized related to the transition services agreements is recorded as a reduction to the related expenses in the associated expense line items in the condensed consolidated statements of income (loss).</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ind w:right="380" w:firstLine="162"/>
        <w:spacing w:after="0" w:line="277" w:lineRule="auto"/>
        <w:rPr>
          <w:sz w:val="20"/>
          <w:szCs w:val="20"/>
          <w:color w:val="auto"/>
        </w:rPr>
      </w:pPr>
      <w:r>
        <w:rPr>
          <w:rFonts w:ascii="Arial" w:cs="Arial" w:eastAsia="Arial" w:hAnsi="Arial"/>
          <w:sz w:val="18"/>
          <w:szCs w:val="18"/>
          <w:color w:val="auto"/>
        </w:rPr>
        <w:t>The following table represents the financial results of CRM presented as net (loss) income from discontinued operations in the condensed consolidated statements of income (loss)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200" w:type="dxa"/>
            <w:vAlign w:val="bottom"/>
            <w:gridSpan w:val="6"/>
          </w:tcPr>
          <w:p>
            <w:pPr>
              <w:ind w:left="180"/>
              <w:spacing w:after="0"/>
              <w:rPr>
                <w:sz w:val="20"/>
                <w:szCs w:val="20"/>
                <w:color w:val="auto"/>
              </w:rPr>
            </w:pPr>
            <w:r>
              <w:rPr>
                <w:rFonts w:ascii="Arial" w:cs="Arial" w:eastAsia="Arial" w:hAnsi="Arial"/>
                <w:sz w:val="18"/>
                <w:szCs w:val="18"/>
                <w:b w:val="1"/>
                <w:bCs w:val="1"/>
                <w:color w:val="auto"/>
                <w:w w:val="98"/>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53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77,366</w:t>
            </w:r>
          </w:p>
        </w:tc>
      </w:tr>
      <w:tr>
        <w:trPr>
          <w:trHeight w:val="108"/>
        </w:trPr>
        <w:tc>
          <w:tcPr>
            <w:tcW w:w="53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0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27,306</w:t>
            </w:r>
          </w:p>
        </w:tc>
      </w:tr>
      <w:tr>
        <w:trPr>
          <w:trHeight w:val="108"/>
        </w:trPr>
        <w:tc>
          <w:tcPr>
            <w:tcW w:w="53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tcPr>
          <w:p>
            <w:pPr>
              <w:spacing w:after="0"/>
              <w:rPr>
                <w:sz w:val="24"/>
                <w:szCs w:val="24"/>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43,441</w:t>
            </w:r>
          </w:p>
        </w:tc>
      </w:tr>
      <w:tr>
        <w:trPr>
          <w:trHeight w:val="108"/>
        </w:trPr>
        <w:tc>
          <w:tcPr>
            <w:tcW w:w="5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16,577</w:t>
            </w:r>
          </w:p>
        </w:tc>
      </w:tr>
      <w:tr>
        <w:trPr>
          <w:trHeight w:val="108"/>
        </w:trPr>
        <w:tc>
          <w:tcPr>
            <w:tcW w:w="53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1080" w:type="dxa"/>
            <w:vAlign w:val="bottom"/>
          </w:tcPr>
          <w:p>
            <w:pPr>
              <w:spacing w:after="0"/>
              <w:rPr>
                <w:sz w:val="24"/>
                <w:szCs w:val="24"/>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651</w:t>
            </w:r>
          </w:p>
        </w:tc>
      </w:tr>
      <w:tr>
        <w:trPr>
          <w:trHeight w:val="108"/>
        </w:trPr>
        <w:tc>
          <w:tcPr>
            <w:tcW w:w="5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Revaluation gain on assets and liabilities held for sale</w:t>
            </w:r>
          </w:p>
        </w:tc>
        <w:tc>
          <w:tcPr>
            <w:tcW w:w="10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r>
      <w:tr>
        <w:trPr>
          <w:trHeight w:val="108"/>
        </w:trPr>
        <w:tc>
          <w:tcPr>
            <w:tcW w:w="53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180"/>
              <w:spacing w:after="0"/>
              <w:rPr>
                <w:sz w:val="20"/>
                <w:szCs w:val="20"/>
                <w:color w:val="auto"/>
              </w:rPr>
            </w:pPr>
            <w:r>
              <w:rPr>
                <w:rFonts w:ascii="Arial" w:cs="Arial" w:eastAsia="Arial" w:hAnsi="Arial"/>
                <w:sz w:val="18"/>
                <w:szCs w:val="18"/>
                <w:color w:val="auto"/>
              </w:rPr>
              <w:t>Loss on sale of CRM</w:t>
            </w:r>
          </w:p>
        </w:tc>
        <w:tc>
          <w:tcPr>
            <w:tcW w:w="1080" w:type="dxa"/>
            <w:vAlign w:val="bottom"/>
          </w:tcPr>
          <w:p>
            <w:pPr>
              <w:spacing w:after="0"/>
              <w:rPr>
                <w:sz w:val="24"/>
                <w:szCs w:val="24"/>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108"/>
        </w:trPr>
        <w:tc>
          <w:tcPr>
            <w:tcW w:w="5380" w:type="dxa"/>
            <w:vAlign w:val="bottom"/>
            <w:tcBorders>
              <w:bottom w:val="single" w:sz="8" w:color="CCEEFF"/>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18"/>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(loss) income from discontinued operations</w:t>
            </w:r>
          </w:p>
        </w:tc>
        <w:tc>
          <w:tcPr>
            <w:tcW w:w="10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r>
      <w:tr>
        <w:trPr>
          <w:trHeight w:val="108"/>
        </w:trPr>
        <w:tc>
          <w:tcPr>
            <w:tcW w:w="53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40"/>
              <w:spacing w:after="0"/>
              <w:rPr>
                <w:sz w:val="20"/>
                <w:szCs w:val="20"/>
                <w:color w:val="auto"/>
              </w:rPr>
            </w:pPr>
            <w:r>
              <w:rPr>
                <w:rFonts w:ascii="Arial" w:cs="Arial" w:eastAsia="Arial" w:hAnsi="Arial"/>
                <w:sz w:val="18"/>
                <w:szCs w:val="18"/>
                <w:color w:val="auto"/>
              </w:rPr>
              <w:t>Foreign exchange and other gains</w:t>
            </w:r>
          </w:p>
        </w:tc>
        <w:tc>
          <w:tcPr>
            <w:tcW w:w="1080" w:type="dxa"/>
            <w:vAlign w:val="bottom"/>
          </w:tcPr>
          <w:p>
            <w:pPr>
              <w:spacing w:after="0"/>
              <w:rPr>
                <w:sz w:val="24"/>
                <w:szCs w:val="24"/>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108"/>
        </w:trPr>
        <w:tc>
          <w:tcPr>
            <w:tcW w:w="5380" w:type="dxa"/>
            <w:vAlign w:val="bottom"/>
            <w:tcBorders>
              <w:bottom w:val="single" w:sz="8" w:color="CCEEFF"/>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18"/>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income from discontinued operations, before tax</w:t>
            </w:r>
          </w:p>
        </w:tc>
        <w:tc>
          <w:tcPr>
            <w:tcW w:w="10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r>
      <w:tr>
        <w:trPr>
          <w:trHeight w:val="108"/>
        </w:trPr>
        <w:tc>
          <w:tcPr>
            <w:tcW w:w="53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080" w:type="dxa"/>
            <w:vAlign w:val="bottom"/>
          </w:tcPr>
          <w:p>
            <w:pPr>
              <w:spacing w:after="0"/>
              <w:rPr>
                <w:sz w:val="24"/>
                <w:szCs w:val="24"/>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108"/>
        </w:trPr>
        <w:tc>
          <w:tcPr>
            <w:tcW w:w="5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10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108"/>
        </w:trPr>
        <w:tc>
          <w:tcPr>
            <w:tcW w:w="5380" w:type="dxa"/>
            <w:vAlign w:val="bottom"/>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r>
      <w:tr>
        <w:trPr>
          <w:trHeight w:val="318"/>
        </w:trPr>
        <w:tc>
          <w:tcPr>
            <w:tcW w:w="5380" w:type="dxa"/>
            <w:vAlign w:val="bottom"/>
          </w:tcPr>
          <w:p>
            <w:pPr>
              <w:ind w:left="280"/>
              <w:spacing w:after="0"/>
              <w:rPr>
                <w:sz w:val="20"/>
                <w:szCs w:val="20"/>
                <w:color w:val="auto"/>
              </w:rPr>
            </w:pPr>
            <w:r>
              <w:rPr>
                <w:rFonts w:ascii="Arial" w:cs="Arial" w:eastAsia="Arial" w:hAnsi="Arial"/>
                <w:sz w:val="18"/>
                <w:szCs w:val="18"/>
                <w:color w:val="auto"/>
              </w:rPr>
              <w:t>Net (loss) income from discontinued operations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(9,915)</w:t>
            </w:r>
          </w:p>
        </w:tc>
      </w:tr>
      <w:tr>
        <w:trPr>
          <w:trHeight w:val="108"/>
        </w:trPr>
        <w:tc>
          <w:tcPr>
            <w:tcW w:w="53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80" w:firstLine="162"/>
        <w:spacing w:after="0" w:line="308" w:lineRule="auto"/>
        <w:rPr>
          <w:sz w:val="20"/>
          <w:szCs w:val="20"/>
          <w:color w:val="auto"/>
        </w:rPr>
      </w:pPr>
      <w:r>
        <w:rPr>
          <w:rFonts w:ascii="Arial" w:cs="Arial" w:eastAsia="Arial" w:hAnsi="Arial"/>
          <w:sz w:val="17"/>
          <w:szCs w:val="17"/>
          <w:color w:val="auto"/>
        </w:rPr>
        <w:t>Cash flows attributable to our discontinued operations are included in our condensed consolidated statements of cash flows. For the nine months ended September 30, 2018, CRM’s capital expenditures were $0.9 million and stock-based compensation expense was $2.1 million.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Restructuring</w:t>
      </w:r>
    </w:p>
    <w:p>
      <w:pPr>
        <w:spacing w:after="0" w:line="116" w:lineRule="exact"/>
        <w:rPr>
          <w:sz w:val="20"/>
          <w:szCs w:val="20"/>
          <w:color w:val="auto"/>
        </w:rPr>
      </w:pPr>
    </w:p>
    <w:p>
      <w:pPr>
        <w:ind w:right="660" w:firstLine="162"/>
        <w:spacing w:after="0" w:line="264" w:lineRule="auto"/>
        <w:rPr>
          <w:sz w:val="20"/>
          <w:szCs w:val="20"/>
          <w:color w:val="auto"/>
        </w:rPr>
      </w:pPr>
      <w:r>
        <w:rPr>
          <w:rFonts w:ascii="Arial" w:cs="Arial" w:eastAsia="Arial" w:hAnsi="Arial"/>
          <w:sz w:val="18"/>
          <w:szCs w:val="18"/>
          <w:color w:val="auto"/>
        </w:rPr>
        <w:t>We initiate restructuring plans to leverage economies of scale, streamline distribution and logistics and strengthen operational and administrative effectiveness in order to reduce overall costs. Costs associated with these plans were reported as restructuring expenses in the operating results of our condensed consolidated statements of income (loss).</w:t>
      </w:r>
    </w:p>
    <w:p>
      <w:pPr>
        <w:spacing w:after="0" w:line="73"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Our 2015 and 2016 Reorganization Plans (the “Prior Plans”) were initiated October 2015 and March 2016, respectively, in conjunction with the completion of the merger of Cyberonics, Inc. and Sorin S.p.A. in October 2015. The Prior Plans include the closure of the R&amp;D facility in Meylan, France and consolidation of its R&amp;D capabilities into the Clamart, France facility. We completed the Prior Plans during 2018.</w:t>
      </w:r>
    </w:p>
    <w:p>
      <w:pPr>
        <w:spacing w:after="0" w:line="73" w:lineRule="exact"/>
        <w:rPr>
          <w:sz w:val="20"/>
          <w:szCs w:val="20"/>
          <w:color w:val="auto"/>
        </w:rPr>
      </w:pPr>
    </w:p>
    <w:p>
      <w:pPr>
        <w:ind w:right="680" w:firstLine="162"/>
        <w:spacing w:after="0" w:line="264" w:lineRule="auto"/>
        <w:rPr>
          <w:sz w:val="20"/>
          <w:szCs w:val="20"/>
          <w:color w:val="auto"/>
        </w:rPr>
      </w:pPr>
      <w:r>
        <w:rPr>
          <w:rFonts w:ascii="Arial" w:cs="Arial" w:eastAsia="Arial" w:hAnsi="Arial"/>
          <w:sz w:val="18"/>
          <w:szCs w:val="18"/>
          <w:color w:val="auto"/>
        </w:rPr>
        <w:t>In December 2018, we initiated a reorganization plan (the “2018 Plan”) in order to reduce manufacturing and operational costs associated with our Cardiovascular facilities in Saluggia and Mirandola, Italy and Arvada, Colorado. We estimate that the 2018 Plan will result in a net reduction of approximately 75 personnel and is expected to be completed by the end of 2019.</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presents the accruals, inventory obsolescence and other reserves, recorded in connection with our reorganization plans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w w:val="98"/>
              </w:rPr>
              <w:t>Employee Severance and</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Other Termination Costs</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13,264</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4,563</w:t>
            </w: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(15,206)</w:t>
            </w:r>
          </w:p>
        </w:tc>
      </w:tr>
      <w:tr>
        <w:trPr>
          <w:trHeight w:val="264"/>
        </w:trPr>
        <w:tc>
          <w:tcPr>
            <w:tcW w:w="584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Balance at September 30, 2019 </w:t>
            </w:r>
            <w:r>
              <w:rPr>
                <w:rFonts w:ascii="Arial" w:cs="Arial" w:eastAsia="Arial" w:hAnsi="Arial"/>
                <w:sz w:val="25"/>
                <w:szCs w:val="25"/>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2,621</w:t>
            </w: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5"/>
          <w:szCs w:val="15"/>
          <w:color w:val="auto"/>
        </w:rPr>
        <w:t>Cumulatively, we have recognized a total of $103.8 million in restructuring expense inclusive of discontinued operations under the Prior Plans and the 2018 Plan.</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692" w:right="239" w:bottom="1440" w:gutter="0" w:footer="0" w:header="0"/>
          <w:type w:val="continuous"/>
        </w:sectPr>
      </w:pPr>
    </w:p>
    <w:bookmarkStart w:id="11" w:name="page12"/>
    <w:bookmarkEnd w:id="11"/>
    <w:p>
      <w:pPr>
        <w:ind w:left="180"/>
        <w:spacing w:after="0"/>
        <w:rPr>
          <w:sz w:val="20"/>
          <w:szCs w:val="20"/>
          <w:color w:val="auto"/>
        </w:rPr>
      </w:pPr>
      <w:r>
        <w:rPr>
          <w:rFonts w:ascii="Arial" w:cs="Arial" w:eastAsia="Arial" w:hAnsi="Arial"/>
          <w:sz w:val="18"/>
          <w:szCs w:val="18"/>
          <w:color w:val="auto"/>
        </w:rPr>
        <w:t>The following table presents restructuring expense by reportable segment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2,793</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Product Remediation Liability</w:t>
      </w:r>
    </w:p>
    <w:p>
      <w:pPr>
        <w:spacing w:after="0" w:line="116"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On December 29, 2015, we received an FDA Warning Letter (the “Warning Letter”) alleging certain violations of FDA regulations applicable to medical device manufacturing at our Munich, Germany and Arvada, Colorado facilities. On October 13, 2016, the CDC and FDA separately released safety notifications regarding 3T Heater-Cooler devices in response to which we issued a Field Safety Notice Update for U.S. users of our 3T Heater-Cooler devices to proactively and voluntarily contact facilities to facilitate implementation of the CDC and FDA recommendations.</w:t>
      </w:r>
    </w:p>
    <w:p>
      <w:pPr>
        <w:spacing w:after="0" w:line="63"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At December 31, 2016, we recognized a liability for a product remediation plan related to our 3T Heater-Cooler device (“3T device”). The remediation plan we developed consists primarily of a modification of the 3T device design to include internal sealing and the addition of a vacuum system to new and existing devices. These changes are intended to address regulatory actions and to reduce further the risk of possible dispersion of aerosols from 3T devices in the operating room.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The deployment of this solution for commercially distributed devices has been dependent upon final validation and verification of the design changes and approval or clearance by regulatory authorities worldwide, including FDA clearance in the U.S.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w:t>
      </w:r>
    </w:p>
    <w:p>
      <w:pPr>
        <w:spacing w:after="0" w:line="74"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In April 2017, we obtained CE Mark in Europe for the design change of the 3T device, and in May 2017 we completed our first vacuum canister and internal sealing upgrade on a customer-owned device. We are currently implementing the vacuum canister and internal sealing upgrade program in as many countries as possible until all devices are upgraded. On October 11, 2018, after review of information provided by us, the FDA concluded that we could commence the vacuum canister and internal sealing upgrade program in the U.S.</w:t>
      </w:r>
    </w:p>
    <w:p>
      <w:pPr>
        <w:spacing w:after="0" w:line="79" w:lineRule="exact"/>
        <w:rPr>
          <w:sz w:val="20"/>
          <w:szCs w:val="20"/>
          <w:color w:val="auto"/>
        </w:rPr>
      </w:pPr>
    </w:p>
    <w:p>
      <w:pPr>
        <w:ind w:right="120" w:firstLine="162"/>
        <w:spacing w:after="0" w:line="272" w:lineRule="auto"/>
        <w:rPr>
          <w:sz w:val="20"/>
          <w:szCs w:val="20"/>
          <w:color w:val="auto"/>
        </w:rPr>
      </w:pPr>
      <w:r>
        <w:rPr>
          <w:rFonts w:ascii="Arial" w:cs="Arial" w:eastAsia="Arial" w:hAnsi="Arial"/>
          <w:sz w:val="17"/>
          <w:szCs w:val="17"/>
          <w:color w:val="auto"/>
        </w:rPr>
        <w:t>As part of the remediation plan, we continue to offer a no-charge deep disinfection service (deep cleaning service) for 3T device users as we receive the required regulatory approvals. The deep disinfection service was rolled out in Europe in the second half of 2015, and on April 12, 2018, the FDA agreed to allow us to move forward with the deep cleaning service in the U.S., thereby adding to the growing list of countries around the world in which we offer this service. Also, we are continuing to offer the loaner program for 3T devices, initiated in the fourth quarter of 2016, to provide existing 3T device users with a new loaner 3T device at no charge pending regulatory approval and implementation of the vacuum system addition and deep disinfection service worldwide. This loaner program began in the U.S., was rolled out in Europe shortly thereafter, and is being made available progressively on a global basis, prioritizing and allocating devices to 3T device users based on pre-established criteria.</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180"/>
              <w:spacing w:after="0"/>
              <w:rPr>
                <w:sz w:val="20"/>
                <w:szCs w:val="20"/>
                <w:color w:val="auto"/>
              </w:rPr>
            </w:pPr>
            <w:r>
              <w:rPr>
                <w:rFonts w:ascii="Arial" w:cs="Arial" w:eastAsia="Arial" w:hAnsi="Arial"/>
                <w:sz w:val="18"/>
                <w:szCs w:val="18"/>
                <w:color w:val="auto"/>
              </w:rPr>
              <w:t>Changes in the carrying amount of the product remediation liability are as follows (in thousands):</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35"/>
        </w:trPr>
        <w:tc>
          <w:tcPr>
            <w:tcW w:w="9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14,745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2,567</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Remediation activity</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Balance at September 30, 2019 </w:t>
            </w:r>
            <w:r>
              <w:rPr>
                <w:rFonts w:ascii="Arial" w:cs="Arial" w:eastAsia="Arial" w:hAnsi="Arial"/>
                <w:sz w:val="25"/>
                <w:szCs w:val="25"/>
                <w:b w:val="1"/>
                <w:bCs w:val="1"/>
                <w:color w:val="auto"/>
                <w:vertAlign w:val="superscript"/>
              </w:rPr>
              <w:t>(1)</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7,444</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5"/>
          <w:szCs w:val="15"/>
          <w:color w:val="auto"/>
        </w:rPr>
        <w:t>At September 30, 2019, the product remediation liability balance is included within accrued liabilities and other on the condensed consolidated balance sheet.</w:t>
      </w:r>
    </w:p>
    <w:p>
      <w:pPr>
        <w:spacing w:after="0" w:line="188"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We recognized product remediation expenses during the three and nine months ended September 30, 2019, of $3.1 million and $11.1 million, respectively, and $3.4 million and $8.7 million, respectively, during the three and nine months ended</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ind w:right="20"/>
        <w:spacing w:after="0" w:line="257" w:lineRule="auto"/>
        <w:rPr>
          <w:sz w:val="20"/>
          <w:szCs w:val="20"/>
          <w:color w:val="auto"/>
        </w:rPr>
      </w:pPr>
      <w:r>
        <w:rPr>
          <w:rFonts w:ascii="Arial" w:cs="Arial" w:eastAsia="Arial" w:hAnsi="Arial"/>
          <w:sz w:val="18"/>
          <w:szCs w:val="18"/>
          <w:color w:val="auto"/>
        </w:rPr>
        <w:t>September 30, 2018. Product remediation expenses include internal labor costs, costs to remediate certain inspectional observations made by the FDA at our Munich facility and costs associated with the incorporation of the modification of the 3T device design into the next generation 3T device. These costs and related legal costs are expensed as incurred and are not included within the product remediation liability presented above. At September 30, 2019, our balance sheet includes a $153.0 million provision related to litigation involving our 3T device. For further information, please refer to “Note 12. Commitments and Contingencies.”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Intangible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Impairment</w:t>
      </w:r>
    </w:p>
    <w:p>
      <w:pPr>
        <w:spacing w:after="0" w:line="117"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During the second quarter of 2019, we determined that there would be a delay in the estimated commercialization date of the Company’s obstructive sleep apnea product currently under development. This delay constituted a triggering event that required evaluation of the IPR&amp;D asset arising from the ImThera Medical Inc. (“ImThera”) acquisition for impairment. Based on the assessment performed, we determined that the IPR&amp;D asset was impaired and as a result, recorded an impairment of $50.3 million, which is included in our Neuromodulation segment. The carrying value of the IPR&amp;D asset as of September 30, 2019 is $112.0 million. The estimated fair value of IPR&amp;D was determined using the income approach. Future delays in commercialization or changes in management estimates could result in further impairment.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Reclassification</w:t>
      </w:r>
    </w:p>
    <w:p>
      <w:pPr>
        <w:spacing w:after="0" w:line="117"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During the third quarter of 2019, upon receiving FDA approval of the LifeSPARC system, we reclassified IPR&amp;D assets of $107.5 million from the acquisition of CardiacAssist, Inc., doing business as TandemLife (“TandemLife”) to finite-lived developed technology intangible assets and began amortizing the intangible asset over a useful life of 15 years.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Investments</w:t>
      </w:r>
    </w:p>
    <w:p>
      <w:pPr>
        <w:spacing w:after="0" w:line="116" w:lineRule="exact"/>
        <w:rPr>
          <w:sz w:val="20"/>
          <w:szCs w:val="20"/>
          <w:color w:val="auto"/>
        </w:rPr>
      </w:pPr>
    </w:p>
    <w:p>
      <w:pPr>
        <w:ind w:right="100" w:firstLine="162"/>
        <w:spacing w:after="0" w:line="279" w:lineRule="auto"/>
        <w:rPr>
          <w:sz w:val="20"/>
          <w:szCs w:val="20"/>
          <w:color w:val="auto"/>
        </w:rPr>
      </w:pPr>
      <w:r>
        <w:rPr>
          <w:rFonts w:ascii="Arial" w:cs="Arial" w:eastAsia="Arial" w:hAnsi="Arial"/>
          <w:sz w:val="17"/>
          <w:szCs w:val="17"/>
          <w:color w:val="auto"/>
        </w:rPr>
        <w:t>The following table details the carrying value of our investments in equity securities of non-consolidated affiliates without readily determinable fair values for which we do not exert significant influence over the investee. These equity investments are reported at cost minus impairment, if any, plus or minus changes resulting from observable price changes in orderly transactions for the identical or similar investment of the same issuer. These equity investments are included in investments on the condensed consolidated balance sheets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 Investments Without Readily Determinable Fair Values</w:t>
            </w:r>
          </w:p>
        </w:tc>
        <w:tc>
          <w:tcPr>
            <w:tcW w:w="260" w:type="dxa"/>
            <w:vAlign w:val="bottom"/>
          </w:tcPr>
          <w:p>
            <w:pPr>
              <w:spacing w:after="0"/>
              <w:rPr>
                <w:sz w:val="20"/>
                <w:szCs w:val="20"/>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2019</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2018</w:t>
            </w:r>
          </w:p>
        </w:tc>
      </w:tr>
      <w:tr>
        <w:trPr>
          <w:trHeight w:val="27"/>
        </w:trPr>
        <w:tc>
          <w:tcPr>
            <w:tcW w:w="6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74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Respicardia Inc. </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17,706</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Ceribell, Inc.</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Rainbow Medical Ltd.</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MD Start II</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1,144</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Highlife S.A.S.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24,823</w:t>
            </w:r>
          </w:p>
        </w:tc>
      </w:tr>
      <w:tr>
        <w:trPr>
          <w:trHeight w:val="264"/>
        </w:trPr>
        <w:tc>
          <w:tcPr>
            <w:tcW w:w="6740" w:type="dxa"/>
            <w:vAlign w:val="bottom"/>
            <w:tcBorders>
              <w:bottom w:val="single" w:sz="8" w:color="CCEEFF"/>
            </w:tcBorders>
            <w:gridSpan w:val="2"/>
          </w:tcPr>
          <w:p>
            <w:pPr>
              <w:ind w:left="40"/>
              <w:spacing w:after="0" w:line="264" w:lineRule="exact"/>
              <w:rPr>
                <w:sz w:val="20"/>
                <w:szCs w:val="20"/>
                <w:color w:val="auto"/>
              </w:rPr>
            </w:pPr>
            <w:r>
              <w:rPr>
                <w:rFonts w:ascii="Arial" w:cs="Arial" w:eastAsia="Arial" w:hAnsi="Arial"/>
                <w:sz w:val="18"/>
                <w:szCs w:val="18"/>
                <w:color w:val="auto"/>
              </w:rPr>
              <w:t xml:space="preserve">Equity method investments </w:t>
            </w:r>
            <w:r>
              <w:rPr>
                <w:rFonts w:ascii="Arial" w:cs="Arial" w:eastAsia="Arial" w:hAnsi="Arial"/>
                <w:sz w:val="25"/>
                <w:szCs w:val="25"/>
                <w:color w:val="auto"/>
                <w:vertAlign w:val="superscript"/>
              </w:rPr>
              <w:t>(2)</w:t>
            </w:r>
          </w:p>
        </w:tc>
        <w:tc>
          <w:tcPr>
            <w:tcW w:w="26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20" w:hanging="328"/>
        <w:spacing w:after="0" w:line="279"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6"/>
          <w:szCs w:val="16"/>
          <w:color w:val="auto"/>
        </w:rPr>
        <w:t>Respicardia Inc. (“Respicardia”) is a privately funded U.S. company developing an implantable device designed to restore a more natural breathing pattern during sleep in patients with central sleep apnea by transvenously stimulating the phrenic nerve. We have a loan outstanding to Respicardia, with a carrying amount of $0.6 million as of September 30, 2019 and December 31, 2018, which is included in prepaid expenses and other current assets in the condensed consolidated balance sheet.</w:t>
      </w:r>
    </w:p>
    <w:p>
      <w:pPr>
        <w:spacing w:after="0" w:line="76" w:lineRule="exact"/>
        <w:rPr>
          <w:rFonts w:ascii="Arial" w:cs="Arial" w:eastAsia="Arial" w:hAnsi="Arial"/>
          <w:sz w:val="14"/>
          <w:szCs w:val="14"/>
          <w:color w:val="auto"/>
        </w:rPr>
      </w:pPr>
    </w:p>
    <w:p>
      <w:pPr>
        <w:ind w:left="660" w:right="160" w:hanging="328"/>
        <w:spacing w:after="0" w:line="278"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second quarter of 2019, we invested in equity securities that we account for under the equity method of accounting due to our deemed ability to exercise significant influence. We initially invested $0.3 million and are required to fund up to a total of approximately €5.0 million (approximately $5.5 million as of September 30, 2019) based on cash calls.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Fair Value Measurements</w:t>
      </w:r>
    </w:p>
    <w:p>
      <w:pPr>
        <w:spacing w:after="0" w:line="116" w:lineRule="exact"/>
        <w:rPr>
          <w:sz w:val="20"/>
          <w:szCs w:val="20"/>
          <w:color w:val="auto"/>
        </w:rPr>
      </w:pPr>
    </w:p>
    <w:p>
      <w:pPr>
        <w:ind w:right="220" w:firstLine="162"/>
        <w:spacing w:after="0" w:line="264" w:lineRule="auto"/>
        <w:rPr>
          <w:sz w:val="20"/>
          <w:szCs w:val="20"/>
          <w:color w:val="auto"/>
        </w:rPr>
      </w:pPr>
      <w:r>
        <w:rPr>
          <w:rFonts w:ascii="Arial" w:cs="Arial" w:eastAsia="Arial" w:hAnsi="Arial"/>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nine months ended September 30, 2019 and 2018.</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20"/>
          <w:szCs w:val="20"/>
          <w:color w:val="auto"/>
        </w:rPr>
        <w:t>Assets and Liabilities Measured at Fair Value on a Recurring Basis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Fair Value as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 2019</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 - freestanding instruments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w w:val="97"/>
              </w:rPr>
              <w:t>Derivative liabilities - designated as cash flow hedges (interest rate</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swaps)</w:t>
            </w:r>
          </w:p>
        </w:tc>
        <w:tc>
          <w:tcPr>
            <w:tcW w:w="14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freestanding instruments (FX)</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165,274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165,274</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169,120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165,274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Fair Value as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 - freestanding instruments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w w:val="97"/>
              </w:rPr>
              <w:t>Derivative liabilities - designated as cash flow hedges (interest rate</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swaps)</w:t>
            </w:r>
          </w:p>
        </w:tc>
        <w:tc>
          <w:tcPr>
            <w:tcW w:w="14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freestanding instruments (FX)</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179,911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179,911</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185,303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179,911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660" w:right="720" w:hanging="328"/>
        <w:spacing w:after="0" w:line="29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The contingent consideration liability represents contingent payments primarily related to five completed acquisitions, including: Inversiones Drilltex SAS (“Drilltex”), Caisson, ImThera, TandemLife and Miami Instruments. See the table below for additional information.</w:t>
      </w: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03" w:right="239" w:bottom="1440" w:gutter="0" w:footer="0" w:header="0"/>
        </w:sectPr>
      </w:pPr>
    </w:p>
    <w:bookmarkStart w:id="14" w:name="page15"/>
    <w:bookmarkEnd w:id="14"/>
    <w:p>
      <w:pPr>
        <w:ind w:right="20" w:firstLine="162"/>
        <w:spacing w:after="0" w:line="277" w:lineRule="auto"/>
        <w:rPr>
          <w:sz w:val="20"/>
          <w:szCs w:val="20"/>
          <w:color w:val="auto"/>
        </w:rPr>
      </w:pPr>
      <w:r>
        <w:rPr>
          <w:rFonts w:ascii="Arial" w:cs="Arial" w:eastAsia="Arial" w:hAnsi="Arial"/>
          <w:sz w:val="18"/>
          <w:szCs w:val="18"/>
          <w:color w:val="auto"/>
        </w:rPr>
        <w:t>Our recurring fair value measurements, using significant unobservable inputs (Level 3), relate solely to our contingent consideration liability. The following table provides a reconciliation of the beginning and ending balance of the contingent consideration liability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contingent consideration liability at December 31, 2018</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179,911</w:t>
            </w:r>
          </w:p>
        </w:tc>
      </w:tr>
      <w:tr>
        <w:trPr>
          <w:trHeight w:val="270"/>
        </w:trPr>
        <w:tc>
          <w:tcPr>
            <w:tcW w:w="92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(1)</w:t>
            </w:r>
          </w:p>
        </w:tc>
        <w:tc>
          <w:tcPr>
            <w:tcW w:w="8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7,184</w:t>
            </w:r>
          </w:p>
        </w:tc>
      </w:tr>
      <w:tr>
        <w:trPr>
          <w:trHeight w:val="270"/>
        </w:trPr>
        <w:tc>
          <w:tcPr>
            <w:tcW w:w="9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Payments </w:t>
            </w:r>
            <w:r>
              <w:rPr>
                <w:rFonts w:ascii="Arial" w:cs="Arial" w:eastAsia="Arial" w:hAnsi="Arial"/>
                <w:sz w:val="25"/>
                <w:szCs w:val="25"/>
                <w:color w:val="auto"/>
                <w:vertAlign w:val="superscript"/>
              </w:rPr>
              <w:t>(2)</w:t>
            </w:r>
          </w:p>
        </w:tc>
        <w:tc>
          <w:tcPr>
            <w:tcW w:w="8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(19,234)</w:t>
            </w:r>
          </w:p>
        </w:tc>
      </w:tr>
      <w:tr>
        <w:trPr>
          <w:trHeight w:val="270"/>
        </w:trPr>
        <w:tc>
          <w:tcPr>
            <w:tcW w:w="92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Changes in fair value </w:t>
            </w:r>
            <w:r>
              <w:rPr>
                <w:rFonts w:ascii="Arial" w:cs="Arial" w:eastAsia="Arial" w:hAnsi="Arial"/>
                <w:sz w:val="25"/>
                <w:szCs w:val="25"/>
                <w:color w:val="auto"/>
                <w:vertAlign w:val="superscript"/>
              </w:rPr>
              <w:t>(3) (4)</w:t>
            </w:r>
          </w:p>
        </w:tc>
        <w:tc>
          <w:tcPr>
            <w:tcW w:w="8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(2,425)</w:t>
            </w: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 contingent consideration liability at September 30, 2019</w:t>
            </w:r>
          </w:p>
        </w:tc>
        <w:tc>
          <w:tcPr>
            <w:tcW w:w="8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165,274</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current portion of contingent consideration liability at September 30, 2019</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24,802</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Long-term portion of contingent consideration liability at September 30, 2019</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140,472</w:t>
            </w: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6"/>
          <w:szCs w:val="16"/>
          <w:color w:val="auto"/>
        </w:rPr>
        <w:t>See “Note 2. Business Combinations” for additional discussion.</w:t>
      </w:r>
    </w:p>
    <w:p>
      <w:pPr>
        <w:spacing w:after="0" w:line="22" w:lineRule="exact"/>
        <w:rPr>
          <w:rFonts w:ascii="Arial" w:cs="Arial" w:eastAsia="Arial" w:hAnsi="Arial"/>
          <w:sz w:val="14"/>
          <w:szCs w:val="14"/>
          <w:color w:val="auto"/>
        </w:rPr>
      </w:pPr>
    </w:p>
    <w:p>
      <w:pPr>
        <w:ind w:left="660" w:right="180" w:hanging="328"/>
        <w:spacing w:after="0" w:line="281"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5"/>
          <w:szCs w:val="15"/>
          <w:color w:val="auto"/>
        </w:rPr>
        <w:t>In July 2019, we achieved a regulatory milestone upon receiving FDA approval of the LifeSPARC system, triggering the payment of $19.0 million during the third quarter of 2019 to settle the related contingent consideration liability in connection with our TandemLife acquisition. The probability of additional payments and projected years of payment for the remaining regulatory milestones, as outlined in our TandemLife acquisition, remain unchanged.</w:t>
      </w:r>
    </w:p>
    <w:p>
      <w:pPr>
        <w:spacing w:after="0" w:line="1" w:lineRule="exact"/>
        <w:rPr>
          <w:rFonts w:ascii="Arial" w:cs="Arial" w:eastAsia="Arial" w:hAnsi="Arial"/>
          <w:sz w:val="14"/>
          <w:szCs w:val="14"/>
          <w:color w:val="auto"/>
        </w:rPr>
      </w:pPr>
    </w:p>
    <w:p>
      <w:pPr>
        <w:ind w:left="660" w:right="80" w:hanging="328"/>
        <w:spacing w:after="0" w:line="264"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6"/>
          <w:szCs w:val="16"/>
          <w:color w:val="auto"/>
        </w:rPr>
        <w:t>The change in fair value includes a decrease of $17.8 million that was recognized during the second quarter of 2019 primarily due to the delay in timing of anticipated regulatory approval and commercialization for ImThera. While the probability of payment remains unchanged from the time of acquisition, the projected years of payment for the regulatory milestone-based payment and the sales-based earnout have been updated to occur between 2023-2024 and 2024-2028, respectively. See “Note 6. Intangible Assets” for additional discussion. This decrease was largely offset by impacts from the change in interest rates and the passage of time subsequent to December 31, 2018.</w:t>
      </w:r>
    </w:p>
    <w:p>
      <w:pPr>
        <w:ind w:left="660" w:right="620" w:hanging="328"/>
        <w:spacing w:after="0" w:line="288"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6"/>
          <w:szCs w:val="16"/>
          <w:color w:val="auto"/>
        </w:rPr>
        <w:t>During the nine months ended September 30, 2019, the change in fair value resulted in a decrease of $0.9 million and $1.5 million recorded to cost of sales - exclusive of amortization and research and development,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Financing Arrangements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outstanding principal amount of long-term debt (in thousands, except interest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0" w:type="dxa"/>
            <w:vAlign w:val="bottom"/>
            <w:gridSpan w:val="2"/>
          </w:tcPr>
          <w:p>
            <w:pPr>
              <w:ind w:left="500"/>
              <w:spacing w:after="0"/>
              <w:rPr>
                <w:sz w:val="20"/>
                <w:szCs w:val="20"/>
                <w:color w:val="auto"/>
              </w:rPr>
            </w:pPr>
            <w:r>
              <w:rPr>
                <w:rFonts w:ascii="Arial" w:cs="Arial" w:eastAsia="Arial" w:hAnsi="Arial"/>
                <w:sz w:val="18"/>
                <w:szCs w:val="18"/>
                <w:b w:val="1"/>
                <w:bCs w:val="1"/>
                <w:color w:val="auto"/>
              </w:rPr>
              <w:t>Maturity</w:t>
            </w:r>
          </w:p>
        </w:tc>
        <w:tc>
          <w:tcPr>
            <w:tcW w:w="1480" w:type="dxa"/>
            <w:vAlign w:val="bottom"/>
          </w:tcPr>
          <w:p>
            <w:pPr>
              <w:ind w:left="24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42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45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Debt Facility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182,434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March 2022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1.40% - 3.72%</w:t>
            </w: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2017</w:t>
            </w:r>
          </w:p>
        </w:tc>
        <w:tc>
          <w:tcPr>
            <w:tcW w:w="45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103,570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103,570</w:t>
            </w:r>
          </w:p>
        </w:tc>
        <w:tc>
          <w:tcPr>
            <w:tcW w:w="100" w:type="dxa"/>
            <w:vAlign w:val="bottom"/>
          </w:tcPr>
          <w:p>
            <w:pPr>
              <w:spacing w:after="0"/>
              <w:rPr>
                <w:sz w:val="23"/>
                <w:szCs w:val="23"/>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June 2026</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3.47% - 3.53%</w:t>
            </w:r>
          </w:p>
        </w:tc>
      </w:tr>
      <w:tr>
        <w:trPr>
          <w:trHeight w:val="270"/>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2014</w:t>
            </w:r>
          </w:p>
        </w:tc>
        <w:tc>
          <w:tcPr>
            <w:tcW w:w="45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47,606</w:t>
            </w:r>
          </w:p>
        </w:tc>
        <w:tc>
          <w:tcPr>
            <w:tcW w:w="10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June 2021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0.98%</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Mediocredito Italiano</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6,674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7,623</w:t>
            </w:r>
          </w:p>
        </w:tc>
        <w:tc>
          <w:tcPr>
            <w:tcW w:w="100" w:type="dxa"/>
            <w:vAlign w:val="bottom"/>
          </w:tcPr>
          <w:p>
            <w:pPr>
              <w:spacing w:after="0"/>
              <w:rPr>
                <w:sz w:val="21"/>
                <w:szCs w:val="21"/>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2023</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0.50% - 2.86%</w:t>
            </w:r>
          </w:p>
        </w:tc>
      </w:tr>
      <w:tr>
        <w:trPr>
          <w:trHeight w:val="27"/>
        </w:trPr>
        <w:tc>
          <w:tcPr>
            <w:tcW w:w="4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Bank of America Merrill Lynch Banco Múltiplo S.A.</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2021</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8.47%</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Bank of America, U.S.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2021</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4.51%</w:t>
            </w:r>
          </w:p>
        </w:tc>
      </w:tr>
      <w:tr>
        <w:trPr>
          <w:trHeight w:val="27"/>
        </w:trPr>
        <w:tc>
          <w:tcPr>
            <w:tcW w:w="4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Banca del Mezzogiorno</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December 2019</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0.50% - 2.91%</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9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long-term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338,571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162,841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65,684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23,303</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9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9"/>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272,887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139,538</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660" w:right="120" w:hanging="328"/>
        <w:spacing w:after="0" w:line="265"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6"/>
          <w:szCs w:val="16"/>
          <w:color w:val="auto"/>
        </w:rPr>
        <w:t>The facility agreement with Bank of America Merrill Lynch International DAC, Barclays Bank PLC, BNP Paribas (London Branch) and Intesa Sanpaolo S.P.A. provides a multicurrency term loan facility in an aggregate amount of $350 million and terminates on March 26, 2022 (the “2019 Debt Facility”). Principal repayments of 20% of the outstanding borrowings under the 2019 Debt Facility are due in September 2020, March 2021 and September 2021, with the remainder of the outstanding borrowings due in March 2022.</w:t>
      </w:r>
    </w:p>
    <w:p>
      <w:pPr>
        <w:spacing w:after="0" w:line="1" w:lineRule="exact"/>
        <w:rPr>
          <w:rFonts w:ascii="Arial" w:cs="Arial" w:eastAsia="Arial" w:hAnsi="Arial"/>
          <w:sz w:val="14"/>
          <w:szCs w:val="14"/>
          <w:color w:val="auto"/>
        </w:rPr>
      </w:pPr>
    </w:p>
    <w:p>
      <w:pPr>
        <w:ind w:left="660" w:right="340" w:hanging="328"/>
        <w:spacing w:after="0" w:line="301"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4"/>
          <w:szCs w:val="14"/>
          <w:color w:val="auto"/>
        </w:rPr>
        <w:t>The 2017 European Investment Bank (“2017 EIB”) loan was obtained to support certain product development projects. The interest rate for the 2017 EIB loan is reset by the lender each principal payment date based on LIBOR. Interest payments are paid quarterly and principal payments are paid semi-annually.</w:t>
      </w:r>
    </w:p>
    <w:p>
      <w:pPr>
        <w:spacing w:after="0" w:line="1" w:lineRule="exact"/>
        <w:rPr>
          <w:rFonts w:ascii="Arial" w:cs="Arial" w:eastAsia="Arial" w:hAnsi="Arial"/>
          <w:sz w:val="13"/>
          <w:szCs w:val="13"/>
          <w:color w:val="auto"/>
        </w:rPr>
      </w:pPr>
    </w:p>
    <w:p>
      <w:pPr>
        <w:ind w:left="660" w:right="260" w:hanging="328"/>
        <w:spacing w:after="0" w:line="32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5"/>
          <w:szCs w:val="15"/>
          <w:color w:val="auto"/>
        </w:rPr>
        <w:t>The 2014 European Investment Bank (“2014 EIB”) loan was obtained in July 2014 to support certain product development projects. The interest rate for the 2014 EIB loan is reset by the lender each quarter based on the Euribor. Interest payments are paid quarterly and principal payments are paid semi-annually.</w:t>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5" w:name="page16"/>
    <w:bookmarkEnd w:id="15"/>
    <w:p>
      <w:pPr>
        <w:jc w:val="both"/>
        <w:ind w:firstLine="162"/>
        <w:spacing w:after="0" w:line="290" w:lineRule="auto"/>
        <w:rPr>
          <w:sz w:val="20"/>
          <w:szCs w:val="20"/>
          <w:color w:val="auto"/>
        </w:rPr>
      </w:pPr>
      <w:r>
        <w:rPr>
          <w:rFonts w:ascii="Arial" w:cs="Arial" w:eastAsia="Arial" w:hAnsi="Arial"/>
          <w:sz w:val="16"/>
          <w:szCs w:val="16"/>
          <w:color w:val="auto"/>
        </w:rPr>
        <w:t>On March 26, 2019, we entered into the 2019 Debt Facility. Borrowings under the facility bear interest at a rate of LIBOR plus 1.6% for borrowings in U.S. dollars and EURIBOR plus 1.4% for Euro-denominated borrowings. Proceeds from the facility are used for general corporate and working capital purposes, excluding acquisitions, dividends and share buybacks. Available borrowings under the 2019 Debt Facility commenced on March 26, 2019 and extend through March 26, 2020. Principal repayments of 20% of the outstanding borrowings under the 2019 Debt Facility are due in September 2020, March 2021 and September 2021, with the remainder of the outstanding borrowings due in March 2022. The 2019 Debt Facility contains financial covenants that require LivaNova to maintain a maximum consolidated net debt to EBITDA ratio, a minimum interest coverage ratio and a maximum consolidated net debt to net worth ratio. LivaNova must also maintain a minimum amount of consolidated net worth. The 2019 Debt Facility also contains customary representations and warranties, covenants, and events of default. At September 30, 2019, LivaNova was in compliance with all covenants.</w:t>
      </w:r>
    </w:p>
    <w:p>
      <w:pPr>
        <w:spacing w:after="0" w:line="112" w:lineRule="exact"/>
        <w:rPr>
          <w:sz w:val="20"/>
          <w:szCs w:val="20"/>
          <w:color w:val="auto"/>
        </w:rPr>
      </w:pPr>
    </w:p>
    <w:p>
      <w:pPr>
        <w:ind w:right="140" w:firstLine="162"/>
        <w:spacing w:after="0" w:line="286" w:lineRule="auto"/>
        <w:rPr>
          <w:sz w:val="20"/>
          <w:szCs w:val="20"/>
          <w:color w:val="auto"/>
        </w:rPr>
      </w:pPr>
      <w:r>
        <w:rPr>
          <w:rFonts w:ascii="Arial" w:cs="Arial" w:eastAsia="Arial" w:hAnsi="Arial"/>
          <w:sz w:val="17"/>
          <w:szCs w:val="17"/>
          <w:color w:val="auto"/>
        </w:rPr>
        <w:t>On July 25, 2019, we entered into a €40.0 million (approximately $43.6 million as of September 30, 2019) credit facility agreement with Banca Nazionale del Lavoro SpA (“2019 Revolving Credit Facility”) for working capital needs. The 2019 Revolving Credit Facility has a term of two years and borrowings bear interest at Euribor plus 0.8%. Borrowings under the 2019 Revolving Credit Facility were zero at September 30, 2019.</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w:t>
      </w:r>
    </w:p>
    <w:p>
      <w:pPr>
        <w:spacing w:after="0" w:line="110" w:lineRule="exact"/>
        <w:rPr>
          <w:sz w:val="20"/>
          <w:szCs w:val="20"/>
          <w:color w:val="auto"/>
        </w:rPr>
      </w:pPr>
    </w:p>
    <w:p>
      <w:pPr>
        <w:jc w:val="both"/>
        <w:ind w:right="160" w:firstLine="162"/>
        <w:spacing w:after="0" w:line="264" w:lineRule="auto"/>
        <w:rPr>
          <w:sz w:val="20"/>
          <w:szCs w:val="20"/>
          <w:color w:val="auto"/>
        </w:rPr>
      </w:pPr>
      <w:r>
        <w:rPr>
          <w:rFonts w:ascii="Arial" w:cs="Arial" w:eastAsia="Arial" w:hAnsi="Arial"/>
          <w:sz w:val="18"/>
          <w:szCs w:val="18"/>
          <w:color w:val="auto"/>
        </w:rPr>
        <w:t>The outstanding principal amount of our short-term unsecured revolving credit agreements and other agreements with various banks was $3.1 million and $5.5 million, at September 30, 2019 and December 31, 2018, respectively, with interest rates ranging from 8.50% to 8.69% and loan terms ranging from ten days to 210 days, as of September 30, 2019.</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Derivatives and Risk Management</w:t>
      </w:r>
    </w:p>
    <w:p>
      <w:pPr>
        <w:spacing w:after="0" w:line="116"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foreign currency exchange rate (“FX”) derivative contracts and interest rate swap contracts to reduce the impact of foreign currency exchange rate and interest rate fluctuations on earnings and cash flow. We measure all outstanding derivatives each period end at fair value and report the fair value as either financial assets or liabilities on the condensed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81" w:lineRule="exact"/>
        <w:rPr>
          <w:sz w:val="20"/>
          <w:szCs w:val="20"/>
          <w:color w:val="auto"/>
        </w:rPr>
      </w:pPr>
    </w:p>
    <w:p>
      <w:pPr>
        <w:ind w:right="160" w:firstLine="162"/>
        <w:spacing w:after="0" w:line="273" w:lineRule="auto"/>
        <w:rPr>
          <w:sz w:val="20"/>
          <w:szCs w:val="20"/>
          <w:color w:val="auto"/>
        </w:rPr>
      </w:pPr>
      <w:r>
        <w:rPr>
          <w:rFonts w:ascii="Arial" w:cs="Arial" w:eastAsia="Arial" w:hAnsi="Arial"/>
          <w:sz w:val="17"/>
          <w:szCs w:val="17"/>
          <w:color w:val="auto"/>
        </w:rPr>
        <w:t>If the derivative qualifies for hedge accounting, changes in the fair value of the derivative will be recorded in accumulated other comprehensive income (“AOCI”) until the hedged item is recognized in earnings upon settlement/termination. FX derivative gains and losses in AOCI are reclassified to our condensed consolidated statements of income (loss) as shown in the tables below and interest rate swap gains and losses in AOCI are reclassified to interest expense on our condensed consolidated statements of income (loss). We evaluate hedge effectiveness at inception and on an ongoing basis. If a derivative is no longer expected to be highly effective, hedge accounting is discontinued and the gains or losses are reclassified into earnings. Cash flows from derivative contracts are reported as operating activities on our condensed consolidated statements of cash flows.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Freestanding FX Derivative Contracts</w:t>
      </w:r>
    </w:p>
    <w:p>
      <w:pPr>
        <w:spacing w:after="0" w:line="110"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The gross notional amount of FX derivative contracts, not designated as hedging instruments, outstanding at September 30, 2019 and December 31, 2018 was $273.1 million and $320.2 million, respectively. These derivative contracts are designed to offset the FX effects in earnings of various intercompany loans, our 2014 EIB loan, the Euro-denominated borrowings under the 2019 Debt Facility and trade receivables. We recorded net gains for these freestanding derivatives of $3.1 million and $5.6 million for the three months ended September 30, 2019 and 2018, respectively, and net gains (losses) of $6.8 million and $(6.0) million for the nine months ended September 30, 2019 and 2018, respectively. These gains and (losses) are included in foreign exchange and other gains (losses) on our condensed consolidated statements of income (loss).</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20"/>
          <w:szCs w:val="20"/>
          <w:color w:val="auto"/>
        </w:rPr>
        <w:t>Cash Flow Hedges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2"/>
          </w:tcPr>
          <w:p>
            <w:pPr>
              <w:ind w:left="180"/>
              <w:spacing w:after="0"/>
              <w:rPr>
                <w:sz w:val="20"/>
                <w:szCs w:val="20"/>
                <w:color w:val="auto"/>
              </w:rPr>
            </w:pPr>
            <w:r>
              <w:rPr>
                <w:rFonts w:ascii="Arial" w:cs="Arial" w:eastAsia="Arial" w:hAnsi="Arial"/>
                <w:sz w:val="18"/>
                <w:szCs w:val="18"/>
                <w:color w:val="auto"/>
                <w:w w:val="90"/>
              </w:rPr>
              <w:t>Notional amounts of open derivative contracts designated as cash flow hedges (in thousands):</w:t>
            </w: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220" w:type="dxa"/>
            <w:vAlign w:val="bottom"/>
          </w:tcPr>
          <w:p>
            <w:pPr>
              <w:spacing w:after="0"/>
              <w:rPr>
                <w:sz w:val="24"/>
                <w:szCs w:val="24"/>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2019</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2018</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British Pounds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9,629</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 to be exchanged for Japanese Yen</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26,462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23,985</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Canadian Dollars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7,637</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 to be exchanged for Euros</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29,563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29,768</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38,115</w:t>
            </w:r>
          </w:p>
        </w:tc>
      </w:tr>
      <w:tr>
        <w:trPr>
          <w:trHeight w:val="237"/>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94,814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109,134</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After-tax net loss associated with derivatives designated as cash flow hedges recorded in the ending balance of AOCI and the amount expected to be reclassified to earnings in the next twelve months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After-Tax Net Loss in</w:t>
            </w:r>
          </w:p>
        </w:tc>
        <w:tc>
          <w:tcPr>
            <w:tcW w:w="140" w:type="dxa"/>
            <w:vAlign w:val="bottom"/>
          </w:tcPr>
          <w:p>
            <w:pPr>
              <w:spacing w:after="0"/>
              <w:rPr>
                <w:sz w:val="18"/>
                <w:szCs w:val="18"/>
                <w:color w:val="auto"/>
              </w:rPr>
            </w:pPr>
          </w:p>
        </w:tc>
        <w:tc>
          <w:tcPr>
            <w:tcW w:w="2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Amount Expected to be</w:t>
            </w:r>
          </w:p>
        </w:tc>
      </w:t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AOCI as of September 30,</w:t>
            </w: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Reclassified to Earnings in</w:t>
            </w: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180" w:type="dxa"/>
            <w:vAlign w:val="bottom"/>
          </w:tcPr>
          <w:p>
            <w:pPr>
              <w:spacing w:after="0"/>
              <w:rPr>
                <w:sz w:val="20"/>
                <w:szCs w:val="20"/>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Next 12 Months</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Pre-tax gains (losses) for derivative contracts designated as cash flow hedges recognized in other comprehensive income (loss) (“OCI”) and the amount reclassified to earnings from AOCI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Three Months Ended September 30,</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400" w:type="dxa"/>
            <w:vAlign w:val="bottom"/>
          </w:tcPr>
          <w:p>
            <w:pPr>
              <w:spacing w:after="0"/>
              <w:rPr>
                <w:sz w:val="20"/>
                <w:szCs w:val="20"/>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Gains (Losses)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Gains (Losses)</w:t>
            </w:r>
          </w:p>
        </w:tc>
      </w:tr>
      <w:tr>
        <w:trPr>
          <w:trHeight w:val="216"/>
        </w:trPr>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Description of Derivative</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Location in Earnings of</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Losses Recognized</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Reclassified from</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Gains Recognized</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Reclassified from</w:t>
            </w:r>
          </w:p>
        </w:tc>
      </w:tr>
      <w:tr>
        <w:trPr>
          <w:trHeight w:val="234"/>
        </w:trPr>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Reclassified Gain or Loss</w:t>
            </w:r>
          </w:p>
        </w:tc>
        <w:tc>
          <w:tcPr>
            <w:tcW w:w="32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in OCI</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AOCI to Earnings</w:t>
            </w:r>
          </w:p>
        </w:tc>
        <w:tc>
          <w:tcPr>
            <w:tcW w:w="32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in OCI</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AOCI to Earnings</w:t>
            </w:r>
          </w:p>
        </w:tc>
      </w:tr>
      <w:tr>
        <w:trPr>
          <w:trHeight w:val="27"/>
        </w:trPr>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and other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2,511</w:t>
            </w:r>
          </w:p>
        </w:tc>
      </w:tr>
      <w:tr>
        <w:trPr>
          <w:trHeight w:val="237"/>
        </w:trPr>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(losses) gains</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2"/>
          </w:tcPr>
          <w:p>
            <w:pPr>
              <w:ind w:left="40"/>
              <w:spacing w:after="0"/>
              <w:rPr>
                <w:sz w:val="20"/>
                <w:szCs w:val="20"/>
                <w:color w:val="auto"/>
              </w:rPr>
            </w:pPr>
            <w:r>
              <w:rPr>
                <w:rFonts w:ascii="Arial" w:cs="Arial" w:eastAsia="Arial" w:hAnsi="Arial"/>
                <w:sz w:val="18"/>
                <w:szCs w:val="18"/>
                <w:color w:val="auto"/>
              </w:rPr>
              <w:t>SG&amp;A</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(3,007)</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7"/>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67"/>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Nine Months Ended September 30,</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400" w:type="dxa"/>
            <w:vAlign w:val="bottom"/>
          </w:tcPr>
          <w:p>
            <w:pPr>
              <w:spacing w:after="0"/>
              <w:rPr>
                <w:sz w:val="20"/>
                <w:szCs w:val="20"/>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Gains (Losses)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Gains (Losses)</w:t>
            </w:r>
          </w:p>
        </w:tc>
      </w:tr>
      <w:tr>
        <w:trPr>
          <w:trHeight w:val="216"/>
        </w:trPr>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Description of Derivative</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Location in Earnings of</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Gains Recognized</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Reclassified from</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Gains Recognized</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Reclassified from</w:t>
            </w:r>
          </w:p>
        </w:tc>
      </w:tr>
      <w:tr>
        <w:trPr>
          <w:trHeight w:val="234"/>
        </w:trPr>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Reclassified Gain or Loss</w:t>
            </w:r>
          </w:p>
        </w:tc>
        <w:tc>
          <w:tcPr>
            <w:tcW w:w="32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in OCI</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AOCI to Earnings</w:t>
            </w:r>
          </w:p>
        </w:tc>
        <w:tc>
          <w:tcPr>
            <w:tcW w:w="32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in OCI</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AOCI to Earnings</w:t>
            </w:r>
          </w:p>
        </w:tc>
      </w:tr>
      <w:tr>
        <w:trPr>
          <w:trHeight w:val="27"/>
        </w:trPr>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and other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1,999</w:t>
            </w:r>
          </w:p>
        </w:tc>
      </w:tr>
      <w:tr>
        <w:trPr>
          <w:trHeight w:val="237"/>
        </w:trPr>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gains (losses)</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2"/>
          </w:tcPr>
          <w:p>
            <w:pPr>
              <w:ind w:left="40"/>
              <w:spacing w:after="0"/>
              <w:rPr>
                <w:sz w:val="20"/>
                <w:szCs w:val="20"/>
                <w:color w:val="auto"/>
              </w:rPr>
            </w:pPr>
            <w:r>
              <w:rPr>
                <w:rFonts w:ascii="Arial" w:cs="Arial" w:eastAsia="Arial" w:hAnsi="Arial"/>
                <w:sz w:val="18"/>
                <w:szCs w:val="18"/>
                <w:color w:val="auto"/>
              </w:rPr>
              <w:t>SG&amp;A</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(1,833)</w:t>
            </w:r>
          </w:p>
        </w:tc>
      </w:tr>
      <w:tr>
        <w:trPr>
          <w:trHeight w:val="27"/>
        </w:trPr>
        <w:tc>
          <w:tcPr>
            <w:tcW w:w="2300" w:type="dxa"/>
            <w:vAlign w:val="bottom"/>
            <w:gridSpan w:val="2"/>
          </w:tcPr>
          <w:p>
            <w:pPr>
              <w:spacing w:after="0"/>
              <w:rPr>
                <w:sz w:val="2"/>
                <w:szCs w:val="2"/>
                <w:color w:val="auto"/>
              </w:rPr>
            </w:pPr>
          </w:p>
        </w:tc>
        <w:tc>
          <w:tcPr>
            <w:tcW w:w="2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7"/>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764"/>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703" w:right="239" w:bottom="1440" w:gutter="0" w:footer="0" w:header="0"/>
        </w:sectPr>
      </w:pPr>
    </w:p>
    <w:bookmarkStart w:id="17" w:name="page18"/>
    <w:bookmarkEnd w:id="17"/>
    <w:p>
      <w:pPr>
        <w:ind w:right="120" w:firstLine="162"/>
        <w:spacing w:after="0" w:line="264" w:lineRule="auto"/>
        <w:rPr>
          <w:sz w:val="20"/>
          <w:szCs w:val="20"/>
          <w:color w:val="auto"/>
        </w:rPr>
      </w:pPr>
      <w:r>
        <w:rPr>
          <w:rFonts w:ascii="Arial" w:cs="Arial" w:eastAsia="Arial" w:hAnsi="Arial"/>
          <w:sz w:val="18"/>
          <w:szCs w:val="18"/>
          <w:color w:val="auto"/>
        </w:rPr>
        <w:t>We offset fair value amounts associated with our derivative instruments on our condensed consolidated balance sheets that are executed with the same counterparty under master netting arrangements. Our netting arrangements include a right to set off or net together purchases and sales of similar products in the settlement process.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present the fair value and the location of derivative contracts reported in the condensed consolidated balance sheets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September 30, 2019</w:t>
            </w:r>
          </w:p>
        </w:tc>
        <w:tc>
          <w:tcPr>
            <w:tcW w:w="140" w:type="dxa"/>
            <w:vAlign w:val="bottom"/>
          </w:tcPr>
          <w:p>
            <w:pPr>
              <w:spacing w:after="0"/>
              <w:rPr>
                <w:sz w:val="20"/>
                <w:szCs w:val="20"/>
                <w:color w:val="auto"/>
              </w:rPr>
            </w:pPr>
          </w:p>
        </w:tc>
        <w:tc>
          <w:tcPr>
            <w:tcW w:w="2780" w:type="dxa"/>
            <w:vAlign w:val="bottom"/>
            <w:gridSpan w:val="3"/>
          </w:tcPr>
          <w:p>
            <w:pPr>
              <w:ind w:left="1340"/>
              <w:spacing w:after="0"/>
              <w:rPr>
                <w:sz w:val="20"/>
                <w:szCs w:val="20"/>
                <w:color w:val="auto"/>
              </w:rPr>
            </w:pPr>
            <w:r>
              <w:rPr>
                <w:rFonts w:ascii="Arial" w:cs="Arial" w:eastAsia="Arial" w:hAnsi="Arial"/>
                <w:sz w:val="18"/>
                <w:szCs w:val="18"/>
                <w:b w:val="1"/>
                <w:bCs w:val="1"/>
                <w:color w:val="auto"/>
                <w:w w:val="94"/>
              </w:rPr>
              <w:t>Asset Derivatives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3"/>
          </w:tcPr>
          <w:p>
            <w:pPr>
              <w:ind w:left="1200"/>
              <w:spacing w:after="0"/>
              <w:rPr>
                <w:sz w:val="20"/>
                <w:szCs w:val="20"/>
                <w:color w:val="auto"/>
              </w:rPr>
            </w:pPr>
            <w:r>
              <w:rPr>
                <w:rFonts w:ascii="Arial" w:cs="Arial" w:eastAsia="Arial" w:hAnsi="Arial"/>
                <w:sz w:val="18"/>
                <w:szCs w:val="18"/>
                <w:b w:val="1"/>
                <w:bCs w:val="1"/>
                <w:color w:val="auto"/>
                <w:w w:val="93"/>
              </w:rPr>
              <w:t>Liability Derivatives</w:t>
            </w:r>
          </w:p>
        </w:tc>
        <w:tc>
          <w:tcPr>
            <w:tcW w:w="1180" w:type="dxa"/>
            <w:vAlign w:val="bottom"/>
          </w:tcPr>
          <w:p>
            <w:pPr>
              <w:spacing w:after="0"/>
              <w:rPr>
                <w:sz w:val="20"/>
                <w:szCs w:val="20"/>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61"/>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5"/>
                <w:szCs w:val="25"/>
                <w:b w:val="1"/>
                <w:bCs w:val="1"/>
                <w:color w:val="auto"/>
                <w:w w:val="91"/>
                <w:vertAlign w:val="superscript"/>
              </w:rPr>
              <w:t>(1)</w:t>
            </w:r>
          </w:p>
        </w:tc>
        <w:tc>
          <w:tcPr>
            <w:tcW w:w="10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7"/>
              </w:rPr>
              <w:t xml:space="preserve">Fair Value </w:t>
            </w:r>
            <w:r>
              <w:rPr>
                <w:rFonts w:ascii="Arial" w:cs="Arial" w:eastAsia="Arial" w:hAnsi="Arial"/>
                <w:sz w:val="25"/>
                <w:szCs w:val="25"/>
                <w:b w:val="1"/>
                <w:bCs w:val="1"/>
                <w:color w:val="auto"/>
                <w:w w:val="87"/>
                <w:vertAlign w:val="superscript"/>
              </w:rPr>
              <w:t>(1)</w:t>
            </w: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r>
      <w:tr>
        <w:trPr>
          <w:trHeight w:val="229"/>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Total derivatives designated as hedging</w:t>
            </w:r>
          </w:p>
        </w:tc>
        <w:tc>
          <w:tcPr>
            <w:tcW w:w="1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w:t>
            </w:r>
          </w:p>
        </w:tc>
      </w:tr>
      <w:tr>
        <w:trPr>
          <w:trHeight w:val="205"/>
        </w:trPr>
        <w:tc>
          <w:tcPr>
            <w:tcW w:w="32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3"/>
              </w:rPr>
              <w:t>Derivatives Not Designated as Hedging</w:t>
            </w:r>
          </w:p>
        </w:tc>
        <w:tc>
          <w:tcPr>
            <w:tcW w:w="1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09"/>
        </w:trPr>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4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1,869</w:t>
            </w:r>
          </w:p>
        </w:tc>
      </w:tr>
      <w:tr>
        <w:trPr>
          <w:trHeight w:val="209"/>
        </w:trPr>
        <w:tc>
          <w:tcPr>
            <w:tcW w:w="3200" w:type="dxa"/>
            <w:vAlign w:val="bottom"/>
          </w:tcPr>
          <w:p>
            <w:pPr>
              <w:ind w:left="40"/>
              <w:spacing w:after="0"/>
              <w:rPr>
                <w:sz w:val="20"/>
                <w:szCs w:val="20"/>
                <w:color w:val="auto"/>
              </w:rPr>
            </w:pPr>
            <w:r>
              <w:rPr>
                <w:rFonts w:ascii="Arial" w:cs="Arial" w:eastAsia="Arial" w:hAnsi="Arial"/>
                <w:sz w:val="18"/>
                <w:szCs w:val="18"/>
                <w:color w:val="auto"/>
                <w:w w:val="90"/>
              </w:rPr>
              <w:t>Total derivatives not designated as hedging</w:t>
            </w:r>
          </w:p>
        </w:tc>
        <w:tc>
          <w:tcPr>
            <w:tcW w:w="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1,869</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3,846</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2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tcPr>
          <w:p>
            <w:pPr>
              <w:spacing w:after="0"/>
              <w:rPr>
                <w:sz w:val="24"/>
                <w:szCs w:val="24"/>
                <w:color w:val="auto"/>
              </w:rPr>
            </w:pPr>
          </w:p>
        </w:tc>
        <w:tc>
          <w:tcPr>
            <w:tcW w:w="2780" w:type="dxa"/>
            <w:vAlign w:val="bottom"/>
            <w:gridSpan w:val="3"/>
          </w:tcPr>
          <w:p>
            <w:pPr>
              <w:ind w:left="1340"/>
              <w:spacing w:after="0"/>
              <w:rPr>
                <w:sz w:val="20"/>
                <w:szCs w:val="20"/>
                <w:color w:val="auto"/>
              </w:rPr>
            </w:pPr>
            <w:r>
              <w:rPr>
                <w:rFonts w:ascii="Arial" w:cs="Arial" w:eastAsia="Arial" w:hAnsi="Arial"/>
                <w:sz w:val="18"/>
                <w:szCs w:val="18"/>
                <w:b w:val="1"/>
                <w:bCs w:val="1"/>
                <w:color w:val="auto"/>
                <w:w w:val="94"/>
              </w:rPr>
              <w:t>Asset Derivatives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ind w:left="1200"/>
              <w:spacing w:after="0"/>
              <w:rPr>
                <w:sz w:val="20"/>
                <w:szCs w:val="20"/>
                <w:color w:val="auto"/>
              </w:rPr>
            </w:pPr>
            <w:r>
              <w:rPr>
                <w:rFonts w:ascii="Arial" w:cs="Arial" w:eastAsia="Arial" w:hAnsi="Arial"/>
                <w:sz w:val="18"/>
                <w:szCs w:val="18"/>
                <w:b w:val="1"/>
                <w:bCs w:val="1"/>
                <w:color w:val="auto"/>
                <w:w w:val="93"/>
              </w:rPr>
              <w:t>Liability Derivatives</w:t>
            </w:r>
          </w:p>
        </w:tc>
        <w:tc>
          <w:tcPr>
            <w:tcW w:w="1180" w:type="dxa"/>
            <w:vAlign w:val="bottom"/>
          </w:tcPr>
          <w:p>
            <w:pPr>
              <w:spacing w:after="0"/>
              <w:rPr>
                <w:sz w:val="24"/>
                <w:szCs w:val="24"/>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61"/>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5"/>
                <w:szCs w:val="25"/>
                <w:b w:val="1"/>
                <w:bCs w:val="1"/>
                <w:color w:val="auto"/>
                <w:w w:val="91"/>
                <w:vertAlign w:val="superscript"/>
              </w:rPr>
              <w:t>(1)</w:t>
            </w:r>
          </w:p>
        </w:tc>
        <w:tc>
          <w:tcPr>
            <w:tcW w:w="10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7"/>
              </w:rPr>
              <w:t xml:space="preserve">Fair Value </w:t>
            </w:r>
            <w:r>
              <w:rPr>
                <w:rFonts w:ascii="Arial" w:cs="Arial" w:eastAsia="Arial" w:hAnsi="Arial"/>
                <w:sz w:val="25"/>
                <w:szCs w:val="25"/>
                <w:b w:val="1"/>
                <w:bCs w:val="1"/>
                <w:color w:val="auto"/>
                <w:w w:val="87"/>
                <w:vertAlign w:val="superscript"/>
              </w:rPr>
              <w:t>(1)</w:t>
            </w: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r>
      <w:tr>
        <w:trPr>
          <w:trHeight w:val="209"/>
        </w:trPr>
        <w:tc>
          <w:tcPr>
            <w:tcW w:w="3200" w:type="dxa"/>
            <w:vAlign w:val="bottom"/>
          </w:tcPr>
          <w:p>
            <w:pPr>
              <w:ind w:left="40"/>
              <w:spacing w:after="0"/>
              <w:rPr>
                <w:sz w:val="20"/>
                <w:szCs w:val="20"/>
                <w:color w:val="auto"/>
              </w:rPr>
            </w:pPr>
            <w:r>
              <w:rPr>
                <w:rFonts w:ascii="Arial" w:cs="Arial" w:eastAsia="Arial" w:hAnsi="Arial"/>
                <w:sz w:val="18"/>
                <w:szCs w:val="18"/>
                <w:color w:val="auto"/>
                <w:w w:val="98"/>
              </w:rPr>
              <w:t>Total derivatives designated as hedging</w:t>
            </w:r>
          </w:p>
        </w:tc>
        <w:tc>
          <w:tcPr>
            <w:tcW w:w="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2,219</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5"/>
        </w:trPr>
        <w:tc>
          <w:tcPr>
            <w:tcW w:w="32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3"/>
              </w:rPr>
              <w:t>Derivatives Not Designated as Hedging</w:t>
            </w:r>
          </w:p>
        </w:tc>
        <w:tc>
          <w:tcPr>
            <w:tcW w:w="1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6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09"/>
        </w:trPr>
        <w:tc>
          <w:tcPr>
            <w:tcW w:w="3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40" w:type="dxa"/>
            <w:vAlign w:val="bottom"/>
          </w:tcPr>
          <w:p>
            <w:pPr>
              <w:spacing w:after="0"/>
              <w:rPr>
                <w:sz w:val="20"/>
                <w:szCs w:val="20"/>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3,173</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Total derivatives not designated as hedging</w:t>
            </w:r>
          </w:p>
        </w:tc>
        <w:tc>
          <w:tcPr>
            <w:tcW w:w="1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5,392</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6"/>
          <w:szCs w:val="16"/>
          <w:color w:val="auto"/>
        </w:rPr>
        <w:t>For the classification of inputs used to evaluate the fair value of our derivatives, refer to “Note 8. Fair Value Measurements.”</w:t>
      </w:r>
    </w:p>
    <w:p>
      <w:pPr>
        <w:spacing w:after="0" w:line="365" w:lineRule="exact"/>
        <w:rPr>
          <w:rFonts w:ascii="Arial" w:cs="Arial" w:eastAsia="Arial" w:hAnsi="Arial"/>
          <w:sz w:val="14"/>
          <w:szCs w:val="14"/>
          <w:color w:val="auto"/>
        </w:rPr>
      </w:pPr>
    </w:p>
    <w:p>
      <w:pPr>
        <w:ind w:left="5700"/>
        <w:spacing w:after="0"/>
        <w:rPr>
          <w:rFonts w:ascii="Arial" w:cs="Arial" w:eastAsia="Arial" w:hAnsi="Arial"/>
          <w:sz w:val="14"/>
          <w:szCs w:val="14"/>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Note 11. Leases</w:t>
      </w:r>
    </w:p>
    <w:p>
      <w:pPr>
        <w:spacing w:after="0" w:line="116" w:lineRule="exact"/>
        <w:rPr>
          <w:sz w:val="20"/>
          <w:szCs w:val="20"/>
          <w:color w:val="auto"/>
        </w:rPr>
      </w:pPr>
    </w:p>
    <w:p>
      <w:pPr>
        <w:ind w:right="80" w:firstLine="162"/>
        <w:spacing w:after="0" w:line="286" w:lineRule="auto"/>
        <w:rPr>
          <w:sz w:val="20"/>
          <w:szCs w:val="20"/>
          <w:color w:val="auto"/>
        </w:rPr>
      </w:pPr>
      <w:r>
        <w:rPr>
          <w:rFonts w:ascii="Arial" w:cs="Arial" w:eastAsia="Arial" w:hAnsi="Arial"/>
          <w:sz w:val="17"/>
          <w:szCs w:val="17"/>
          <w:color w:val="auto"/>
        </w:rPr>
        <w:t>We have operating leases primarily for (i) office space, (ii) manufacturing, warehouse and research and development facilities and (iii) vehicles. Our leases have remaining lease terms up to 12 years, some of which include options to extend the leases, and some of which include options to terminate the leases at our sole discretion. The components of operating lease assets, liabilities and costs are as follows (in thousands):</w:t>
      </w:r>
    </w:p>
    <w:p>
      <w:pPr>
        <w:sectPr>
          <w:pgSz w:w="11900" w:h="16838" w:orient="portrait"/>
          <w:cols w:equalWidth="0" w:num="1">
            <w:col w:w="11420"/>
          </w:cols>
          <w:pgMar w:left="240" w:top="697" w:right="239" w:bottom="1440" w:gutter="0" w:footer="0" w:header="0"/>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7283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liabilities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operating lease liabilities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lease liabilities</w:t>
            </w: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738"/>
        </w:trPr>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Three Months Ended</w:t>
            </w:r>
          </w:p>
        </w:tc>
      </w:t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Lease Cost</w:t>
            </w:r>
          </w:p>
        </w:tc>
        <w:tc>
          <w:tcPr>
            <w:tcW w:w="220" w:type="dxa"/>
            <w:vAlign w:val="bottom"/>
          </w:tcPr>
          <w:p>
            <w:pPr>
              <w:spacing w:after="0"/>
              <w:rPr>
                <w:sz w:val="20"/>
                <w:szCs w:val="20"/>
                <w:color w:val="auto"/>
              </w:rPr>
            </w:pPr>
          </w:p>
        </w:tc>
        <w:tc>
          <w:tcPr>
            <w:tcW w:w="206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September 30, 2019</w:t>
            </w:r>
          </w:p>
        </w:tc>
      </w:tr>
      <w:tr>
        <w:trPr>
          <w:trHeight w:val="27"/>
        </w:trPr>
        <w:tc>
          <w:tcPr>
            <w:tcW w:w="6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Operating lease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3,391</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Variable lease cost</w:t>
            </w:r>
          </w:p>
        </w:tc>
        <w:tc>
          <w:tcPr>
            <w:tcW w:w="22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Short-term lease cost</w:t>
            </w:r>
          </w:p>
        </w:tc>
        <w:tc>
          <w:tcPr>
            <w:tcW w:w="22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67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lease cost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3,874</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Contractual maturities of our lease liabilities as of September 30,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Remaining 2019</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lease payments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Less: Amount representing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Present value of lease liabilities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Weighted Average Remaining Lease Term (in years)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Weighted Average Discount Rate</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Information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7283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cash flows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 2019</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37"/>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54,283</w:t>
            </w:r>
          </w:p>
        </w:tc>
        <w:tc>
          <w:tcPr>
            <w:tcW w:w="2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764"/>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10,565</w:t>
            </w:r>
          </w:p>
        </w:tc>
        <w:tc>
          <w:tcPr>
            <w:tcW w:w="2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44,724</w:t>
            </w:r>
          </w:p>
        </w:tc>
        <w:tc>
          <w:tcPr>
            <w:tcW w:w="20" w:type="dxa"/>
            <w:vAlign w:val="bottom"/>
          </w:tcPr>
          <w:p>
            <w:pPr>
              <w:spacing w:after="0"/>
              <w:rPr>
                <w:sz w:val="23"/>
                <w:szCs w:val="23"/>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55,289</w:t>
            </w:r>
          </w:p>
        </w:tc>
        <w:tc>
          <w:tcPr>
            <w:tcW w:w="2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64"/>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 2019</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10,600</w:t>
            </w:r>
          </w:p>
        </w:tc>
        <w:tc>
          <w:tcPr>
            <w:tcW w:w="20" w:type="dxa"/>
            <w:vAlign w:val="bottom"/>
          </w:tcPr>
          <w:p>
            <w:pPr>
              <w:spacing w:after="0"/>
              <w:rPr>
                <w:sz w:val="20"/>
                <w:szCs w:val="20"/>
                <w:color w:val="auto"/>
              </w:rPr>
            </w:pPr>
          </w:p>
        </w:tc>
      </w:tr>
      <w:tr>
        <w:trPr>
          <w:trHeight w:val="270"/>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23"/>
                <w:szCs w:val="23"/>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11,789</w:t>
            </w:r>
          </w:p>
        </w:tc>
        <w:tc>
          <w:tcPr>
            <w:tcW w:w="2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99"/>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2,728</w:t>
            </w:r>
          </w:p>
        </w:tc>
        <w:tc>
          <w:tcPr>
            <w:tcW w:w="2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11,309</w:t>
            </w:r>
          </w:p>
        </w:tc>
        <w:tc>
          <w:tcPr>
            <w:tcW w:w="20" w:type="dxa"/>
            <w:vAlign w:val="bottom"/>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9,411</w:t>
            </w:r>
          </w:p>
        </w:tc>
        <w:tc>
          <w:tcPr>
            <w:tcW w:w="20" w:type="dxa"/>
            <w:vAlign w:val="bottom"/>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8,263</w:t>
            </w:r>
          </w:p>
        </w:tc>
        <w:tc>
          <w:tcPr>
            <w:tcW w:w="20" w:type="dxa"/>
            <w:vAlign w:val="bottom"/>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6,913</w:t>
            </w:r>
          </w:p>
        </w:tc>
        <w:tc>
          <w:tcPr>
            <w:tcW w:w="20" w:type="dxa"/>
            <w:vAlign w:val="bottom"/>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21,866</w:t>
            </w:r>
          </w:p>
        </w:tc>
        <w:tc>
          <w:tcPr>
            <w:tcW w:w="20" w:type="dxa"/>
            <w:vAlign w:val="bottom"/>
          </w:tcPr>
          <w:p>
            <w:pPr>
              <w:spacing w:after="0"/>
              <w:rPr>
                <w:sz w:val="23"/>
                <w:szCs w:val="23"/>
                <w:color w:val="auto"/>
              </w:rPr>
            </w:pPr>
          </w:p>
        </w:tc>
      </w:tr>
      <w:tr>
        <w:trPr>
          <w:trHeight w:val="27"/>
        </w:trPr>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60,490</w:t>
            </w:r>
          </w:p>
        </w:tc>
        <w:tc>
          <w:tcPr>
            <w:tcW w:w="20" w:type="dxa"/>
            <w:vAlign w:val="bottom"/>
          </w:tcPr>
          <w:p>
            <w:pPr>
              <w:spacing w:after="0"/>
              <w:rPr>
                <w:sz w:val="20"/>
                <w:szCs w:val="20"/>
                <w:color w:val="auto"/>
              </w:rPr>
            </w:pPr>
          </w:p>
        </w:tc>
      </w:tr>
      <w:tr>
        <w:trPr>
          <w:trHeight w:val="270"/>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5,201</w:t>
            </w:r>
          </w:p>
        </w:tc>
        <w:tc>
          <w:tcPr>
            <w:tcW w:w="20" w:type="dxa"/>
            <w:vAlign w:val="bottom"/>
          </w:tcPr>
          <w:p>
            <w:pPr>
              <w:spacing w:after="0"/>
              <w:rPr>
                <w:sz w:val="23"/>
                <w:szCs w:val="23"/>
                <w:color w:val="auto"/>
              </w:rPr>
            </w:pPr>
          </w:p>
        </w:tc>
      </w:tr>
      <w:tr>
        <w:trPr>
          <w:trHeight w:val="27"/>
        </w:trPr>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55,289</w:t>
            </w:r>
          </w:p>
        </w:tc>
        <w:tc>
          <w:tcPr>
            <w:tcW w:w="2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3"/>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2019</w:t>
            </w:r>
          </w:p>
        </w:tc>
      </w:tr>
      <w:tr>
        <w:trPr>
          <w:trHeight w:val="27"/>
        </w:trPr>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ind w:left="162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0"/>
                <w:szCs w:val="20"/>
                <w:color w:val="auto"/>
              </w:rPr>
            </w:pPr>
          </w:p>
        </w:tc>
      </w:tr>
      <w:tr>
        <w:trPr>
          <w:trHeight w:val="270"/>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ind w:left="1620"/>
              <w:spacing w:after="0"/>
              <w:rPr>
                <w:sz w:val="20"/>
                <w:szCs w:val="20"/>
                <w:color w:val="auto"/>
              </w:rPr>
            </w:pPr>
            <w:r>
              <w:rPr>
                <w:rFonts w:ascii="Arial" w:cs="Arial" w:eastAsia="Arial" w:hAnsi="Arial"/>
                <w:sz w:val="18"/>
                <w:szCs w:val="18"/>
                <w:color w:val="auto"/>
                <w:w w:val="97"/>
              </w:rPr>
              <w:t>2.3%</w:t>
            </w:r>
          </w:p>
        </w:tc>
        <w:tc>
          <w:tcPr>
            <w:tcW w:w="20" w:type="dxa"/>
            <w:vAlign w:val="bottom"/>
          </w:tcPr>
          <w:p>
            <w:pPr>
              <w:spacing w:after="0"/>
              <w:rPr>
                <w:sz w:val="23"/>
                <w:szCs w:val="23"/>
                <w:color w:val="auto"/>
              </w:rPr>
            </w:pPr>
          </w:p>
        </w:tc>
      </w:tr>
      <w:tr>
        <w:trPr>
          <w:trHeight w:val="711"/>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 2019</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07"/>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10,111</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9020" w:space="40"/>
            <w:col w:w="2360"/>
          </w:cols>
          <w:pgMar w:left="240" w:top="697" w:right="239" w:bottom="1440" w:gutter="0" w:footer="0" w:header="0"/>
          <w:type w:val="continuous"/>
        </w:sectPr>
      </w:pPr>
    </w:p>
    <w:p>
      <w:pPr>
        <w:spacing w:after="0" w:line="164" w:lineRule="exact"/>
        <w:rPr>
          <w:sz w:val="20"/>
          <w:szCs w:val="20"/>
          <w:color w:val="auto"/>
        </w:rPr>
      </w:pPr>
    </w:p>
    <w:p>
      <w:pPr>
        <w:ind w:left="40"/>
        <w:spacing w:after="0"/>
        <w:tabs>
          <w:tab w:leader="none" w:pos="9140" w:val="left"/>
          <w:tab w:leader="none" w:pos="10880" w:val="left"/>
        </w:tabs>
        <w:rPr>
          <w:sz w:val="20"/>
          <w:szCs w:val="20"/>
          <w:color w:val="auto"/>
        </w:rPr>
      </w:pPr>
      <w:r>
        <w:rPr>
          <w:rFonts w:ascii="Arial" w:cs="Arial" w:eastAsia="Arial" w:hAnsi="Arial"/>
          <w:sz w:val="18"/>
          <w:szCs w:val="18"/>
          <w:color w:val="auto"/>
        </w:rPr>
        <w:t>Operating lease assets obtained in exchange for lease liabilities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5,403</w:t>
      </w:r>
    </w:p>
    <w:p>
      <w:pPr>
        <w:sectPr>
          <w:pgSz w:w="11900" w:h="16838" w:orient="portrait"/>
          <w:cols w:equalWidth="0" w:num="1">
            <w:col w:w="11420"/>
          </w:cols>
          <w:pgMar w:left="240" w:top="69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697"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Disclosures Related to Periods Prior to Adoption of Topic 842</w:t>
      </w:r>
    </w:p>
    <w:p>
      <w:pPr>
        <w:spacing w:after="0" w:line="117" w:lineRule="exact"/>
        <w:rPr>
          <w:sz w:val="20"/>
          <w:szCs w:val="20"/>
          <w:color w:val="auto"/>
        </w:rPr>
      </w:pPr>
    </w:p>
    <w:p>
      <w:pPr>
        <w:jc w:val="both"/>
        <w:ind w:right="160" w:firstLine="162"/>
        <w:spacing w:after="0" w:line="264" w:lineRule="auto"/>
        <w:rPr>
          <w:sz w:val="20"/>
          <w:szCs w:val="20"/>
          <w:color w:val="auto"/>
        </w:rPr>
      </w:pPr>
      <w:r>
        <w:rPr>
          <w:rFonts w:ascii="Arial" w:cs="Arial" w:eastAsia="Arial" w:hAnsi="Arial"/>
          <w:sz w:val="18"/>
          <w:szCs w:val="18"/>
          <w:color w:val="auto"/>
        </w:rPr>
        <w:t>On January 1, 2019, we adopted Topic 842 using the modified retrospective adoption approach, as noted in “Note 1. Unaudited Condensed Consolidated Financial Statements.” As required and as previously disclosed in our 2018 Form 10-K, the following table summarizes our future minimum operating lease payments as of December 31, 2018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than one year</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11,986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One to three years</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21,031</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to five years</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20,943</w:t>
            </w:r>
          </w:p>
        </w:tc>
      </w:tr>
      <w:tr>
        <w:trPr>
          <w:trHeight w:val="27"/>
        </w:trPr>
        <w:tc>
          <w:tcPr>
            <w:tcW w:w="9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68,958</w:t>
            </w: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FDA Warning Letter</w:t>
      </w:r>
    </w:p>
    <w:p>
      <w:pPr>
        <w:spacing w:after="0" w:line="116" w:lineRule="exact"/>
        <w:rPr>
          <w:sz w:val="20"/>
          <w:szCs w:val="20"/>
          <w:color w:val="auto"/>
        </w:rPr>
      </w:pPr>
    </w:p>
    <w:p>
      <w:pPr>
        <w:jc w:val="both"/>
        <w:ind w:right="100" w:firstLine="162"/>
        <w:spacing w:after="0" w:line="277" w:lineRule="auto"/>
        <w:rPr>
          <w:sz w:val="20"/>
          <w:szCs w:val="20"/>
          <w:color w:val="auto"/>
        </w:rPr>
      </w:pPr>
      <w:r>
        <w:rPr>
          <w:rFonts w:ascii="Arial" w:cs="Arial" w:eastAsia="Arial" w:hAnsi="Arial"/>
          <w:sz w:val="18"/>
          <w:szCs w:val="18"/>
          <w:color w:val="auto"/>
        </w:rPr>
        <w:t>On December 29, 2015, the FDA issued a Warning Letter alleging certain violations of FDA regulations applicable to medical device manufacturers at our Munich, Germany and Arvada, Colorado facilities.</w:t>
      </w:r>
    </w:p>
    <w:p>
      <w:pPr>
        <w:spacing w:after="0" w:line="62"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Heater-Cooler device that were not previously included in the Form 483.</w:t>
      </w:r>
    </w:p>
    <w:p>
      <w:pPr>
        <w:spacing w:after="0" w:line="85"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Finally, the Warning Letter stated that premarket approval applications for Class III devices to which certain Quality System regulation deviations identified in the Warning Letter are reasonably related will not be approved until the violations have been corrected; however, this restriction applies only to the Munich and Arvada facilities, which do not manufacture or design devices subject to Class III premarket approval.</w:t>
      </w:r>
    </w:p>
    <w:p>
      <w:pPr>
        <w:spacing w:after="0" w:line="7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CDC and FDA Safety Communications and Company Field Safety Notice</w:t>
      </w:r>
    </w:p>
    <w:p>
      <w:pPr>
        <w:spacing w:after="0" w:line="116"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On October 13, 2016, the CDC and the FDA separately released safety notifications regarding the 3T devices. The CDC’s Morbidity and Mortality Weekly Report (“MMWR”) and Health Advisory Notice (“HAN”) reported that tests conducted by the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4"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Also on October 13, 2016, concurrent with the CDC’s HAN and FDA’s Safety Communication, we issued a Field Safety Notice Update for U.S. users of 3T devices to proactively and voluntarily contact facilities to aid in implementation of the CDC</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0" w:name="page21"/>
    <w:bookmarkEnd w:id="20"/>
    <w:p>
      <w:pPr>
        <w:ind w:right="40"/>
        <w:spacing w:after="0" w:line="288" w:lineRule="auto"/>
        <w:rPr>
          <w:sz w:val="20"/>
          <w:szCs w:val="20"/>
          <w:color w:val="auto"/>
        </w:rPr>
      </w:pPr>
      <w:r>
        <w:rPr>
          <w:rFonts w:ascii="Arial" w:cs="Arial" w:eastAsia="Arial" w:hAnsi="Arial"/>
          <w:sz w:val="16"/>
          <w:szCs w:val="16"/>
          <w:color w:val="auto"/>
        </w:rPr>
        <w:t>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This loaner program began in the U.S., was rolled out in Europe shortly thereafter,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the risk mitigation strategies described above. We are currently implementing the vacuum and sealing upgrade program in as many countries as possible until all devices are upgraded. On October 11, 2018, after review of information provided by us, the FDA concluded that we could commence the vacuum and sealing upgrade program in the U.S. Furthermore, we continue to offer a no-charge deep disinfection service (deep cleaning service) for 3T device users as we receive the required regulatory approvals. The deep disinfection service was rolled out in Europe in the second half of 2015, and on April 12, 2018, the FDA agreed to allow us to move forward with the deep cleaning service in the U.S. thereby adding to the growing list of countries around the world in which we offer this service.</w:t>
      </w:r>
    </w:p>
    <w:p>
      <w:pPr>
        <w:spacing w:after="0" w:line="61"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September 30, 2019, the product remediation liability was $7.4 million. Refer to “Note 5. Product Remediation Liability”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 Liability</w:t>
      </w:r>
    </w:p>
    <w:p>
      <w:pPr>
        <w:spacing w:after="0" w:line="110" w:lineRule="exact"/>
        <w:rPr>
          <w:sz w:val="20"/>
          <w:szCs w:val="20"/>
          <w:color w:val="auto"/>
        </w:rPr>
      </w:pPr>
    </w:p>
    <w:p>
      <w:pPr>
        <w:ind w:right="140" w:firstLine="162"/>
        <w:spacing w:after="0" w:line="255" w:lineRule="auto"/>
        <w:rPr>
          <w:sz w:val="20"/>
          <w:szCs w:val="20"/>
          <w:color w:val="auto"/>
        </w:rPr>
      </w:pPr>
      <w:r>
        <w:rPr>
          <w:rFonts w:ascii="Arial" w:cs="Arial" w:eastAsia="Arial" w:hAnsi="Arial"/>
          <w:sz w:val="18"/>
          <w:szCs w:val="18"/>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w:t>
      </w:r>
    </w:p>
    <w:p>
      <w:pPr>
        <w:spacing w:after="0" w:line="85"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remainder will be paid in January 2020. Cases covered by the settlement will be dismissed as amounts are disbursed to individual plaintiffs from the qualified settlement fund.</w:t>
      </w:r>
    </w:p>
    <w:p>
      <w:pPr>
        <w:spacing w:after="0" w:line="70" w:lineRule="exact"/>
        <w:rPr>
          <w:sz w:val="20"/>
          <w:szCs w:val="20"/>
          <w:color w:val="auto"/>
        </w:rPr>
      </w:pPr>
    </w:p>
    <w:p>
      <w:pPr>
        <w:ind w:right="140" w:firstLine="162"/>
        <w:spacing w:after="0" w:line="297" w:lineRule="auto"/>
        <w:rPr>
          <w:sz w:val="20"/>
          <w:szCs w:val="20"/>
          <w:color w:val="auto"/>
        </w:rPr>
      </w:pPr>
      <w:r>
        <w:rPr>
          <w:rFonts w:ascii="Arial" w:cs="Arial" w:eastAsia="Arial" w:hAnsi="Arial"/>
          <w:sz w:val="16"/>
          <w:szCs w:val="16"/>
          <w:color w:val="auto"/>
        </w:rPr>
        <w:t>Cases in state courts in the U.S. and in jurisdictions outside the U.S. continue to progress. As of October 29, 2019, including the cases encompassed in the settlement framework described above that have not yet been dismissed, we are aware of approximately 100 filed and unfiled claims worldwide, with the majority of the claims in various federal or state courts throughout the United States.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50" w:lineRule="exact"/>
        <w:rPr>
          <w:sz w:val="20"/>
          <w:szCs w:val="20"/>
          <w:color w:val="auto"/>
        </w:rPr>
      </w:pPr>
    </w:p>
    <w:p>
      <w:pPr>
        <w:jc w:val="both"/>
        <w:ind w:right="220" w:firstLine="162"/>
        <w:spacing w:after="0" w:line="264" w:lineRule="auto"/>
        <w:rPr>
          <w:sz w:val="20"/>
          <w:szCs w:val="20"/>
          <w:color w:val="auto"/>
        </w:rPr>
      </w:pPr>
      <w:r>
        <w:rPr>
          <w:rFonts w:ascii="Arial" w:cs="Arial" w:eastAsia="Arial" w:hAnsi="Arial"/>
          <w:sz w:val="18"/>
          <w:szCs w:val="18"/>
          <w:color w:val="auto"/>
        </w:rPr>
        <w:t>In the fourth quarter of 2018, we recognized a $294.1 million provision, which represented our best estimate of the Company’s liability for these matters. At September 30, 2019, the provision was $153.0 million. While the amount accrued represents our best estimate, the actual liability for resolution of these matters remains uncertain and may vary from our estimate.</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9540" w:type="dxa"/>
            <w:vAlign w:val="bottom"/>
          </w:tcPr>
          <w:p>
            <w:pPr>
              <w:ind w:left="180"/>
              <w:spacing w:after="0"/>
              <w:rPr>
                <w:sz w:val="20"/>
                <w:szCs w:val="20"/>
                <w:color w:val="auto"/>
              </w:rPr>
            </w:pPr>
            <w:r>
              <w:rPr>
                <w:rFonts w:ascii="Arial" w:cs="Arial" w:eastAsia="Arial" w:hAnsi="Arial"/>
                <w:sz w:val="18"/>
                <w:szCs w:val="18"/>
                <w:color w:val="auto"/>
                <w:w w:val="93"/>
              </w:rPr>
              <w:t>The changes in the litigation provision liability for the nine months ended September 30, 2019 were as follows (in thousands):</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60"/>
        </w:trPr>
        <w:tc>
          <w:tcPr>
            <w:tcW w:w="954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Litigation Provision</w:t>
            </w:r>
          </w:p>
        </w:tc>
      </w:tr>
      <w:tr>
        <w:trPr>
          <w:trHeight w:val="234"/>
        </w:trPr>
        <w:tc>
          <w:tcPr>
            <w:tcW w:w="9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Liability</w:t>
            </w:r>
          </w:p>
        </w:tc>
      </w:tr>
      <w:tr>
        <w:trPr>
          <w:trHeight w:val="27"/>
        </w:trPr>
        <w:tc>
          <w:tcPr>
            <w:tcW w:w="9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litigation provision liability at December 31,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294,061</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Payments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(140,823)</w:t>
            </w:r>
          </w:p>
        </w:tc>
      </w:tr>
      <w:tr>
        <w:trPr>
          <w:trHeight w:val="27"/>
        </w:trPr>
        <w:tc>
          <w:tcPr>
            <w:tcW w:w="9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7"/>
        </w:trPr>
        <w:tc>
          <w:tcPr>
            <w:tcW w:w="9540" w:type="dxa"/>
            <w:vAlign w:val="bottom"/>
          </w:tcPr>
          <w:p>
            <w:pPr>
              <w:ind w:left="40"/>
              <w:spacing w:after="0"/>
              <w:rPr>
                <w:sz w:val="20"/>
                <w:szCs w:val="20"/>
                <w:color w:val="auto"/>
              </w:rPr>
            </w:pPr>
            <w:r>
              <w:rPr>
                <w:rFonts w:ascii="Arial" w:cs="Arial" w:eastAsia="Arial" w:hAnsi="Arial"/>
                <w:sz w:val="18"/>
                <w:szCs w:val="18"/>
                <w:color w:val="auto"/>
              </w:rPr>
              <w:t>Total litigation provision liability at September 30, 2019</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152,968</w:t>
            </w:r>
          </w:p>
        </w:tc>
      </w:tr>
      <w:tr>
        <w:trPr>
          <w:trHeight w:val="27"/>
        </w:trPr>
        <w:tc>
          <w:tcPr>
            <w:tcW w:w="9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current portion of litigation provision liability at September 30, 2019</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121,468</w:t>
            </w:r>
          </w:p>
        </w:tc>
      </w:tr>
      <w:tr>
        <w:trPr>
          <w:trHeight w:val="257"/>
        </w:trPr>
        <w:tc>
          <w:tcPr>
            <w:tcW w:w="9540" w:type="dxa"/>
            <w:vAlign w:val="bottom"/>
          </w:tcPr>
          <w:p>
            <w:pPr>
              <w:ind w:left="40"/>
              <w:spacing w:after="0"/>
              <w:rPr>
                <w:sz w:val="20"/>
                <w:szCs w:val="20"/>
                <w:color w:val="auto"/>
              </w:rPr>
            </w:pPr>
            <w:r>
              <w:rPr>
                <w:rFonts w:ascii="Arial" w:cs="Arial" w:eastAsia="Arial" w:hAnsi="Arial"/>
                <w:sz w:val="18"/>
                <w:szCs w:val="18"/>
                <w:color w:val="auto"/>
              </w:rPr>
              <w:t>Long-term portion of litigation provision liability at September 30, 2019</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31,500</w:t>
            </w:r>
          </w:p>
        </w:tc>
      </w:tr>
      <w:tr>
        <w:trPr>
          <w:trHeight w:val="20"/>
        </w:trPr>
        <w:tc>
          <w:tcPr>
            <w:tcW w:w="9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0" w:firstLine="162"/>
        <w:spacing w:after="0" w:line="264" w:lineRule="auto"/>
        <w:rPr>
          <w:sz w:val="20"/>
          <w:szCs w:val="20"/>
          <w:color w:val="auto"/>
        </w:rPr>
      </w:pPr>
      <w:r>
        <w:rPr>
          <w:rFonts w:ascii="Arial" w:cs="Arial" w:eastAsia="Arial" w:hAnsi="Arial"/>
          <w:sz w:val="18"/>
          <w:szCs w:val="18"/>
          <w:color w:val="auto"/>
        </w:rPr>
        <w:t>In July 2019, we entered into agreements with our insurance carriers to recover $33.8 million under our product liability insurance policies related to the litigation involving our 3T device. The insurance recovery was received and recognized as insurance recovery on the condensed consolidated statements of income (loss) during the three and nine months ended September 30, 2019.</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Environmental Liability</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SNIA Litigation</w:t>
      </w:r>
    </w:p>
    <w:p>
      <w:pPr>
        <w:spacing w:after="0" w:line="117"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Our subsidiary, Sorin S.p.A. (“Sorin”) was created as a result of a spin-off (the “Sorin spin-off”) from SNIA S.p.A. (“SNIA”) in January 2004.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79"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In September 2011 and July 2014, the Bankruptcy Court of Udine and the Bankruptcy Court of Milan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have also appealed that decision to the Supreme Court. In addition, the Bankruptcy Court of Milan’s decision has been appealed.</w:t>
      </w:r>
    </w:p>
    <w:p>
      <w:pPr>
        <w:spacing w:after="0" w:line="80"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In January 2012, SNIA filed a civil action against Sorin in the Civil Court of Milan asserting joint liability of a parent and a spun-off company. On April 1, 2016, the Court of Milan dismissed all legal actions of SNIA and of the Public Administrations further requiring the Public Administrations to pay Sorin approximately $318,000 for legal fees. The Public Administrations appealed the 2016 Decision to the Court of Appeal of Milan. On March 5, 2019, the Court of Appeal issued a partial decision on the merits declaring Sorin/LivaNova jointly liable with SNIA for SNIA’s environmental liabilities in an amount up to the fair value of the net worth received by Sorin as a result of the Sorin spin-off. Additionally the Court issued a separate order, staying the proceeding until a panel of three experts can assess the environmental damages, the cost of clean-up, and the costs that the Public Administrations has already borne for the clean-up of the sites to allow the Court to decide on the second claim of the Public Administrations against LivaNova, (i.e., to refund the Public Administrations for the SNIA environmental liabilities). In the interim, we are appealing the decision to the Italian Supreme Court (Corte di Cassazione).</w:t>
      </w:r>
    </w:p>
    <w:p>
      <w:pPr>
        <w:spacing w:after="0" w:line="5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Opposition to Merger Proceedings</w:t>
      </w:r>
    </w:p>
    <w:p>
      <w:pPr>
        <w:spacing w:after="0" w:line="110"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On July 28, 2015, the Public Administrations filed an opposition proceeding before the Commercial Division of the Court of Milan to the merger of Sorin and Cyberonics, Inc., the predecessor companies to LivaNova. The Court authorized the merger and the Public Administrations did not appeal that decision. The proceeding then continued as a civil case, with the Public Administrations seeking damages. The Commercial Court of Milan delivered a decision in October 2016, fully rejecting the Public Administrations’ request and awarding us approximately €400,000 (approximately $436,000 as of September 30, 2019) in damages for frivolous litigation and legal fees. The Public Administrations appealed to the Court of Appeal of Milan. On May 15, 2018, the Court of Appeal of Milan confirmed its decision authorizing the merger but annulled the penalty for frivolous litigation and reduced the overall contribution to legal fees to €84,000 (approximately $92,000 as of September 30,</w:t>
      </w:r>
    </w:p>
    <w:p>
      <w:pPr>
        <w:spacing w:after="0" w:line="3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692" w:right="27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t>2019) for legal fees. The Public Administrations subsequently filed an appeal with the Supreme Court against the decision of the Court of Appeal of Milan. The proceedings before the Supreme Court are presently pending, and no decision is expected in 2019.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Patent Litigation</w:t>
      </w:r>
    </w:p>
    <w:p>
      <w:pPr>
        <w:spacing w:after="0" w:line="110" w:lineRule="exact"/>
        <w:rPr>
          <w:sz w:val="20"/>
          <w:szCs w:val="20"/>
          <w:color w:val="auto"/>
        </w:rPr>
      </w:pPr>
    </w:p>
    <w:p>
      <w:pPr>
        <w:ind w:right="20" w:firstLine="162"/>
        <w:spacing w:after="0" w:line="272" w:lineRule="auto"/>
        <w:rPr>
          <w:sz w:val="20"/>
          <w:szCs w:val="20"/>
          <w:color w:val="auto"/>
        </w:rPr>
      </w:pPr>
      <w:r>
        <w:rPr>
          <w:rFonts w:ascii="Arial" w:cs="Arial" w:eastAsia="Arial" w:hAnsi="Arial"/>
          <w:sz w:val="17"/>
          <w:szCs w:val="17"/>
          <w:color w:val="auto"/>
        </w:rPr>
        <w:t xml:space="preserve">On May 11, 2018, Neuro and Cardiac Technologies LLC (“NCT”), a non-practicing entity, filed a complaint in the United States District Court for the Southern District of Texas asserting that the VNS Therapy System, when used with the SenTiva Model 1000 generator, infringes the claims of U.S. Patent No. 7,076,307 owned by NCT. The complaint requests damages that include a royalty, costs, interest, and attorneys’ fees. On November 12, 2018, we petitioned the Patent Trial and Appeal Board of the U.S. Patent and Trademark Office (the “Patent Office”) for an </w:t>
      </w:r>
      <w:r>
        <w:rPr>
          <w:rFonts w:ascii="Arial" w:cs="Arial" w:eastAsia="Arial" w:hAnsi="Arial"/>
          <w:sz w:val="17"/>
          <w:szCs w:val="17"/>
          <w:i w:val="1"/>
          <w:iCs w:val="1"/>
          <w:color w:val="auto"/>
        </w:rPr>
        <w:t>inter partes review</w:t>
      </w:r>
      <w:r>
        <w:rPr>
          <w:rFonts w:ascii="Arial" w:cs="Arial" w:eastAsia="Arial" w:hAnsi="Arial"/>
          <w:sz w:val="17"/>
          <w:szCs w:val="17"/>
          <w:color w:val="auto"/>
        </w:rPr>
        <w:t xml:space="preserve"> (“IPR”) of the validity of the ‘307 patent. The Patent Office instituted an IPR of all the challenged claims. The Court has stayed the litigation pending the outcome of the IPR proceeding.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Tax Litigation</w:t>
      </w:r>
    </w:p>
    <w:p>
      <w:pPr>
        <w:spacing w:after="0" w:line="110" w:lineRule="exact"/>
        <w:rPr>
          <w:sz w:val="20"/>
          <w:szCs w:val="20"/>
          <w:color w:val="auto"/>
        </w:rPr>
      </w:pPr>
    </w:p>
    <w:p>
      <w:pPr>
        <w:ind w:right="300" w:firstLine="162"/>
        <w:spacing w:after="0" w:line="293" w:lineRule="auto"/>
        <w:rPr>
          <w:sz w:val="20"/>
          <w:szCs w:val="20"/>
          <w:color w:val="auto"/>
        </w:rPr>
      </w:pPr>
      <w:r>
        <w:rPr>
          <w:rFonts w:ascii="Arial" w:cs="Arial" w:eastAsia="Arial" w:hAnsi="Arial"/>
          <w:sz w:val="16"/>
          <w:szCs w:val="16"/>
          <w:color w:val="auto"/>
        </w:rPr>
        <w:t>In a tax audit report received on October 30, 2009, the Regional Internal Revenue Office of Lombardy (the “Internal Revenue Office”) informed Sorin Group Italia S.r.l. that, among several issues, it was disallowing in part (for a total of €102.6 million (approximately $111.9 million as of September 30, 2019), related to tax years 2002 through 2006) a tax-deductible write down of the investment in the U.S. company, Cobe Cardiovascular Inc., which Sorin Group Italia S.r.l. recognized in 2002 and deducted in five equal installments, beginning in 2002. In December 2009, the Internal Revenue Office issued notices of assessment for 2004. In December 2010 and October 2011, the Internal Revenue Office issued notices of assessment for 2005 and 2006, respectively. We challenged all three notices of assessment (for 2004, 2005 and 2006) before the relevant Provincial Tax Courts.</w:t>
      </w:r>
    </w:p>
    <w:p>
      <w:pPr>
        <w:spacing w:after="0" w:line="57" w:lineRule="exact"/>
        <w:rPr>
          <w:sz w:val="20"/>
          <w:szCs w:val="20"/>
          <w:color w:val="auto"/>
        </w:rPr>
      </w:pPr>
    </w:p>
    <w:p>
      <w:pPr>
        <w:jc w:val="both"/>
        <w:ind w:right="120" w:firstLine="162"/>
        <w:spacing w:after="0" w:line="264" w:lineRule="auto"/>
        <w:rPr>
          <w:sz w:val="20"/>
          <w:szCs w:val="20"/>
          <w:color w:val="auto"/>
        </w:rPr>
      </w:pPr>
      <w:r>
        <w:rPr>
          <w:rFonts w:ascii="Arial" w:cs="Arial" w:eastAsia="Arial" w:hAnsi="Arial"/>
          <w:sz w:val="18"/>
          <w:szCs w:val="18"/>
          <w:color w:val="auto"/>
        </w:rPr>
        <w:t>The preliminary challenges filed for 2004, 2005 and 2006 were denied at the first jurisdictional level. We appealed these decisions. The appeal submitted against the first-level decision for 2004 was successful. The Internal Revenue Office appealed this second-level decision to the Italian Supreme Court (Corte di Cassazione) on February 3, 2017. The Italian Supreme Court’s decision is pending.</w:t>
      </w:r>
    </w:p>
    <w:p>
      <w:pPr>
        <w:spacing w:after="0" w:line="73" w:lineRule="exact"/>
        <w:rPr>
          <w:sz w:val="20"/>
          <w:szCs w:val="20"/>
          <w:color w:val="auto"/>
        </w:rPr>
      </w:pPr>
    </w:p>
    <w:p>
      <w:pPr>
        <w:ind w:right="80" w:firstLine="162"/>
        <w:spacing w:after="0" w:line="260" w:lineRule="auto"/>
        <w:rPr>
          <w:sz w:val="20"/>
          <w:szCs w:val="20"/>
          <w:color w:val="auto"/>
        </w:rPr>
      </w:pPr>
      <w:r>
        <w:rPr>
          <w:rFonts w:ascii="Arial" w:cs="Arial" w:eastAsia="Arial" w:hAnsi="Arial"/>
          <w:sz w:val="18"/>
          <w:szCs w:val="18"/>
          <w:color w:val="auto"/>
        </w:rPr>
        <w:t>The appeals submitted against the first-level decisions for 2005 and 2006 were rejected. We appealed these adverse decisions to the Italian Supreme Court. On November 16, 2018, the Supreme Court returned the decisions for years 2005 and 2006 to the previous-level Court (Regional Tax Court) due to lack of substance of the motivation given in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level judgments that were appealed.</w:t>
      </w:r>
    </w:p>
    <w:p>
      <w:pPr>
        <w:spacing w:after="0" w:line="1"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In November 2012, the Internal Revenue Office served a notice of assessment for 2007, and in July 2013, served a notice of assessment for 2008. In these matters the Internal Revenue Office claims an increase in taxable income due to a reduction (similar to the previous notices of assessment for 2004, 2005 and 2006) of the losses reported by Sorin Group Italia S.r.l. for the 2002, 2003 and 2004 tax periods, and subsequently utilized in 2007 and 2008. We challenged both notices of assessment. The Provincial Tax Court of Milan has stayed its decision for years 2007 and 2008 pending resolution of the litigation regarding years 2004, 2005, and 2006.</w:t>
      </w:r>
    </w:p>
    <w:p>
      <w:pPr>
        <w:spacing w:after="0" w:line="84" w:lineRule="exact"/>
        <w:rPr>
          <w:sz w:val="20"/>
          <w:szCs w:val="20"/>
          <w:color w:val="auto"/>
        </w:rPr>
      </w:pPr>
    </w:p>
    <w:p>
      <w:pPr>
        <w:ind w:right="60" w:firstLine="162"/>
        <w:spacing w:after="0" w:line="291" w:lineRule="auto"/>
        <w:rPr>
          <w:sz w:val="20"/>
          <w:szCs w:val="20"/>
          <w:color w:val="auto"/>
        </w:rPr>
      </w:pPr>
      <w:r>
        <w:rPr>
          <w:rFonts w:ascii="Arial" w:cs="Arial" w:eastAsia="Arial" w:hAnsi="Arial"/>
          <w:sz w:val="16"/>
          <w:szCs w:val="16"/>
          <w:color w:val="auto"/>
        </w:rPr>
        <w:t>The total amount of losses in dispute is €62.6 million (approximately $68.2 million as of September 30, 2019). We have continuously reassessed our potential exposure in these matters, taking into account the recent, and generally adverse, trend to Italian taxpayers in this type of litigation. Although we believe that our defensive arguments are strong, noting the adverse trend in some of the court decisions, we have recognized a reserve for an uncertain tax position for the full amount of the potential liability. On May 31, 2019, we filed an application to settle the litigation according to law N. 136/2018 and paid the required settlement balance of €1.9 million. As per law N. 136/2018, the Italian Revenue Agency will review the settlement and decide to accept or reject the application by July 31, 2020. Until the settlement is accepted by the Italian Revenue Agency, we will continue to reserve for the full amount of the potential liability, by recognizing a €15.4 million reserve for uncertain tax position ($16.8 million as of September 30, 2019), net of the settlement payment.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116"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92" w:right="259" w:bottom="1440" w:gutter="0" w:footer="0" w:header="0"/>
        </w:sectPr>
      </w:pPr>
    </w:p>
    <w:bookmarkStart w:id="23" w:name="page24"/>
    <w:bookmarkEnd w:id="23"/>
    <w:p>
      <w:pPr>
        <w:ind w:right="320"/>
        <w:spacing w:after="0" w:line="277" w:lineRule="auto"/>
        <w:rPr>
          <w:sz w:val="20"/>
          <w:szCs w:val="20"/>
          <w:color w:val="auto"/>
        </w:rPr>
      </w:pPr>
      <w:r>
        <w:rPr>
          <w:rFonts w:ascii="Arial" w:cs="Arial" w:eastAsia="Arial" w:hAnsi="Arial"/>
          <w:sz w:val="18"/>
          <w:szCs w:val="18"/>
          <w:color w:val="auto"/>
        </w:rPr>
        <w:t>be known for extended periods of time. Since the outcome of these matters cannot be predicted with certainty, the costs associated with them could have a material adverse effect on our consolidated net income, financial position or liquidity.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Stockholders’ Equity</w:t>
      </w:r>
    </w:p>
    <w:p>
      <w:pPr>
        <w:spacing w:after="0" w:line="116"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The tables below present the condensed consolidated statement of stockholders’ equity as of and for the three and nine months ended September 30, 2019 and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Ordinary</w:t>
            </w: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Ordinary</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4"/>
                <w:szCs w:val="1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Shares -</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 Deficit</w:t>
            </w:r>
          </w:p>
        </w:tc>
        <w:tc>
          <w:tcPr>
            <w:tcW w:w="140" w:type="dxa"/>
            <w:vAlign w:val="bottom"/>
          </w:tcPr>
          <w:p>
            <w:pPr>
              <w:spacing w:after="0"/>
              <w:rPr>
                <w:sz w:val="12"/>
                <w:szCs w:val="12"/>
                <w:color w:val="auto"/>
              </w:rPr>
            </w:pPr>
          </w:p>
        </w:tc>
        <w:tc>
          <w:tcPr>
            <w:tcW w:w="10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(Loss) Income</w:t>
            </w: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2019</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1,717,220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1,483,328</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8,262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8,272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32,118</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(28,436)</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2019</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49,381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76,217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1,725,482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1,495,282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75,269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1,744,262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1,783,034</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6,624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6,747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48,694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75,311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1,750,886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1,784,992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100" w:type="dxa"/>
            <w:vAlign w:val="bottom"/>
          </w:tcPr>
          <w:p>
            <w:pPr>
              <w:spacing w:after="0"/>
              <w:rPr>
                <w:sz w:val="24"/>
                <w:szCs w:val="2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Ordinary</w:t>
            </w:r>
          </w:p>
        </w:tc>
        <w:tc>
          <w:tcPr>
            <w:tcW w:w="180" w:type="dxa"/>
            <w:vAlign w:val="bottom"/>
          </w:tcPr>
          <w:p>
            <w:pPr>
              <w:spacing w:after="0"/>
              <w:rPr>
                <w:sz w:val="24"/>
                <w:szCs w:val="2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Ordinary</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24"/>
                <w:szCs w:val="2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Shares -</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 Deficit</w:t>
            </w:r>
          </w:p>
        </w:tc>
        <w:tc>
          <w:tcPr>
            <w:tcW w:w="140" w:type="dxa"/>
            <w:vAlign w:val="bottom"/>
          </w:tcPr>
          <w:p>
            <w:pPr>
              <w:spacing w:after="0"/>
              <w:rPr>
                <w:sz w:val="12"/>
                <w:szCs w:val="12"/>
                <w:color w:val="auto"/>
              </w:rPr>
            </w:pPr>
          </w:p>
        </w:tc>
        <w:tc>
          <w:tcPr>
            <w:tcW w:w="10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(Loss) Income</w:t>
            </w: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1,705,111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1,503,738</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20,371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(17,134)</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2019</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49,381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76,217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1,725,482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1,495,282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1,735,048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1,815,314</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Adoption of ASU No. 2016-16</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(22,430)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issuances</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15,838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16,504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21,162</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(45,558)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(45,558)</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48,694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75,311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1,750,886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1,784,992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49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4" w:name="page25"/>
    <w:bookmarkEnd w:id="24"/>
    <w:p>
      <w:pPr>
        <w:ind w:right="400" w:firstLine="162"/>
        <w:spacing w:after="0" w:line="277" w:lineRule="auto"/>
        <w:rPr>
          <w:sz w:val="20"/>
          <w:szCs w:val="20"/>
          <w:color w:val="auto"/>
        </w:rPr>
      </w:pPr>
      <w:r>
        <w:rPr>
          <w:rFonts w:ascii="Arial" w:cs="Arial" w:eastAsia="Arial" w:hAnsi="Arial"/>
          <w:sz w:val="18"/>
          <w:szCs w:val="18"/>
          <w:color w:val="auto"/>
        </w:rPr>
        <w:t>The table below presents the change in each component of AOCI, net of tax, and the reclassifications out of AOCI into net income for the nine months ended September 30, 2019 and 2018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Change in</w:t>
            </w: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Foreign Currency</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Unrealized Gain</w:t>
            </w:r>
          </w:p>
        </w:tc>
        <w:tc>
          <w:tcPr>
            <w:tcW w:w="22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Translation</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(Loss) on</w:t>
            </w: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Adjustments Gain</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1"/>
        </w:trPr>
        <w:tc>
          <w:tcPr>
            <w:tcW w:w="66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Derivatives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10"/>
              <w:spacing w:after="0" w:line="262" w:lineRule="exact"/>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25"/>
                <w:szCs w:val="25"/>
                <w:b w:val="1"/>
                <w:bCs w:val="1"/>
                <w:color w:val="auto"/>
                <w:vertAlign w:val="superscript"/>
              </w:rPr>
              <w:t>(1)</w:t>
            </w:r>
          </w:p>
        </w:tc>
        <w:tc>
          <w:tcPr>
            <w:tcW w:w="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(23,532)</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(24,476)</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before tax</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(16,628)</w:t>
            </w:r>
          </w:p>
        </w:tc>
        <w:tc>
          <w:tcPr>
            <w:tcW w:w="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(16,628)</w:t>
            </w:r>
          </w:p>
        </w:tc>
        <w:tc>
          <w:tcPr>
            <w:tcW w:w="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(15,919)</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Reclassification of gain from accumulated other comprehensive income (loss), before tax</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Reclassification of tax expense</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Reclassification of gain from accumulated other comprehensive income (loss), after tax</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 net of tax</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(16,628)</w:t>
            </w:r>
          </w:p>
        </w:tc>
        <w:tc>
          <w:tcPr>
            <w:tcW w:w="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(17,134)</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(40,160)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(41,610)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46,232</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45,313</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before tax</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(36,727)</w:t>
            </w:r>
          </w:p>
        </w:tc>
        <w:tc>
          <w:tcPr>
            <w:tcW w:w="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(36,413)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(36,727)</w:t>
            </w:r>
          </w:p>
        </w:tc>
        <w:tc>
          <w:tcPr>
            <w:tcW w:w="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(36,488)</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Reclassification of gain from accumulated other comprehensive income (loss), before tax</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b w:val="1"/>
                <w:bCs w:val="1"/>
                <w:color w:val="auto"/>
              </w:rPr>
              <w:t>(2)</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Reclassification of tax expense</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Reclassification of gain from accumulated other comprehensive income (loss), after tax</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(9,070)</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 net of tax</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(45,738)</w:t>
            </w:r>
          </w:p>
        </w:tc>
        <w:tc>
          <w:tcPr>
            <w:tcW w:w="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(45,558)</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494</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620" w:hanging="328"/>
        <w:spacing w:after="0" w:line="266"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Taxes are not provided for foreign currency translation adjustments as translation adjustments are related to earnings that are intended to be reinvested in the countries where earned.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Cumulative foreign currency translation adjustments eliminated upon the sale of CRM.</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Stock-Based Incentive Plans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incentive plans compensation expense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restricted stock units (“RSUs”)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3,583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Service-based stock appreciation rights (“SARs”)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2,896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7,804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6,514</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performance-based restricted stock units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performance-based restricted stock units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2,941</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8,531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7,277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24,127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19,427</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162"/>
        <w:spacing w:after="0" w:line="297" w:lineRule="auto"/>
        <w:rPr>
          <w:sz w:val="20"/>
          <w:szCs w:val="20"/>
          <w:color w:val="auto"/>
        </w:rPr>
      </w:pPr>
      <w:r>
        <w:rPr>
          <w:rFonts w:ascii="Arial" w:cs="Arial" w:eastAsia="Arial" w:hAnsi="Arial"/>
          <w:sz w:val="16"/>
          <w:szCs w:val="16"/>
          <w:color w:val="auto"/>
        </w:rPr>
        <w:t>During the nine months ended September 30, 2019, we issued stock-based compensatory awards with terms approved by the Compensation Committee of our Board of Directors. The awards with service conditions generally vest ratably over four years, subject to forfeiture unless service conditions are met. Market performance-based awards cliff vest after three years subject to the rank of our total shareholder return for the three-year period ending December 31, 2021 relative to the total shareholder returns for a peer group of companies. Operating performance-based awards cliff vest after three years subject to the achievement of certain thresholds of cumulative adjusted free cash flow for the three year period ending December 31, 2021.</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2" w:right="239" w:bottom="1440" w:gutter="0" w:footer="0" w:header="0"/>
        </w:sectPr>
      </w:pPr>
    </w:p>
    <w:bookmarkStart w:id="25" w:name="page26"/>
    <w:bookmarkEnd w:id="25"/>
    <w:p>
      <w:pPr>
        <w:ind w:right="320"/>
        <w:spacing w:after="0" w:line="277" w:lineRule="auto"/>
        <w:rPr>
          <w:sz w:val="20"/>
          <w:szCs w:val="20"/>
          <w:color w:val="auto"/>
        </w:rPr>
      </w:pPr>
      <w:r>
        <w:rPr>
          <w:rFonts w:ascii="Arial" w:cs="Arial" w:eastAsia="Arial" w:hAnsi="Arial"/>
          <w:sz w:val="18"/>
          <w:szCs w:val="18"/>
          <w:color w:val="auto"/>
        </w:rPr>
        <w:t>Compensation expense related to awards granted during 2019 for the three and nine months ended September 30, 2019 was $3.6 million and $6.8 million, respectively.</w:t>
      </w:r>
    </w:p>
    <w:p>
      <w:pPr>
        <w:spacing w:after="0" w:line="62"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On January 1, 2019, we initiated the LivaNova Global Employee Share Purchase Plan (“ESPP”). Compensation expense related to the ESPP for the three and nine months ended September 30, 2019 was $0.3 million and $1.0 million, respectively.</w:t>
      </w:r>
    </w:p>
    <w:p>
      <w:pPr>
        <w:spacing w:after="0" w:line="62"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Stock-based compensation agreements issued during the nine months ended September 30, 2019, representing potential shares and their weighted average grant date fair values by type follows (shares in thousands, fair value in dollars):</w:t>
      </w:r>
    </w:p>
    <w:p>
      <w:pPr>
        <w:spacing w:after="0" w:line="112"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Weighted Average</w:t>
            </w:r>
          </w:p>
        </w:tc>
      </w:tr>
      <w:tr>
        <w:trPr>
          <w:trHeight w:val="234"/>
        </w:trPr>
        <w:tc>
          <w:tcPr>
            <w:tcW w:w="7440" w:type="dxa"/>
            <w:vAlign w:val="bottom"/>
          </w:tcPr>
          <w:p>
            <w:pPr>
              <w:spacing w:after="0"/>
              <w:rPr>
                <w:sz w:val="20"/>
                <w:szCs w:val="20"/>
                <w:color w:val="auto"/>
              </w:rPr>
            </w:pPr>
          </w:p>
        </w:tc>
        <w:tc>
          <w:tcPr>
            <w:tcW w:w="1400" w:type="dxa"/>
            <w:vAlign w:val="bottom"/>
          </w:tcPr>
          <w:p>
            <w:pPr>
              <w:ind w:left="700"/>
              <w:spacing w:after="0"/>
              <w:rPr>
                <w:sz w:val="20"/>
                <w:szCs w:val="20"/>
                <w:color w:val="auto"/>
              </w:rPr>
            </w:pPr>
            <w:r>
              <w:rPr>
                <w:rFonts w:ascii="Arial" w:cs="Arial" w:eastAsia="Arial" w:hAnsi="Arial"/>
                <w:sz w:val="18"/>
                <w:szCs w:val="18"/>
                <w:b w:val="1"/>
                <w:bCs w:val="1"/>
                <w:color w:val="auto"/>
              </w:rPr>
              <w:t>Shares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Grant Date Fair Value</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Service-based SARs</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31.22</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Service-based RSUs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93.03</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 performance-based RSUs</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100.41</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Operating performance-based RSUs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96.59</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Income Taxes</w:t>
      </w:r>
    </w:p>
    <w:p>
      <w:pPr>
        <w:spacing w:after="0" w:line="116"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Our effective income tax rate from continuing operations for the three and nine months ended September 30, 2019 was (49.6)% and 65.9%, respectively, compared with 29.8% and 0.6% the three and nine months ended September 30, 2018, respectively.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79" w:lineRule="exact"/>
        <w:rPr>
          <w:sz w:val="20"/>
          <w:szCs w:val="20"/>
          <w:color w:val="auto"/>
        </w:rPr>
      </w:pPr>
    </w:p>
    <w:p>
      <w:pPr>
        <w:ind w:right="80" w:firstLine="162"/>
        <w:spacing w:after="0" w:line="286" w:lineRule="auto"/>
        <w:rPr>
          <w:sz w:val="20"/>
          <w:szCs w:val="20"/>
          <w:color w:val="auto"/>
        </w:rPr>
      </w:pPr>
      <w:r>
        <w:rPr>
          <w:rFonts w:ascii="Arial" w:cs="Arial" w:eastAsia="Arial" w:hAnsi="Arial"/>
          <w:sz w:val="17"/>
          <w:szCs w:val="17"/>
          <w:color w:val="auto"/>
        </w:rPr>
        <w:t>Compared with the three and nine months ended September 30, 2018, the change in the effective tax rate for the three and nine months ended September 30, 2019 was primarily attributable to a release of uncertain tax positions and a U.S. federal tax benefit from a return to provision adjustment, partly offset by the establishment of a valuation allowance for a portion of the U.S. state net operating losses and attributes.</w:t>
      </w:r>
    </w:p>
    <w:p>
      <w:pPr>
        <w:spacing w:after="0" w:line="57"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We operate in multiple jurisdictions throughout the world, and our tax returns are periodically audited or subjected to review by tax authorities. As a result, there is an uncertainty in income taxes recognized in our financial statements. Tax benefits totaling $16.6 million and $22.9 million were unrecognized as of September 30, 2019 and December 31, 2018, respectively. It is reasonably possible that, within the next twelve months, due to the settlement of uncertain tax positions with various tax authorities and the expiration of statutes of limitations, unrecognized tax benefits could decrease by up to approximately $1.3 million.</w:t>
      </w:r>
    </w:p>
    <w:p>
      <w:pPr>
        <w:spacing w:after="0" w:line="80"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We monitor income tax developments in countries where we conduct business. In 2017, the U.S. enacted the “Tax Cuts and Jobs Act” (the “Tax Act”). To determine the full effects of the Tax Act, we are awaiting the finalization of several proposed U.S. Treasury regulations that were issued during 2018, as well as additional regulations to be proposed and finalized pursuant to the U.S. Treasury’s expanded regulatory authority under the Tax Act. It is also possible that technical correction legislation concerning the Tax Act could retroactively affect tax liabilities for 2018. In addition, state legislative changes addressing conformity to the Tax Act are still pending.</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Note 16. Net Income Per Share</w:t>
      </w:r>
    </w:p>
    <w:p>
      <w:pPr>
        <w:spacing w:after="0" w:line="116"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Reconciliation of the shares used in the basic and diluted earnings per share computations for the three and nine months ended September 30, 2019 and 2018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240" w:type="dxa"/>
            <w:vAlign w:val="bottom"/>
            <w:gridSpan w:val="4"/>
          </w:tcPr>
          <w:p>
            <w:pPr>
              <w:ind w:left="180"/>
              <w:spacing w:after="0"/>
              <w:rPr>
                <w:sz w:val="20"/>
                <w:szCs w:val="20"/>
                <w:color w:val="auto"/>
              </w:rPr>
            </w:pPr>
            <w:r>
              <w:rPr>
                <w:rFonts w:ascii="Arial" w:cs="Arial" w:eastAsia="Arial" w:hAnsi="Arial"/>
                <w:sz w:val="18"/>
                <w:szCs w:val="18"/>
                <w:b w:val="1"/>
                <w:bCs w:val="1"/>
                <w:color w:val="auto"/>
                <w:w w:val="99"/>
              </w:rPr>
              <w:t>Three Months Ended September 30,</w:t>
            </w:r>
          </w:p>
        </w:tc>
        <w:tc>
          <w:tcPr>
            <w:tcW w:w="280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7"/>
        </w:trPr>
        <w:tc>
          <w:tcPr>
            <w:tcW w:w="53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48,395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48,637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48,484</w:t>
            </w:r>
          </w:p>
        </w:tc>
      </w:tr>
      <w:tr>
        <w:trPr>
          <w:trHeight w:val="270"/>
        </w:trPr>
        <w:tc>
          <w:tcPr>
            <w:tcW w:w="5380" w:type="dxa"/>
            <w:vAlign w:val="bottom"/>
          </w:tcPr>
          <w:p>
            <w:pPr>
              <w:ind w:left="140"/>
              <w:spacing w:after="0"/>
              <w:rPr>
                <w:sz w:val="20"/>
                <w:szCs w:val="20"/>
                <w:color w:val="auto"/>
              </w:rPr>
            </w:pPr>
            <w:r>
              <w:rPr>
                <w:rFonts w:ascii="Arial" w:cs="Arial" w:eastAsia="Arial" w:hAnsi="Arial"/>
                <w:sz w:val="18"/>
                <w:szCs w:val="18"/>
                <w:color w:val="auto"/>
              </w:rPr>
              <w:t xml:space="preserve">Add effects of share-based compensation instruments </w:t>
            </w:r>
            <w:r>
              <w:rPr>
                <w:rFonts w:ascii="Arial" w:cs="Arial" w:eastAsia="Arial" w:hAnsi="Arial"/>
                <w:sz w:val="21"/>
                <w:szCs w:val="21"/>
                <w:color w:val="auto"/>
                <w:vertAlign w:val="superscript"/>
              </w:rPr>
              <w:t>(1)</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943</w:t>
            </w:r>
          </w:p>
        </w:tc>
      </w:tr>
      <w:tr>
        <w:trPr>
          <w:trHeight w:val="269"/>
        </w:trPr>
        <w:tc>
          <w:tcPr>
            <w:tcW w:w="5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48,820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48,637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49,427</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ind w:left="660" w:right="300" w:hanging="328"/>
        <w:spacing w:after="0" w:line="278"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6"/>
          <w:szCs w:val="16"/>
          <w:color w:val="auto"/>
        </w:rPr>
        <w:t>Excluded from the computation of diluted earnings per share were stock options, SARs and restricted share units totaling 1.4 million and 2.8 million for the three months ended September 30, 2019 and 2018, respectively, and 3.1 million and 0.5 million for the nine months ended September 30, 2019 and 2018, respectively, because to include them would have been anti-dilutive under the treasury stock method.</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Geographic and Segment Information</w:t>
      </w:r>
    </w:p>
    <w:p>
      <w:pPr>
        <w:spacing w:after="0" w:line="116" w:lineRule="exact"/>
        <w:rPr>
          <w:sz w:val="20"/>
          <w:szCs w:val="20"/>
          <w:color w:val="auto"/>
        </w:rPr>
      </w:pPr>
    </w:p>
    <w:p>
      <w:pPr>
        <w:ind w:right="320" w:firstLine="162"/>
        <w:spacing w:after="0" w:line="342" w:lineRule="auto"/>
        <w:rPr>
          <w:sz w:val="20"/>
          <w:szCs w:val="20"/>
          <w:color w:val="auto"/>
        </w:rPr>
      </w:pPr>
      <w:r>
        <w:rPr>
          <w:rFonts w:ascii="Arial" w:cs="Arial" w:eastAsia="Arial" w:hAnsi="Arial"/>
          <w:sz w:val="16"/>
          <w:szCs w:val="16"/>
          <w:color w:val="auto"/>
        </w:rPr>
        <w:t>We identify operating segments based on the way we manage, evaluate and internally report our business activities for purposes of allocating resources, developing and executing our strategy, and assessing performance. We have two reportable segments: Cardiovascular and Neuromodulation.</w:t>
      </w:r>
    </w:p>
    <w:p>
      <w:pPr>
        <w:spacing w:after="0" w:line="16"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The Cardiovascular segment generates its revenue from the development, production and sale of cardiopulmonary products, heart valves and advanced circulatory support. Cardiopulmonary products include oxygenators, heart-lung machines, autotransfusion systems, perfusion tubing systems, cannulae and other related accessories. Heart valves include mechanical heart valves, tissue heart valves and related repair products. Advanced circulatory support includes temporary life support product kits that can include a combination of pumps, oxygenators, and cannulae. On June 12, 2019, we acquired the minimally invasive cardiac surgery instruments business from Miami Instruments, which are integrated into our Cardiovascular business franchise as part of our Heart Valves portfolio.</w:t>
      </w:r>
    </w:p>
    <w:p>
      <w:pPr>
        <w:spacing w:after="0" w:line="85"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Our Neuromodulation segment generates its revenue from the design, development and marketing of neuromodulation therapy systems for the treatment of drug-resistant epilepsy and treatment-resistant depression (“TRD”). Neuromodulation products include the VNS Therapy System, which consists of an implantable pulse generator, a lead that connects the generator to the vagus nerve, and other accessories. Our Neuromodulation segment also includes an implantable device for the treatment of obstructive sleep apnea that stimulates multiple tongue muscles via the hypoglossal nerve, which opens the airway while a patient is sleeping.</w:t>
      </w:r>
    </w:p>
    <w:p>
      <w:pPr>
        <w:spacing w:after="0" w:line="80"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“Other” includes corporate shared service expenses for finance, legal, human resources and information technology and corporate business development and New Ventures.</w:t>
      </w:r>
    </w:p>
    <w:p>
      <w:pPr>
        <w:spacing w:after="0" w:line="62"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Net sales of our reportable segments include revenues from the sale of products they each develop and manufacture or distribute. We define segment income as operating income before merger and integration, restructuring and amortization of intangibles.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7" w:right="239" w:bottom="1440" w:gutter="0" w:footer="0" w:header="0"/>
        </w:sectPr>
      </w:pPr>
    </w:p>
    <w:bookmarkStart w:id="27" w:name="page28"/>
    <w:bookmarkEnd w:id="27"/>
    <w:p>
      <w:pPr>
        <w:ind w:right="480" w:firstLine="162"/>
        <w:spacing w:after="0" w:line="277" w:lineRule="auto"/>
        <w:rPr>
          <w:sz w:val="20"/>
          <w:szCs w:val="20"/>
          <w:color w:val="auto"/>
        </w:rPr>
      </w:pPr>
      <w:r>
        <w:rPr>
          <w:rFonts w:ascii="Arial" w:cs="Arial" w:eastAsia="Arial" w:hAnsi="Arial"/>
          <w:sz w:val="18"/>
          <w:szCs w:val="18"/>
          <w:color w:val="auto"/>
        </w:rPr>
        <w:t>We operate under three geographic regions: U.S., Europe, and Rest of world. The table below presents net sales by operating segment and geographic region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30"/>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Cardiopulmonary</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120,980</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30,052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99,933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104,972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163,757</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120,014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127,940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372,163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389,709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Heart Valves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13,660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18,828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33,400</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14,679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16,980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43,484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45,162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97,390</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b w:val="1"/>
                <w:bCs w:val="1"/>
                <w:color w:val="auto"/>
              </w:rPr>
              <w:t>Advanced Circulatory Support</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11,415</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6,535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23,097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12,090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Cardiovascular</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49,993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52,488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155,530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151,223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131,187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138,763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65,623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72,428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196,444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209,203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155,426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166,561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483,161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499,189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Neuromodulation</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254,581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10,425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9,497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34,080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31,731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23,128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112,543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104,943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311,461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309,440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138,426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139,682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401,400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405,804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50,235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51,142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165,267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170,494</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79,949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81,258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229,913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233,680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50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b w:val="1"/>
                <w:bCs w:val="1"/>
                <w:color w:val="auto"/>
                <w:vertAlign w:val="superscript"/>
              </w:rPr>
              <w:t>(2)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268,610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272,082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796,580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809,978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80" w:hanging="328"/>
        <w:spacing w:after="0" w:line="266"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5"/>
          <w:szCs w:val="15"/>
          <w:color w:val="auto"/>
        </w:rPr>
        <w:t>No single customer represented over 10% of our consolidated net sales. No country’s net sales exceeded 10% of our consolidated sales except for the U.S.</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8" w:name="page29"/>
    <w:bookmarkEnd w:id="28"/>
    <w:p>
      <w:pPr>
        <w:ind w:right="140" w:firstLine="162"/>
        <w:spacing w:after="0" w:line="277" w:lineRule="auto"/>
        <w:rPr>
          <w:sz w:val="20"/>
          <w:szCs w:val="20"/>
          <w:color w:val="auto"/>
        </w:rPr>
      </w:pPr>
      <w:r>
        <w:rPr>
          <w:rFonts w:ascii="Arial" w:cs="Arial" w:eastAsia="Arial" w:hAnsi="Arial"/>
          <w:sz w:val="18"/>
          <w:szCs w:val="18"/>
          <w:color w:val="auto"/>
        </w:rPr>
        <w:t>The table below presents a reconciliation of segment income from continuing operations to consolidated income from continuing operations before tax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 from Continuing Operations</w:t>
            </w: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Cardiovascular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36,180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9,783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36,378</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Neuromodulation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30,010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36,432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52,260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132,377</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(89,479)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w w:val="97"/>
              </w:rPr>
              <w:t>Total reportable segment income from continuing operations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44,321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79,276</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2,793</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28,075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 (loss) from continuing operations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25,761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28,380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(7,750)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exchange and other gains (losses)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21,465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31,907</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right="1000" w:hanging="328"/>
        <w:spacing w:after="0" w:line="266"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Results for the three and nine months ended September 30, 2019 include an insurance recovery of $33.8 million. Refer to “Note 12. Commitments and Contingencies” for additional information.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Results for the nine months ended September 30, 2019 include the impairment of intangible assets of $50.3 million.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Assets by reportable segment are as follows (in thousands):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September 30, 2019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1,511,639</w:t>
            </w:r>
          </w:p>
        </w:tc>
        <w:tc>
          <w:tcPr>
            <w:tcW w:w="64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1,532,825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696,666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731,840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301,636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285,036</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2,509,941</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2,549,701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Arial" w:cs="Arial" w:eastAsia="Arial" w:hAnsi="Arial"/>
                <w:sz w:val="18"/>
                <w:szCs w:val="18"/>
                <w:color w:val="auto"/>
                <w:w w:val="98"/>
              </w:rPr>
              <w:t>Capital expenditures by segment are as follows (in thousands):</w:t>
            </w: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3060" w:type="dxa"/>
            <w:vAlign w:val="bottom"/>
            <w:gridSpan w:val="7"/>
          </w:tcPr>
          <w:p>
            <w:pPr>
              <w:jc w:val="right"/>
              <w:ind w:right="70"/>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4"/>
              </w:rPr>
              <w:t>13,564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6,005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12,903</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4"/>
              </w:rPr>
              <w:t>16,801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changes in the carrying amount of goodwill by reportable segment for the nine months ended September 30, 2019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b w:val="1"/>
                <w:bCs w:val="1"/>
                <w:color w:val="auto"/>
              </w:rPr>
              <w:t>Neuromodulation</w:t>
            </w:r>
          </w:p>
        </w:tc>
        <w:tc>
          <w:tcPr>
            <w:tcW w:w="22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Cardiovascular</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398,539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515,859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956,815</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Goodwill as a result of acquisitions</w:t>
            </w:r>
          </w:p>
        </w:tc>
        <w:tc>
          <w:tcPr>
            <w:tcW w:w="18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1,550</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Foreign currency adjustments</w:t>
            </w:r>
          </w:p>
        </w:tc>
        <w:tc>
          <w:tcPr>
            <w:tcW w:w="1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(9,495)</w:t>
            </w:r>
          </w:p>
        </w:tc>
      </w:tr>
      <w:tr>
        <w:trPr>
          <w:trHeight w:val="27"/>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398,754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504,373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945,544</w:t>
            </w:r>
          </w:p>
        </w:tc>
      </w:tr>
      <w:tr>
        <w:trPr>
          <w:trHeight w:val="20"/>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692" w:right="2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7200" w:type="dxa"/>
            <w:vAlign w:val="bottom"/>
          </w:tcPr>
          <w:p>
            <w:pPr>
              <w:ind w:left="180"/>
              <w:spacing w:after="0"/>
              <w:rPr>
                <w:sz w:val="20"/>
                <w:szCs w:val="20"/>
                <w:color w:val="auto"/>
              </w:rPr>
            </w:pPr>
            <w:r>
              <w:rPr>
                <w:rFonts w:ascii="Arial" w:cs="Arial" w:eastAsia="Arial" w:hAnsi="Arial"/>
                <w:sz w:val="18"/>
                <w:szCs w:val="18"/>
                <w:color w:val="auto"/>
              </w:rPr>
              <w:t>Property, plant and equipment, net by geography are as follows (in thousands):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05"/>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PP&amp;E</w:t>
            </w: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68,862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106,066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112,376</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10,162</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179,507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191,400</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Supplemental Financial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180"/>
              <w:spacing w:after="0"/>
              <w:rPr>
                <w:sz w:val="20"/>
                <w:szCs w:val="20"/>
                <w:color w:val="auto"/>
              </w:rPr>
            </w:pPr>
            <w:r>
              <w:rPr>
                <w:rFonts w:ascii="Arial" w:cs="Arial" w:eastAsia="Arial" w:hAnsi="Arial"/>
                <w:sz w:val="18"/>
                <w:szCs w:val="18"/>
                <w:color w:val="auto"/>
              </w:rPr>
              <w:t>Inventories consisted of the following (in thousands):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40,387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18,245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15,999</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97,149</w:t>
            </w:r>
          </w:p>
        </w:tc>
      </w:tr>
      <w:tr>
        <w:trPr>
          <w:trHeight w:val="237"/>
        </w:trPr>
        <w:tc>
          <w:tcPr>
            <w:tcW w:w="7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167,756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153,535</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Inventories are reported net of the provision for obsolescence. This provision, which reflects normal obsolescence and includes components that are phased out or expired, totaled $10.9 million and $11.6 million at September 30, 2019 and December 31, 2018,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180"/>
              <w:spacing w:after="0"/>
              <w:rPr>
                <w:sz w:val="20"/>
                <w:szCs w:val="20"/>
                <w:color w:val="auto"/>
              </w:rPr>
            </w:pPr>
            <w:r>
              <w:rPr>
                <w:rFonts w:ascii="Arial" w:cs="Arial" w:eastAsia="Arial" w:hAnsi="Arial"/>
                <w:sz w:val="18"/>
                <w:szCs w:val="18"/>
                <w:color w:val="auto"/>
              </w:rPr>
              <w:t>Accrued liabilities and other consisted of the following (in thousands):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2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CRM purchase price adjustment payable to MicroPort Scientific Corporation</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14,891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14,891</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and administrative costs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9,189</w:t>
            </w:r>
          </w:p>
        </w:tc>
      </w:tr>
      <w:tr>
        <w:trPr>
          <w:trHeight w:val="270"/>
        </w:trPr>
        <w:tc>
          <w:tcPr>
            <w:tcW w:w="7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10,565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Product remediation </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13,945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3,304</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Provisions for agents, returns and other</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4,934</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related liabilities </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9,393</w:t>
            </w:r>
          </w:p>
        </w:tc>
      </w:tr>
      <w:tr>
        <w:trPr>
          <w:trHeight w:val="270"/>
        </w:trPr>
        <w:tc>
          <w:tcPr>
            <w:tcW w:w="7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Derivative contract liabilities </w:t>
            </w:r>
            <w:r>
              <w:rPr>
                <w:rFonts w:ascii="Arial" w:cs="Arial" w:eastAsia="Arial" w:hAnsi="Arial"/>
                <w:sz w:val="25"/>
                <w:szCs w:val="25"/>
                <w:color w:val="auto"/>
                <w:vertAlign w:val="superscript"/>
              </w:rPr>
              <w:t>(5)</w:t>
            </w: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5,063</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amounts payable to MicroPort Scientific Corporation</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35,851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33,876</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124,285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6"/>
          <w:szCs w:val="16"/>
          <w:color w:val="auto"/>
        </w:rPr>
        <w:t>Refer to “Note 8. Fair Value Measurements”</w:t>
      </w:r>
    </w:p>
    <w:p>
      <w:pPr>
        <w:spacing w:after="0" w:line="22"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6"/>
          <w:szCs w:val="16"/>
          <w:color w:val="auto"/>
        </w:rPr>
        <w:t>Refer to “Note 11. Leases”</w:t>
      </w:r>
    </w:p>
    <w:p>
      <w:pPr>
        <w:spacing w:after="0" w:line="18"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6"/>
          <w:szCs w:val="16"/>
          <w:color w:val="auto"/>
        </w:rPr>
        <w:t>Refer to “Note 5. Product Remediation Liability”</w:t>
      </w:r>
    </w:p>
    <w:p>
      <w:pPr>
        <w:spacing w:after="0" w:line="18"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6"/>
          <w:szCs w:val="16"/>
          <w:color w:val="auto"/>
        </w:rPr>
        <w:t>Refer to “Note 4. Restructuring”</w:t>
      </w:r>
    </w:p>
    <w:p>
      <w:pPr>
        <w:spacing w:after="0" w:line="18"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6"/>
          <w:szCs w:val="16"/>
          <w:color w:val="auto"/>
        </w:rPr>
        <w:t>Refer to “Note 10. Derivatives and Risk Management”</w:t>
      </w:r>
    </w:p>
    <w:p>
      <w:pPr>
        <w:spacing w:after="0" w:line="118"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As of September 30, 2019 and December 31, 2018, contract liabilities of $7.1 million and $4.8 million, respectively, are included within accrued liabilities and other long-term liabilities on the condensed consolidated balance sheets.</w:t>
      </w: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Note 19. 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New Accounting Pronouncements</w:t>
      </w:r>
    </w:p>
    <w:p>
      <w:pPr>
        <w:spacing w:after="0" w:line="116"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The following table provides a description of our adoption of new Accounting Standards Updates (“ASUs”) issued by the FASB and the impact of the adoption on our condensed financial statements: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Date of</w:t>
            </w:r>
          </w:p>
        </w:tc>
        <w:tc>
          <w:tcPr>
            <w:tcW w:w="2500" w:type="dxa"/>
            <w:vAlign w:val="bottom"/>
          </w:tcPr>
          <w:p>
            <w:pPr>
              <w:ind w:left="80"/>
              <w:spacing w:after="0"/>
              <w:rPr>
                <w:sz w:val="20"/>
                <w:szCs w:val="20"/>
                <w:color w:val="auto"/>
              </w:rPr>
            </w:pPr>
            <w:r>
              <w:rPr>
                <w:rFonts w:ascii="Arial" w:cs="Arial" w:eastAsia="Arial" w:hAnsi="Arial"/>
                <w:sz w:val="18"/>
                <w:szCs w:val="18"/>
                <w:b w:val="1"/>
                <w:bCs w:val="1"/>
                <w:color w:val="auto"/>
                <w:w w:val="91"/>
              </w:rPr>
              <w:t>Effect on Financial Statements</w:t>
            </w:r>
          </w:p>
        </w:tc>
      </w:tr>
      <w:tr>
        <w:trPr>
          <w:trHeight w:val="234"/>
        </w:trPr>
        <w:tc>
          <w:tcPr>
            <w:tcW w:w="2420" w:type="dxa"/>
            <w:vAlign w:val="bottom"/>
            <w:gridSpan w:val="4"/>
          </w:tcPr>
          <w:p>
            <w:pPr>
              <w:ind w:left="280"/>
              <w:spacing w:after="0"/>
              <w:rPr>
                <w:sz w:val="20"/>
                <w:szCs w:val="20"/>
                <w:color w:val="auto"/>
              </w:rPr>
            </w:pPr>
            <w:r>
              <w:rPr>
                <w:rFonts w:ascii="Arial" w:cs="Arial" w:eastAsia="Arial" w:hAnsi="Arial"/>
                <w:sz w:val="18"/>
                <w:szCs w:val="18"/>
                <w:b w:val="1"/>
                <w:bCs w:val="1"/>
                <w:color w:val="auto"/>
              </w:rPr>
              <w:t>Issue Date &amp; Standard</w:t>
            </w:r>
          </w:p>
        </w:tc>
        <w:tc>
          <w:tcPr>
            <w:tcW w:w="5360" w:type="dxa"/>
            <w:vAlign w:val="bottom"/>
            <w:gridSpan w:val="2"/>
          </w:tcPr>
          <w:p>
            <w:pPr>
              <w:ind w:left="2180"/>
              <w:spacing w:after="0"/>
              <w:rPr>
                <w:sz w:val="20"/>
                <w:szCs w:val="20"/>
                <w:color w:val="auto"/>
              </w:rPr>
            </w:pPr>
            <w:r>
              <w:rPr>
                <w:rFonts w:ascii="Arial" w:cs="Arial" w:eastAsia="Arial" w:hAnsi="Arial"/>
                <w:sz w:val="18"/>
                <w:szCs w:val="18"/>
                <w:b w:val="1"/>
                <w:bCs w:val="1"/>
                <w:color w:val="auto"/>
              </w:rPr>
              <w:t>Description</w:t>
            </w: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Adoption</w:t>
            </w:r>
          </w:p>
        </w:tc>
        <w:tc>
          <w:tcPr>
            <w:tcW w:w="2500" w:type="dxa"/>
            <w:vAlign w:val="bottom"/>
          </w:tcPr>
          <w:p>
            <w:pPr>
              <w:ind w:left="140"/>
              <w:spacing w:after="0"/>
              <w:rPr>
                <w:sz w:val="20"/>
                <w:szCs w:val="20"/>
                <w:color w:val="auto"/>
              </w:rPr>
            </w:pPr>
            <w:r>
              <w:rPr>
                <w:rFonts w:ascii="Arial" w:cs="Arial" w:eastAsia="Arial" w:hAnsi="Arial"/>
                <w:sz w:val="18"/>
                <w:szCs w:val="18"/>
                <w:b w:val="1"/>
                <w:bCs w:val="1"/>
                <w:color w:val="auto"/>
                <w:w w:val="98"/>
              </w:rPr>
              <w:t>or Other Significant Matters</w:t>
            </w:r>
          </w:p>
        </w:tc>
      </w:tr>
      <w:tr>
        <w:trPr>
          <w:trHeight w:val="27"/>
        </w:trPr>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196"/>
        </w:trPr>
        <w:tc>
          <w:tcPr>
            <w:tcW w:w="2420" w:type="dxa"/>
            <w:vAlign w:val="bottom"/>
            <w:tcBorders>
              <w:left w:val="single" w:sz="8" w:color="CCEEFF"/>
            </w:tcBorders>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February 2016</w:t>
            </w:r>
          </w:p>
        </w:tc>
        <w:tc>
          <w:tcPr>
            <w:tcW w:w="536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w w:val="93"/>
              </w:rPr>
              <w:t>The standard requires lessees to recognize most leases on the balance</w:t>
            </w:r>
          </w:p>
        </w:tc>
        <w:tc>
          <w:tcPr>
            <w:tcW w:w="114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January 1,</w:t>
            </w:r>
          </w:p>
        </w:tc>
        <w:tc>
          <w:tcPr>
            <w:tcW w:w="2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Adoption of the new standard</w:t>
            </w:r>
          </w:p>
        </w:tc>
      </w:tr>
      <w:tr>
        <w:trPr>
          <w:trHeight w:val="20"/>
        </w:trPr>
        <w:tc>
          <w:tcPr>
            <w:tcW w:w="78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gridSpan w:val="2"/>
            <w:shd w:val="clear" w:color="auto" w:fill="CCEEFF"/>
          </w:tcPr>
          <w:p>
            <w:pPr>
              <w:spacing w:after="0" w:line="20" w:lineRule="exact"/>
              <w:rPr>
                <w:sz w:val="1"/>
                <w:szCs w:val="1"/>
                <w:color w:val="auto"/>
              </w:rPr>
            </w:pPr>
          </w:p>
        </w:tc>
        <w:tc>
          <w:tcPr>
            <w:tcW w:w="5360" w:type="dxa"/>
            <w:vAlign w:val="bottom"/>
            <w:gridSpan w:val="2"/>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r>
      <w:tr>
        <w:trPr>
          <w:trHeight w:val="222"/>
        </w:trPr>
        <w:tc>
          <w:tcPr>
            <w:tcW w:w="242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ASU No. 2016-02, Leases</w:t>
            </w: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sheet as lease liabilities with corresponding right-of-use (“ROU”) assets</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resulted in the recognition of</w:t>
            </w:r>
          </w:p>
        </w:tc>
      </w:tr>
      <w:tr>
        <w:trPr>
          <w:trHeight w:val="216"/>
        </w:trPr>
        <w:tc>
          <w:tcPr>
            <w:tcW w:w="242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(Topic 842) and subsequent</w:t>
            </w: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and to provide enhanced disclosures. Furthermore, from a lessor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ROU assets and lease liabilities</w:t>
            </w:r>
          </w:p>
        </w:tc>
      </w:tr>
      <w:tr>
        <w:trPr>
          <w:trHeight w:val="216"/>
        </w:trPr>
        <w:tc>
          <w:tcPr>
            <w:tcW w:w="242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amendments</w:t>
            </w: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perspective, certain of our agreements that allow the customer to use,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of approximately $60 million as</w:t>
            </w:r>
          </w:p>
        </w:tc>
      </w:tr>
      <w:tr>
        <w:trPr>
          <w:trHeight w:val="216"/>
        </w:trPr>
        <w:tc>
          <w:tcPr>
            <w:tcW w:w="7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rather than purchase, our medical devices met the criteria of being a</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January 1, 2019. Refer to</w:t>
            </w:r>
          </w:p>
        </w:tc>
      </w:tr>
      <w:tr>
        <w:trPr>
          <w:trHeight w:val="237"/>
        </w:trPr>
        <w:tc>
          <w:tcPr>
            <w:tcW w:w="780" w:type="dxa"/>
            <w:vAlign w:val="bottom"/>
            <w:tcBorders>
              <w:left w:val="single" w:sz="8" w:color="CCEEFF"/>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 in accordance with the new standard.</w:t>
            </w: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11. Leases.”</w:t>
            </w:r>
          </w:p>
        </w:tc>
      </w:tr>
      <w:tr>
        <w:trPr>
          <w:trHeight w:val="203"/>
        </w:trPr>
        <w:tc>
          <w:tcPr>
            <w:tcW w:w="78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w w:val="85"/>
              </w:rPr>
              <w:t>June 2018</w:t>
            </w:r>
          </w:p>
        </w:tc>
        <w:tc>
          <w:tcPr>
            <w:tcW w:w="1640" w:type="dxa"/>
            <w:vAlign w:val="bottom"/>
            <w:gridSpan w:val="3"/>
          </w:tcPr>
          <w:p>
            <w:pPr>
              <w:spacing w:after="0"/>
              <w:rPr>
                <w:sz w:val="17"/>
                <w:szCs w:val="17"/>
                <w:color w:val="auto"/>
              </w:rPr>
            </w:pPr>
          </w:p>
        </w:tc>
        <w:tc>
          <w:tcPr>
            <w:tcW w:w="536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7"/>
              </w:rPr>
              <w:t>This update simplifies the accounting for non-employee share-based</w:t>
            </w:r>
          </w:p>
        </w:tc>
        <w:tc>
          <w:tcPr>
            <w:tcW w:w="11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January 1,</w:t>
            </w:r>
          </w:p>
        </w:tc>
        <w:tc>
          <w:tcPr>
            <w:tcW w:w="2500" w:type="dxa"/>
            <w:vAlign w:val="bottom"/>
          </w:tcPr>
          <w:p>
            <w:pPr>
              <w:ind w:left="20"/>
              <w:spacing w:after="0" w:line="202" w:lineRule="exact"/>
              <w:rPr>
                <w:sz w:val="20"/>
                <w:szCs w:val="20"/>
                <w:color w:val="auto"/>
              </w:rPr>
            </w:pPr>
            <w:r>
              <w:rPr>
                <w:rFonts w:ascii="Arial" w:cs="Arial" w:eastAsia="Arial" w:hAnsi="Arial"/>
                <w:sz w:val="18"/>
                <w:szCs w:val="18"/>
                <w:color w:val="auto"/>
                <w:w w:val="96"/>
              </w:rPr>
              <w:t>There was no material impact to</w:t>
            </w:r>
          </w:p>
        </w:tc>
      </w:tr>
      <w:tr>
        <w:trPr>
          <w:trHeight w:val="222"/>
        </w:trPr>
        <w:tc>
          <w:tcPr>
            <w:tcW w:w="2420" w:type="dxa"/>
            <w:vAlign w:val="bottom"/>
            <w:gridSpan w:val="4"/>
          </w:tcPr>
          <w:p>
            <w:pPr>
              <w:ind w:left="40"/>
              <w:spacing w:after="0"/>
              <w:rPr>
                <w:sz w:val="20"/>
                <w:szCs w:val="20"/>
                <w:color w:val="auto"/>
              </w:rPr>
            </w:pPr>
            <w:r>
              <w:rPr>
                <w:rFonts w:ascii="Arial" w:cs="Arial" w:eastAsia="Arial" w:hAnsi="Arial"/>
                <w:sz w:val="18"/>
                <w:szCs w:val="18"/>
                <w:color w:val="auto"/>
              </w:rPr>
              <w:t>ASU No. 2018-07,</w:t>
            </w:r>
          </w:p>
        </w:tc>
        <w:tc>
          <w:tcPr>
            <w:tcW w:w="5360" w:type="dxa"/>
            <w:vAlign w:val="bottom"/>
            <w:gridSpan w:val="2"/>
          </w:tcPr>
          <w:p>
            <w:pPr>
              <w:ind w:left="40"/>
              <w:spacing w:after="0"/>
              <w:rPr>
                <w:sz w:val="20"/>
                <w:szCs w:val="20"/>
                <w:color w:val="auto"/>
              </w:rPr>
            </w:pPr>
            <w:r>
              <w:rPr>
                <w:rFonts w:ascii="Arial" w:cs="Arial" w:eastAsia="Arial" w:hAnsi="Arial"/>
                <w:sz w:val="18"/>
                <w:szCs w:val="18"/>
                <w:color w:val="auto"/>
              </w:rPr>
              <w:t>payment transactions.</w:t>
            </w:r>
          </w:p>
        </w:tc>
        <w:tc>
          <w:tcPr>
            <w:tcW w:w="104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our condensed consolidated</w:t>
            </w:r>
          </w:p>
        </w:tc>
      </w:tr>
      <w:tr>
        <w:trPr>
          <w:trHeight w:val="216"/>
        </w:trPr>
        <w:tc>
          <w:tcPr>
            <w:tcW w:w="2420" w:type="dxa"/>
            <w:vAlign w:val="bottom"/>
            <w:gridSpan w:val="4"/>
          </w:tcPr>
          <w:p>
            <w:pPr>
              <w:ind w:left="40"/>
              <w:spacing w:after="0"/>
              <w:rPr>
                <w:sz w:val="20"/>
                <w:szCs w:val="20"/>
                <w:color w:val="auto"/>
              </w:rPr>
            </w:pPr>
            <w:r>
              <w:rPr>
                <w:rFonts w:ascii="Arial" w:cs="Arial" w:eastAsia="Arial" w:hAnsi="Arial"/>
                <w:sz w:val="18"/>
                <w:szCs w:val="18"/>
                <w:color w:val="auto"/>
              </w:rPr>
              <w:t>Compensation—Stock</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w w:val="92"/>
              </w:rPr>
              <w:t>financial statements as a result of</w:t>
            </w:r>
          </w:p>
        </w:tc>
      </w:tr>
      <w:tr>
        <w:trPr>
          <w:trHeight w:val="216"/>
        </w:trPr>
        <w:tc>
          <w:tcPr>
            <w:tcW w:w="2420" w:type="dxa"/>
            <w:vAlign w:val="bottom"/>
            <w:gridSpan w:val="4"/>
          </w:tcPr>
          <w:p>
            <w:pPr>
              <w:ind w:left="40"/>
              <w:spacing w:after="0"/>
              <w:rPr>
                <w:sz w:val="20"/>
                <w:szCs w:val="20"/>
                <w:color w:val="auto"/>
              </w:rPr>
            </w:pPr>
            <w:r>
              <w:rPr>
                <w:rFonts w:ascii="Arial" w:cs="Arial" w:eastAsia="Arial" w:hAnsi="Arial"/>
                <w:sz w:val="18"/>
                <w:szCs w:val="18"/>
                <w:color w:val="auto"/>
              </w:rPr>
              <w:t>Compensation (Topic 718):</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adopting this ASU.</w:t>
            </w:r>
          </w:p>
        </w:tc>
      </w:tr>
      <w:tr>
        <w:trPr>
          <w:trHeight w:val="216"/>
        </w:trPr>
        <w:tc>
          <w:tcPr>
            <w:tcW w:w="2420" w:type="dxa"/>
            <w:vAlign w:val="bottom"/>
            <w:gridSpan w:val="4"/>
          </w:tcPr>
          <w:p>
            <w:pPr>
              <w:ind w:left="40"/>
              <w:spacing w:after="0"/>
              <w:rPr>
                <w:sz w:val="20"/>
                <w:szCs w:val="20"/>
                <w:color w:val="auto"/>
              </w:rPr>
            </w:pPr>
            <w:r>
              <w:rPr>
                <w:rFonts w:ascii="Arial" w:cs="Arial" w:eastAsia="Arial" w:hAnsi="Arial"/>
                <w:sz w:val="18"/>
                <w:szCs w:val="18"/>
                <w:i w:val="1"/>
                <w:iCs w:val="1"/>
                <w:color w:val="auto"/>
                <w:w w:val="94"/>
              </w:rPr>
              <w:t>Improvements to Nonemployee</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2420" w:type="dxa"/>
            <w:vAlign w:val="bottom"/>
            <w:gridSpan w:val="4"/>
          </w:tcPr>
          <w:p>
            <w:pPr>
              <w:ind w:left="40"/>
              <w:spacing w:after="0"/>
              <w:rPr>
                <w:sz w:val="20"/>
                <w:szCs w:val="20"/>
                <w:color w:val="auto"/>
              </w:rPr>
            </w:pPr>
            <w:r>
              <w:rPr>
                <w:rFonts w:ascii="Arial" w:cs="Arial" w:eastAsia="Arial" w:hAnsi="Arial"/>
                <w:sz w:val="18"/>
                <w:szCs w:val="18"/>
                <w:i w:val="1"/>
                <w:iCs w:val="1"/>
                <w:color w:val="auto"/>
              </w:rPr>
              <w:t>Share-Based Payment</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0"/>
        </w:trPr>
        <w:tc>
          <w:tcPr>
            <w:tcW w:w="2420" w:type="dxa"/>
            <w:vAlign w:val="bottom"/>
            <w:gridSpan w:val="4"/>
          </w:tcPr>
          <w:p>
            <w:pPr>
              <w:ind w:left="40"/>
              <w:spacing w:after="0"/>
              <w:rPr>
                <w:sz w:val="20"/>
                <w:szCs w:val="20"/>
                <w:color w:val="auto"/>
              </w:rPr>
            </w:pPr>
            <w:r>
              <w:rPr>
                <w:rFonts w:ascii="Arial" w:cs="Arial" w:eastAsia="Arial" w:hAnsi="Arial"/>
                <w:sz w:val="18"/>
                <w:szCs w:val="18"/>
                <w:i w:val="1"/>
                <w:iCs w:val="1"/>
                <w:color w:val="auto"/>
              </w:rPr>
              <w:t>Accounting</w:t>
            </w: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810"/>
        </w:trPr>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ind w:left="32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20"/>
          </w:cols>
          <w:pgMar w:left="240" w:top="697" w:right="2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Future Adoption of New Accounting Pronouncements</w:t>
      </w:r>
    </w:p>
    <w:p>
      <w:pPr>
        <w:spacing w:after="0" w:line="116"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color w:val="auto"/>
        </w:rPr>
        <w:t>The following table provides a description of future adoptions of new accounting standards that may have an impact on our financial statements when adopted:</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Projected</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Effect on Financial</w:t>
            </w:r>
          </w:p>
        </w:tc>
      </w:t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Date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Statements or Other</w:t>
            </w:r>
          </w:p>
        </w:tc>
      </w:tr>
      <w:tr>
        <w:trPr>
          <w:trHeight w:val="234"/>
        </w:trPr>
        <w:tc>
          <w:tcPr>
            <w:tcW w:w="2760" w:type="dxa"/>
            <w:vAlign w:val="bottom"/>
            <w:gridSpan w:val="5"/>
          </w:tcPr>
          <w:p>
            <w:pPr>
              <w:ind w:left="440"/>
              <w:spacing w:after="0"/>
              <w:rPr>
                <w:sz w:val="20"/>
                <w:szCs w:val="20"/>
                <w:color w:val="auto"/>
              </w:rPr>
            </w:pPr>
            <w:r>
              <w:rPr>
                <w:rFonts w:ascii="Arial" w:cs="Arial" w:eastAsia="Arial" w:hAnsi="Arial"/>
                <w:sz w:val="18"/>
                <w:szCs w:val="18"/>
                <w:b w:val="1"/>
                <w:bCs w:val="1"/>
                <w:color w:val="auto"/>
              </w:rPr>
              <w:t>Issue Date &amp; Standard</w:t>
            </w:r>
          </w:p>
        </w:tc>
        <w:tc>
          <w:tcPr>
            <w:tcW w:w="5360" w:type="dxa"/>
            <w:vAlign w:val="bottom"/>
            <w:gridSpan w:val="2"/>
          </w:tcPr>
          <w:p>
            <w:pPr>
              <w:ind w:left="2180"/>
              <w:spacing w:after="0"/>
              <w:rPr>
                <w:sz w:val="20"/>
                <w:szCs w:val="20"/>
                <w:color w:val="auto"/>
              </w:rPr>
            </w:pPr>
            <w:r>
              <w:rPr>
                <w:rFonts w:ascii="Arial" w:cs="Arial" w:eastAsia="Arial" w:hAnsi="Arial"/>
                <w:sz w:val="18"/>
                <w:szCs w:val="18"/>
                <w:b w:val="1"/>
                <w:bCs w:val="1"/>
                <w:color w:val="auto"/>
              </w:rPr>
              <w:t>Description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Adoption</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Significant Matters</w:t>
            </w:r>
          </w:p>
        </w:tc>
      </w:tr>
      <w:tr>
        <w:trPr>
          <w:trHeight w:val="27"/>
        </w:trPr>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196"/>
        </w:trPr>
        <w:tc>
          <w:tcPr>
            <w:tcW w:w="780" w:type="dxa"/>
            <w:vAlign w:val="bottom"/>
            <w:tcBorders>
              <w:left w:val="single" w:sz="8" w:color="CCEEFF"/>
              <w:bottom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85"/>
              </w:rPr>
              <w:t>June 2016</w:t>
            </w:r>
          </w:p>
        </w:tc>
        <w:tc>
          <w:tcPr>
            <w:tcW w:w="1980" w:type="dxa"/>
            <w:vAlign w:val="bottom"/>
            <w:tcBorders>
              <w:bottom w:val="single" w:sz="8" w:color="CCEEFF"/>
            </w:tcBorders>
            <w:gridSpan w:val="4"/>
            <w:shd w:val="clear" w:color="auto" w:fill="CCEEFF"/>
          </w:tcPr>
          <w:p>
            <w:pPr>
              <w:spacing w:after="0"/>
              <w:rPr>
                <w:sz w:val="17"/>
                <w:szCs w:val="17"/>
                <w:color w:val="auto"/>
              </w:rPr>
            </w:pPr>
          </w:p>
        </w:tc>
        <w:tc>
          <w:tcPr>
            <w:tcW w:w="53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w w:val="94"/>
              </w:rPr>
              <w:t>The amendments in this update require a financial asset (or a group of</w:t>
            </w:r>
          </w:p>
        </w:tc>
        <w:tc>
          <w:tcPr>
            <w:tcW w:w="11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January 1,</w:t>
            </w:r>
          </w:p>
        </w:tc>
        <w:tc>
          <w:tcPr>
            <w:tcW w:w="21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6"/>
              </w:rPr>
              <w:t>We are currently evaluating</w:t>
            </w:r>
          </w:p>
        </w:tc>
      </w:tr>
      <w:tr>
        <w:trPr>
          <w:trHeight w:val="222"/>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xml:space="preserve">ASU No. 2016-13, </w:t>
            </w:r>
            <w:r>
              <w:rPr>
                <w:rFonts w:ascii="Arial" w:cs="Arial" w:eastAsia="Arial" w:hAnsi="Arial"/>
                <w:sz w:val="18"/>
                <w:szCs w:val="18"/>
                <w:i w:val="1"/>
                <w:iCs w:val="1"/>
                <w:color w:val="auto"/>
              </w:rPr>
              <w:t>Financial</w:t>
            </w: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financial assets) measured at amortized cost basis to be presented at the</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the effect this standard will</w:t>
            </w:r>
          </w:p>
        </w:tc>
      </w:tr>
      <w:tr>
        <w:trPr>
          <w:trHeight w:val="21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w w:val="97"/>
              </w:rPr>
              <w:t xml:space="preserve">Instruments—Credit Losses </w:t>
            </w:r>
            <w:r>
              <w:rPr>
                <w:rFonts w:ascii="Arial" w:cs="Arial" w:eastAsia="Arial" w:hAnsi="Arial"/>
                <w:sz w:val="18"/>
                <w:szCs w:val="18"/>
                <w:color w:val="auto"/>
                <w:w w:val="97"/>
              </w:rPr>
              <w:t>(Topic</w:t>
            </w: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amount expected to be collected. The modified-retrospective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have on our condensed</w:t>
            </w:r>
          </w:p>
        </w:tc>
      </w:tr>
      <w:tr>
        <w:trPr>
          <w:trHeight w:val="216"/>
        </w:trPr>
        <w:tc>
          <w:tcPr>
            <w:tcW w:w="7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approach is generally applicable through a cumulative-effect adjustment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financial</w:t>
            </w:r>
          </w:p>
        </w:tc>
      </w:tr>
      <w:tr>
        <w:trPr>
          <w:trHeight w:val="216"/>
        </w:trPr>
        <w:tc>
          <w:tcPr>
            <w:tcW w:w="7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to retained earnings as of the beginning of the first reporting period in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statements and related</w:t>
            </w:r>
          </w:p>
        </w:tc>
      </w:tr>
      <w:tr>
        <w:trPr>
          <w:trHeight w:val="237"/>
        </w:trPr>
        <w:tc>
          <w:tcPr>
            <w:tcW w:w="780" w:type="dxa"/>
            <w:vAlign w:val="bottom"/>
            <w:tcBorders>
              <w:left w:val="single" w:sz="8" w:color="CCEEFF"/>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which the guidance is effective. Early adoption is permitted.</w:t>
            </w: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disclosures.</w:t>
            </w:r>
          </w:p>
        </w:tc>
      </w:tr>
      <w:tr>
        <w:trPr>
          <w:trHeight w:val="203"/>
        </w:trPr>
        <w:tc>
          <w:tcPr>
            <w:tcW w:w="1000" w:type="dxa"/>
            <w:vAlign w:val="bottom"/>
            <w:tcBorders>
              <w:bottom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w w:val="86"/>
              </w:rPr>
              <w:t>January 2017</w:t>
            </w:r>
          </w:p>
        </w:tc>
        <w:tc>
          <w:tcPr>
            <w:tcW w:w="1760" w:type="dxa"/>
            <w:vAlign w:val="bottom"/>
            <w:gridSpan w:val="2"/>
          </w:tcPr>
          <w:p>
            <w:pPr>
              <w:spacing w:after="0"/>
              <w:rPr>
                <w:sz w:val="17"/>
                <w:szCs w:val="17"/>
                <w:color w:val="auto"/>
              </w:rPr>
            </w:pPr>
          </w:p>
        </w:tc>
        <w:tc>
          <w:tcPr>
            <w:tcW w:w="53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This update removes step 2 of the goodwill impairment test that</w:t>
            </w:r>
          </w:p>
        </w:tc>
        <w:tc>
          <w:tcPr>
            <w:tcW w:w="11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January 1,</w:t>
            </w:r>
          </w:p>
        </w:tc>
        <w:tc>
          <w:tcPr>
            <w:tcW w:w="2160" w:type="dxa"/>
            <w:vAlign w:val="bottom"/>
          </w:tcPr>
          <w:p>
            <w:pPr>
              <w:ind w:left="20"/>
              <w:spacing w:after="0" w:line="202" w:lineRule="exact"/>
              <w:rPr>
                <w:sz w:val="20"/>
                <w:szCs w:val="20"/>
                <w:color w:val="auto"/>
              </w:rPr>
            </w:pPr>
            <w:r>
              <w:rPr>
                <w:rFonts w:ascii="Arial" w:cs="Arial" w:eastAsia="Arial" w:hAnsi="Arial"/>
                <w:sz w:val="18"/>
                <w:szCs w:val="18"/>
                <w:color w:val="auto"/>
                <w:w w:val="96"/>
              </w:rPr>
              <w:t>We are currently evaluating</w:t>
            </w:r>
          </w:p>
        </w:tc>
      </w:tr>
      <w:tr>
        <w:trPr>
          <w:trHeight w:val="222"/>
        </w:trPr>
        <w:tc>
          <w:tcPr>
            <w:tcW w:w="2760" w:type="dxa"/>
            <w:vAlign w:val="bottom"/>
            <w:gridSpan w:val="5"/>
          </w:tcPr>
          <w:p>
            <w:pPr>
              <w:ind w:left="40"/>
              <w:spacing w:after="0"/>
              <w:rPr>
                <w:sz w:val="20"/>
                <w:szCs w:val="20"/>
                <w:color w:val="auto"/>
              </w:rPr>
            </w:pPr>
            <w:r>
              <w:rPr>
                <w:rFonts w:ascii="Arial" w:cs="Arial" w:eastAsia="Arial" w:hAnsi="Arial"/>
                <w:sz w:val="18"/>
                <w:szCs w:val="18"/>
                <w:color w:val="auto"/>
              </w:rPr>
              <w:t>ASU No. 2017-04,</w:t>
            </w:r>
          </w:p>
        </w:tc>
        <w:tc>
          <w:tcPr>
            <w:tcW w:w="5360" w:type="dxa"/>
            <w:vAlign w:val="bottom"/>
            <w:gridSpan w:val="2"/>
          </w:tcPr>
          <w:p>
            <w:pPr>
              <w:ind w:left="40"/>
              <w:spacing w:after="0"/>
              <w:rPr>
                <w:sz w:val="20"/>
                <w:szCs w:val="20"/>
                <w:color w:val="auto"/>
              </w:rPr>
            </w:pPr>
            <w:r>
              <w:rPr>
                <w:rFonts w:ascii="Arial" w:cs="Arial" w:eastAsia="Arial" w:hAnsi="Arial"/>
                <w:sz w:val="18"/>
                <w:szCs w:val="18"/>
                <w:color w:val="auto"/>
                <w:w w:val="98"/>
              </w:rPr>
              <w:t>compares the implied fair value of goodwill with its carrying amount.</w:t>
            </w:r>
          </w:p>
        </w:tc>
        <w:tc>
          <w:tcPr>
            <w:tcW w:w="104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9"/>
              </w:rPr>
              <w:t>the effect this standard will</w:t>
            </w:r>
          </w:p>
        </w:tc>
      </w:tr>
      <w:tr>
        <w:trPr>
          <w:trHeight w:val="216"/>
        </w:trPr>
        <w:tc>
          <w:tcPr>
            <w:tcW w:w="2760" w:type="dxa"/>
            <w:vAlign w:val="bottom"/>
            <w:gridSpan w:val="5"/>
          </w:tcPr>
          <w:p>
            <w:pPr>
              <w:ind w:left="40"/>
              <w:spacing w:after="0"/>
              <w:rPr>
                <w:sz w:val="20"/>
                <w:szCs w:val="20"/>
                <w:color w:val="auto"/>
              </w:rPr>
            </w:pPr>
            <w:r>
              <w:rPr>
                <w:rFonts w:ascii="Arial" w:cs="Arial" w:eastAsia="Arial" w:hAnsi="Arial"/>
                <w:sz w:val="18"/>
                <w:szCs w:val="18"/>
                <w:color w:val="auto"/>
              </w:rPr>
              <w:t>Intangibles-Goodwill and Other</w:t>
            </w:r>
          </w:p>
        </w:tc>
        <w:tc>
          <w:tcPr>
            <w:tcW w:w="5360" w:type="dxa"/>
            <w:vAlign w:val="bottom"/>
            <w:gridSpan w:val="2"/>
          </w:tcPr>
          <w:p>
            <w:pPr>
              <w:ind w:left="40"/>
              <w:spacing w:after="0"/>
              <w:rPr>
                <w:sz w:val="20"/>
                <w:szCs w:val="20"/>
                <w:color w:val="auto"/>
              </w:rPr>
            </w:pPr>
            <w:r>
              <w:rPr>
                <w:rFonts w:ascii="Arial" w:cs="Arial" w:eastAsia="Arial" w:hAnsi="Arial"/>
                <w:sz w:val="18"/>
                <w:szCs w:val="18"/>
                <w:color w:val="auto"/>
                <w:w w:val="94"/>
              </w:rPr>
              <w:t>Instead, an impairment test is performed by comparing the fair value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have on our condensed</w:t>
            </w:r>
          </w:p>
        </w:tc>
      </w:tr>
      <w:tr>
        <w:trPr>
          <w:trHeight w:val="216"/>
        </w:trPr>
        <w:tc>
          <w:tcPr>
            <w:tcW w:w="2760" w:type="dxa"/>
            <w:vAlign w:val="bottom"/>
            <w:gridSpan w:val="5"/>
          </w:tcPr>
          <w:p>
            <w:pPr>
              <w:ind w:left="40"/>
              <w:spacing w:after="0"/>
              <w:rPr>
                <w:sz w:val="20"/>
                <w:szCs w:val="20"/>
                <w:color w:val="auto"/>
              </w:rPr>
            </w:pPr>
            <w:r>
              <w:rPr>
                <w:rFonts w:ascii="Arial" w:cs="Arial" w:eastAsia="Arial" w:hAnsi="Arial"/>
                <w:sz w:val="18"/>
                <w:szCs w:val="18"/>
                <w:color w:val="auto"/>
              </w:rPr>
              <w:t xml:space="preserve">(Topic 350): </w:t>
            </w:r>
            <w:r>
              <w:rPr>
                <w:rFonts w:ascii="Arial" w:cs="Arial" w:eastAsia="Arial" w:hAnsi="Arial"/>
                <w:sz w:val="18"/>
                <w:szCs w:val="18"/>
                <w:i w:val="1"/>
                <w:iCs w:val="1"/>
                <w:color w:val="auto"/>
              </w:rPr>
              <w:t>Simplifying the Test</w:t>
            </w:r>
          </w:p>
        </w:tc>
        <w:tc>
          <w:tcPr>
            <w:tcW w:w="5360" w:type="dxa"/>
            <w:vAlign w:val="bottom"/>
            <w:gridSpan w:val="2"/>
          </w:tcPr>
          <w:p>
            <w:pPr>
              <w:ind w:left="40"/>
              <w:spacing w:after="0"/>
              <w:rPr>
                <w:sz w:val="20"/>
                <w:szCs w:val="20"/>
                <w:color w:val="auto"/>
              </w:rPr>
            </w:pPr>
            <w:r>
              <w:rPr>
                <w:rFonts w:ascii="Arial" w:cs="Arial" w:eastAsia="Arial" w:hAnsi="Arial"/>
                <w:sz w:val="18"/>
                <w:szCs w:val="18"/>
                <w:color w:val="auto"/>
                <w:w w:val="95"/>
              </w:rPr>
              <w:t>a reporting unit with its carrying amount. An impairment charge will be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consolidated financial</w:t>
            </w:r>
          </w:p>
        </w:tc>
      </w:tr>
      <w:tr>
        <w:trPr>
          <w:trHeight w:val="216"/>
        </w:trPr>
        <w:tc>
          <w:tcPr>
            <w:tcW w:w="2760" w:type="dxa"/>
            <w:vAlign w:val="bottom"/>
            <w:gridSpan w:val="5"/>
          </w:tcPr>
          <w:p>
            <w:pPr>
              <w:ind w:left="40"/>
              <w:spacing w:after="0"/>
              <w:rPr>
                <w:sz w:val="20"/>
                <w:szCs w:val="20"/>
                <w:color w:val="auto"/>
              </w:rPr>
            </w:pPr>
            <w:r>
              <w:rPr>
                <w:rFonts w:ascii="Arial" w:cs="Arial" w:eastAsia="Arial" w:hAnsi="Arial"/>
                <w:sz w:val="18"/>
                <w:szCs w:val="18"/>
                <w:i w:val="1"/>
                <w:iCs w:val="1"/>
                <w:color w:val="auto"/>
              </w:rPr>
              <w:t>for Goodwill Impairment</w:t>
            </w:r>
          </w:p>
        </w:tc>
        <w:tc>
          <w:tcPr>
            <w:tcW w:w="5360" w:type="dxa"/>
            <w:vAlign w:val="bottom"/>
            <w:gridSpan w:val="2"/>
          </w:tcPr>
          <w:p>
            <w:pPr>
              <w:ind w:left="40"/>
              <w:spacing w:after="0"/>
              <w:rPr>
                <w:sz w:val="20"/>
                <w:szCs w:val="20"/>
                <w:color w:val="auto"/>
              </w:rPr>
            </w:pPr>
            <w:r>
              <w:rPr>
                <w:rFonts w:ascii="Arial" w:cs="Arial" w:eastAsia="Arial" w:hAnsi="Arial"/>
                <w:sz w:val="18"/>
                <w:szCs w:val="18"/>
                <w:color w:val="auto"/>
                <w:w w:val="95"/>
              </w:rPr>
              <w:t>recorded by the amount a reporting unit’s carrying amount exceeds its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statements and related</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gridSpan w:val="2"/>
          </w:tcPr>
          <w:p>
            <w:pPr>
              <w:ind w:left="40"/>
              <w:spacing w:after="0"/>
              <w:rPr>
                <w:sz w:val="20"/>
                <w:szCs w:val="20"/>
                <w:color w:val="auto"/>
              </w:rPr>
            </w:pPr>
            <w:r>
              <w:rPr>
                <w:rFonts w:ascii="Arial" w:cs="Arial" w:eastAsia="Arial" w:hAnsi="Arial"/>
                <w:sz w:val="18"/>
                <w:szCs w:val="18"/>
                <w:color w:val="auto"/>
              </w:rPr>
              <w:t>fair value. Early adoption is permitted.</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disclosures.</w:t>
            </w:r>
          </w:p>
        </w:tc>
      </w:tr>
      <w:tr>
        <w:trPr>
          <w:trHeight w:val="27"/>
        </w:trPr>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3"/>
        </w:trPr>
        <w:tc>
          <w:tcPr>
            <w:tcW w:w="2760" w:type="dxa"/>
            <w:vAlign w:val="bottom"/>
            <w:tcBorders>
              <w:left w:val="single" w:sz="8" w:color="CCEEFF"/>
            </w:tcBorders>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August 2018</w:t>
            </w:r>
          </w:p>
        </w:tc>
        <w:tc>
          <w:tcPr>
            <w:tcW w:w="53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1"/>
              </w:rPr>
              <w:t>This update removes, modifies and adds certain disclosure requirements</w:t>
            </w:r>
          </w:p>
        </w:tc>
        <w:tc>
          <w:tcPr>
            <w:tcW w:w="11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January 1,</w:t>
            </w:r>
          </w:p>
        </w:tc>
        <w:tc>
          <w:tcPr>
            <w:tcW w:w="2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 do not expect the</w:t>
            </w:r>
          </w:p>
        </w:tc>
      </w:tr>
      <w:tr>
        <w:trPr>
          <w:trHeight w:val="20"/>
        </w:trPr>
        <w:tc>
          <w:tcPr>
            <w:tcW w:w="960" w:type="dxa"/>
            <w:vAlign w:val="bottom"/>
            <w:tcBorders>
              <w:left w:val="single" w:sz="8" w:color="CCEEFF"/>
            </w:tcBorders>
            <w:gridSpan w:val="2"/>
            <w:shd w:val="clear" w:color="auto" w:fill="000000"/>
          </w:tcPr>
          <w:p>
            <w:pPr>
              <w:spacing w:after="0" w:line="20" w:lineRule="exact"/>
              <w:rPr>
                <w:sz w:val="1"/>
                <w:szCs w:val="1"/>
                <w:color w:val="auto"/>
              </w:rPr>
            </w:pPr>
          </w:p>
        </w:tc>
        <w:tc>
          <w:tcPr>
            <w:tcW w:w="1800" w:type="dxa"/>
            <w:vAlign w:val="bottom"/>
            <w:gridSpan w:val="3"/>
            <w:shd w:val="clear" w:color="auto" w:fill="CCEEFF"/>
          </w:tcPr>
          <w:p>
            <w:pPr>
              <w:spacing w:after="0" w:line="20" w:lineRule="exact"/>
              <w:rPr>
                <w:sz w:val="1"/>
                <w:szCs w:val="1"/>
                <w:color w:val="auto"/>
              </w:rPr>
            </w:pPr>
          </w:p>
        </w:tc>
        <w:tc>
          <w:tcPr>
            <w:tcW w:w="5360" w:type="dxa"/>
            <w:vAlign w:val="bottom"/>
            <w:gridSpan w:val="2"/>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r>
      <w:tr>
        <w:trPr>
          <w:trHeight w:val="222"/>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ASU No. 2018-13, Fair Value</w:t>
            </w: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related to fair value measurements. Early adoption is permitted.</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adoption of this update to</w:t>
            </w:r>
          </w:p>
        </w:tc>
      </w:tr>
      <w:tr>
        <w:trPr>
          <w:trHeight w:val="21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Measurement (Topic 820):</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have a material effect on our</w:t>
            </w:r>
          </w:p>
        </w:tc>
      </w:tr>
      <w:tr>
        <w:trPr>
          <w:trHeight w:val="21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Changes to the Disclosure</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condensed consolidated</w:t>
            </w:r>
          </w:p>
        </w:tc>
      </w:tr>
      <w:tr>
        <w:trPr>
          <w:trHeight w:val="21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Requirements for Fair Value</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statement</w:t>
            </w:r>
          </w:p>
        </w:tc>
      </w:tr>
      <w:tr>
        <w:trPr>
          <w:trHeight w:val="230"/>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Measurement</w:t>
            </w:r>
          </w:p>
        </w:tc>
        <w:tc>
          <w:tcPr>
            <w:tcW w:w="5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disclosures.</w:t>
            </w:r>
          </w:p>
        </w:tc>
      </w:tr>
      <w:tr>
        <w:trPr>
          <w:trHeight w:val="27"/>
        </w:trPr>
        <w:tc>
          <w:tcPr>
            <w:tcW w:w="7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697" w:right="239" w:bottom="1440" w:gutter="0" w:footer="0" w:header="0"/>
        </w:sectPr>
      </w:pPr>
    </w:p>
    <w:p>
      <w:pPr>
        <w:ind w:left="40"/>
        <w:spacing w:after="0"/>
        <w:rPr>
          <w:sz w:val="20"/>
          <w:szCs w:val="20"/>
          <w:color w:val="auto"/>
        </w:rPr>
      </w:pPr>
      <w:r>
        <w:rPr>
          <w:rFonts w:ascii="Arial" w:cs="Arial" w:eastAsia="Arial" w:hAnsi="Arial"/>
          <w:sz w:val="18"/>
          <w:szCs w:val="18"/>
          <w:u w:val="single" w:color="auto"/>
          <w:color w:val="auto"/>
        </w:rPr>
        <w:t>August 2018</w:t>
      </w:r>
    </w:p>
    <w:p>
      <w:pPr>
        <w:spacing w:after="0" w:line="23" w:lineRule="exact"/>
        <w:rPr>
          <w:sz w:val="20"/>
          <w:szCs w:val="20"/>
          <w:color w:val="auto"/>
        </w:rPr>
      </w:pPr>
    </w:p>
    <w:p>
      <w:pPr>
        <w:ind w:left="40"/>
        <w:spacing w:after="0" w:line="270" w:lineRule="auto"/>
        <w:rPr>
          <w:sz w:val="20"/>
          <w:szCs w:val="20"/>
          <w:color w:val="auto"/>
        </w:rPr>
      </w:pPr>
      <w:r>
        <w:rPr>
          <w:rFonts w:ascii="Arial" w:cs="Arial" w:eastAsia="Arial" w:hAnsi="Arial"/>
          <w:sz w:val="17"/>
          <w:szCs w:val="17"/>
          <w:color w:val="auto"/>
        </w:rPr>
        <w:t xml:space="preserve">ASU No. 2018-14, Compensation —Retirement Benefits—Defined Benefit Plans—General (Subtopic 715-20): </w:t>
      </w:r>
      <w:r>
        <w:rPr>
          <w:rFonts w:ascii="Arial" w:cs="Arial" w:eastAsia="Arial" w:hAnsi="Arial"/>
          <w:sz w:val="17"/>
          <w:szCs w:val="17"/>
          <w:i w:val="1"/>
          <w:iCs w:val="1"/>
          <w:color w:val="auto"/>
        </w:rPr>
        <w:t>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Defined Benefit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20"/>
                <w:szCs w:val="20"/>
                <w:color w:val="auto"/>
              </w:rPr>
            </w:pPr>
            <w:r>
              <w:rPr>
                <w:rFonts w:ascii="Arial" w:cs="Arial" w:eastAsia="Arial" w:hAnsi="Arial"/>
                <w:sz w:val="18"/>
                <w:szCs w:val="18"/>
                <w:color w:val="auto"/>
                <w:w w:val="90"/>
              </w:rPr>
              <w:t>This update adds and removes certain disclosure requirements related to</w:t>
            </w:r>
          </w:p>
        </w:tc>
        <w:tc>
          <w:tcPr>
            <w:tcW w:w="1000" w:type="dxa"/>
            <w:vAlign w:val="bottom"/>
          </w:tcPr>
          <w:p>
            <w:pPr>
              <w:ind w:left="80"/>
              <w:spacing w:after="0"/>
              <w:rPr>
                <w:sz w:val="20"/>
                <w:szCs w:val="20"/>
                <w:color w:val="auto"/>
              </w:rPr>
            </w:pPr>
            <w:r>
              <w:rPr>
                <w:rFonts w:ascii="Arial" w:cs="Arial" w:eastAsia="Arial" w:hAnsi="Arial"/>
                <w:sz w:val="18"/>
                <w:szCs w:val="18"/>
                <w:color w:val="auto"/>
              </w:rPr>
              <w:t>January 1,</w:t>
            </w:r>
          </w:p>
        </w:tc>
        <w:tc>
          <w:tcPr>
            <w:tcW w:w="2260" w:type="dxa"/>
            <w:vAlign w:val="bottom"/>
          </w:tcPr>
          <w:p>
            <w:pPr>
              <w:ind w:left="200"/>
              <w:spacing w:after="0"/>
              <w:rPr>
                <w:sz w:val="20"/>
                <w:szCs w:val="20"/>
                <w:color w:val="auto"/>
              </w:rPr>
            </w:pPr>
            <w:r>
              <w:rPr>
                <w:rFonts w:ascii="Arial" w:cs="Arial" w:eastAsia="Arial" w:hAnsi="Arial"/>
                <w:sz w:val="18"/>
                <w:szCs w:val="18"/>
                <w:color w:val="auto"/>
              </w:rPr>
              <w:t>We do not expect the</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w w:val="92"/>
              </w:rPr>
              <w:t>defined benefit plans. This ASU is to be implemented on a retrospective</w:t>
            </w:r>
          </w:p>
        </w:tc>
        <w:tc>
          <w:tcPr>
            <w:tcW w:w="1000" w:type="dxa"/>
            <w:vAlign w:val="bottom"/>
          </w:tcPr>
          <w:p>
            <w:pPr>
              <w:ind w:left="80"/>
              <w:spacing w:after="0"/>
              <w:rPr>
                <w:sz w:val="20"/>
                <w:szCs w:val="20"/>
                <w:color w:val="auto"/>
              </w:rPr>
            </w:pPr>
            <w:r>
              <w:rPr>
                <w:rFonts w:ascii="Arial" w:cs="Arial" w:eastAsia="Arial" w:hAnsi="Arial"/>
                <w:sz w:val="18"/>
                <w:szCs w:val="18"/>
                <w:color w:val="auto"/>
              </w:rPr>
              <w:t>2021</w:t>
            </w:r>
          </w:p>
        </w:tc>
        <w:tc>
          <w:tcPr>
            <w:tcW w:w="2260" w:type="dxa"/>
            <w:vAlign w:val="bottom"/>
          </w:tcPr>
          <w:p>
            <w:pPr>
              <w:ind w:left="200"/>
              <w:spacing w:after="0"/>
              <w:rPr>
                <w:sz w:val="20"/>
                <w:szCs w:val="20"/>
                <w:color w:val="auto"/>
              </w:rPr>
            </w:pPr>
            <w:r>
              <w:rPr>
                <w:rFonts w:ascii="Arial" w:cs="Arial" w:eastAsia="Arial" w:hAnsi="Arial"/>
                <w:sz w:val="18"/>
                <w:szCs w:val="18"/>
                <w:color w:val="auto"/>
              </w:rPr>
              <w:t>adoption of this update to</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basis for all periods presented with early adoption permitted.</w:t>
            </w:r>
          </w:p>
        </w:tc>
        <w:tc>
          <w:tcPr>
            <w:tcW w:w="100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w w:val="89"/>
              </w:rPr>
              <w:t>have a material effect on our</w:t>
            </w:r>
          </w:p>
        </w:tc>
      </w:tr>
      <w:tr>
        <w:trPr>
          <w:trHeight w:val="216"/>
        </w:trPr>
        <w:tc>
          <w:tcPr>
            <w:tcW w:w="5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condensed consolidated</w:t>
            </w:r>
          </w:p>
        </w:tc>
      </w:tr>
      <w:tr>
        <w:trPr>
          <w:trHeight w:val="216"/>
        </w:trPr>
        <w:tc>
          <w:tcPr>
            <w:tcW w:w="5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financial statement</w:t>
            </w:r>
          </w:p>
        </w:tc>
      </w:tr>
      <w:tr>
        <w:trPr>
          <w:trHeight w:val="230"/>
        </w:trPr>
        <w:tc>
          <w:tcPr>
            <w:tcW w:w="5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disclosures.</w:t>
            </w:r>
          </w:p>
        </w:tc>
      </w:tr>
    </w:tbl>
    <w:p>
      <w:pPr>
        <w:spacing w:after="0" w:line="240" w:lineRule="exact"/>
        <w:rPr>
          <w:sz w:val="20"/>
          <w:szCs w:val="20"/>
          <w:color w:val="auto"/>
        </w:rPr>
      </w:pPr>
    </w:p>
    <w:p>
      <w:pPr>
        <w:sectPr>
          <w:pgSz w:w="11900" w:h="16838" w:orient="portrait"/>
          <w:cols w:equalWidth="0" w:num="2">
            <w:col w:w="2600" w:space="200"/>
            <w:col w:w="8620"/>
          </w:cols>
          <w:pgMar w:left="240" w:top="697" w:right="239" w:bottom="1440" w:gutter="0" w:footer="0" w:header="0"/>
          <w:type w:val="continuous"/>
        </w:sectPr>
      </w:pPr>
    </w:p>
    <w:tbl>
      <w:tblPr>
        <w:tblLayout w:type="fixed"/>
        <w:tblInd w:w="10" w:type="dxa"/>
        <w:tblCellMar>
          <w:top w:w="0" w:type="dxa"/>
          <w:left w:w="0" w:type="dxa"/>
          <w:bottom w:w="0" w:type="dxa"/>
          <w:right w:w="0" w:type="dxa"/>
        </w:tblCellMar>
      </w:tblPr>
      <w:tr>
        <w:trPr>
          <w:trHeight w:val="207"/>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2018</w:t>
            </w: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This update clarifies and aligns the accounting for implementation costs</w:t>
            </w:r>
          </w:p>
        </w:tc>
        <w:tc>
          <w:tcPr>
            <w:tcW w:w="1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January 1,</w:t>
            </w: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 do not expect the</w:t>
            </w:r>
          </w:p>
        </w:tc>
      </w:tr>
      <w:tr>
        <w:trPr>
          <w:trHeight w:val="20"/>
        </w:trPr>
        <w:tc>
          <w:tcPr>
            <w:tcW w:w="960" w:type="dxa"/>
            <w:vAlign w:val="bottom"/>
            <w:tcBorders>
              <w:left w:val="single" w:sz="8" w:color="CCEEFF"/>
            </w:tcBorders>
            <w:shd w:val="clear" w:color="auto" w:fill="000000"/>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r>
      <w:tr>
        <w:trPr>
          <w:trHeight w:val="222"/>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ASU No. 2018-15, Intangibles—</w:t>
            </w: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 hosting arrangements with the requirements for capitalizing</w:t>
            </w:r>
          </w:p>
        </w:tc>
        <w:tc>
          <w:tcPr>
            <w:tcW w:w="1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2020</w:t>
            </w: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adoption of this update to</w:t>
            </w: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Goodwill and Other—Internal-Use</w:t>
            </w: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implementation costs incurred to develop or obtain internal-use</w:t>
            </w: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have a material effect on our</w:t>
            </w: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 (Subtopic 350-40):</w:t>
            </w: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software. This ASU is to be applied either retrospectively or</w:t>
            </w: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condensed consolidated</w:t>
            </w: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Customer’s Accounting for</w:t>
            </w: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prospectively with early adoption permitted.</w:t>
            </w: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statements.</w:t>
            </w: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w w:val="94"/>
              </w:rPr>
              <w:t>Implementation Costs Incurred in a</w:t>
            </w:r>
          </w:p>
        </w:tc>
        <w:tc>
          <w:tcPr>
            <w:tcW w:w="5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Cloud Computing Arrangement</w:t>
            </w:r>
          </w:p>
        </w:tc>
        <w:tc>
          <w:tcPr>
            <w:tcW w:w="5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37"/>
        </w:trPr>
        <w:tc>
          <w:tcPr>
            <w:tcW w:w="2700" w:type="dxa"/>
            <w:vAlign w:val="bottom"/>
            <w:tcBorders>
              <w:left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That Is a Service Contract</w:t>
            </w:r>
          </w:p>
        </w:tc>
        <w:tc>
          <w:tcPr>
            <w:tcW w:w="5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spacing w:after="0"/>
              <w:rPr>
                <w:sz w:val="20"/>
                <w:szCs w:val="20"/>
                <w:color w:val="auto"/>
              </w:rPr>
            </w:pPr>
          </w:p>
        </w:tc>
      </w:tr>
      <w:tr>
        <w:trPr>
          <w:trHeight w:val="783"/>
        </w:trPr>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60" w:type="dxa"/>
            <w:vAlign w:val="bottom"/>
          </w:tcPr>
          <w:p>
            <w:pPr>
              <w:ind w:left="3000"/>
              <w:spacing w:after="0"/>
              <w:rPr>
                <w:sz w:val="20"/>
                <w:szCs w:val="20"/>
                <w:color w:val="auto"/>
              </w:rPr>
            </w:pPr>
            <w:r>
              <w:rPr>
                <w:rFonts w:ascii="Arial" w:cs="Arial" w:eastAsia="Arial" w:hAnsi="Arial"/>
                <w:sz w:val="18"/>
                <w:szCs w:val="18"/>
                <w:color w:val="auto"/>
              </w:rPr>
              <w:t>32</w:t>
            </w:r>
          </w:p>
        </w:tc>
        <w:tc>
          <w:tcPr>
            <w:tcW w:w="102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ectPr>
          <w:pgSz w:w="11900" w:h="16838" w:orient="portrait"/>
          <w:cols w:equalWidth="0" w:num="1">
            <w:col w:w="11420"/>
          </w:cols>
          <w:pgMar w:left="240" w:top="697"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125"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The following discussion and analysis should be read in conjunction with our condensed consolidated financial statements and related notes which appear elsewhere in this document and with our 2018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2018 Form 10-K and elsewhere in this Quarterly Report on Form 10-Q.</w:t>
      </w:r>
    </w:p>
    <w:p>
      <w:pPr>
        <w:spacing w:after="0" w:line="63"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16" w:lineRule="exact"/>
        <w:rPr>
          <w:sz w:val="20"/>
          <w:szCs w:val="20"/>
          <w:color w:val="auto"/>
        </w:rPr>
      </w:pPr>
    </w:p>
    <w:p>
      <w:pPr>
        <w:ind w:right="460" w:firstLine="162"/>
        <w:spacing w:after="0" w:line="276" w:lineRule="auto"/>
        <w:rPr>
          <w:sz w:val="20"/>
          <w:szCs w:val="20"/>
          <w:color w:val="auto"/>
        </w:rPr>
      </w:pPr>
      <w:r>
        <w:rPr>
          <w:rFonts w:ascii="Arial" w:cs="Arial" w:eastAsia="Arial" w:hAnsi="Arial"/>
          <w:sz w:val="17"/>
          <w:szCs w:val="17"/>
          <w:color w:val="auto"/>
        </w:rPr>
        <w:t>We are a public limited company organized under the laws of England and Wales, headquartered in London, England. We are a global medical device company focused on the development and delivery of important therapeutic solutions for the benefit of patients, healthcare professionals and healthcare systems throughout the world. Working closely with medical professionals in the fields of Cardiovascular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On June 12, 2019, we acquired the minimally invasive cardiac surgery instruments business from Miami Instruments for cash consideration of up to $17.0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The related operations have been integrated into our Cardiovascular business franchise as part of our Heart Valves portfolio. Cash of $10.8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was paid at closing with up to $6.0 million in contingent consideration based on achieving certain milestones. In connection with this acquisition,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recognized $14.7 million in developed technology and IPR&amp;D intangible assets and $1.5 million in goodwill.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the CRM Business Franchise</w:t>
      </w:r>
    </w:p>
    <w:p>
      <w:pPr>
        <w:spacing w:after="0" w:line="11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completed the CRM Sale on April 30, 2018 for total cash proceeds of $195.9 million, less cash transferred of $9.2 million, subject to a closing working capital adjustment. The results of operations of CRM are reflected as discontinued operations for all periods presented in this Quarterly Report on Form 10-Q. Refer to “Note 3. Discontinued Operations” to the condensed consolidated financial statements in this Quarterly Report on Form 10-Q.</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Franchises</w:t>
      </w:r>
    </w:p>
    <w:p>
      <w:pPr>
        <w:spacing w:after="0" w:line="116"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LivaNova is comprised of two principal business franchises, which are also our reportable segments: Cardiovascular and Neuromodulation, corresponding to our primary therapeutic areas. Other corporate activities include corporate shared service expenses for finance, legal, human resources, information technology and New Ventures.</w:t>
      </w:r>
    </w:p>
    <w:p>
      <w:pPr>
        <w:spacing w:after="0" w:line="73" w:lineRule="exact"/>
        <w:rPr>
          <w:sz w:val="20"/>
          <w:szCs w:val="20"/>
          <w:color w:val="auto"/>
        </w:rPr>
      </w:pPr>
    </w:p>
    <w:p>
      <w:pPr>
        <w:ind w:right="380" w:firstLine="162"/>
        <w:spacing w:after="0" w:line="308" w:lineRule="auto"/>
        <w:rPr>
          <w:sz w:val="20"/>
          <w:szCs w:val="20"/>
          <w:color w:val="auto"/>
        </w:rPr>
      </w:pPr>
      <w:r>
        <w:rPr>
          <w:rFonts w:ascii="Arial" w:cs="Arial" w:eastAsia="Arial" w:hAnsi="Arial"/>
          <w:sz w:val="17"/>
          <w:szCs w:val="17"/>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Cardiovascular Update</w:t>
      </w:r>
    </w:p>
    <w:p>
      <w:pPr>
        <w:spacing w:after="0" w:line="110" w:lineRule="exact"/>
        <w:rPr>
          <w:sz w:val="20"/>
          <w:szCs w:val="20"/>
          <w:color w:val="auto"/>
        </w:rPr>
      </w:pPr>
    </w:p>
    <w:p>
      <w:pPr>
        <w:ind w:right="280" w:firstLine="162"/>
        <w:spacing w:after="0" w:line="302" w:lineRule="auto"/>
        <w:rPr>
          <w:sz w:val="20"/>
          <w:szCs w:val="20"/>
          <w:color w:val="auto"/>
        </w:rPr>
      </w:pPr>
      <w:r>
        <w:rPr>
          <w:rFonts w:ascii="Arial" w:cs="Arial" w:eastAsia="Arial" w:hAnsi="Arial"/>
          <w:sz w:val="16"/>
          <w:szCs w:val="16"/>
          <w:color w:val="auto"/>
        </w:rPr>
        <w:t>Our Cardiovascular business franchise is engaged in the development, production and sale of cardiopulmonary products, heart valves and advanced circulatory support products. Cardiopulmonary products include oxygenators, heart-lung machines, autotransfusion systems, perfusion tubing systems, cannulae and other related accessories. Heart valves include mechanical heart valves, tissue heart valves and related repair products. Advanced circulatory support includes temporary life support product kits that can include a combination of pumps, oxygenators, and cannulae.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Remediation Plan</w:t>
      </w:r>
    </w:p>
    <w:p>
      <w:pPr>
        <w:spacing w:after="0" w:line="117" w:lineRule="exact"/>
        <w:rPr>
          <w:sz w:val="20"/>
          <w:szCs w:val="20"/>
          <w:color w:val="auto"/>
        </w:rPr>
      </w:pPr>
    </w:p>
    <w:p>
      <w:pPr>
        <w:jc w:val="both"/>
        <w:ind w:right="80" w:firstLine="162"/>
        <w:spacing w:after="0" w:line="342" w:lineRule="auto"/>
        <w:rPr>
          <w:sz w:val="20"/>
          <w:szCs w:val="20"/>
          <w:color w:val="auto"/>
        </w:rPr>
      </w:pPr>
      <w:r>
        <w:rPr>
          <w:rFonts w:ascii="Arial" w:cs="Arial" w:eastAsia="Arial" w:hAnsi="Arial"/>
          <w:sz w:val="16"/>
          <w:szCs w:val="16"/>
          <w:color w:val="auto"/>
        </w:rPr>
        <w:t>On December 29, 2015, the FDA issued a Warning Letter alleging certain violations of FDA regulations applicable to medical device manufacturers at our Munich, Germany and Arvada, Colorado facilities and issued inspectional observations on FDA’s Form-483 applicable to our Munich, Germany facility.</w:t>
      </w:r>
    </w:p>
    <w:p>
      <w:pPr>
        <w:spacing w:after="0" w:line="16" w:lineRule="exact"/>
        <w:rPr>
          <w:sz w:val="20"/>
          <w:szCs w:val="20"/>
          <w:color w:val="auto"/>
        </w:rPr>
      </w:pPr>
    </w:p>
    <w:p>
      <w:pPr>
        <w:jc w:val="both"/>
        <w:ind w:right="80" w:firstLine="162"/>
        <w:spacing w:after="0" w:line="259" w:lineRule="auto"/>
        <w:rPr>
          <w:sz w:val="20"/>
          <w:szCs w:val="20"/>
          <w:color w:val="auto"/>
        </w:rPr>
      </w:pPr>
      <w:r>
        <w:rPr>
          <w:rFonts w:ascii="Arial" w:cs="Arial" w:eastAsia="Arial" w:hAnsi="Arial"/>
          <w:sz w:val="18"/>
          <w:szCs w:val="18"/>
          <w:color w:val="auto"/>
        </w:rPr>
        <w:t>The Warning Letter further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693" w:right="259" w:bottom="1440" w:gutter="0" w:footer="0" w:header="0"/>
        </w:sectPr>
      </w:pPr>
    </w:p>
    <w:bookmarkStart w:id="33" w:name="page34"/>
    <w:bookmarkEnd w:id="33"/>
    <w:p>
      <w:pPr>
        <w:ind w:right="220"/>
        <w:spacing w:after="0" w:line="264" w:lineRule="auto"/>
        <w:rPr>
          <w:sz w:val="20"/>
          <w:szCs w:val="20"/>
          <w:color w:val="auto"/>
        </w:rPr>
      </w:pPr>
      <w:r>
        <w:rPr>
          <w:rFonts w:ascii="Arial" w:cs="Arial" w:eastAsia="Arial" w:hAnsi="Arial"/>
          <w:sz w:val="18"/>
          <w:szCs w:val="18"/>
          <w:color w:val="auto"/>
        </w:rPr>
        <w:t>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7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Finally, the Warning Letter stated that premarket approval applications for Class III devices to which certain Quality System regulation deviations identified in the Warning Letter are reasonably related will not be approved until the violations have been corrected; however, this restriction applies only to the Munich and Arvada facilities, which do not manufacture or design devices subject to Class III premarket approval.</w:t>
      </w:r>
    </w:p>
    <w:p>
      <w:pPr>
        <w:spacing w:after="0" w:line="73" w:lineRule="exact"/>
        <w:rPr>
          <w:sz w:val="20"/>
          <w:szCs w:val="20"/>
          <w:color w:val="auto"/>
        </w:rPr>
      </w:pPr>
    </w:p>
    <w:p>
      <w:pPr>
        <w:ind w:right="60" w:firstLine="162"/>
        <w:spacing w:after="0" w:line="286" w:lineRule="auto"/>
        <w:rPr>
          <w:sz w:val="20"/>
          <w:szCs w:val="20"/>
          <w:color w:val="auto"/>
        </w:rPr>
      </w:pPr>
      <w:r>
        <w:rPr>
          <w:rFonts w:ascii="Arial" w:cs="Arial" w:eastAsia="Arial" w:hAnsi="Arial"/>
          <w:sz w:val="17"/>
          <w:szCs w:val="17"/>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 For further information, please refer to “Note 5. Product Remediation Liability” in our condensed consolidated financial statements included in this Quarterly Report on Form 10-Q.</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Liability</w:t>
      </w:r>
    </w:p>
    <w:p>
      <w:pPr>
        <w:spacing w:after="0" w:line="117" w:lineRule="exact"/>
        <w:rPr>
          <w:sz w:val="20"/>
          <w:szCs w:val="20"/>
          <w:color w:val="auto"/>
        </w:rPr>
      </w:pPr>
    </w:p>
    <w:p>
      <w:pPr>
        <w:ind w:right="140" w:firstLine="162"/>
        <w:spacing w:after="0" w:line="255" w:lineRule="auto"/>
        <w:rPr>
          <w:sz w:val="20"/>
          <w:szCs w:val="20"/>
          <w:color w:val="auto"/>
        </w:rPr>
      </w:pPr>
      <w:r>
        <w:rPr>
          <w:rFonts w:ascii="Arial" w:cs="Arial" w:eastAsia="Arial" w:hAnsi="Arial"/>
          <w:sz w:val="18"/>
          <w:szCs w:val="18"/>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w:t>
      </w:r>
    </w:p>
    <w:p>
      <w:pPr>
        <w:spacing w:after="0" w:line="85"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remainder will be paid in January 2020. Cases covered by the settlement will be dismissed as amounts are disbursed to individual plaintiffs from the qualified settlement fund.</w:t>
      </w:r>
    </w:p>
    <w:p>
      <w:pPr>
        <w:spacing w:after="0" w:line="70" w:lineRule="exact"/>
        <w:rPr>
          <w:sz w:val="20"/>
          <w:szCs w:val="20"/>
          <w:color w:val="auto"/>
        </w:rPr>
      </w:pPr>
    </w:p>
    <w:p>
      <w:pPr>
        <w:ind w:right="140" w:firstLine="162"/>
        <w:spacing w:after="0" w:line="297" w:lineRule="auto"/>
        <w:rPr>
          <w:sz w:val="20"/>
          <w:szCs w:val="20"/>
          <w:color w:val="auto"/>
        </w:rPr>
      </w:pPr>
      <w:r>
        <w:rPr>
          <w:rFonts w:ascii="Arial" w:cs="Arial" w:eastAsia="Arial" w:hAnsi="Arial"/>
          <w:sz w:val="16"/>
          <w:szCs w:val="16"/>
          <w:color w:val="auto"/>
        </w:rPr>
        <w:t>Cases in state courts in the U.S. and in jurisdictions outside the U.S. continue to progress. As of October 29, 2019, including the cases encompassed in the settlement framework described above that have not yet been dismissed, we are aware of approximately 100 filed and unfiled claims worldwide, with the majority of the claims in various federal or state courts throughout the United States.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50" w:lineRule="exact"/>
        <w:rPr>
          <w:sz w:val="20"/>
          <w:szCs w:val="20"/>
          <w:color w:val="auto"/>
        </w:rPr>
      </w:pPr>
    </w:p>
    <w:p>
      <w:pPr>
        <w:jc w:val="both"/>
        <w:ind w:right="220" w:firstLine="162"/>
        <w:spacing w:after="0" w:line="308" w:lineRule="auto"/>
        <w:rPr>
          <w:sz w:val="20"/>
          <w:szCs w:val="20"/>
          <w:color w:val="auto"/>
        </w:rPr>
      </w:pPr>
      <w:r>
        <w:rPr>
          <w:rFonts w:ascii="Arial" w:cs="Arial" w:eastAsia="Arial" w:hAnsi="Arial"/>
          <w:sz w:val="17"/>
          <w:szCs w:val="17"/>
          <w:color w:val="auto"/>
        </w:rPr>
        <w:t>In the fourth quarter of 2018, we recognized a $294.1 million provision, which represented our best estimate of the Company’s liability for these matters. At September 30, 2019, the provision was $153.0 million. For further information refer to “Note 12. Commitments and Contingencies.”</w:t>
      </w:r>
    </w:p>
    <w:p>
      <w:pPr>
        <w:spacing w:after="0" w:line="38" w:lineRule="exact"/>
        <w:rPr>
          <w:sz w:val="20"/>
          <w:szCs w:val="20"/>
          <w:color w:val="auto"/>
        </w:rPr>
      </w:pPr>
    </w:p>
    <w:p>
      <w:pPr>
        <w:jc w:val="both"/>
        <w:ind w:right="240" w:firstLine="162"/>
        <w:spacing w:after="0" w:line="264" w:lineRule="auto"/>
        <w:rPr>
          <w:sz w:val="20"/>
          <w:szCs w:val="20"/>
          <w:color w:val="auto"/>
        </w:rPr>
      </w:pPr>
      <w:r>
        <w:rPr>
          <w:rFonts w:ascii="Arial" w:cs="Arial" w:eastAsia="Arial" w:hAnsi="Arial"/>
          <w:sz w:val="18"/>
          <w:szCs w:val="18"/>
          <w:color w:val="auto"/>
        </w:rPr>
        <w:t>In July 2019, we entered into agreements with our insurance carriers to recover $33.8 million under our product liability insurance policies related to the litigation involving our 3T device. The insurance recovery was received and recognized as insurance recovery on the condensed consolidated statements of income (loss) during the three and nine months ended September 30,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Heart Valves</w:t>
      </w:r>
    </w:p>
    <w:p>
      <w:pPr>
        <w:spacing w:after="0" w:line="117"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In February 2019, Japan’s Ministry of Health, Labour and Welfare granted national reimbursement for the Perceval sutureless aortic heart valve to treat aortic valve disease.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Circulatory Support</w:t>
      </w:r>
    </w:p>
    <w:p>
      <w:pPr>
        <w:spacing w:after="0" w:line="117"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In July 2019, the FDA approved our LifeSPARC system, a new generation of the Advanced Circulatory Support pump and controller. We expect a limited commercial release in the U.S. by the end of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Cardiopulmonary</w:t>
      </w:r>
    </w:p>
    <w:p>
      <w:pPr>
        <w:spacing w:after="0" w:line="117" w:lineRule="exact"/>
        <w:rPr>
          <w:sz w:val="20"/>
          <w:szCs w:val="20"/>
          <w:color w:val="auto"/>
        </w:rPr>
      </w:pPr>
    </w:p>
    <w:p>
      <w:pPr>
        <w:ind w:right="680" w:firstLine="162"/>
        <w:spacing w:after="0" w:line="308" w:lineRule="auto"/>
        <w:rPr>
          <w:sz w:val="20"/>
          <w:szCs w:val="20"/>
          <w:color w:val="auto"/>
        </w:rPr>
      </w:pPr>
      <w:r>
        <w:rPr>
          <w:rFonts w:ascii="Arial" w:cs="Arial" w:eastAsia="Arial" w:hAnsi="Arial"/>
          <w:sz w:val="17"/>
          <w:szCs w:val="17"/>
          <w:color w:val="auto"/>
        </w:rPr>
        <w:t>In July 2019, we launched Bi-Flow, our innovative arterial femoral cannula. Bi-Flow received CE Mark approval earlier in the year and is the only bidirectional arterial cannula designed to prevent leg ischemia during cardiac surgery procedures requiring femoral artery cannulation.</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2" w:right="239" w:bottom="1440" w:gutter="0" w:footer="0" w:header="0"/>
        </w:sectPr>
      </w:pPr>
    </w:p>
    <w:bookmarkStart w:id="34" w:name="page35"/>
    <w:bookmarkEnd w:id="34"/>
    <w:p>
      <w:pPr>
        <w:spacing w:after="0"/>
        <w:rPr>
          <w:sz w:val="20"/>
          <w:szCs w:val="20"/>
          <w:color w:val="auto"/>
        </w:rPr>
      </w:pPr>
      <w:r>
        <w:rPr>
          <w:rFonts w:ascii="Arial" w:cs="Arial" w:eastAsia="Arial" w:hAnsi="Arial"/>
          <w:sz w:val="20"/>
          <w:szCs w:val="20"/>
          <w:color w:val="auto"/>
        </w:rPr>
        <w:t>Neuromodulation Update</w:t>
      </w:r>
    </w:p>
    <w:p>
      <w:pPr>
        <w:spacing w:after="0" w:line="110"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Our Neuromodulation business franchise designs, develops and markets neuromodulation therapy for the treatment of drug-resistant epilepsy, TRD and obstructive sleep apnea. We are also focused on the development and clinical testing of the VITARIA System for treating heart failure through vagus nerve stimulation.</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Depression</w:t>
      </w:r>
    </w:p>
    <w:p>
      <w:pPr>
        <w:spacing w:after="0" w:line="117"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In February 2019, the U.S. Centers for Medicare &amp; Medicaid Services (“CMS”) finalized its National Coverage Determination (“NCD”) for the LivaNova Vagus Nerve Stimulation Therapy (“VNS Therapy”) System for TRD. This final decision initiates coverage for Medicare beneficiaries through Coverage with Evidence Development (“CED”) when offered in a CMS-approved, double-blind, randomized, placebo-controlled trial with a follow-up duration of at least one year, as well as the coverage of VNS Therapy device replacement. The CED also includes the possibility to extend the study to a prospective longitudinal study.</w:t>
      </w:r>
    </w:p>
    <w:p>
      <w:pPr>
        <w:spacing w:after="0" w:line="80"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In September 2019, CMS accepted the protocol for our RECOVER clinical study, evaluating VNS Therapy for treatment-resistant depression. RECOVER is a double-blind randomized, placebo-controlled study with a follow-up duration of at least one year. The CED framework also includes the possibility to extend the study to a prospective registry. RECOVER will include up to 500 unipolar and up to 500 bipolar patients at a maximum of 100 sites in the United States. On September 27, 2019, the first patient was enrolled in the RECOVER study. Separate from the study, CMS is also covering device replacement for patients with a VNS Therapy device for TRD.</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 and Critical Accounting Estimates</w:t>
      </w:r>
    </w:p>
    <w:p>
      <w:pPr>
        <w:spacing w:after="0" w:line="110" w:lineRule="exact"/>
        <w:rPr>
          <w:sz w:val="20"/>
          <w:szCs w:val="20"/>
          <w:color w:val="auto"/>
        </w:rPr>
      </w:pPr>
    </w:p>
    <w:p>
      <w:pPr>
        <w:ind w:right="300" w:firstLine="162"/>
        <w:spacing w:after="0" w:line="264" w:lineRule="auto"/>
        <w:rPr>
          <w:sz w:val="20"/>
          <w:szCs w:val="20"/>
          <w:color w:val="auto"/>
        </w:rPr>
      </w:pPr>
      <w:r>
        <w:rPr>
          <w:rFonts w:ascii="Arial" w:cs="Arial" w:eastAsia="Arial" w:hAnsi="Arial"/>
          <w:sz w:val="18"/>
          <w:szCs w:val="18"/>
          <w:color w:val="auto"/>
        </w:rPr>
        <w:t>In addition to our critical accounting policies provided in “Part II, Item 7. Management’s Discussion and Analysis of Financial Condition and Results of Operations” included in our 2018 Form 10-K, refer to “Significant Accounting Policies” within “Note 1. Unaudited Condensed Consolidated Financial Statements” included in this Quarterly Report on Form 10-Q.</w:t>
      </w:r>
    </w:p>
    <w:p>
      <w:pPr>
        <w:spacing w:after="0" w:line="73"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The accompanying unaudited condensed consolidated financial statements of LivaNova and its consolidated subsidiaries have been prepared in accordance with U.S. GAAP on an interim basis.</w:t>
      </w:r>
    </w:p>
    <w:p>
      <w:pPr>
        <w:spacing w:after="0" w:line="62" w:lineRule="exact"/>
        <w:rPr>
          <w:sz w:val="20"/>
          <w:szCs w:val="20"/>
          <w:color w:val="auto"/>
        </w:rPr>
      </w:pPr>
    </w:p>
    <w:p>
      <w:pPr>
        <w:ind w:right="700" w:firstLine="162"/>
        <w:spacing w:after="0" w:line="277" w:lineRule="auto"/>
        <w:rPr>
          <w:sz w:val="20"/>
          <w:szCs w:val="20"/>
          <w:color w:val="auto"/>
        </w:rPr>
      </w:pPr>
      <w:r>
        <w:rPr>
          <w:rFonts w:ascii="Arial" w:cs="Arial" w:eastAsia="Arial" w:hAnsi="Arial"/>
          <w:sz w:val="18"/>
          <w:szCs w:val="18"/>
          <w:color w:val="auto"/>
        </w:rPr>
        <w:t>New accounting pronouncements are disclosed in “Note 19. New Accounting Pronouncements” contained in the condensed consolidated financial statements in this Quarterly Report on Form 10-Q.</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Other</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Brexit</w:t>
      </w:r>
    </w:p>
    <w:p>
      <w:pPr>
        <w:spacing w:after="0" w:line="117" w:lineRule="exact"/>
        <w:rPr>
          <w:sz w:val="20"/>
          <w:szCs w:val="20"/>
          <w:color w:val="auto"/>
        </w:rPr>
      </w:pPr>
    </w:p>
    <w:p>
      <w:pPr>
        <w:ind w:right="40" w:firstLine="162"/>
        <w:spacing w:after="0" w:line="291" w:lineRule="auto"/>
        <w:rPr>
          <w:sz w:val="20"/>
          <w:szCs w:val="20"/>
          <w:color w:val="auto"/>
        </w:rPr>
      </w:pPr>
      <w:r>
        <w:rPr>
          <w:rFonts w:ascii="Arial" w:cs="Arial" w:eastAsia="Arial" w:hAnsi="Arial"/>
          <w:sz w:val="16"/>
          <w:szCs w:val="16"/>
          <w:color w:val="auto"/>
        </w:rPr>
        <w:t>On June 23, 2016, the UK held a referendum in which voters approved an exit from the EU, commonly referred to as “Brexit.” On March 29, 2017, the UK government gave formal notice of its intention to leave the EU and began the process of negotiating the future terms of the UK’s relationship with the EU. Brexit could adversely affect UK, regional (including European) and worldwide economic and market conditions and could contribute to instability in global financial and foreign exchange markets, including volatility in the value of the British Pound and Euro. We have foreign exchange exposure management programs designed to help minimize the impact from foreign currency exchange rate movements. For the three months ended September 30, 2019 and 2018, net sales generated from our European operations constituted approximately 18.7% and 18.8%, respectively, of total net sales. For the nine months ended September 30, 2019 and 2018, net sales generated from our European operations constituted approximately 20.7% and 21.0%, respectively.</w:t>
      </w:r>
    </w:p>
    <w:p>
      <w:pPr>
        <w:spacing w:after="0" w:line="59"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 xml:space="preserve">Negotiations between the UK and the EU continue about provisions of the withdrawal agreement. Unless the deadline is further extended, the UK will leave the EU on January 31, 2020. Although the long-term effects of Brexit will depend on any agreements the UK makes to retain access to the EU markets, Brexit has created additional uncertainties that may ultimately result in new regulatory costs and challenges for medical device companies and increased restrictions on imports and exports throughout Europe. This could adversely affect our ability to conduct and expand our operations in Europe and may have an adverse effect on our overall business, financial condition and results of operations. For additional information on how Brexit could affect our business, see “Part I, Item 1A Risk Factors - </w:t>
      </w:r>
      <w:r>
        <w:rPr>
          <w:rFonts w:ascii="Arial" w:cs="Arial" w:eastAsia="Arial" w:hAnsi="Arial"/>
          <w:sz w:val="17"/>
          <w:szCs w:val="17"/>
          <w:i w:val="1"/>
          <w:iCs w:val="1"/>
          <w:color w:val="auto"/>
        </w:rPr>
        <w:t>The UK’s vote in favor of withdrawing from the EU could lead to increased market volatility and make it more difficult for us</w:t>
      </w:r>
      <w:r>
        <w:rPr>
          <w:rFonts w:ascii="Arial" w:cs="Arial" w:eastAsia="Arial" w:hAnsi="Arial"/>
          <w:sz w:val="17"/>
          <w:szCs w:val="17"/>
          <w:color w:val="auto"/>
        </w:rPr>
        <w:t xml:space="preserve"> </w:t>
      </w:r>
      <w:r>
        <w:rPr>
          <w:rFonts w:ascii="Arial" w:cs="Arial" w:eastAsia="Arial" w:hAnsi="Arial"/>
          <w:sz w:val="17"/>
          <w:szCs w:val="17"/>
          <w:i w:val="1"/>
          <w:iCs w:val="1"/>
          <w:color w:val="auto"/>
        </w:rPr>
        <w:t>to do business in Europe or have other adverse effects on our business</w:t>
      </w:r>
      <w:r>
        <w:rPr>
          <w:rFonts w:ascii="Arial" w:cs="Arial" w:eastAsia="Arial" w:hAnsi="Arial"/>
          <w:sz w:val="17"/>
          <w:szCs w:val="17"/>
          <w:color w:val="auto"/>
        </w:rPr>
        <w:t>” of our 2018 Form 10-K.</w:t>
      </w:r>
    </w:p>
    <w:p>
      <w:pPr>
        <w:spacing w:after="0" w:line="70" w:lineRule="exact"/>
        <w:rPr>
          <w:sz w:val="20"/>
          <w:szCs w:val="20"/>
          <w:color w:val="auto"/>
        </w:rPr>
      </w:pPr>
    </w:p>
    <w:p>
      <w:pPr>
        <w:ind w:right="120" w:firstLine="162"/>
        <w:spacing w:after="0" w:line="302" w:lineRule="auto"/>
        <w:rPr>
          <w:sz w:val="20"/>
          <w:szCs w:val="20"/>
          <w:color w:val="auto"/>
        </w:rPr>
      </w:pPr>
      <w:r>
        <w:rPr>
          <w:rFonts w:ascii="Arial" w:cs="Arial" w:eastAsia="Arial" w:hAnsi="Arial"/>
          <w:sz w:val="16"/>
          <w:szCs w:val="16"/>
          <w:color w:val="auto"/>
        </w:rPr>
        <w:t>The notification does not change the application of existing tax laws and does not establish a clear framework for what the ultimate outcome of the negotiations and legislative process will be. Various tax reliefs and exemptions that apply to transactions between EU Member States under existing tax laws may cease to apply to transactions between the UK and EU Member States when the UK ultimately withdraws from the EU. It is unclear at this stage if or when any new tax treaties between the UK and the EU or individual EU Member States will replace those reliefs and exemptions. It is also unclear at this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03" w:right="239" w:bottom="1440" w:gutter="0" w:footer="0" w:header="0"/>
        </w:sectPr>
      </w:pPr>
    </w:p>
    <w:bookmarkStart w:id="35" w:name="page36"/>
    <w:bookmarkEnd w:id="35"/>
    <w:p>
      <w:pPr>
        <w:ind w:right="240"/>
        <w:spacing w:after="0" w:line="277" w:lineRule="auto"/>
        <w:rPr>
          <w:sz w:val="20"/>
          <w:szCs w:val="20"/>
          <w:color w:val="auto"/>
        </w:rPr>
      </w:pPr>
      <w:r>
        <w:rPr>
          <w:rFonts w:ascii="Arial" w:cs="Arial" w:eastAsia="Arial" w:hAnsi="Arial"/>
          <w:sz w:val="18"/>
          <w:szCs w:val="18"/>
          <w:color w:val="auto"/>
        </w:rPr>
        <w:t>stage what financial, trade and legal implications will ensue from Brexit and how Brexit may ultimately affect us, our customers, suppliers, vendors, or our industry.</w:t>
      </w:r>
    </w:p>
    <w:p>
      <w:pPr>
        <w:spacing w:after="0" w:line="62" w:lineRule="exact"/>
        <w:rPr>
          <w:sz w:val="20"/>
          <w:szCs w:val="20"/>
          <w:color w:val="auto"/>
        </w:rPr>
      </w:pPr>
    </w:p>
    <w:p>
      <w:pPr>
        <w:ind w:right="120" w:firstLine="162"/>
        <w:spacing w:after="0" w:line="279" w:lineRule="auto"/>
        <w:rPr>
          <w:sz w:val="20"/>
          <w:szCs w:val="20"/>
          <w:color w:val="auto"/>
        </w:rPr>
      </w:pPr>
      <w:r>
        <w:rPr>
          <w:rFonts w:ascii="Arial" w:cs="Arial" w:eastAsia="Arial" w:hAnsi="Arial"/>
          <w:sz w:val="17"/>
          <w:szCs w:val="17"/>
          <w:color w:val="auto"/>
        </w:rPr>
        <w:t>We and several of our wholly owned subsidiaries that are domiciled either in the UK, various EU Member States, or in the U.S., are party to intercompany transactions and agreements under which we receive various tax reliefs and exemptions in accordance with applicable international tax laws, treaties and regulations. If certain treaties applicable to our transactions and agreements change materially, Brexit may have a material adverse impact on our future financial results and results of operations. We continue to monitor and assess the potential impact of this event.</w:t>
      </w:r>
    </w:p>
    <w:p>
      <w:pPr>
        <w:spacing w:after="0" w:line="63"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We will not account for the impact of Brexit in our income tax provisions until changes in tax laws or treaties between the UK and the EU or individual EU Member States with the UK and/or the U.S. are enacted, or the withdrawal becomes effective.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European Union State Aid Challenge</w:t>
      </w:r>
    </w:p>
    <w:p>
      <w:pPr>
        <w:spacing w:after="0" w:line="117" w:lineRule="exact"/>
        <w:rPr>
          <w:sz w:val="20"/>
          <w:szCs w:val="20"/>
          <w:color w:val="auto"/>
        </w:rPr>
      </w:pPr>
    </w:p>
    <w:p>
      <w:pPr>
        <w:ind w:firstLine="162"/>
        <w:spacing w:after="0" w:line="269" w:lineRule="auto"/>
        <w:rPr>
          <w:sz w:val="20"/>
          <w:szCs w:val="20"/>
          <w:color w:val="auto"/>
        </w:rPr>
      </w:pPr>
      <w:r>
        <w:rPr>
          <w:rFonts w:ascii="Arial" w:cs="Arial" w:eastAsia="Arial" w:hAnsi="Arial"/>
          <w:sz w:val="17"/>
          <w:szCs w:val="17"/>
          <w:color w:val="auto"/>
        </w:rPr>
        <w:t>On October 26, 2017, the European Commission (“EC”) announced that an investigation will be opened with respect to the UK’s controlled foreign company (“CFC”) rules. The CFC rules under investigation provide group finance exemptions (“GFE”) to entities controlled by UK parent companies that are subject to lower tax rates if the activities being undertaken by the CFC relate to financing. On April 2, 2019, the EC concluded that “when financing income from a foreign group company, channeled through an offshore subsidiary, is financed with UK connected capital and there are no UK activities involved in generating the finance profits, the group finance exemption is justified and does not constitute State aid under EU rules.” However, in relation to Significant People Functions, “when financing income from a foreign group company, channeled through an offshore subsidiary, derives from UK activities, the group finance exemption is not justified and constitutes State aid under EU rules.” Her Majesty’s Revenue and Customs (“HMRC”) has stated that they do not consider the timing and form of the UK’s exit from the EU will have a practical impact on the requirement to recover the alleged aid. On June 14, 2019, the UK filed an appeal to the Commission’s decision. HMRC will still proceed to identify Chapter 9 claims and collect the alleged state aid during the appeal process. Based upon our assessment of the issue and the limited level of UK activities involved in our financing, no uncertain tax position reserve has been recognized related to this matter.</w:t>
      </w: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6" w:name="page37"/>
    <w:bookmarkEnd w:id="36"/>
    <w:p>
      <w:pPr>
        <w:spacing w:after="0"/>
        <w:rPr>
          <w:sz w:val="20"/>
          <w:szCs w:val="20"/>
          <w:color w:val="auto"/>
        </w:rPr>
      </w:pPr>
      <w:r>
        <w:rPr>
          <w:rFonts w:ascii="Arial" w:cs="Arial" w:eastAsia="Arial" w:hAnsi="Arial"/>
          <w:sz w:val="20"/>
          <w:szCs w:val="20"/>
          <w:color w:val="auto"/>
        </w:rPr>
        <w:t>Results of Operations</w:t>
      </w:r>
    </w:p>
    <w:p>
      <w:pPr>
        <w:spacing w:after="0" w:line="110"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We are reporting, in this Quarterly Report on Form 10-Q, the results for LivaNova and its consolidated subsidiaries for the three and nine months ended September 30, 2019, as compared to the three and nine months ended September 30, 2018.</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condensed consolidated results of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268,610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272,082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796,580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809,978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 - exclusive of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245,324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270,891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Product remediation</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8,691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123,015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375,932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342,736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45,904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42,417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124,023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108,384</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2,793</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29,690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28,075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 recovery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Operating income (loss) from continuing operations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25,761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(24,894)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28,380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(7,750)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exchange and other gains (losses)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before tax</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21,465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31,907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Net income (loss) from continuing operations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32,118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31,077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from discontinued operations,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(9,915)</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32,118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21,162</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54"/>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69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00"/>
          </w:cols>
          <w:pgMar w:left="240" w:top="703" w:right="259" w:bottom="1440" w:gutter="0" w:footer="0" w:header="0"/>
        </w:sectPr>
      </w:pPr>
    </w:p>
    <w:bookmarkStart w:id="37" w:name="page38"/>
    <w:bookmarkEnd w:id="37"/>
    <w:p>
      <w:pPr>
        <w:spacing w:after="0"/>
        <w:rPr>
          <w:sz w:val="20"/>
          <w:szCs w:val="20"/>
          <w:color w:val="auto"/>
        </w:rPr>
      </w:pPr>
      <w:r>
        <w:rPr>
          <w:rFonts w:ascii="Arial" w:cs="Arial" w:eastAsia="Arial" w:hAnsi="Arial"/>
          <w:sz w:val="20"/>
          <w:szCs w:val="20"/>
          <w:color w:val="auto"/>
        </w:rPr>
        <w:t>Net Sales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presents net sales by operating segment and geographic region (in thousands, except for percentages):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7"/>
          </w:tcPr>
          <w:p>
            <w:pPr>
              <w:ind w:left="48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760" w:type="dxa"/>
            <w:vAlign w:val="bottom"/>
            <w:gridSpan w:val="6"/>
          </w:tcPr>
          <w:p>
            <w:pPr>
              <w:jc w:val="right"/>
              <w:ind w:right="7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 Increase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 Increase</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(Decrease)</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33"/>
        </w:trPr>
        <w:tc>
          <w:tcPr>
            <w:tcW w:w="32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Cardiopulmonary</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40,396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120,980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220" w:type="dxa"/>
            <w:vAlign w:val="bottom"/>
          </w:tcPr>
          <w:p>
            <w:pPr>
              <w:ind w:left="48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30,052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32,186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99,933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104,972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55,358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152,650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163,757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120,014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127,940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372,163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389,709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Heart Valves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6,145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13,660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18,828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220" w:type="dxa"/>
            <w:vAlign w:val="bottom"/>
          </w:tcPr>
          <w:p>
            <w:pPr>
              <w:ind w:left="48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14,679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16,980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45,162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32,546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97,390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3220" w:type="dxa"/>
            <w:vAlign w:val="bottom"/>
          </w:tcPr>
          <w:p>
            <w:pPr>
              <w:ind w:left="260"/>
              <w:spacing w:after="0"/>
              <w:rPr>
                <w:sz w:val="20"/>
                <w:szCs w:val="20"/>
                <w:color w:val="auto"/>
              </w:rPr>
            </w:pPr>
            <w:r>
              <w:rPr>
                <w:rFonts w:ascii="Arial" w:cs="Arial" w:eastAsia="Arial" w:hAnsi="Arial"/>
                <w:sz w:val="18"/>
                <w:szCs w:val="18"/>
                <w:b w:val="1"/>
                <w:bCs w:val="1"/>
                <w:color w:val="auto"/>
              </w:rPr>
              <w:t>Advanced Circulatory Support</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95.3 %</w:t>
            </w:r>
          </w:p>
        </w:tc>
        <w:tc>
          <w:tcPr>
            <w:tcW w:w="0" w:type="dxa"/>
            <w:vAlign w:val="bottom"/>
          </w:tcPr>
          <w:p>
            <w:pPr>
              <w:spacing w:after="0"/>
              <w:rPr>
                <w:sz w:val="1"/>
                <w:szCs w:val="1"/>
                <w:color w:val="auto"/>
              </w:rPr>
            </w:pPr>
          </w:p>
        </w:tc>
      </w:tr>
      <w:tr>
        <w:trPr>
          <w:trHeight w:val="243"/>
        </w:trPr>
        <w:tc>
          <w:tcPr>
            <w:tcW w:w="3220" w:type="dxa"/>
            <w:vAlign w:val="bottom"/>
          </w:tcPr>
          <w:p>
            <w:pPr>
              <w:ind w:left="48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389.5 %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6,535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6,075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23,097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12,090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91.0 %</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Cardiovascular</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49,993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52,488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155,530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151,223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41,645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138,763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65,623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72,428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196,444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209,203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166,561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483,161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499,189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Neuromodulation</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87,194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245,870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254,581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10,425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9,497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31,731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65.8 %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23,128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112,543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104,943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311,461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309,440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2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1,349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45.1 %</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138,426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139,682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401,400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405,804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50,235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51,142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165,267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170,494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79,949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81,258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229,913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233,680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268,610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272,082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796,580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809,978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hanging="328"/>
        <w:spacing w:after="0" w:line="293"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03" w:right="239" w:bottom="1440" w:gutter="0" w:footer="0" w:header="0"/>
        </w:sectPr>
      </w:pPr>
    </w:p>
    <w:bookmarkStart w:id="38" w:name="page39"/>
    <w:bookmarkEnd w:id="38"/>
    <w:p>
      <w:pPr>
        <w:ind w:left="180"/>
        <w:spacing w:after="0"/>
        <w:rPr>
          <w:sz w:val="20"/>
          <w:szCs w:val="20"/>
          <w:color w:val="auto"/>
        </w:rPr>
      </w:pPr>
      <w:r>
        <w:rPr>
          <w:rFonts w:ascii="Arial" w:cs="Arial" w:eastAsia="Arial" w:hAnsi="Arial"/>
          <w:sz w:val="18"/>
          <w:szCs w:val="18"/>
          <w:color w:val="auto"/>
        </w:rPr>
        <w:t>The table below presents segment income from continuing operations (in thousands, except for percentages):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gridSpan w:val="7"/>
          </w:tcPr>
          <w:p>
            <w:pPr>
              <w:ind w:left="220"/>
              <w:spacing w:after="0"/>
              <w:rPr>
                <w:sz w:val="20"/>
                <w:szCs w:val="20"/>
                <w:color w:val="auto"/>
              </w:rPr>
            </w:pPr>
            <w:r>
              <w:rPr>
                <w:rFonts w:ascii="Arial" w:cs="Arial" w:eastAsia="Arial" w:hAnsi="Arial"/>
                <w:sz w:val="18"/>
                <w:szCs w:val="18"/>
                <w:b w:val="1"/>
                <w:bCs w:val="1"/>
                <w:color w:val="auto"/>
              </w:rPr>
              <w:t>Three Months Ended September 30,</w:t>
            </w:r>
          </w:p>
        </w:tc>
        <w:tc>
          <w:tcPr>
            <w:tcW w:w="240" w:type="dxa"/>
            <w:vAlign w:val="bottom"/>
          </w:tcPr>
          <w:p>
            <w:pPr>
              <w:spacing w:after="0"/>
              <w:rPr>
                <w:sz w:val="20"/>
                <w:szCs w:val="20"/>
                <w:color w:val="auto"/>
              </w:rPr>
            </w:pPr>
          </w:p>
        </w:tc>
        <w:tc>
          <w:tcPr>
            <w:tcW w:w="3460" w:type="dxa"/>
            <w:vAlign w:val="bottom"/>
            <w:gridSpan w:val="6"/>
          </w:tcPr>
          <w:p>
            <w:pPr>
              <w:jc w:val="right"/>
              <w:ind w:right="41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269.8 %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36,378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30,010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36,432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52,260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132,377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(89,479)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9"/>
        </w:trPr>
        <w:tc>
          <w:tcPr>
            <w:tcW w:w="3880" w:type="dxa"/>
            <w:vAlign w:val="bottom"/>
          </w:tcPr>
          <w:p>
            <w:pPr>
              <w:ind w:left="40"/>
              <w:spacing w:after="0"/>
              <w:rPr>
                <w:sz w:val="20"/>
                <w:szCs w:val="20"/>
                <w:color w:val="auto"/>
              </w:rPr>
            </w:pPr>
            <w:r>
              <w:rPr>
                <w:rFonts w:ascii="Arial" w:cs="Arial" w:eastAsia="Arial" w:hAnsi="Arial"/>
                <w:sz w:val="18"/>
                <w:szCs w:val="18"/>
                <w:color w:val="auto"/>
                <w:w w:val="97"/>
              </w:rPr>
              <w:t>Total reportable segment income from continuing</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44,321</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16,795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23,704</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79,276</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80" w:type="dxa"/>
            <w:vAlign w:val="bottom"/>
          </w:tcPr>
          <w:p>
            <w:pPr>
              <w:ind w:left="40"/>
              <w:spacing w:after="0" w:line="244" w:lineRule="exact"/>
              <w:rPr>
                <w:sz w:val="20"/>
                <w:szCs w:val="20"/>
                <w:color w:val="auto"/>
              </w:rPr>
            </w:pPr>
            <w:r>
              <w:rPr>
                <w:rFonts w:ascii="Arial" w:cs="Arial" w:eastAsia="Arial" w:hAnsi="Arial"/>
                <w:sz w:val="18"/>
                <w:szCs w:val="18"/>
                <w:color w:val="auto"/>
              </w:rPr>
              <w:t xml:space="preserve">operations </w:t>
            </w:r>
            <w:r>
              <w:rPr>
                <w:rFonts w:ascii="Arial" w:cs="Arial" w:eastAsia="Arial" w:hAnsi="Arial"/>
                <w:sz w:val="25"/>
                <w:szCs w:val="25"/>
                <w:color w:val="auto"/>
                <w:vertAlign w:val="superscript"/>
              </w:rPr>
              <w:t>(1)</w:t>
            </w:r>
          </w:p>
        </w:tc>
        <w:tc>
          <w:tcPr>
            <w:tcW w:w="26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163.9 %</w:t>
            </w:r>
          </w:p>
        </w:tc>
        <w:tc>
          <w:tcPr>
            <w:tcW w:w="120" w:type="dxa"/>
            <w:vAlign w:val="bottom"/>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580" w:hanging="328"/>
        <w:spacing w:after="0" w:line="293"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For a reconciliation of segment income from continuing operations to income (loss) from continuing operations before tax refer to “Note 17. Geographic and Segment Information” in the condensed consolidated financial statements in this Quarterly Report on Form 10-Q.</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Cardiovascular</w:t>
      </w:r>
    </w:p>
    <w:p>
      <w:pPr>
        <w:spacing w:after="0" w:line="110" w:lineRule="exact"/>
        <w:rPr>
          <w:sz w:val="20"/>
          <w:szCs w:val="20"/>
          <w:color w:val="auto"/>
        </w:rPr>
      </w:pPr>
    </w:p>
    <w:p>
      <w:pPr>
        <w:ind w:right="80" w:firstLine="162"/>
        <w:spacing w:after="0" w:line="287" w:lineRule="auto"/>
        <w:rPr>
          <w:sz w:val="20"/>
          <w:szCs w:val="20"/>
          <w:color w:val="auto"/>
        </w:rPr>
      </w:pPr>
      <w:r>
        <w:rPr>
          <w:rFonts w:ascii="Arial" w:cs="Arial" w:eastAsia="Arial" w:hAnsi="Arial"/>
          <w:sz w:val="16"/>
          <w:szCs w:val="16"/>
          <w:color w:val="auto"/>
        </w:rPr>
        <w:t>Cardiovascular net sales for the three and nine months ended September 30, 2019 compared to the three and nine months ended September 30, 2018 decreased 6.7% and 3.2%, respectively. The decline in net sales for the three month period was due to declines in Cardiopulmonary and Heart Valves sales of 6.2% and 11.3%, respectively. Cardiopulmonary sales of $120.0 million were negatively impacted as a result of exiting a Canadian distribution agreement on January 1, 2019 that accounted for $8.0 million in sales during the three months ended September 30, 2018. Growth in oxygenator and cannula sales was offset by a decline in heart-lung machine sales and the impacts of foreign currency. Heart Valves sales declined primarily as a result of softness in the U.S. and the impacts of foreign currency. The decline in Cardiovascular net sales for the nine month period was due to declines in Cardiopulmonary and Heart Valves sales of 4.5% and 9.7%, respectively, partially offset by a $11.0 million increase in Advanced Circulatory Support sales due to strong growth in the first half of 2019 and the inclusion of the operating results of TandemLife starting from the acquisition date in April 2018. Cardiopulmonary sales of $372.2 million were negatively impacted as a result of exiting a Canadian distribution agreement on January 1, 2019 that accounted for $24.4 million in sales during the nine months ended September 30, 2018 offset by growth in oxygenator sales in the Rest of world region. Heart Valves sales were negatively impacted by declines tissue valve sales and the impacts of foreign currency.</w:t>
      </w:r>
    </w:p>
    <w:p>
      <w:pPr>
        <w:spacing w:after="0" w:line="65" w:lineRule="exact"/>
        <w:rPr>
          <w:sz w:val="20"/>
          <w:szCs w:val="20"/>
          <w:color w:val="auto"/>
        </w:rPr>
      </w:pPr>
    </w:p>
    <w:p>
      <w:pPr>
        <w:ind w:right="100" w:firstLine="162"/>
        <w:spacing w:after="0" w:line="297" w:lineRule="auto"/>
        <w:rPr>
          <w:sz w:val="20"/>
          <w:szCs w:val="20"/>
          <w:color w:val="auto"/>
        </w:rPr>
      </w:pPr>
      <w:r>
        <w:rPr>
          <w:rFonts w:ascii="Arial" w:cs="Arial" w:eastAsia="Arial" w:hAnsi="Arial"/>
          <w:sz w:val="16"/>
          <w:szCs w:val="16"/>
          <w:color w:val="auto"/>
        </w:rPr>
        <w:t>Cardiovascular operating income for the three and nine months ended September 30, 2019 compared to the three and nine months ended September 30, 2018 increased primarily due to receipt of insurance recovery proceeds related to the litigation involving our 3T device of $33.8 million and the amortization of inventory step up value associated with the acquisition of TandemLife of $4.0 million and $8.0 million for the three and nine months ended September 30, 2018, respectively, partially offset by increased litigation expenses associated with our 3T device and a decrease in net sales. Operating income for the nine months ended September 30, 2019 was also negatively impacted by expenses associated with the expiration of a contract with one of our distributors.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Neuromodulation</w:t>
      </w:r>
    </w:p>
    <w:p>
      <w:pPr>
        <w:spacing w:after="0" w:line="110" w:lineRule="exact"/>
        <w:rPr>
          <w:sz w:val="20"/>
          <w:szCs w:val="20"/>
          <w:color w:val="auto"/>
        </w:rPr>
      </w:pPr>
    </w:p>
    <w:p>
      <w:pPr>
        <w:ind w:right="20" w:firstLine="162"/>
        <w:spacing w:after="0" w:line="291" w:lineRule="auto"/>
        <w:rPr>
          <w:sz w:val="20"/>
          <w:szCs w:val="20"/>
          <w:color w:val="auto"/>
        </w:rPr>
      </w:pPr>
      <w:r>
        <w:rPr>
          <w:rFonts w:ascii="Arial" w:cs="Arial" w:eastAsia="Arial" w:hAnsi="Arial"/>
          <w:sz w:val="16"/>
          <w:szCs w:val="16"/>
          <w:color w:val="auto"/>
        </w:rPr>
        <w:t>Neuromodulation net sales for the three and nine months ended September 30, 2019 compared to the three and nine months ended September 30, 2018 increased 7.2% and 0.7%, respectively. The increase in net sales for the three month period was due to strong growth in the Europe and Rest of world regions. The growth in Europe was attributable to the continued adoption of Sentiva and a strong performance in the UK, France, Germany and Spain, while the sales growth in the Rest of world region was driven by a strong performance in the Middle East, China, Eastern Europe, and Brazil from our commercial expansion and go to market strategies. Additionally, U.S sales grew 1.4% as the competitive dynamics and sales force turnover experienced during the first quarter of 2019 continue to moderate. The increase in sales for the nine month period was due to strong growth in the Europe and Rest of world regions partially offset by weakness in the U.S. market principally due to competitive dynamics and sales force turnover during the first half of 2019.</w:t>
      </w:r>
    </w:p>
    <w:p>
      <w:pPr>
        <w:spacing w:after="0" w:line="127" w:lineRule="exact"/>
        <w:rPr>
          <w:sz w:val="20"/>
          <w:szCs w:val="20"/>
          <w:color w:val="auto"/>
        </w:rPr>
      </w:pPr>
    </w:p>
    <w:p>
      <w:pPr>
        <w:ind w:firstLine="162"/>
        <w:spacing w:after="0" w:line="297" w:lineRule="auto"/>
        <w:rPr>
          <w:sz w:val="20"/>
          <w:szCs w:val="20"/>
          <w:color w:val="auto"/>
        </w:rPr>
      </w:pPr>
      <w:r>
        <w:rPr>
          <w:rFonts w:ascii="Arial" w:cs="Arial" w:eastAsia="Arial" w:hAnsi="Arial"/>
          <w:sz w:val="16"/>
          <w:szCs w:val="16"/>
          <w:color w:val="auto"/>
        </w:rPr>
        <w:t>Neuromodulation operating income for the three months ended September 30, 2019 compared to the three months ended September 30, 2018 decreased due to increased costs associated with changes in the fair value of contingent consideration, increased selling costs in the U.S. and increased R&amp;D expenses associated with TRD and heart failure, partially offset by an increase in net sales. Neuromodulation operating income for the nine months ended September 30, 2019 compared to the nine months ended September 30, 2018 decreased primarily due to a $50.3 million impairment of an IPR&amp;D asset associated with obstructive sleep apnea, increased selling costs in the U.S. and increased R&amp;D expenses associated with TRD and heart failure.</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2" w:right="23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Cost of Sales and Expenses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8"/>
          </w:tcPr>
          <w:p>
            <w:pPr>
              <w:ind w:left="180"/>
              <w:spacing w:after="0"/>
              <w:rPr>
                <w:sz w:val="20"/>
                <w:szCs w:val="20"/>
                <w:color w:val="auto"/>
              </w:rPr>
            </w:pPr>
            <w:r>
              <w:rPr>
                <w:rFonts w:ascii="Arial" w:cs="Arial" w:eastAsia="Arial" w:hAnsi="Arial"/>
                <w:sz w:val="18"/>
                <w:szCs w:val="18"/>
                <w:color w:val="auto"/>
                <w:w w:val="90"/>
              </w:rPr>
              <w:t>The table below presents our comparative cost of sales and significant expenses as a percentage of sales: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3720" w:type="dxa"/>
            <w:vAlign w:val="bottom"/>
          </w:tcPr>
          <w:p>
            <w:pPr>
              <w:spacing w:after="0"/>
              <w:rPr>
                <w:sz w:val="24"/>
                <w:szCs w:val="24"/>
                <w:color w:val="auto"/>
              </w:rPr>
            </w:pPr>
          </w:p>
        </w:tc>
        <w:tc>
          <w:tcPr>
            <w:tcW w:w="4140" w:type="dxa"/>
            <w:vAlign w:val="bottom"/>
            <w:gridSpan w:val="7"/>
          </w:tcPr>
          <w:p>
            <w:pPr>
              <w:ind w:left="520"/>
              <w:spacing w:after="0"/>
              <w:rPr>
                <w:sz w:val="20"/>
                <w:szCs w:val="20"/>
                <w:color w:val="auto"/>
              </w:rPr>
            </w:pPr>
            <w:r>
              <w:rPr>
                <w:rFonts w:ascii="Arial" w:cs="Arial" w:eastAsia="Arial" w:hAnsi="Arial"/>
                <w:sz w:val="18"/>
                <w:szCs w:val="18"/>
                <w:b w:val="1"/>
                <w:bCs w:val="1"/>
                <w:color w:val="auto"/>
              </w:rPr>
              <w:t>Three Months Ended September 30,</w:t>
            </w:r>
          </w:p>
        </w:tc>
        <w:tc>
          <w:tcPr>
            <w:tcW w:w="354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Nine Months Ended September 30,</w:t>
            </w:r>
          </w:p>
        </w:tc>
      </w:tr>
      <w:tr>
        <w:trPr>
          <w:trHeight w:val="27"/>
        </w:trPr>
        <w:tc>
          <w:tcPr>
            <w:tcW w:w="37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580" w:type="dxa"/>
            <w:vAlign w:val="bottom"/>
            <w:gridSpan w:val="3"/>
          </w:tcPr>
          <w:p>
            <w:pPr>
              <w:ind w:left="32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7"/>
        </w:trPr>
        <w:tc>
          <w:tcPr>
            <w:tcW w:w="37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exclusive of amortization</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Product remediation</w:t>
            </w:r>
          </w:p>
        </w:tc>
        <w:tc>
          <w:tcPr>
            <w:tcW w:w="120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jc w:val="right"/>
              <w:spacing w:after="0"/>
              <w:rPr>
                <w:sz w:val="20"/>
                <w:szCs w:val="20"/>
                <w:color w:val="auto"/>
              </w:rPr>
            </w:pPr>
            <w:r>
              <w:rPr>
                <w:rFonts w:ascii="Arial" w:cs="Arial" w:eastAsia="Arial" w:hAnsi="Arial"/>
                <w:sz w:val="18"/>
                <w:szCs w:val="18"/>
                <w:color w:val="auto"/>
              </w:rPr>
              <w:t>17.1 %</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7"/>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120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200" w:type="dxa"/>
            <w:vAlign w:val="bottom"/>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 recovery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37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Cost of Sales - Exclusive of Amortization</w:t>
      </w:r>
    </w:p>
    <w:p>
      <w:pPr>
        <w:spacing w:after="0" w:line="110" w:lineRule="exact"/>
        <w:rPr>
          <w:sz w:val="20"/>
          <w:szCs w:val="20"/>
          <w:color w:val="auto"/>
        </w:rPr>
      </w:pPr>
    </w:p>
    <w:p>
      <w:pPr>
        <w:ind w:right="100" w:firstLine="162"/>
        <w:spacing w:after="0" w:line="276" w:lineRule="auto"/>
        <w:rPr>
          <w:sz w:val="20"/>
          <w:szCs w:val="20"/>
          <w:color w:val="auto"/>
        </w:rPr>
      </w:pPr>
      <w:r>
        <w:rPr>
          <w:rFonts w:ascii="Arial" w:cs="Arial" w:eastAsia="Arial" w:hAnsi="Arial"/>
          <w:sz w:val="17"/>
          <w:szCs w:val="17"/>
          <w:color w:val="auto"/>
        </w:rPr>
        <w:t>Cost of sales consisted primarily of direct labor, allocated manufacturing overhead and the acquisition cost of raw materials and components. Cost of sales as a percentage of net sales for the three and nine months ended September 30, 2019 compared to the three and nine months ended September 30, 2018 decreased primarily due to the amortization of inventory step up value associated with the acquisition of TandemLife of $4.0 million and $8.0 million for the three and nine months ended September 30, 2018, respectively, reduced expense associated with changes in the fair value of sales-based contingent consideration arrangements, favorable product mix and pricing and the impacts of foreign currency.</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Sales, General and Administrative (“SG&amp;A”) Expenses</w:t>
      </w:r>
    </w:p>
    <w:p>
      <w:pPr>
        <w:spacing w:after="0" w:line="11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SG&amp;A expenses consisted of sales, marketing, general and administrative activities. SG&amp;A expenses as a percentage of net sales for the three and nine months ended September 30, 2019 compared to the three and nine months ended September 30, 2018 increased primarily due to additional litigation expenses related to our 3T devices, the full impact of expanding Advanced Circulatory Support commercial capabilities, increased investment in Neuromodulation, strengthening our commercial organization in international markets and costs associated with material weakness remediation. SG&amp;A expenses for the nine months ended September 30, 2019 were also negatively affected by expenses associated with the expiration of a contract with one of our distributors and overall lower sales.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(“R&amp;D”) Expenses</w:t>
      </w:r>
    </w:p>
    <w:p>
      <w:pPr>
        <w:spacing w:after="0" w:line="110" w:lineRule="exact"/>
        <w:rPr>
          <w:sz w:val="20"/>
          <w:szCs w:val="20"/>
          <w:color w:val="auto"/>
        </w:rPr>
      </w:pPr>
    </w:p>
    <w:p>
      <w:pPr>
        <w:ind w:right="80" w:firstLine="162"/>
        <w:spacing w:after="0" w:line="297" w:lineRule="auto"/>
        <w:rPr>
          <w:sz w:val="20"/>
          <w:szCs w:val="20"/>
          <w:color w:val="auto"/>
        </w:rPr>
      </w:pPr>
      <w:r>
        <w:rPr>
          <w:rFonts w:ascii="Arial" w:cs="Arial" w:eastAsia="Arial" w:hAnsi="Arial"/>
          <w:sz w:val="16"/>
          <w:szCs w:val="16"/>
          <w:color w:val="auto"/>
        </w:rPr>
        <w:t>R&amp;D expenses consist of product design and development efforts, clinical study programs and regulatory activities, which are essential to our strategic portfolio initiatives, including TMVR, TRD, obstructive sleep apnea and heart failure. R&amp;D expenses as a percentage of net sales for the three months ended September 30, 2019 compared to the three months ended September 30, 2018 increased primarily due to additional R&amp;D expenses associated with TRD and heart failure. R&amp;D expenses as a percentage of net sales for the nine months ended September 30, 2019 compared to the nine months ended September 30, 2018 increased primarily due to additional R&amp;D expenses associated with advanced circulatory support, heart failure and TRD.</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Merger and Integration (“M&amp;I”) Expenses</w:t>
      </w:r>
    </w:p>
    <w:p>
      <w:pPr>
        <w:spacing w:after="0" w:line="110" w:lineRule="exact"/>
        <w:rPr>
          <w:sz w:val="20"/>
          <w:szCs w:val="20"/>
          <w:color w:val="auto"/>
        </w:rPr>
      </w:pPr>
    </w:p>
    <w:p>
      <w:pPr>
        <w:ind w:right="240" w:firstLine="162"/>
        <w:spacing w:after="0" w:line="286" w:lineRule="auto"/>
        <w:rPr>
          <w:sz w:val="20"/>
          <w:szCs w:val="20"/>
          <w:color w:val="auto"/>
        </w:rPr>
      </w:pPr>
      <w:r>
        <w:rPr>
          <w:rFonts w:ascii="Arial" w:cs="Arial" w:eastAsia="Arial" w:hAnsi="Arial"/>
          <w:sz w:val="17"/>
          <w:szCs w:val="17"/>
          <w:color w:val="auto"/>
        </w:rPr>
        <w:t>M&amp;I expenses consist primarily of costs associated with systems integration efforts, organizational structure integration, synergy and tax planning. M&amp;I expenses as a percentage of net sales for the three months ended September 30, 2019 compared to the three months ended September 30, 2018 decreased primarily due to efforts undertaken in 2018 to improve and standardize product pricing and procurement strategies.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Impairment of Intangible Assets</w:t>
      </w:r>
    </w:p>
    <w:p>
      <w:pPr>
        <w:spacing w:after="0" w:line="110"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During the second quarter of 2019, we determined that there would be a delay in the estimated commercialization date of the Company’s obstructive sleep apnea product currently under development. This delay constituted a triggering event that required evaluation of the IPR&amp;D asset arising from the ImThera acquisition for impairment. Based on the assessment performed, we determined that the IPR&amp;D asset was impaired and as a result, recorded an impairment of $50.3 million, which is included in our Neuromodulation segment. The estimated fair value of IPR&amp;D was determined using the income approach. Future delays in commercialization or changes in management estimates could result in further impairment.</w:t>
      </w: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03" w:right="25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Insurance Recovery</w:t>
      </w:r>
    </w:p>
    <w:p>
      <w:pPr>
        <w:spacing w:after="0" w:line="110"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In July 2019, we entered into agreements with our insurance carriers to recover $33.8 million under our product liability insurance policies related to the litigation involving our 3T device. The insurance recovery was received and recognized during the third quarter of 2019.</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Gain on Acquisition</w:t>
      </w:r>
    </w:p>
    <w:p>
      <w:pPr>
        <w:spacing w:after="0" w:line="110"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On January 16, 2018, we acquired the remaining outstanding interest of ImThera for cash consideration of up to $225 million. On the acquisition date, we remeasured our existing investment in ImThera at fair value and recognized a pre-tax non-cash gain of $11.5 million.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and the changes in tax laws, our consolidated effective income tax rate may vary substantially from one reporting period to another.</w:t>
      </w:r>
    </w:p>
    <w:p>
      <w:pPr>
        <w:spacing w:after="0" w:line="79"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Our effective income tax rate from continuing operations for the three and nine months ended September 30, 2019 was (49.6)% and 65.9%, respectively, compared with 29.8% and 0.6% the three and nine months ended September 30, 2018, respectively.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79" w:lineRule="exact"/>
        <w:rPr>
          <w:sz w:val="20"/>
          <w:szCs w:val="20"/>
          <w:color w:val="auto"/>
        </w:rPr>
      </w:pPr>
    </w:p>
    <w:p>
      <w:pPr>
        <w:ind w:right="80" w:firstLine="162"/>
        <w:spacing w:after="0" w:line="286" w:lineRule="auto"/>
        <w:rPr>
          <w:sz w:val="20"/>
          <w:szCs w:val="20"/>
          <w:color w:val="auto"/>
        </w:rPr>
      </w:pPr>
      <w:r>
        <w:rPr>
          <w:rFonts w:ascii="Arial" w:cs="Arial" w:eastAsia="Arial" w:hAnsi="Arial"/>
          <w:sz w:val="17"/>
          <w:szCs w:val="17"/>
          <w:color w:val="auto"/>
        </w:rPr>
        <w:t>Compared with the three and nine months ended September 30, 2018, the change in the effective tax rate for the three and nine months ended September 30, 2019 was primarily attributable to a release of uncertain tax positions and a U.S. federal tax benefit from a return to provision adjustment, partly offset by the establishment of a valuation allowance for a portion of the U.S. state net operating losses and attributes.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16"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Based on our current business plan, we believe that our existing cash and cash equivalents, future cash generated from continuing operations, and available borrowing capacity under our credit facilities will be sufficient to fund our expected operating needs, working capital requirements, R&amp;D opportunities, capital expenditures and debt service requirements over the next 12 months from the issuance of these condensed consolidated financial statements. We regularly review our capital needs and consider various investing and financing alternatives to support our requirements. Refer to “Note 9. Financing Arrangements” in the condensed consolidated financial statements in this Quarterly Report on Form 10-Q for additional information regarding our debt. Our liquidity could be adversely affected by the factors affecting future operating results, including those referred to in “Part II, Item 1A. Risk Factors” in the 2018 Form 10-K.</w:t>
      </w:r>
    </w:p>
    <w:p>
      <w:pPr>
        <w:spacing w:after="0" w:line="81" w:lineRule="exact"/>
        <w:rPr>
          <w:sz w:val="20"/>
          <w:szCs w:val="20"/>
          <w:color w:val="auto"/>
        </w:rPr>
      </w:pPr>
    </w:p>
    <w:p>
      <w:pPr>
        <w:ind w:right="240" w:firstLine="162"/>
        <w:spacing w:after="0" w:line="259" w:lineRule="auto"/>
        <w:rPr>
          <w:sz w:val="20"/>
          <w:szCs w:val="20"/>
          <w:color w:val="auto"/>
        </w:rPr>
      </w:pPr>
      <w:r>
        <w:rPr>
          <w:rFonts w:ascii="Arial" w:cs="Arial" w:eastAsia="Arial" w:hAnsi="Arial"/>
          <w:sz w:val="18"/>
          <w:szCs w:val="18"/>
          <w:color w:val="auto"/>
        </w:rPr>
        <w:t>No provision has been made for income taxes on unremitted earnings of our foreign controlled subsidiaries (non-UK subsidiaries) as of September 30, 2019. In the event of the distribution of those earnings in the form of dividends, a sale of the subsidiaries or certain other transactions, we may be liable for income taxes. However, the tax liability on future distributions should not be significant as most jurisdictions with unremitted earnings have various participation exemptions or no withholding tax.</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Cash Flows</w:t>
      </w:r>
    </w:p>
    <w:p>
      <w:pPr>
        <w:spacing w:after="0" w:line="110"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decrease in the balance of cash and cash equivalents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2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400" w:type="dxa"/>
            <w:vAlign w:val="bottom"/>
            <w:tcBorders>
              <w:bottom w:val="single" w:sz="8" w:color="CCEEFF"/>
            </w:tcBorders>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99,599</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(107,408)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w:t>
            </w:r>
          </w:p>
        </w:tc>
        <w:tc>
          <w:tcPr>
            <w:tcW w:w="3400" w:type="dxa"/>
            <w:vAlign w:val="bottom"/>
            <w:tcBorders>
              <w:bottom w:val="single" w:sz="8" w:color="CCEEFF"/>
            </w:tcBorders>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28,109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Arial" w:cs="Arial" w:eastAsia="Arial" w:hAnsi="Arial"/>
                <w:sz w:val="18"/>
                <w:szCs w:val="18"/>
                <w:color w:val="auto"/>
              </w:rPr>
              <w:t>41</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0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3" w:right="239" w:bottom="1440" w:gutter="0" w:footer="0" w:header="0"/>
        </w:sectPr>
      </w:pPr>
    </w:p>
    <w:bookmarkStart w:id="41" w:name="page42"/>
    <w:bookmarkEnd w:id="41"/>
    <w:p>
      <w:pPr>
        <w:spacing w:after="0"/>
        <w:rPr>
          <w:sz w:val="20"/>
          <w:szCs w:val="20"/>
          <w:color w:val="auto"/>
        </w:rPr>
      </w:pPr>
      <w:r>
        <w:rPr>
          <w:rFonts w:ascii="Arial" w:cs="Arial" w:eastAsia="Arial" w:hAnsi="Arial"/>
          <w:sz w:val="20"/>
          <w:szCs w:val="20"/>
          <w:color w:val="auto"/>
        </w:rPr>
        <w:t>Operating Activities</w:t>
      </w:r>
    </w:p>
    <w:p>
      <w:pPr>
        <w:spacing w:after="0" w:line="110" w:lineRule="exact"/>
        <w:rPr>
          <w:sz w:val="20"/>
          <w:szCs w:val="20"/>
          <w:color w:val="auto"/>
        </w:rPr>
      </w:pPr>
    </w:p>
    <w:p>
      <w:pPr>
        <w:jc w:val="both"/>
        <w:ind w:right="60" w:firstLine="162"/>
        <w:spacing w:after="0" w:line="264" w:lineRule="auto"/>
        <w:rPr>
          <w:sz w:val="20"/>
          <w:szCs w:val="20"/>
          <w:color w:val="auto"/>
        </w:rPr>
      </w:pPr>
      <w:r>
        <w:rPr>
          <w:rFonts w:ascii="Arial" w:cs="Arial" w:eastAsia="Arial" w:hAnsi="Arial"/>
          <w:sz w:val="18"/>
          <w:szCs w:val="18"/>
          <w:color w:val="auto"/>
        </w:rPr>
        <w:t>Cash used in operating activities during the nine months ended September 30, 2019 increased by $193.6 million as compared to the same prior-year period. The increase is primarily due to increases in working capital, of which $140.8 million is due to cash outflows associated with the litigation provision liability, partially offset by an increase in net income adjusted for non-cash items.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Investing Activities</w:t>
      </w:r>
    </w:p>
    <w:p>
      <w:pPr>
        <w:spacing w:after="0" w:line="110" w:lineRule="exact"/>
        <w:rPr>
          <w:sz w:val="20"/>
          <w:szCs w:val="20"/>
          <w:color w:val="auto"/>
        </w:rPr>
      </w:pPr>
    </w:p>
    <w:p>
      <w:pPr>
        <w:jc w:val="both"/>
        <w:ind w:right="40" w:firstLine="162"/>
        <w:spacing w:after="0" w:line="264" w:lineRule="auto"/>
        <w:rPr>
          <w:sz w:val="20"/>
          <w:szCs w:val="20"/>
          <w:color w:val="auto"/>
        </w:rPr>
      </w:pPr>
      <w:r>
        <w:rPr>
          <w:rFonts w:ascii="Arial" w:cs="Arial" w:eastAsia="Arial" w:hAnsi="Arial"/>
          <w:sz w:val="18"/>
          <w:szCs w:val="18"/>
          <w:color w:val="auto"/>
        </w:rPr>
        <w:t>Cash used in investing activities during the nine months ended September 30, 2019 decreased $76.9 million as compared to the same prior-year period. The decrease is primarily due to the 2018 acquisitions of ImThera and TandemLife, net of cash acquired, which were partially offset by the 2018 sale of the CRM business franchise, net of cash disposed.</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10" w:lineRule="exact"/>
        <w:rPr>
          <w:sz w:val="20"/>
          <w:szCs w:val="20"/>
          <w:color w:val="auto"/>
        </w:rPr>
      </w:pPr>
    </w:p>
    <w:p>
      <w:pPr>
        <w:ind w:right="480" w:firstLine="162"/>
        <w:spacing w:after="0" w:line="342" w:lineRule="auto"/>
        <w:rPr>
          <w:sz w:val="20"/>
          <w:szCs w:val="20"/>
          <w:color w:val="auto"/>
        </w:rPr>
      </w:pPr>
      <w:r>
        <w:rPr>
          <w:rFonts w:ascii="Arial" w:cs="Arial" w:eastAsia="Arial" w:hAnsi="Arial"/>
          <w:sz w:val="16"/>
          <w:szCs w:val="16"/>
          <w:color w:val="auto"/>
        </w:rPr>
        <w:t>Cash provided by financing activities during the nine months ended September 30, 2019 increased $156.7 million as compared to the same prior-year period. The increase is primarily due to an increase in long-term borrowing proceeds and a decrease in short-term borrowing repayments.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Off-Balance Sheet Arrangements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September 30, 2019, we did not have any off-balance sheet arrangements.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Contractual Obligations</w:t>
      </w:r>
    </w:p>
    <w:p>
      <w:pPr>
        <w:spacing w:after="0" w:line="110" w:lineRule="exact"/>
        <w:rPr>
          <w:sz w:val="20"/>
          <w:szCs w:val="20"/>
          <w:color w:val="auto"/>
        </w:rPr>
      </w:pPr>
    </w:p>
    <w:p>
      <w:pPr>
        <w:ind w:right="420" w:firstLine="162"/>
        <w:spacing w:after="0" w:line="264" w:lineRule="auto"/>
        <w:rPr>
          <w:sz w:val="20"/>
          <w:szCs w:val="20"/>
          <w:color w:val="auto"/>
        </w:rPr>
      </w:pPr>
      <w:r>
        <w:rPr>
          <w:rFonts w:ascii="Arial" w:cs="Arial" w:eastAsia="Arial" w:hAnsi="Arial"/>
          <w:sz w:val="18"/>
          <w:szCs w:val="18"/>
          <w:color w:val="auto"/>
        </w:rPr>
        <w:t>Except for the borrowings associated with our 2019 Debt Facility, refer to “Note 9. Financing Arrangements,” we had no material changes in our contractual commitments and obligations from amounts listed under “Part II, Item 7. Management’s Discussion and Analysis of Financial Condition and Results of Operations - Liquidity and Capital Resources” in our 2018 Form 10-K.</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125" w:lineRule="exact"/>
        <w:rPr>
          <w:sz w:val="20"/>
          <w:szCs w:val="20"/>
          <w:color w:val="auto"/>
        </w:rPr>
      </w:pPr>
    </w:p>
    <w:p>
      <w:pPr>
        <w:ind w:firstLine="162"/>
        <w:spacing w:after="0" w:line="285" w:lineRule="auto"/>
        <w:rPr>
          <w:sz w:val="20"/>
          <w:szCs w:val="20"/>
          <w:color w:val="auto"/>
        </w:rPr>
      </w:pPr>
      <w:r>
        <w:rPr>
          <w:rFonts w:ascii="Arial" w:cs="Arial" w:eastAsia="Arial" w:hAnsi="Arial"/>
          <w:sz w:val="16"/>
          <w:szCs w:val="16"/>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this Quarterly Report on Form 10-Q in “Part I, Note 10. Derivatives and Risk Management,” “Part I, Item 2. Management’s Discussion and Analysis of Financial Conditions and Results of Operations” and “Part II, Item 1A. Risk Factors,” and in our 2018 Form 10-K in “Part II, Item</w:t>
      </w:r>
    </w:p>
    <w:p>
      <w:pPr>
        <w:spacing w:after="0" w:line="2" w:lineRule="exact"/>
        <w:rPr>
          <w:sz w:val="20"/>
          <w:szCs w:val="20"/>
          <w:color w:val="auto"/>
        </w:rPr>
      </w:pPr>
    </w:p>
    <w:p>
      <w:pPr>
        <w:ind w:right="600" w:firstLine="8"/>
        <w:spacing w:after="0" w:line="261"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and “Part I, Item 1A. Risk Factors.” There have been no material changes from the information provided therein.</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Disclosure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right="140" w:firstLine="162"/>
        <w:spacing w:after="0" w:line="279" w:lineRule="auto"/>
        <w:rPr>
          <w:sz w:val="20"/>
          <w:szCs w:val="20"/>
          <w:color w:val="auto"/>
        </w:rPr>
      </w:pPr>
      <w:r>
        <w:rPr>
          <w:rFonts w:ascii="Arial" w:cs="Arial" w:eastAsia="Arial" w:hAnsi="Arial"/>
          <w:sz w:val="17"/>
          <w:szCs w:val="17"/>
          <w:color w:val="auto"/>
        </w:rPr>
        <w:t>Management, under the supervision and with the participation of our Chief Executive Officer and Chief Financial Officer, conducted an evaluation of the effectiveness of the design and effectiveness of our disclosure controls and procedures as of September 30, 2019. Based on that evaluation, the Chief Executive Officer (CEO) and the Chief Financial Officer (CFO) have concluded the disclosure controls and procedures were not effective as of that date due to the material weaknesses in internal control over financial reporting that were disclosed in our 2018 Form 10-K.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117" w:lineRule="exact"/>
        <w:rPr>
          <w:sz w:val="20"/>
          <w:szCs w:val="20"/>
          <w:color w:val="auto"/>
        </w:rPr>
      </w:pPr>
    </w:p>
    <w:p>
      <w:pPr>
        <w:ind w:right="180" w:firstLine="162"/>
        <w:spacing w:after="0" w:line="279" w:lineRule="auto"/>
        <w:rPr>
          <w:sz w:val="20"/>
          <w:szCs w:val="20"/>
          <w:color w:val="auto"/>
        </w:rPr>
      </w:pPr>
      <w:r>
        <w:rPr>
          <w:rFonts w:ascii="Arial" w:cs="Arial" w:eastAsia="Arial" w:hAnsi="Arial"/>
          <w:sz w:val="17"/>
          <w:szCs w:val="17"/>
          <w:color w:val="auto"/>
        </w:rPr>
        <w:t>On January 1, 2019, we implemented a new software system, as well as new internal controls, to support adoption of the new Lease Accounting standard, ASC 842. The operating effectiveness of these controls will be evaluated as part of our annual assessment of the effectiveness of internal controls over financial reporting for the fiscal year ended December 31, 2019. No other changes over internal controls over financial reporting (as defined in Rules 13a-15(f) and 15d - 5(f) under the Exchange Act) occurred during the quarter ended September 30,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w:t>
      </w:r>
    </w:p>
    <w:p>
      <w:pPr>
        <w:spacing w:after="0" w:line="117"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Efforts have been ongoing throughout the quarter to remediate the material weaknesses reported in our 2018 10-K filing. We have implemented a new tool, SAP’s Governance, Risk, and Compliance module, that will help us better manage IT and</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03" w:right="239" w:bottom="1440" w:gutter="0" w:footer="0" w:header="0"/>
        </w:sectPr>
      </w:pPr>
    </w:p>
    <w:bookmarkStart w:id="42" w:name="page43"/>
    <w:bookmarkEnd w:id="42"/>
    <w:p>
      <w:pPr>
        <w:spacing w:after="0" w:line="259" w:lineRule="auto"/>
        <w:rPr>
          <w:sz w:val="20"/>
          <w:szCs w:val="20"/>
          <w:color w:val="auto"/>
        </w:rPr>
      </w:pPr>
      <w:r>
        <w:rPr>
          <w:rFonts w:ascii="Arial" w:cs="Arial" w:eastAsia="Arial" w:hAnsi="Arial"/>
          <w:sz w:val="18"/>
          <w:szCs w:val="18"/>
          <w:color w:val="auto"/>
        </w:rPr>
        <w:t>business user access in our Enterprise Resource Planning system. In addition, we have designed and implemented new controls and formalized existing controls around price and quantity in our revenue process. The weaknesses will not be considered remediated, until the applicable controls operate for a sufficient period of time and management has concluded, through testing, that these controls are operating effectively. We expect that the remediation of the material weaknesses will be completed prior to the end of fiscal year 2019.</w:t>
      </w: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692" w:right="41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PART II. 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125"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For a description of our material pending legal and regulatory proceedings and settlements, refer to “Note 12. Commitments and Contingencies” in our condensed consolidated financial statements included in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12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There were no material changes to the description of the risk factors associated with our business as previously disclosed in “Part I, Item 1A. Risk Factors” of our 2018 Form 10-K.</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Pursuant to Section 13(r) of the Exchange Act of 1934</w:t>
      </w:r>
    </w:p>
    <w:p>
      <w:pPr>
        <w:spacing w:after="0" w:line="116" w:lineRule="exact"/>
        <w:rPr>
          <w:sz w:val="20"/>
          <w:szCs w:val="20"/>
          <w:color w:val="auto"/>
        </w:rPr>
      </w:pPr>
    </w:p>
    <w:p>
      <w:pPr>
        <w:ind w:firstLine="162"/>
        <w:spacing w:after="0" w:line="286" w:lineRule="auto"/>
        <w:rPr>
          <w:sz w:val="20"/>
          <w:szCs w:val="20"/>
          <w:color w:val="auto"/>
        </w:rPr>
      </w:pPr>
      <w:r>
        <w:rPr>
          <w:rFonts w:ascii="Arial" w:cs="Arial" w:eastAsia="Arial" w:hAnsi="Arial"/>
          <w:sz w:val="17"/>
          <w:szCs w:val="17"/>
          <w:color w:val="auto"/>
        </w:rPr>
        <w:t>Section 13(r) of the Exchange Act requires issuers to disclose in their quarterly reports certain types of dealings with Iran, including transactions or dealing with government-owned entities, even when those activities are lawful and do not involve U.S. persons. Two of our non-U.S. subsidiaries currently sell medical devices, including cardiac surgery and cardiopulmonary products, to privately held distributors in Iran.</w:t>
      </w:r>
    </w:p>
    <w:p>
      <w:pPr>
        <w:spacing w:after="0" w:line="57" w:lineRule="exact"/>
        <w:rPr>
          <w:sz w:val="20"/>
          <w:szCs w:val="20"/>
          <w:color w:val="auto"/>
        </w:rPr>
      </w:pPr>
    </w:p>
    <w:p>
      <w:pPr>
        <w:jc w:val="both"/>
        <w:ind w:right="120" w:firstLine="162"/>
        <w:spacing w:after="0" w:line="264" w:lineRule="auto"/>
        <w:rPr>
          <w:sz w:val="20"/>
          <w:szCs w:val="20"/>
          <w:color w:val="auto"/>
        </w:rPr>
      </w:pPr>
      <w:r>
        <w:rPr>
          <w:rFonts w:ascii="Arial" w:cs="Arial" w:eastAsia="Arial" w:hAnsi="Arial"/>
          <w:sz w:val="18"/>
          <w:szCs w:val="18"/>
          <w:color w:val="auto"/>
        </w:rPr>
        <w:t>We have limited visibility into the identity of these distributors’ customers in Iran. It is possible that their customers include entities, such as government-owned hospitals or sub-distributors, that are owned or controlled directly or indirectly by the Iranian government. To the best of our knowledge at this time, we do not have any contracts or commercial arrangements with the Iranian government.</w:t>
      </w:r>
    </w:p>
    <w:p>
      <w:pPr>
        <w:spacing w:after="0" w:line="73" w:lineRule="exact"/>
        <w:rPr>
          <w:sz w:val="20"/>
          <w:szCs w:val="20"/>
          <w:color w:val="auto"/>
        </w:rPr>
      </w:pPr>
    </w:p>
    <w:p>
      <w:pPr>
        <w:ind w:right="320" w:firstLine="162"/>
        <w:spacing w:after="0" w:line="308" w:lineRule="auto"/>
        <w:rPr>
          <w:sz w:val="20"/>
          <w:szCs w:val="20"/>
          <w:color w:val="auto"/>
        </w:rPr>
      </w:pPr>
      <w:r>
        <w:rPr>
          <w:rFonts w:ascii="Arial" w:cs="Arial" w:eastAsia="Arial" w:hAnsi="Arial"/>
          <w:sz w:val="17"/>
          <w:szCs w:val="17"/>
          <w:color w:val="auto"/>
        </w:rPr>
        <w:t>Our gross revenues and net profits attributable to the above-mentioned Iranian activities were $3.2 million and $1.2 million for the three months ended September 30, 2019, respectively, and $8.7 million and $3.1 million for the nine months ended September 30, 2019, respectively.</w:t>
      </w:r>
    </w:p>
    <w:p>
      <w:pPr>
        <w:spacing w:after="0" w:line="38"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We believe our activities are consistent with applicable law, including U.S., EU, and other applicable sanctions laws, though such laws are complex and continue to evolve rapidly. We intend to continue our business in Iran.</w:t>
      </w:r>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693" w:right="31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125" w:lineRule="exact"/>
        <w:rPr>
          <w:sz w:val="20"/>
          <w:szCs w:val="20"/>
          <w:color w:val="auto"/>
        </w:rPr>
      </w:pPr>
    </w:p>
    <w:p>
      <w:pPr>
        <w:jc w:val="both"/>
        <w:ind w:right="80" w:firstLine="162"/>
        <w:spacing w:after="0" w:line="342" w:lineRule="auto"/>
        <w:rPr>
          <w:sz w:val="20"/>
          <w:szCs w:val="20"/>
          <w:color w:val="auto"/>
        </w:rPr>
      </w:pPr>
      <w:r>
        <w:rPr>
          <w:rFonts w:ascii="Arial" w:cs="Arial" w:eastAsia="Arial" w:hAnsi="Arial"/>
          <w:sz w:val="16"/>
          <w:szCs w:val="16"/>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580" w:type="dxa"/>
            <w:vAlign w:val="bottom"/>
            <w:vMerge w:val="restart"/>
          </w:tcPr>
          <w:p>
            <w:pPr>
              <w:ind w:left="464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27">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400" w:type="dxa"/>
            <w:vAlign w:val="bottom"/>
            <w:shd w:val="clear" w:color="auto" w:fill="CCEEFF"/>
          </w:tcPr>
          <w:p>
            <w:pPr>
              <w:spacing w:after="0"/>
              <w:rPr>
                <w:sz w:val="17"/>
                <w:szCs w:val="17"/>
                <w:color w:val="auto"/>
              </w:rPr>
            </w:pPr>
          </w:p>
        </w:tc>
        <w:tc>
          <w:tcPr>
            <w:tcW w:w="10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Amended Articles of Association, incorporated by reference to Exhibit 3.1 of the Company’s Current Report on Form 8-K, filed on June 15,</w:t>
            </w:r>
          </w:p>
        </w:tc>
        <w:tc>
          <w:tcPr>
            <w:tcW w:w="0" w:type="dxa"/>
            <w:vAlign w:val="bottom"/>
          </w:tcPr>
          <w:p>
            <w:pPr>
              <w:spacing w:after="0"/>
              <w:rPr>
                <w:sz w:val="1"/>
                <w:szCs w:val="1"/>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840" w:type="dxa"/>
            <w:vAlign w:val="bottom"/>
            <w:gridSpan w:val="4"/>
          </w:tcPr>
          <w:p>
            <w:pPr>
              <w:ind w:left="4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10580" w:type="dxa"/>
            <w:vAlign w:val="bottom"/>
          </w:tcPr>
          <w:p>
            <w:pPr>
              <w:ind w:left="120"/>
              <w:spacing w:after="0" w:line="202" w:lineRule="exact"/>
              <w:rPr>
                <w:sz w:val="20"/>
                <w:szCs w:val="20"/>
                <w:color w:val="auto"/>
              </w:rPr>
            </w:pPr>
            <w:r>
              <w:rPr>
                <w:rFonts w:ascii="Arial" w:cs="Arial" w:eastAsia="Arial" w:hAnsi="Arial"/>
                <w:sz w:val="18"/>
                <w:szCs w:val="18"/>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10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4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10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5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40" w:type="dxa"/>
            <w:vAlign w:val="bottom"/>
            <w:gridSpan w:val="4"/>
          </w:tcPr>
          <w:p>
            <w:pPr>
              <w:ind w:left="4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0580" w:type="dxa"/>
            <w:vAlign w:val="bottom"/>
          </w:tcPr>
          <w:p>
            <w:pPr>
              <w:ind w:left="120"/>
              <w:spacing w:after="0" w:line="202" w:lineRule="exact"/>
              <w:rPr>
                <w:sz w:val="20"/>
                <w:szCs w:val="20"/>
                <w:color w:val="auto"/>
              </w:rPr>
            </w:pPr>
            <w:r>
              <w:rPr>
                <w:rFonts w:ascii="Arial" w:cs="Arial" w:eastAsia="Arial" w:hAnsi="Arial"/>
                <w:sz w:val="18"/>
                <w:szCs w:val="18"/>
                <w:color w:val="auto"/>
                <w:w w:val="93"/>
              </w:rPr>
              <w:t>Certification of the Chief Executive Officer and Chief Financial Officer of LivaNova PLC pursuant to Section 906 of the Sarbanes-Oxley Act of</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400" w:type="dxa"/>
            <w:vAlign w:val="bottom"/>
            <w:shd w:val="clear" w:color="auto" w:fill="CCEEFF"/>
          </w:tcPr>
          <w:p>
            <w:pPr>
              <w:spacing w:after="0"/>
              <w:rPr>
                <w:sz w:val="19"/>
                <w:szCs w:val="19"/>
                <w:color w:val="auto"/>
              </w:rPr>
            </w:pPr>
          </w:p>
        </w:tc>
        <w:tc>
          <w:tcPr>
            <w:tcW w:w="10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Interactive Data Files Pursuant to Rule 405 of Regulation S-T formatted in Inline XBRL: (i) the Condensed Consolidated Statements of Income</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(Loss) for the three and nine months ended September 30, 2019 and September 30, 2018, (ii) the Condensed Consolidated Statements of</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Comprehensive Income (Loss) for the three and nine months ended September 30, 2019 and September 30, 2018, (iii) the Condensed</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Consolidated Balance Sheet as of September 30, 2019 and December 31, 2018, (iv) the Condensed Consolidated Statements of Cash Flows for</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1"/>
              </w:rPr>
              <w:t>the nine months ended September 30, 2019 and September 30, 2018, and (vi) the Notes to the Condensed Consolidated Financial Statements</w:t>
            </w:r>
          </w:p>
        </w:tc>
        <w:tc>
          <w:tcPr>
            <w:tcW w:w="0" w:type="dxa"/>
            <w:vAlign w:val="bottom"/>
          </w:tcPr>
          <w:p>
            <w:pPr>
              <w:spacing w:after="0"/>
              <w:rPr>
                <w:sz w:val="1"/>
                <w:szCs w:val="1"/>
                <w:color w:val="auto"/>
              </w:rPr>
            </w:pPr>
          </w:p>
        </w:tc>
      </w:tr>
      <w:tr>
        <w:trPr>
          <w:trHeight w:val="243"/>
        </w:trPr>
        <w:tc>
          <w:tcPr>
            <w:tcW w:w="440" w:type="dxa"/>
            <w:vAlign w:val="bottom"/>
            <w:gridSpan w:val="3"/>
          </w:tcPr>
          <w:p>
            <w:pPr>
              <w:ind w:left="4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1"/>
                <w:szCs w:val="21"/>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580" w:type="dxa"/>
            <w:vAlign w:val="bottom"/>
          </w:tcPr>
          <w:p>
            <w:pPr>
              <w:ind w:left="48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ectPr>
          <w:pgSz w:w="11900" w:h="16838" w:orient="portrait"/>
          <w:cols w:equalWidth="0" w:num="1">
            <w:col w:w="11420"/>
          </w:cols>
          <w:pgMar w:left="240" w:top="693" w:right="239" w:bottom="1440" w:gutter="0" w:footer="0" w:header="0"/>
        </w:sectPr>
      </w:pPr>
    </w:p>
    <w:bookmarkStart w:id="45" w:name="page46"/>
    <w:bookmarkEnd w:id="45"/>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7540" w:type="dxa"/>
            <w:vAlign w:val="bottom"/>
            <w:gridSpan w:val="2"/>
          </w:tcPr>
          <w:p>
            <w:pPr>
              <w:ind w:left="140"/>
              <w:spacing w:after="0"/>
              <w:rPr>
                <w:sz w:val="20"/>
                <w:szCs w:val="20"/>
                <w:color w:val="auto"/>
              </w:rPr>
            </w:pPr>
            <w:r>
              <w:rPr>
                <w:rFonts w:ascii="Arial" w:cs="Arial" w:eastAsia="Arial" w:hAnsi="Arial"/>
                <w:sz w:val="18"/>
                <w:szCs w:val="18"/>
                <w:color w:val="auto"/>
              </w:rPr>
              <w:t>LIVANOVA PLC</w:t>
            </w:r>
          </w:p>
        </w:tc>
      </w:tr>
      <w:tr>
        <w:trPr>
          <w:trHeight w:val="581"/>
        </w:trPr>
        <w:tc>
          <w:tcPr>
            <w:tcW w:w="1820" w:type="dxa"/>
            <w:vAlign w:val="bottom"/>
          </w:tcPr>
          <w:p>
            <w:pPr>
              <w:spacing w:after="0"/>
              <w:rPr>
                <w:sz w:val="20"/>
                <w:szCs w:val="20"/>
                <w:color w:val="auto"/>
              </w:rPr>
            </w:pPr>
            <w:r>
              <w:rPr>
                <w:rFonts w:ascii="Arial" w:cs="Arial" w:eastAsia="Arial" w:hAnsi="Arial"/>
                <w:sz w:val="18"/>
                <w:szCs w:val="18"/>
                <w:color w:val="auto"/>
                <w:w w:val="96"/>
              </w:rPr>
              <w:t>Date: October 30, 2019</w:t>
            </w:r>
          </w:p>
        </w:tc>
        <w:tc>
          <w:tcPr>
            <w:tcW w:w="780" w:type="dxa"/>
            <w:vAlign w:val="bottom"/>
          </w:tcPr>
          <w:p>
            <w:pPr>
              <w:ind w:left="140"/>
              <w:spacing w:after="0"/>
              <w:rPr>
                <w:sz w:val="20"/>
                <w:szCs w:val="20"/>
                <w:color w:val="auto"/>
              </w:rPr>
            </w:pPr>
            <w:r>
              <w:rPr>
                <w:rFonts w:ascii="Arial" w:cs="Arial" w:eastAsia="Arial" w:hAnsi="Arial"/>
                <w:sz w:val="18"/>
                <w:szCs w:val="18"/>
                <w:color w:val="auto"/>
              </w:rPr>
              <w:t>By:</w:t>
            </w:r>
          </w:p>
        </w:tc>
        <w:tc>
          <w:tcPr>
            <w:tcW w:w="6760" w:type="dxa"/>
            <w:vAlign w:val="bottom"/>
          </w:tcPr>
          <w:p>
            <w:pPr>
              <w:ind w:left="20"/>
              <w:spacing w:after="0"/>
              <w:rPr>
                <w:sz w:val="20"/>
                <w:szCs w:val="20"/>
                <w:color w:val="auto"/>
              </w:rPr>
            </w:pPr>
            <w:r>
              <w:rPr>
                <w:rFonts w:ascii="Arial" w:cs="Arial" w:eastAsia="Arial" w:hAnsi="Arial"/>
                <w:sz w:val="18"/>
                <w:szCs w:val="18"/>
                <w:color w:val="auto"/>
              </w:rPr>
              <w:t>/s/ DAMIEN MCDONALD</w:t>
            </w:r>
          </w:p>
        </w:tc>
      </w:tr>
      <w:tr>
        <w:trPr>
          <w:trHeight w:val="27"/>
        </w:trPr>
        <w:tc>
          <w:tcPr>
            <w:tcW w:w="1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Damien McDonald</w:t>
            </w:r>
          </w:p>
        </w:tc>
      </w:tr>
      <w:tr>
        <w:trPr>
          <w:trHeight w:val="270"/>
        </w:trPr>
        <w:tc>
          <w:tcPr>
            <w:tcW w:w="1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1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7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27"/>
        </w:trPr>
        <w:tc>
          <w:tcPr>
            <w:tcW w:w="1820" w:type="dxa"/>
            <w:vAlign w:val="bottom"/>
          </w:tcPr>
          <w:p>
            <w:pPr>
              <w:spacing w:after="0"/>
              <w:rPr>
                <w:sz w:val="24"/>
                <w:szCs w:val="24"/>
                <w:color w:val="auto"/>
              </w:rPr>
            </w:pPr>
          </w:p>
        </w:tc>
        <w:tc>
          <w:tcPr>
            <w:tcW w:w="7540" w:type="dxa"/>
            <w:vAlign w:val="bottom"/>
            <w:gridSpan w:val="2"/>
          </w:tcPr>
          <w:p>
            <w:pPr>
              <w:ind w:left="140"/>
              <w:spacing w:after="0"/>
              <w:rPr>
                <w:sz w:val="20"/>
                <w:szCs w:val="20"/>
                <w:color w:val="auto"/>
              </w:rPr>
            </w:pPr>
            <w:r>
              <w:rPr>
                <w:rFonts w:ascii="Arial" w:cs="Arial" w:eastAsia="Arial" w:hAnsi="Arial"/>
                <w:sz w:val="18"/>
                <w:szCs w:val="18"/>
                <w:color w:val="auto"/>
              </w:rPr>
              <w:t>LIVANOVA PLC</w:t>
            </w:r>
          </w:p>
        </w:tc>
      </w:tr>
      <w:tr>
        <w:trPr>
          <w:trHeight w:val="581"/>
        </w:trPr>
        <w:tc>
          <w:tcPr>
            <w:tcW w:w="1820" w:type="dxa"/>
            <w:vAlign w:val="bottom"/>
          </w:tcPr>
          <w:p>
            <w:pPr>
              <w:spacing w:after="0"/>
              <w:rPr>
                <w:sz w:val="20"/>
                <w:szCs w:val="20"/>
                <w:color w:val="auto"/>
              </w:rPr>
            </w:pPr>
            <w:r>
              <w:rPr>
                <w:rFonts w:ascii="Arial" w:cs="Arial" w:eastAsia="Arial" w:hAnsi="Arial"/>
                <w:sz w:val="18"/>
                <w:szCs w:val="18"/>
                <w:color w:val="auto"/>
                <w:w w:val="96"/>
              </w:rPr>
              <w:t>Date: October 30, 2019</w:t>
            </w:r>
          </w:p>
        </w:tc>
        <w:tc>
          <w:tcPr>
            <w:tcW w:w="780" w:type="dxa"/>
            <w:vAlign w:val="bottom"/>
          </w:tcPr>
          <w:p>
            <w:pPr>
              <w:ind w:left="140"/>
              <w:spacing w:after="0"/>
              <w:rPr>
                <w:sz w:val="20"/>
                <w:szCs w:val="20"/>
                <w:color w:val="auto"/>
              </w:rPr>
            </w:pPr>
            <w:r>
              <w:rPr>
                <w:rFonts w:ascii="Arial" w:cs="Arial" w:eastAsia="Arial" w:hAnsi="Arial"/>
                <w:sz w:val="18"/>
                <w:szCs w:val="18"/>
                <w:color w:val="auto"/>
              </w:rPr>
              <w:t>By:</w:t>
            </w:r>
          </w:p>
        </w:tc>
        <w:tc>
          <w:tcPr>
            <w:tcW w:w="6760" w:type="dxa"/>
            <w:vAlign w:val="bottom"/>
          </w:tcPr>
          <w:p>
            <w:pPr>
              <w:ind w:left="20"/>
              <w:spacing w:after="0"/>
              <w:rPr>
                <w:sz w:val="20"/>
                <w:szCs w:val="20"/>
                <w:color w:val="auto"/>
              </w:rPr>
            </w:pPr>
            <w:r>
              <w:rPr>
                <w:rFonts w:ascii="Arial" w:cs="Arial" w:eastAsia="Arial" w:hAnsi="Arial"/>
                <w:sz w:val="18"/>
                <w:szCs w:val="18"/>
                <w:color w:val="auto"/>
              </w:rPr>
              <w:t>/s/ THAD HUSTON</w:t>
            </w:r>
          </w:p>
        </w:tc>
      </w:tr>
      <w:tr>
        <w:trPr>
          <w:trHeight w:val="27"/>
        </w:trPr>
        <w:tc>
          <w:tcPr>
            <w:tcW w:w="1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Thad Huston</w:t>
            </w:r>
          </w:p>
        </w:tc>
      </w:tr>
      <w:tr>
        <w:trPr>
          <w:trHeight w:val="270"/>
        </w:trPr>
        <w:tc>
          <w:tcPr>
            <w:tcW w:w="1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1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7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3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688" w:right="2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Damien McDonald, certify that:</w:t>
      </w:r>
    </w:p>
    <w:p>
      <w:pPr>
        <w:spacing w:after="0" w:line="117" w:lineRule="exact"/>
        <w:rPr>
          <w:sz w:val="20"/>
          <w:szCs w:val="20"/>
          <w:color w:val="auto"/>
        </w:rPr>
      </w:pPr>
    </w:p>
    <w:p>
      <w:pPr>
        <w:ind w:firstLine="332"/>
        <w:spacing w:after="0" w:line="277" w:lineRule="auto"/>
        <w:tabs>
          <w:tab w:leader="none" w:pos="5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2019 of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20" w:firstLine="332"/>
        <w:spacing w:after="0" w:line="308" w:lineRule="auto"/>
        <w:tabs>
          <w:tab w:leader="none" w:pos="56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October 30, 2019</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3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Thad Huston, certify that:</w:t>
      </w:r>
    </w:p>
    <w:p>
      <w:pPr>
        <w:spacing w:after="0" w:line="117" w:lineRule="exact"/>
        <w:rPr>
          <w:sz w:val="20"/>
          <w:szCs w:val="20"/>
          <w:color w:val="auto"/>
        </w:rPr>
      </w:pPr>
    </w:p>
    <w:p>
      <w:pPr>
        <w:ind w:firstLine="332"/>
        <w:spacing w:after="0" w:line="277" w:lineRule="auto"/>
        <w:tabs>
          <w:tab w:leader="none" w:pos="5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2019 of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20" w:firstLine="332"/>
        <w:spacing w:after="0" w:line="308" w:lineRule="auto"/>
        <w:tabs>
          <w:tab w:leader="none" w:pos="56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October 30, 2019</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74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of Damien McDonald, Chief Executive Officer of LivaNova PLC (the “Company”), and Thad Huston, Chief Financial Officer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each hereby certifies pursuant to 18 U.S.C. Section 1350, as adopted pursuant to Section 906 of the Sarbanes-Oxley Act of 2002, that to the best of his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306" w:lineRule="exact"/>
        <w:rPr>
          <w:sz w:val="20"/>
          <w:szCs w:val="20"/>
          <w:color w:val="auto"/>
        </w:rPr>
      </w:pPr>
    </w:p>
    <w:p>
      <w:pPr>
        <w:jc w:val="both"/>
        <w:ind w:firstLine="548"/>
        <w:spacing w:after="0" w:line="483" w:lineRule="auto"/>
        <w:tabs>
          <w:tab w:leader="none" w:pos="8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the Company and its consolidated subsidiaries for the quarter ended September 30, 2019, as filed with the Securities and Exchange Commission on the date hereof (the “Report”),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840" w:hanging="292"/>
        <w:spacing w:after="0"/>
        <w:tabs>
          <w:tab w:leader="none" w:pos="8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October 30, 2019</w:t>
            </w:r>
          </w:p>
        </w:tc>
        <w:tc>
          <w:tcPr>
            <w:tcW w:w="5700" w:type="dxa"/>
            <w:vAlign w:val="bottom"/>
          </w:tcPr>
          <w:p>
            <w:pPr>
              <w:ind w:left="20"/>
              <w:spacing w:after="0"/>
              <w:rPr>
                <w:sz w:val="20"/>
                <w:szCs w:val="20"/>
                <w:color w:val="auto"/>
              </w:rPr>
            </w:pPr>
            <w:r>
              <w:rPr>
                <w:rFonts w:ascii="Arial" w:cs="Arial" w:eastAsia="Arial" w:hAnsi="Arial"/>
                <w:sz w:val="18"/>
                <w:szCs w:val="18"/>
                <w:color w:val="auto"/>
              </w:rPr>
              <w:t>/s/ DAMIEN MCDONALD</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Damien McDonald</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67"/>
        </w:trPr>
        <w:tc>
          <w:tcPr>
            <w:tcW w:w="5680" w:type="dxa"/>
            <w:vAlign w:val="bottom"/>
          </w:tcPr>
          <w:p>
            <w:pPr>
              <w:spacing w:after="0"/>
              <w:rPr>
                <w:sz w:val="20"/>
                <w:szCs w:val="20"/>
                <w:color w:val="auto"/>
              </w:rPr>
            </w:pPr>
            <w:r>
              <w:rPr>
                <w:rFonts w:ascii="Arial" w:cs="Arial" w:eastAsia="Arial" w:hAnsi="Arial"/>
                <w:sz w:val="18"/>
                <w:szCs w:val="18"/>
                <w:color w:val="auto"/>
              </w:rPr>
              <w:t>Date: October 30, 2019</w:t>
            </w:r>
          </w:p>
        </w:tc>
        <w:tc>
          <w:tcPr>
            <w:tcW w:w="5700" w:type="dxa"/>
            <w:vAlign w:val="bottom"/>
          </w:tcPr>
          <w:p>
            <w:pPr>
              <w:ind w:left="20"/>
              <w:spacing w:after="0"/>
              <w:rPr>
                <w:sz w:val="20"/>
                <w:szCs w:val="20"/>
                <w:color w:val="auto"/>
              </w:rPr>
            </w:pPr>
            <w:r>
              <w:rPr>
                <w:rFonts w:ascii="Arial" w:cs="Arial" w:eastAsia="Arial" w:hAnsi="Arial"/>
                <w:sz w:val="18"/>
                <w:szCs w:val="18"/>
                <w:color w:val="auto"/>
              </w:rPr>
              <w:t>/s/ THAD HUSTON</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Thad Huston</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7"/>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decimal"/>
      <w:start w:val="5"/>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decimal"/>
      <w:start w:val="5"/>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27" Type="http://schemas.openxmlformats.org/officeDocument/2006/relationships/hyperlink" Target="http://www.sec.gov/Archives/edgar/data/1639691/000163969117000060/exhibit31livanovaarticles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2019-12-28T04:05:57Z</dcterms:created>
  <dcterms:modified xsi:type="dcterms:W3CDTF">2019-12-28T04:05:57Z</dcterms:modified>
</cp:coreProperties>
</file>