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184785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3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92710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March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74930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289560</wp:posOffset>
            </wp:positionV>
            <wp:extent cx="147510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64770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40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0"/>
              </w:rPr>
              <w:t>001-37599</w:t>
            </w:r>
          </w:p>
        </w:tc>
        <w:tc>
          <w:tcPr>
            <w:tcW w:w="1360" w:type="dxa"/>
            <w:vAlign w:val="bottom"/>
          </w:tcPr>
          <w:p>
            <w:pPr>
              <w:spacing w:after="0"/>
              <w:rPr>
                <w:sz w:val="17"/>
                <w:szCs w:val="17"/>
                <w:color w:val="auto"/>
              </w:rPr>
            </w:pP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0"/>
              </w:rPr>
              <w:t>(State or Other Jurisdiction</w:t>
            </w:r>
          </w:p>
        </w:tc>
        <w:tc>
          <w:tcPr>
            <w:tcW w:w="1200" w:type="dxa"/>
            <w:vAlign w:val="bottom"/>
          </w:tcPr>
          <w:p>
            <w:pPr>
              <w:spacing w:after="0"/>
              <w:rPr>
                <w:sz w:val="17"/>
                <w:szCs w:val="17"/>
                <w:color w:val="auto"/>
              </w:rPr>
            </w:pPr>
          </w:p>
        </w:tc>
        <w:tc>
          <w:tcPr>
            <w:tcW w:w="4220" w:type="dxa"/>
            <w:vAlign w:val="bottom"/>
            <w:gridSpan w:val="2"/>
          </w:tcPr>
          <w:p>
            <w:pPr>
              <w:jc w:val="center"/>
              <w:ind w:right="1400"/>
              <w:spacing w:after="0" w:line="202" w:lineRule="exact"/>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1200" w:type="dxa"/>
            <w:vAlign w:val="bottom"/>
          </w:tcPr>
          <w:p>
            <w:pPr>
              <w:spacing w:after="0"/>
              <w:rPr>
                <w:sz w:val="20"/>
                <w:szCs w:val="20"/>
                <w:color w:val="auto"/>
              </w:rPr>
            </w:pPr>
          </w:p>
        </w:tc>
        <w:tc>
          <w:tcPr>
            <w:tcW w:w="4220" w:type="dxa"/>
            <w:vAlign w:val="bottom"/>
            <w:gridSpan w:val="2"/>
          </w:tcPr>
          <w:p>
            <w:pPr>
              <w:jc w:val="center"/>
              <w:ind w:right="140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304"/>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95"/>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0"/>
              </w:rPr>
              <w:t>20 Eastbourne Terrace</w:t>
            </w:r>
          </w:p>
        </w:tc>
        <w:tc>
          <w:tcPr>
            <w:tcW w:w="17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2"/>
          </w:tcPr>
          <w:p>
            <w:pPr>
              <w:jc w:val="center"/>
              <w:ind w:right="1340"/>
              <w:spacing w:after="0" w:line="202" w:lineRule="exact"/>
              <w:rPr>
                <w:sz w:val="20"/>
                <w:szCs w:val="20"/>
                <w:color w:val="auto"/>
              </w:rPr>
            </w:pPr>
            <w:r>
              <w:rPr>
                <w:rFonts w:ascii="Arial" w:cs="Arial" w:eastAsia="Arial" w:hAnsi="Arial"/>
                <w:sz w:val="18"/>
                <w:szCs w:val="18"/>
                <w:b w:val="1"/>
                <w:bCs w:val="1"/>
                <w:color w:val="auto"/>
                <w:w w:val="95"/>
              </w:rPr>
              <w:t>London, W2 6LG</w:t>
            </w:r>
          </w:p>
        </w:tc>
        <w:tc>
          <w:tcPr>
            <w:tcW w:w="1740" w:type="dxa"/>
            <w:vAlign w:val="bottom"/>
          </w:tcPr>
          <w:p>
            <w:pPr>
              <w:spacing w:after="0"/>
              <w:rPr>
                <w:sz w:val="17"/>
                <w:szCs w:val="17"/>
                <w:color w:val="auto"/>
              </w:rPr>
            </w:pPr>
          </w:p>
        </w:tc>
      </w:tr>
      <w:tr>
        <w:trPr>
          <w:trHeight w:val="207"/>
        </w:trPr>
        <w:tc>
          <w:tcPr>
            <w:tcW w:w="2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542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377"/>
        </w:trPr>
        <w:tc>
          <w:tcPr>
            <w:tcW w:w="2220" w:type="dxa"/>
            <w:vAlign w:val="bottom"/>
          </w:tcPr>
          <w:p>
            <w:pPr>
              <w:spacing w:after="0"/>
              <w:rPr>
                <w:sz w:val="24"/>
                <w:szCs w:val="24"/>
                <w:color w:val="auto"/>
              </w:rPr>
            </w:pPr>
          </w:p>
        </w:tc>
        <w:tc>
          <w:tcPr>
            <w:tcW w:w="406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0"/>
              </w:rPr>
              <w:t>+44 20 33250660</w:t>
            </w:r>
          </w:p>
        </w:tc>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r>
        <w:trPr>
          <w:trHeight w:val="102"/>
        </w:trPr>
        <w:tc>
          <w:tcPr>
            <w:tcW w:w="2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1740" w:type="dxa"/>
            <w:vAlign w:val="bottom"/>
          </w:tcPr>
          <w:p>
            <w:pPr>
              <w:spacing w:after="0"/>
              <w:rPr>
                <w:sz w:val="8"/>
                <w:szCs w:val="8"/>
                <w:color w:val="auto"/>
              </w:rPr>
            </w:pPr>
          </w:p>
        </w:tc>
      </w:tr>
    </w:tbl>
    <w:p>
      <w:pPr>
        <w:spacing w:after="0" w:line="296"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760"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On March 1, 2017, LivaNova PLC (the "Company") issued a press release announcing financial results for the fourth quarter and year ended December 31, 2016. The Company will host a business update conference call and webcast today, March 1, 2017, at 8:00 a.m. Central Time (9:00 a.m. Eastern Time, 2:00 p.m. GMT), during which the Company will discuss the financial results. The conference call will be available to interested parties through a live audio webcast commencing at 8:00 a.m. Central Time (9:00 a.m. Eastern Time, 2:00 p.m. GMT) and accessible through the Investor Relations section of the LivaNova corporate website at www.livanova.com. A copy of the Company's press release is furnished as Exhibit 99.1 on this Current Report on Form 8-K.</w:t>
      </w:r>
    </w:p>
    <w:p>
      <w:pPr>
        <w:spacing w:after="0" w:line="176"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1520" w:hanging="864"/>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Exhibit 99.1  Press Release issued by LivaNova PLC dated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March 1, 2017</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-10160</wp:posOffset>
            </wp:positionV>
            <wp:extent cx="19431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35"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00"/>
          </w:cols>
          <w:pgMar w:left="240" w:top="121"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40" w:type="dxa"/>
            <w:vAlign w:val="bottom"/>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5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940" w:type="dxa"/>
            <w:vAlign w:val="bottom"/>
          </w:tcPr>
          <w:p>
            <w:pPr>
              <w:spacing w:after="0"/>
              <w:rPr>
                <w:sz w:val="24"/>
                <w:szCs w:val="24"/>
                <w:color w:val="auto"/>
              </w:rPr>
            </w:pPr>
          </w:p>
        </w:tc>
      </w:tr>
      <w:tr>
        <w:trPr>
          <w:trHeight w:val="493"/>
        </w:trPr>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8"/>
              </w:rPr>
              <w:t>Press Release issued by LivaNova PLC dated March 1, 2017</w:t>
            </w:r>
          </w:p>
        </w:tc>
      </w:tr>
    </w:tbl>
    <w:p>
      <w:pPr>
        <w:sectPr>
          <w:pgSz w:w="11900" w:h="16838" w:orient="portrait"/>
          <w:cols w:equalWidth="0" w:num="1">
            <w:col w:w="10039"/>
          </w:cols>
          <w:pgMar w:left="420" w:top="32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44040"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44040" cy="54038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LivaNova Reports Fourth Quarter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Full-Year 2016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595" w:lineRule="auto"/>
        <w:rPr>
          <w:sz w:val="20"/>
          <w:szCs w:val="20"/>
          <w:color w:val="auto"/>
        </w:rPr>
      </w:pPr>
      <w:r>
        <w:rPr>
          <w:rFonts w:ascii="Arial" w:cs="Arial" w:eastAsia="Arial" w:hAnsi="Arial"/>
          <w:sz w:val="18"/>
          <w:szCs w:val="18"/>
          <w:b w:val="1"/>
          <w:bCs w:val="1"/>
          <w:color w:val="auto"/>
        </w:rPr>
        <w:t xml:space="preserve">London, March 1, 2017 </w:t>
      </w:r>
      <w:r>
        <w:rPr>
          <w:rFonts w:ascii="Arial" w:cs="Arial" w:eastAsia="Arial" w:hAnsi="Arial"/>
          <w:sz w:val="18"/>
          <w:szCs w:val="18"/>
          <w:color w:val="auto"/>
        </w:rPr>
        <w:t>– LivaNova PLC (NASDAQ:LIVN; LSE: LIVN) ("LivaNova" or the "Company"), a market-leading medical technology and</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innovation company, today reported results for the fourth quarter and full year ended December 31, 2016.</w:t>
      </w:r>
    </w:p>
    <w:p>
      <w:pPr>
        <w:spacing w:after="0" w:line="200" w:lineRule="exact"/>
        <w:rPr>
          <w:sz w:val="20"/>
          <w:szCs w:val="20"/>
          <w:color w:val="auto"/>
        </w:rPr>
      </w:pPr>
    </w:p>
    <w:p>
      <w:pPr>
        <w:spacing w:after="0" w:line="236" w:lineRule="exact"/>
        <w:rPr>
          <w:sz w:val="20"/>
          <w:szCs w:val="20"/>
          <w:color w:val="auto"/>
        </w:rPr>
      </w:pPr>
    </w:p>
    <w:p>
      <w:pPr>
        <w:jc w:val="both"/>
        <w:spacing w:after="0" w:line="607" w:lineRule="auto"/>
        <w:rPr>
          <w:sz w:val="20"/>
          <w:szCs w:val="20"/>
          <w:color w:val="auto"/>
        </w:rPr>
      </w:pPr>
      <w:r>
        <w:rPr>
          <w:rFonts w:ascii="Arial" w:cs="Arial" w:eastAsia="Arial" w:hAnsi="Arial"/>
          <w:sz w:val="17"/>
          <w:szCs w:val="17"/>
          <w:color w:val="auto"/>
        </w:rPr>
        <w:t>For the fourth quarter of 2016, worldwide sales were $311 million, a decrease of 2.3 percent on a reported basis and a decrease of 1.6 percent on a constant-currency basis, as compared to the previous year. On a U.S. Generally Accepted Accounting Principles (GAAP) basis, fourth quarter 2016 loss per share was ($0.61). Fourth quarter 2016 adjusted diluted earnings per share were $0.85. For full-year 2016, worldwide sales were $1.2 billion, an increase of 0.8 percent on a reported basis and increase of 1.0 percent on a constant-currency basis, as compared to the previous year. On a GAAP basis, full-year 2016 loss per share was ($1.29). Full-year 2016 adjusted diluted earnings per share were $3.05.</w:t>
      </w:r>
    </w:p>
    <w:p>
      <w:pPr>
        <w:spacing w:after="0" w:line="391" w:lineRule="exact"/>
        <w:rPr>
          <w:sz w:val="20"/>
          <w:szCs w:val="20"/>
          <w:color w:val="auto"/>
        </w:rPr>
      </w:pPr>
    </w:p>
    <w:p>
      <w:pPr>
        <w:ind w:right="440"/>
        <w:spacing w:after="0" w:line="605" w:lineRule="auto"/>
        <w:rPr>
          <w:sz w:val="20"/>
          <w:szCs w:val="20"/>
          <w:color w:val="auto"/>
        </w:rPr>
      </w:pPr>
      <w:r>
        <w:rPr>
          <w:rFonts w:ascii="Arial" w:cs="Arial" w:eastAsia="Arial" w:hAnsi="Arial"/>
          <w:sz w:val="17"/>
          <w:szCs w:val="17"/>
          <w:color w:val="auto"/>
        </w:rPr>
        <w:t>"Despite it being a challenging year for top-line growth, we were able to deliver adjusted earnings per share at the high end of our projected range," said Damien McDonald, chief executive officer. "2016 was LivaNova's first full year as a public company and we made significant progress in many areas – launching several key products, driving merger and restructuring synergies, aligning inventory levels and consolidating balance sheet strength. We implemented numerous measures to reinforce our foundation and simplify our business model. This positions LivaNova for a stronger future, driving sustainable growth, continued financial leverage and value to our shareholders."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2016 Results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worldwide sales for the fourth quarter of 2016 compared to the same period in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3140" w:type="dxa"/>
            <w:vAlign w:val="bottom"/>
            <w:gridSpan w:val="3"/>
          </w:tcPr>
          <w:p>
            <w:pPr>
              <w:jc w:val="right"/>
              <w:ind w:right="340"/>
              <w:spacing w:after="0"/>
              <w:rPr>
                <w:sz w:val="20"/>
                <w:szCs w:val="20"/>
                <w:color w:val="auto"/>
              </w:rPr>
            </w:pPr>
            <w:r>
              <w:rPr>
                <w:rFonts w:ascii="Arial" w:cs="Arial" w:eastAsia="Arial" w:hAnsi="Arial"/>
                <w:sz w:val="18"/>
                <w:szCs w:val="18"/>
                <w:color w:val="auto"/>
                <w:w w:val="97"/>
              </w:rPr>
              <w:t>Three Months Ended December 31,</w:t>
            </w:r>
          </w:p>
        </w:tc>
        <w:tc>
          <w:tcPr>
            <w:tcW w:w="1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109"/>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In $ millions</w:t>
            </w:r>
          </w:p>
        </w:tc>
        <w:tc>
          <w:tcPr>
            <w:tcW w:w="17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1"/>
              </w:rPr>
              <w:t>Currency %</w:t>
            </w:r>
          </w:p>
        </w:tc>
        <w:tc>
          <w:tcPr>
            <w:tcW w:w="0" w:type="dxa"/>
            <w:vAlign w:val="bottom"/>
          </w:tcPr>
          <w:p>
            <w:pPr>
              <w:spacing w:after="0"/>
              <w:rPr>
                <w:sz w:val="1"/>
                <w:szCs w:val="1"/>
                <w:color w:val="auto"/>
              </w:rPr>
            </w:pPr>
          </w:p>
        </w:tc>
      </w:tr>
      <w:tr>
        <w:trPr>
          <w:trHeight w:val="74"/>
        </w:trPr>
        <w:tc>
          <w:tcPr>
            <w:tcW w:w="5960" w:type="dxa"/>
            <w:vAlign w:val="bottom"/>
            <w:gridSpan w:val="2"/>
            <w:vMerge w:val="continue"/>
          </w:tcPr>
          <w:p>
            <w:pPr>
              <w:spacing w:after="0"/>
              <w:rPr>
                <w:sz w:val="6"/>
                <w:szCs w:val="6"/>
                <w:color w:val="auto"/>
              </w:rPr>
            </w:pPr>
          </w:p>
        </w:tc>
        <w:tc>
          <w:tcPr>
            <w:tcW w:w="1760" w:type="dxa"/>
            <w:vAlign w:val="bottom"/>
            <w:vMerge w:val="restart"/>
          </w:tcPr>
          <w:p>
            <w:pPr>
              <w:jc w:val="right"/>
              <w:ind w:right="750"/>
              <w:spacing w:after="0"/>
              <w:rPr>
                <w:sz w:val="20"/>
                <w:szCs w:val="20"/>
                <w:color w:val="auto"/>
              </w:rPr>
            </w:pPr>
            <w:r>
              <w:rPr>
                <w:rFonts w:ascii="Arial" w:cs="Arial" w:eastAsia="Arial" w:hAnsi="Arial"/>
                <w:sz w:val="18"/>
                <w:szCs w:val="18"/>
                <w:color w:val="auto"/>
              </w:rPr>
              <w:t>2016</w:t>
            </w: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960" w:type="dxa"/>
            <w:vAlign w:val="bottom"/>
            <w:gridSpan w:val="2"/>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 Change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Cardiopulmonary</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$124.7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Heart Valves</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34.0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Cardiac Surgery</w:t>
            </w:r>
          </w:p>
        </w:tc>
        <w:tc>
          <w:tcPr>
            <w:tcW w:w="17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Cardiac Rhythm Management</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61.0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Neuromodulation</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210"/>
              <w:spacing w:after="0"/>
              <w:rPr>
                <w:sz w:val="20"/>
                <w:szCs w:val="20"/>
                <w:color w:val="auto"/>
              </w:rPr>
            </w:pPr>
            <w:r>
              <w:rPr>
                <w:rFonts w:ascii="Arial" w:cs="Arial" w:eastAsia="Arial" w:hAnsi="Arial"/>
                <w:sz w:val="18"/>
                <w:szCs w:val="18"/>
                <w:color w:val="auto"/>
              </w:rPr>
              <w:t>0.4</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w:t>
            </w:r>
          </w:p>
        </w:tc>
        <w:tc>
          <w:tcPr>
            <w:tcW w:w="114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Numbers may not add due to rounding. Constant currency % change is considered a non-GAAP metric.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For discussion purposes, all sales growth rates below reflect comparable, constant currency growth. The difference between constant currency growth and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reported growth reflects the impact from currency fluctuations in the various currencies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December 31,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Worldwide sales for the fourth quarter were $311 million, down 1.6 percent compared to the fourth quarter of 2015.</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business franchises, sales were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Cardiac Surgery sales, which include cardiopulmonary products and heart valves, were $159 million, representing a 3.2 percent decrease versus the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comparable period in 2015.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Sales in cardiopulmonary products were $125 million, down 3.4 percent from the fourth quarter of 2015. A decline in the Company's 3T Heater-Cooler</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devices, as a result of import restrictions in the U.S., the introduction of our loaner program across geographies and the timing of heart-lung machine orders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 Europe offset share gains and strong demand in Europe and emerging markets for oxygenators.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6" w:name="page7"/>
    <w:bookmarkEnd w:id="6"/>
    <w:p>
      <w:pPr>
        <w:jc w:val="both"/>
        <w:ind w:right="20"/>
        <w:spacing w:after="0" w:line="577" w:lineRule="auto"/>
        <w:rPr>
          <w:sz w:val="20"/>
          <w:szCs w:val="20"/>
          <w:color w:val="auto"/>
        </w:rPr>
      </w:pPr>
      <w:r>
        <w:rPr>
          <w:rFonts w:ascii="Arial" w:cs="Arial" w:eastAsia="Arial" w:hAnsi="Arial"/>
          <w:sz w:val="18"/>
          <w:szCs w:val="18"/>
          <w:color w:val="auto"/>
        </w:rPr>
        <w:t>Heart valve sales, including tissue and mechanical heart valves, were $34 million, a decrease of 2.2 percent compared to the same period the previous year. Strength in tissue valves, driven by strong demand for Perceval in both the U.S. and Europe was offset by declines in mechanical valves globally, with on-going inventory alignment in emerging markets, particularly China.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Rhythm Management (CRM)</w:t>
      </w:r>
    </w:p>
    <w:p>
      <w:pPr>
        <w:spacing w:after="0" w:line="283" w:lineRule="exact"/>
        <w:rPr>
          <w:sz w:val="20"/>
          <w:szCs w:val="20"/>
          <w:color w:val="auto"/>
        </w:rPr>
      </w:pPr>
    </w:p>
    <w:p>
      <w:pPr>
        <w:jc w:val="both"/>
        <w:spacing w:after="0" w:line="590" w:lineRule="auto"/>
        <w:rPr>
          <w:sz w:val="20"/>
          <w:szCs w:val="20"/>
          <w:color w:val="auto"/>
        </w:rPr>
      </w:pPr>
      <w:r>
        <w:rPr>
          <w:rFonts w:ascii="Arial" w:cs="Arial" w:eastAsia="Arial" w:hAnsi="Arial"/>
          <w:sz w:val="18"/>
          <w:szCs w:val="18"/>
          <w:color w:val="auto"/>
        </w:rPr>
        <w:t>CRM sales for the period totaled $61 million, an increase of 1.3 percent as compared to the fourth quarter of 2015, primarily due to the launch of our KORA 250 pacemaker in Japan.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283" w:lineRule="exact"/>
        <w:rPr>
          <w:sz w:val="20"/>
          <w:szCs w:val="20"/>
          <w:color w:val="auto"/>
        </w:rPr>
      </w:pPr>
    </w:p>
    <w:p>
      <w:pPr>
        <w:jc w:val="both"/>
        <w:spacing w:after="0" w:line="577" w:lineRule="auto"/>
        <w:rPr>
          <w:sz w:val="20"/>
          <w:szCs w:val="20"/>
          <w:color w:val="auto"/>
        </w:rPr>
      </w:pPr>
      <w:r>
        <w:rPr>
          <w:rFonts w:ascii="Arial" w:cs="Arial" w:eastAsia="Arial" w:hAnsi="Arial"/>
          <w:sz w:val="18"/>
          <w:szCs w:val="18"/>
          <w:color w:val="auto"/>
        </w:rPr>
        <w:t>Neuromodulation sales were $91 million in the fourth quarter, a slight decline from the prior year period, primarily due to four less selling days this quarter and inventory alignment in our European business, which offset favorable results from the continued adoption of the Company's newest VNS Therapy device, AspireSR, in the U.S.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283" w:lineRule="exact"/>
        <w:rPr>
          <w:sz w:val="20"/>
          <w:szCs w:val="20"/>
          <w:color w:val="auto"/>
        </w:rPr>
      </w:pPr>
    </w:p>
    <w:p>
      <w:pPr>
        <w:jc w:val="both"/>
        <w:spacing w:after="0" w:line="572" w:lineRule="auto"/>
        <w:rPr>
          <w:sz w:val="20"/>
          <w:szCs w:val="20"/>
          <w:color w:val="auto"/>
        </w:rPr>
      </w:pPr>
      <w:r>
        <w:rPr>
          <w:rFonts w:ascii="Arial" w:cs="Arial" w:eastAsia="Arial" w:hAnsi="Arial"/>
          <w:sz w:val="18"/>
          <w:szCs w:val="18"/>
          <w:color w:val="auto"/>
        </w:rPr>
        <w:t>On a U.S. GAAP basis, fourth quarter 2016 net loss from operations was $37 million, primarily due to costs related to the 3T Heater-Cooler Remediation Plan, impairment of goodwill in our CRM business franchise and restructuring expenses. Adjusted income from operations for the fourth quarter of 2016 was $57 million, an increase of 27.9% percent as compared to the fourth quarter of 2015, primarily driven by improvements in gross margin and a significant reduction in operating expenses resulting from merger synergy and restructuring activities.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Full-Year 2016 Results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selected financial worldwide sales for the full-year 2016 compared to the same period in 2015: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w w:val="99"/>
              </w:rPr>
              <w:t>Twelve Months Ended December 31,</w:t>
            </w:r>
          </w:p>
        </w:tc>
        <w:tc>
          <w:tcPr>
            <w:tcW w:w="120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w w:val="89"/>
              </w:rPr>
              <w:t>Constant Currency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72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In $ millions</w:t>
            </w: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2016</w:t>
            </w: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Change</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Cardiopulmonary</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$474.4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Heart Valves</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137.3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140.2</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Cardiac Surgery</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611.7</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Cardiac Rhythm Management</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249.1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Neuromodulation</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351.4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38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$1,213.9</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Numbers may not add due to rounding. Constant currency % change is considered a non-GAAP metric.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For discussion purposes, all sales growth rates below reflect comparable, constant currency growth. The difference between constant currency growth and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reported growth reflects the impact from currency fluctuations in the various currencies in which we operate.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Twelve months ended December 31, 2016</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Worldwide sales for full-year 2016 were $1.2 billion, up 1.0 percent compared to full-year net sales in 2015, primarily due to strong adoption of AspireSR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and the U.S. launch of Perceval, our sutureless valve.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business franchises, sales were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Surgery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Cardiac Surgery sales, which include cardiopulmonary products and heart valves, were $612 million, down slightly versus full-year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8" w:name="page9"/>
    <w:bookmarkEnd w:id="8"/>
    <w:p>
      <w:pPr>
        <w:jc w:val="both"/>
        <w:spacing w:after="0" w:line="654" w:lineRule="auto"/>
        <w:rPr>
          <w:sz w:val="20"/>
          <w:szCs w:val="20"/>
          <w:color w:val="auto"/>
        </w:rPr>
      </w:pPr>
      <w:r>
        <w:rPr>
          <w:rFonts w:ascii="Arial" w:cs="Arial" w:eastAsia="Arial" w:hAnsi="Arial"/>
          <w:sz w:val="16"/>
          <w:szCs w:val="16"/>
          <w:color w:val="auto"/>
        </w:rPr>
        <w:t>Sales in cardiopulmonary products were $474 million, relatively flat with the full-year 2015, primarily due to a decline in the Company's 3T Heater-Cooler devices, as a result of import restrictions in the U.S. and more recently, the loaner program, offset by strong sales and share gains in INSPIRE, our newest oxygenator. Heart valve sales, including tissue and mechanical heart valves, were $137 million, a decrease of 1.6 percent compared to the previous year. Strength in tissue valves, driven by strong demand for Perceval in both the U.S. and Europe, was offset by declines in mechanical valves.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Cardiac Rhythm Management (CRM)</w:t>
      </w:r>
    </w:p>
    <w:p>
      <w:pPr>
        <w:spacing w:after="0" w:line="283" w:lineRule="exact"/>
        <w:rPr>
          <w:sz w:val="20"/>
          <w:szCs w:val="20"/>
          <w:color w:val="auto"/>
        </w:rPr>
      </w:pPr>
    </w:p>
    <w:p>
      <w:pPr>
        <w:jc w:val="both"/>
        <w:spacing w:after="0" w:line="577" w:lineRule="auto"/>
        <w:rPr>
          <w:sz w:val="20"/>
          <w:szCs w:val="20"/>
          <w:color w:val="auto"/>
        </w:rPr>
      </w:pPr>
      <w:r>
        <w:rPr>
          <w:rFonts w:ascii="Arial" w:cs="Arial" w:eastAsia="Arial" w:hAnsi="Arial"/>
          <w:sz w:val="18"/>
          <w:szCs w:val="18"/>
          <w:color w:val="auto"/>
        </w:rPr>
        <w:t>CRM sales totaled $249 million, a decrease of 4.7 percent as compared to full-year 2015. Positive performance of the Company's newest high-voltage device PLATINIUM and favorable year-over-year results with its KORA 250 pacemaker were offset by declines in our Europe low-voltage business, as a result of continued pricing pressure and delayed product launches.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283" w:lineRule="exact"/>
        <w:rPr>
          <w:sz w:val="20"/>
          <w:szCs w:val="20"/>
          <w:color w:val="auto"/>
        </w:rPr>
      </w:pPr>
    </w:p>
    <w:p>
      <w:pPr>
        <w:jc w:val="both"/>
        <w:spacing w:after="0" w:line="590" w:lineRule="auto"/>
        <w:rPr>
          <w:sz w:val="20"/>
          <w:szCs w:val="20"/>
          <w:color w:val="auto"/>
        </w:rPr>
      </w:pPr>
      <w:r>
        <w:rPr>
          <w:rFonts w:ascii="Arial" w:cs="Arial" w:eastAsia="Arial" w:hAnsi="Arial"/>
          <w:sz w:val="18"/>
          <w:szCs w:val="18"/>
          <w:color w:val="auto"/>
        </w:rPr>
        <w:t>Neuromodulation sales were $351 million for the full-year 2016, an increase of 8.8 percent over the prior year period, driven primarily by continued adoption of the Company's newest VNS Therapy device, AspireSR, and strong new patient growth in the U.S.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283" w:lineRule="exact"/>
        <w:rPr>
          <w:sz w:val="20"/>
          <w:szCs w:val="20"/>
          <w:color w:val="auto"/>
        </w:rPr>
      </w:pPr>
    </w:p>
    <w:p>
      <w:pPr>
        <w:jc w:val="both"/>
        <w:spacing w:after="0" w:line="590" w:lineRule="auto"/>
        <w:rPr>
          <w:sz w:val="20"/>
          <w:szCs w:val="20"/>
          <w:color w:val="auto"/>
        </w:rPr>
      </w:pPr>
      <w:r>
        <w:rPr>
          <w:rFonts w:ascii="Arial" w:cs="Arial" w:eastAsia="Arial" w:hAnsi="Arial"/>
          <w:sz w:val="18"/>
          <w:szCs w:val="18"/>
          <w:color w:val="auto"/>
        </w:rPr>
        <w:t>On a U.S. GAAP basis, loss from operations for full-year 2016 was $28 million. Adjusted income from operations for full-year 2016 was $219 million, an increase of 26.9 percent as compared to full-year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Projections</w:t>
      </w:r>
    </w:p>
    <w:p>
      <w:pPr>
        <w:spacing w:after="0" w:line="283" w:lineRule="exact"/>
        <w:rPr>
          <w:sz w:val="20"/>
          <w:szCs w:val="20"/>
          <w:color w:val="auto"/>
        </w:rPr>
      </w:pPr>
    </w:p>
    <w:p>
      <w:pPr>
        <w:jc w:val="both"/>
        <w:spacing w:after="0" w:line="590" w:lineRule="auto"/>
        <w:rPr>
          <w:sz w:val="20"/>
          <w:szCs w:val="20"/>
          <w:color w:val="auto"/>
        </w:rPr>
      </w:pPr>
      <w:r>
        <w:rPr>
          <w:rFonts w:ascii="Arial" w:cs="Arial" w:eastAsia="Arial" w:hAnsi="Arial"/>
          <w:sz w:val="18"/>
          <w:szCs w:val="18"/>
          <w:color w:val="auto"/>
        </w:rPr>
        <w:t>LivaNova expects worldwide net sales for full-year 2017 to grow between 1 and 3 percent on a constant-currency basis. Adjusted diluted earnings per share for 2017 are expected to be in the range of $3.25 to $3.45</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w w:val="96"/>
              </w:rPr>
              <w:t>Key non-GAAP reconciliation items to the projected 2017 adjusted diluted earnings per share are as follows:</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73"/>
        </w:trPr>
        <w:tc>
          <w:tcPr>
            <w:tcW w:w="8320" w:type="dxa"/>
            <w:vAlign w:val="bottom"/>
          </w:tcPr>
          <w:p>
            <w:pPr>
              <w:spacing w:after="0"/>
              <w:rPr>
                <w:sz w:val="24"/>
                <w:szCs w:val="24"/>
                <w:color w:val="auto"/>
              </w:rPr>
            </w:pPr>
          </w:p>
        </w:tc>
        <w:tc>
          <w:tcPr>
            <w:tcW w:w="3100" w:type="dxa"/>
            <w:vAlign w:val="bottom"/>
            <w:gridSpan w:val="3"/>
          </w:tcPr>
          <w:p>
            <w:pPr>
              <w:spacing w:after="0"/>
              <w:rPr>
                <w:sz w:val="24"/>
                <w:szCs w:val="24"/>
                <w:color w:val="auto"/>
              </w:rPr>
            </w:pPr>
          </w:p>
        </w:tc>
      </w:tr>
      <w:tr>
        <w:trPr>
          <w:trHeight w:val="216"/>
        </w:trPr>
        <w:tc>
          <w:tcPr>
            <w:tcW w:w="832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87"/>
              </w:rPr>
              <w:t>Earnings Per Share</w:t>
            </w:r>
          </w:p>
        </w:tc>
      </w:tr>
      <w:tr>
        <w:trPr>
          <w:trHeight w:val="284"/>
        </w:trPr>
        <w:tc>
          <w:tcPr>
            <w:tcW w:w="8320" w:type="dxa"/>
            <w:vAlign w:val="bottom"/>
          </w:tcPr>
          <w:p>
            <w:pPr>
              <w:spacing w:after="0"/>
              <w:rPr>
                <w:sz w:val="20"/>
                <w:szCs w:val="20"/>
                <w:color w:val="auto"/>
              </w:rPr>
            </w:pPr>
            <w:r>
              <w:rPr>
                <w:rFonts w:ascii="Arial" w:cs="Arial" w:eastAsia="Arial" w:hAnsi="Arial"/>
                <w:sz w:val="18"/>
                <w:szCs w:val="18"/>
                <w:color w:val="auto"/>
              </w:rPr>
              <w:t>Estimated merger and integration charges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$0.05</w:t>
            </w:r>
          </w:p>
        </w:tc>
        <w:tc>
          <w:tcPr>
            <w:tcW w:w="760" w:type="dxa"/>
            <w:vAlign w:val="bottom"/>
          </w:tcPr>
          <w:p>
            <w:pPr>
              <w:jc w:val="center"/>
              <w:spacing w:after="0" w:line="283" w:lineRule="exact"/>
              <w:rPr>
                <w:sz w:val="20"/>
                <w:szCs w:val="20"/>
                <w:color w:val="auto"/>
              </w:rPr>
            </w:pPr>
            <w:r>
              <w:rPr>
                <w:rFonts w:ascii="Arial" w:cs="Arial" w:eastAsia="Arial" w:hAnsi="Arial"/>
                <w:sz w:val="25"/>
                <w:szCs w:val="25"/>
                <w:color w:val="auto"/>
                <w:w w:val="95"/>
              </w:rPr>
              <w:t>-</w:t>
            </w:r>
          </w:p>
        </w:tc>
        <w:tc>
          <w:tcPr>
            <w:tcW w:w="1300" w:type="dxa"/>
            <w:vAlign w:val="bottom"/>
          </w:tcPr>
          <w:p>
            <w:pPr>
              <w:jc w:val="right"/>
              <w:ind w:right="630"/>
              <w:spacing w:after="0"/>
              <w:rPr>
                <w:sz w:val="20"/>
                <w:szCs w:val="20"/>
                <w:color w:val="auto"/>
              </w:rPr>
            </w:pPr>
            <w:r>
              <w:rPr>
                <w:rFonts w:ascii="Arial" w:cs="Arial" w:eastAsia="Arial" w:hAnsi="Arial"/>
                <w:sz w:val="18"/>
                <w:szCs w:val="18"/>
                <w:color w:val="auto"/>
              </w:rPr>
              <w:t>$0.08</w:t>
            </w:r>
          </w:p>
        </w:tc>
      </w:tr>
      <w:tr>
        <w:trPr>
          <w:trHeight w:val="284"/>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Estimated charges for restructuring</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$0.29</w:t>
            </w:r>
          </w:p>
        </w:tc>
        <w:tc>
          <w:tcPr>
            <w:tcW w:w="760" w:type="dxa"/>
            <w:vAlign w:val="bottom"/>
            <w:shd w:val="clear" w:color="auto" w:fill="CCEEFF"/>
          </w:tcPr>
          <w:p>
            <w:pPr>
              <w:jc w:val="center"/>
              <w:spacing w:after="0" w:line="283" w:lineRule="exact"/>
              <w:rPr>
                <w:sz w:val="20"/>
                <w:szCs w:val="20"/>
                <w:color w:val="auto"/>
              </w:rPr>
            </w:pPr>
            <w:r>
              <w:rPr>
                <w:rFonts w:ascii="Arial" w:cs="Arial" w:eastAsia="Arial" w:hAnsi="Arial"/>
                <w:sz w:val="25"/>
                <w:szCs w:val="25"/>
                <w:color w:val="auto"/>
                <w:w w:val="95"/>
              </w:rPr>
              <w:t>-</w:t>
            </w:r>
          </w:p>
        </w:tc>
        <w:tc>
          <w:tcPr>
            <w:tcW w:w="13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$0.33</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Amortization of intangible assets related to purchase price accounting</w:t>
            </w:r>
          </w:p>
        </w:tc>
        <w:tc>
          <w:tcPr>
            <w:tcW w:w="10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$0.80</w:t>
            </w:r>
          </w:p>
        </w:tc>
        <w:tc>
          <w:tcPr>
            <w:tcW w:w="1300" w:type="dxa"/>
            <w:vAlign w:val="bottom"/>
          </w:tcPr>
          <w:p>
            <w:pPr>
              <w:spacing w:after="0"/>
              <w:rPr>
                <w:sz w:val="18"/>
                <w:szCs w:val="18"/>
                <w:color w:val="auto"/>
              </w:rPr>
            </w:pPr>
          </w:p>
        </w:tc>
      </w:tr>
      <w:tr>
        <w:trPr>
          <w:trHeight w:val="284"/>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Estimated charges related to equity compensation</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$0.29</w:t>
            </w:r>
          </w:p>
        </w:tc>
        <w:tc>
          <w:tcPr>
            <w:tcW w:w="760" w:type="dxa"/>
            <w:vAlign w:val="bottom"/>
            <w:shd w:val="clear" w:color="auto" w:fill="CCEEFF"/>
          </w:tcPr>
          <w:p>
            <w:pPr>
              <w:jc w:val="center"/>
              <w:spacing w:after="0" w:line="283" w:lineRule="exact"/>
              <w:rPr>
                <w:sz w:val="20"/>
                <w:szCs w:val="20"/>
                <w:color w:val="auto"/>
              </w:rPr>
            </w:pPr>
            <w:r>
              <w:rPr>
                <w:rFonts w:ascii="Arial" w:cs="Arial" w:eastAsia="Arial" w:hAnsi="Arial"/>
                <w:sz w:val="25"/>
                <w:szCs w:val="25"/>
                <w:color w:val="auto"/>
                <w:w w:val="95"/>
              </w:rPr>
              <w:t>-</w:t>
            </w:r>
          </w:p>
        </w:tc>
        <w:tc>
          <w:tcPr>
            <w:tcW w:w="13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$0.33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577" w:lineRule="auto"/>
        <w:rPr>
          <w:sz w:val="20"/>
          <w:szCs w:val="20"/>
          <w:color w:val="auto"/>
        </w:rPr>
      </w:pPr>
      <w:r>
        <w:rPr>
          <w:rFonts w:ascii="Arial" w:cs="Arial" w:eastAsia="Arial" w:hAnsi="Arial"/>
          <w:sz w:val="18"/>
          <w:szCs w:val="18"/>
          <w:color w:val="auto"/>
        </w:rPr>
        <w:t>In 2017, the company estimates that adjusted cash flow from operations, excluding integration, restructuring and 3T remediation payments, will be in the range of $190 to $210 million. Capital expenditures are projected to range between $40 million to $50 million. Depreciation and amortization is expected to be in the mid-$30 million range.</w:t>
      </w:r>
    </w:p>
    <w:p>
      <w:pPr>
        <w:spacing w:after="0" w:line="200" w:lineRule="exact"/>
        <w:rPr>
          <w:sz w:val="20"/>
          <w:szCs w:val="20"/>
          <w:color w:val="auto"/>
        </w:rPr>
      </w:pPr>
    </w:p>
    <w:p>
      <w:pPr>
        <w:spacing w:after="0" w:line="211" w:lineRule="exact"/>
        <w:rPr>
          <w:sz w:val="20"/>
          <w:szCs w:val="20"/>
          <w:color w:val="auto"/>
        </w:rPr>
      </w:pPr>
    </w:p>
    <w:p>
      <w:pPr>
        <w:jc w:val="both"/>
        <w:ind w:right="100"/>
        <w:spacing w:after="0" w:line="541" w:lineRule="auto"/>
        <w:rPr>
          <w:sz w:val="20"/>
          <w:szCs w:val="20"/>
          <w:color w:val="auto"/>
        </w:rPr>
      </w:pPr>
      <w:r>
        <w:rPr>
          <w:rFonts w:ascii="Arial" w:cs="Arial" w:eastAsia="Arial" w:hAnsi="Arial"/>
          <w:sz w:val="18"/>
          <w:szCs w:val="18"/>
          <w:color w:val="auto"/>
        </w:rPr>
        <w:t>"We have created a solid foundation and are on track for continued progress in 2017 with initiatives to advance our growth, drive product launches and fund our equity investments, which remain exciting opportunities for the company," said McDonald. "We expect continued progress as we execute on our synergy targets and retain our focus, energy and discipline as a company. Together, we believe these efforts will enable LivaNova to most effectively serve the needs of our customers and patients, and deliver strong value to our shareholders."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283" w:lineRule="exact"/>
        <w:rPr>
          <w:sz w:val="20"/>
          <w:szCs w:val="20"/>
          <w:color w:val="auto"/>
        </w:rPr>
      </w:pPr>
    </w:p>
    <w:p>
      <w:pPr>
        <w:jc w:val="both"/>
        <w:spacing w:after="0" w:line="572" w:lineRule="auto"/>
        <w:rPr>
          <w:sz w:val="20"/>
          <w:szCs w:val="20"/>
          <w:color w:val="auto"/>
        </w:rPr>
      </w:pPr>
      <w:r>
        <w:rPr>
          <w:rFonts w:ascii="Arial" w:cs="Arial" w:eastAsia="Arial" w:hAnsi="Arial"/>
          <w:sz w:val="18"/>
          <w:szCs w:val="18"/>
          <w:color w:val="auto"/>
        </w:rPr>
        <w:t xml:space="preserve">The conference call will be available to interested parties through a live audio webcast commencing at 8:00 a.m. Central time (9:00 a.m. Eastern time, 2:00 p.m. UK time) and accessible through the Investor Relations section of the LivaNova corporate website at </w:t>
      </w:r>
      <w:r>
        <w:rPr>
          <w:rFonts w:ascii="Arial" w:cs="Arial" w:eastAsia="Arial" w:hAnsi="Arial"/>
          <w:sz w:val="18"/>
          <w:szCs w:val="18"/>
          <w:u w:val="single" w:color="auto"/>
          <w:color w:val="auto"/>
        </w:rPr>
        <w:t>www.LivaNova.com</w:t>
      </w:r>
      <w:r>
        <w:rPr>
          <w:rFonts w:ascii="Arial" w:cs="Arial" w:eastAsia="Arial" w:hAnsi="Arial"/>
          <w:sz w:val="18"/>
          <w:szCs w:val="18"/>
          <w:color w:val="auto"/>
        </w:rPr>
        <w:t>. To listen to the conference call live by telephone, dial (844) 239-5285 (if dialing from within the U.S.) or (512) 961-6524 (if dialing from outside the U.S.). The conference ID is 40640458.</w:t>
      </w:r>
    </w:p>
    <w:p>
      <w:pPr>
        <w:spacing w:after="0" w:line="200" w:lineRule="exact"/>
        <w:rPr>
          <w:sz w:val="20"/>
          <w:szCs w:val="20"/>
          <w:color w:val="auto"/>
        </w:rPr>
      </w:pPr>
    </w:p>
    <w:p>
      <w:pPr>
        <w:spacing w:after="0" w:line="258" w:lineRule="exact"/>
        <w:rPr>
          <w:sz w:val="20"/>
          <w:szCs w:val="20"/>
          <w:color w:val="auto"/>
        </w:rPr>
      </w:pPr>
    </w:p>
    <w:p>
      <w:pPr>
        <w:jc w:val="both"/>
        <w:spacing w:after="0" w:line="590" w:lineRule="auto"/>
        <w:rPr>
          <w:sz w:val="20"/>
          <w:szCs w:val="20"/>
          <w:color w:val="auto"/>
        </w:rPr>
      </w:pPr>
      <w:r>
        <w:rPr>
          <w:rFonts w:ascii="Arial" w:cs="Arial" w:eastAsia="Arial" w:hAnsi="Arial"/>
          <w:sz w:val="18"/>
          <w:szCs w:val="18"/>
          <w:color w:val="auto"/>
        </w:rPr>
        <w:t>Within 24 hours of the webcast, a replay will be available under the under the "News &amp; Events / Presentations" section of the Investor Relations portion of the LivaNova website, where it will be archived and accessible for approximately 12 months.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FF5C39"/>
        </w:rPr>
        <w:t>About LivaNova</w:t>
      </w:r>
    </w:p>
    <w:p>
      <w:pPr>
        <w:spacing w:after="0" w:line="279" w:lineRule="exact"/>
        <w:rPr>
          <w:sz w:val="20"/>
          <w:szCs w:val="20"/>
          <w:color w:val="auto"/>
        </w:rPr>
      </w:pPr>
    </w:p>
    <w:p>
      <w:pPr>
        <w:jc w:val="both"/>
        <w:spacing w:after="0" w:line="607"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FF5C39"/>
        </w:rPr>
        <w:t>Financial Alignment, Combined Sales &amp; Operating Results, Business Franchise Structure and Constant Currency</w:t>
      </w:r>
    </w:p>
    <w:p>
      <w:pPr>
        <w:spacing w:after="0" w:line="279" w:lineRule="exact"/>
        <w:rPr>
          <w:sz w:val="20"/>
          <w:szCs w:val="20"/>
          <w:color w:val="auto"/>
        </w:rPr>
      </w:pPr>
    </w:p>
    <w:p>
      <w:pPr>
        <w:jc w:val="both"/>
        <w:spacing w:after="0" w:line="577" w:lineRule="auto"/>
        <w:rPr>
          <w:sz w:val="20"/>
          <w:szCs w:val="20"/>
          <w:color w:val="auto"/>
        </w:rPr>
      </w:pPr>
      <w:r>
        <w:rPr>
          <w:rFonts w:ascii="Arial" w:cs="Arial" w:eastAsia="Arial" w:hAnsi="Arial"/>
          <w:sz w:val="18"/>
          <w:szCs w:val="18"/>
          <w:color w:val="auto"/>
        </w:rPr>
        <w:t>Cyberonics Inc., the predecessor company to LivaNova, previously reported on a 52/53 week fiscal year calendar ending in April. With the formal change in the fiscal calendar to a fiscal year ended December 31, the historical Neuromodulation business franchise sales have been aligned to correspond as closely as possible to calendar quarters.</w:t>
      </w:r>
    </w:p>
    <w:p>
      <w:pPr>
        <w:spacing w:after="0" w:line="200" w:lineRule="exact"/>
        <w:rPr>
          <w:sz w:val="20"/>
          <w:szCs w:val="20"/>
          <w:color w:val="auto"/>
        </w:rPr>
      </w:pPr>
    </w:p>
    <w:p>
      <w:pPr>
        <w:spacing w:after="0" w:line="252" w:lineRule="exact"/>
        <w:rPr>
          <w:sz w:val="20"/>
          <w:szCs w:val="20"/>
          <w:color w:val="auto"/>
        </w:rPr>
      </w:pPr>
    </w:p>
    <w:p>
      <w:pPr>
        <w:jc w:val="both"/>
        <w:spacing w:after="0" w:line="570" w:lineRule="auto"/>
        <w:rPr>
          <w:sz w:val="20"/>
          <w:szCs w:val="20"/>
          <w:color w:val="auto"/>
        </w:rPr>
      </w:pPr>
      <w:r>
        <w:rPr>
          <w:rFonts w:ascii="Arial" w:cs="Arial" w:eastAsia="Arial" w:hAnsi="Arial"/>
          <w:sz w:val="18"/>
          <w:szCs w:val="18"/>
          <w:color w:val="auto"/>
        </w:rPr>
        <w:t>Although LivaNova was a shell company with no business operations until the closing date of the merger on October 19, 2015, the sales results disclosed for periods up to and beyond that date are being provided on a combined basis, a non-GAAP formulation that combines the results of legacy Sorin Group S.p.A. (Sorin) and Cyberonics for the periods completed prior to the merger and periods that include results both before and after the closing of the merger. The Company believes that presenting the results of Sorin and Cyberonics in such a manner offers a meaningful representation to investors of the combined company's sales for these periods.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1" w:name="page12"/>
    <w:bookmarkEnd w:id="11"/>
    <w:p>
      <w:pPr>
        <w:jc w:val="both"/>
        <w:spacing w:after="0" w:line="568" w:lineRule="auto"/>
        <w:rPr>
          <w:sz w:val="20"/>
          <w:szCs w:val="20"/>
          <w:color w:val="auto"/>
        </w:rPr>
      </w:pPr>
      <w:r>
        <w:rPr>
          <w:rFonts w:ascii="Arial" w:cs="Arial" w:eastAsia="Arial" w:hAnsi="Arial"/>
          <w:sz w:val="18"/>
          <w:szCs w:val="18"/>
          <w:color w:val="auto"/>
        </w:rPr>
        <w:t>Non-GAAP operating results, unaudited, have been included for 2015. These results have been prepared by management and adjusted for non-GAAP items as if the merger had occurred on January 1, 2015 but should not be considered as an alternative to Proforma Income Statements to be provided in accordance with SEC filings. Certain adjustments to legacy Sorin operating results have occurred in order to present the results in U.S. dollars and to align these results as closely as possible to the presentation of LivaNova financial results. Company management uses these measurements as aids in monitoring the Company's ongoing financial performance from quarter to quarter and year to year on a regular basis and for benchmarking against other medical technology companies. Management believes that the presentation of these results provides a meaningful representation of the combined company's operating results for the periods presented.</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590" w:lineRule="auto"/>
        <w:rPr>
          <w:sz w:val="20"/>
          <w:szCs w:val="20"/>
          <w:color w:val="auto"/>
        </w:rPr>
      </w:pPr>
      <w:r>
        <w:rPr>
          <w:rFonts w:ascii="Arial" w:cs="Arial" w:eastAsia="Arial" w:hAnsi="Arial"/>
          <w:sz w:val="18"/>
          <w:szCs w:val="18"/>
          <w:color w:val="auto"/>
        </w:rPr>
        <w:t>The sales and operating results for legacy Cyberonics for the quarters ended March 31, June 30 and September 30 were aligned to provide comparative information. The actual periods ended on March 27, June 26 and September 25 respectively.</w:t>
      </w:r>
    </w:p>
    <w:p>
      <w:pPr>
        <w:spacing w:after="0" w:line="200" w:lineRule="exact"/>
        <w:rPr>
          <w:sz w:val="20"/>
          <w:szCs w:val="20"/>
          <w:color w:val="auto"/>
        </w:rPr>
      </w:pPr>
    </w:p>
    <w:p>
      <w:pPr>
        <w:spacing w:after="0" w:line="241" w:lineRule="exact"/>
        <w:rPr>
          <w:sz w:val="20"/>
          <w:szCs w:val="20"/>
          <w:color w:val="auto"/>
        </w:rPr>
      </w:pPr>
    </w:p>
    <w:p>
      <w:pPr>
        <w:jc w:val="both"/>
        <w:spacing w:after="0" w:line="577" w:lineRule="auto"/>
        <w:rPr>
          <w:sz w:val="20"/>
          <w:szCs w:val="20"/>
          <w:color w:val="auto"/>
        </w:rPr>
      </w:pPr>
      <w:r>
        <w:rPr>
          <w:rFonts w:ascii="Arial" w:cs="Arial" w:eastAsia="Arial" w:hAnsi="Arial"/>
          <w:sz w:val="18"/>
          <w:szCs w:val="18"/>
          <w:color w:val="auto"/>
        </w:rPr>
        <w:t>LivaNova (as the successor to Sorin and Cyberonics on a combined basis) operates under a Business Franchise structure with Cardiac Surgery, CRM and Neuromodulation accounting for substantially all of the sales during the periods referred to herein. The combined company also operates a New Ventures group, dedicated to developing new technologies.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279" w:lineRule="exact"/>
        <w:rPr>
          <w:sz w:val="20"/>
          <w:szCs w:val="20"/>
          <w:color w:val="auto"/>
        </w:rPr>
      </w:pPr>
    </w:p>
    <w:p>
      <w:pPr>
        <w:jc w:val="both"/>
        <w:spacing w:after="0" w:line="569"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2" w:name="page13"/>
    <w:bookmarkEnd w:id="12"/>
    <w:p>
      <w:pPr>
        <w:jc w:val="both"/>
        <w:spacing w:after="0" w:line="572" w:lineRule="auto"/>
        <w:rPr>
          <w:sz w:val="20"/>
          <w:szCs w:val="20"/>
          <w:color w:val="auto"/>
        </w:rPr>
      </w:pPr>
      <w:r>
        <w:rPr>
          <w:rFonts w:ascii="Arial" w:cs="Arial" w:eastAsia="Arial" w:hAnsi="Arial"/>
          <w:sz w:val="18"/>
          <w:szCs w:val="18"/>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FF5C39"/>
        </w:rPr>
        <w:t>Safe Harbor Statement</w:t>
      </w:r>
    </w:p>
    <w:p>
      <w:pPr>
        <w:spacing w:after="0" w:line="387" w:lineRule="exact"/>
        <w:rPr>
          <w:sz w:val="20"/>
          <w:szCs w:val="20"/>
          <w:color w:val="auto"/>
        </w:rPr>
      </w:pPr>
    </w:p>
    <w:p>
      <w:pPr>
        <w:jc w:val="both"/>
        <w:spacing w:after="0" w:line="634"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2017, advancing our growth, driving product launches and funding our equity investments, executing on our synergy targets and retaining our focus, energy and discipline as a company, serving the needs of our customers and patients, and delivering strong value to our shareholders. Important factors that may cause actual results to differ include, but are not limited to: (i) risks that the legacy businesses of Cyberonics, Inc. and Sorin S.p.A.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w:t>
      </w:r>
    </w:p>
    <w:p>
      <w:pPr>
        <w:spacing w:after="0" w:line="3" w:lineRule="exact"/>
        <w:rPr>
          <w:sz w:val="20"/>
          <w:szCs w:val="20"/>
          <w:color w:val="auto"/>
        </w:rPr>
      </w:pPr>
    </w:p>
    <w:p>
      <w:pPr>
        <w:jc w:val="both"/>
        <w:ind w:firstLine="8"/>
        <w:spacing w:after="0" w:line="644"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w:t>
      </w:r>
    </w:p>
    <w:p>
      <w:pPr>
        <w:sectPr>
          <w:pgSz w:w="11900" w:h="16838" w:orient="portrait"/>
          <w:cols w:equalWidth="0" w:num="1">
            <w:col w:w="11420"/>
          </w:cols>
          <w:pgMar w:left="240" w:top="476" w:right="239" w:bottom="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Company's business, including those described in the "Risk Factors" section of Annual Reports on Form 10-K, Quarterly Reports on Form 10-Q, Current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Reports on Form 8-K, the Registration Statement on Form S-4 and other documents filed from time to time with the United States Securities and Exchange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Commission by LivaNova. LivaNova does not give any assurance (1) that LivaNova will achieve its expectations, or (2) concerning any result or the timing</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thereof, in each case, with respect to any regulatory action, administrative proceedings, government investigations, litigation, warning letters, consent decree,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cost reductions, business strategies, earnings or revenue trends or future financial results.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4" w:name="page15"/>
    <w:bookmarkEnd w:id="14"/>
    <w:p>
      <w:pPr>
        <w:jc w:val="both"/>
        <w:spacing w:after="0" w:line="607" w:lineRule="auto"/>
        <w:rPr>
          <w:sz w:val="20"/>
          <w:szCs w:val="20"/>
          <w:color w:val="auto"/>
        </w:rPr>
      </w:pPr>
      <w:r>
        <w:rPr>
          <w:rFonts w:ascii="Arial" w:cs="Arial" w:eastAsia="Arial" w:hAnsi="Arial"/>
          <w:sz w:val="17"/>
          <w:szCs w:val="17"/>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Investor Relations and Media</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Karen King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Phone: +1 (281) 228-7262</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Fax: +1 (281) 218-9332</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Corporate.Communications@LivaNova.com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QUARTERLY SALES TREND BY BUSINESS UNIT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 CONSTANT CURRENCY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4Q16 vs.</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FY16 vs.</w:t>
            </w:r>
          </w:p>
        </w:tc>
      </w:tr>
      <w:tr>
        <w:trPr>
          <w:trHeight w:val="234"/>
        </w:trPr>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1Q15</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2Q15</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3Q15</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4Q15</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FY15</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1Q16</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2Q16</w:t>
            </w: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3Q16</w:t>
            </w: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4Q16</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FY16</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4Q15</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FY15</w:t>
            </w:r>
          </w:p>
        </w:tc>
      </w:tr>
      <w:tr>
        <w:trPr>
          <w:trHeight w:val="237"/>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Cardio Pulmonary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$113.4</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$123.6</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Heart Valves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37"/>
        </w:trPr>
        <w:tc>
          <w:tcPr>
            <w:tcW w:w="2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Cardiac Surgery Total</w:t>
            </w:r>
          </w:p>
        </w:tc>
        <w:tc>
          <w:tcPr>
            <w:tcW w:w="680" w:type="dxa"/>
            <w:vAlign w:val="bottom"/>
          </w:tcPr>
          <w:p>
            <w:pPr>
              <w:jc w:val="right"/>
              <w:spacing w:after="0"/>
              <w:rPr>
                <w:sz w:val="20"/>
                <w:szCs w:val="20"/>
                <w:color w:val="auto"/>
              </w:rPr>
            </w:pPr>
            <w:r>
              <w:rPr>
                <w:rFonts w:ascii="Arial" w:cs="Arial" w:eastAsia="Arial" w:hAnsi="Arial"/>
                <w:sz w:val="18"/>
                <w:szCs w:val="18"/>
                <w:color w:val="auto"/>
              </w:rPr>
              <w:t>142.2</w:t>
            </w:r>
          </w:p>
        </w:tc>
        <w:tc>
          <w:tcPr>
            <w:tcW w:w="660" w:type="dxa"/>
            <w:vAlign w:val="bottom"/>
          </w:tcPr>
          <w:p>
            <w:pPr>
              <w:jc w:val="right"/>
              <w:spacing w:after="0"/>
              <w:rPr>
                <w:sz w:val="20"/>
                <w:szCs w:val="20"/>
                <w:color w:val="auto"/>
              </w:rPr>
            </w:pPr>
            <w:r>
              <w:rPr>
                <w:rFonts w:ascii="Arial" w:cs="Arial" w:eastAsia="Arial" w:hAnsi="Arial"/>
                <w:sz w:val="18"/>
                <w:szCs w:val="18"/>
                <w:color w:val="auto"/>
              </w:rPr>
              <w:t>162.3</w:t>
            </w: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620" w:type="dxa"/>
            <w:vAlign w:val="bottom"/>
          </w:tcPr>
          <w:p>
            <w:pPr>
              <w:jc w:val="right"/>
              <w:spacing w:after="0"/>
              <w:rPr>
                <w:sz w:val="20"/>
                <w:szCs w:val="20"/>
                <w:color w:val="auto"/>
              </w:rPr>
            </w:pPr>
            <w:r>
              <w:rPr>
                <w:rFonts w:ascii="Arial" w:cs="Arial" w:eastAsia="Arial" w:hAnsi="Arial"/>
                <w:sz w:val="18"/>
                <w:szCs w:val="18"/>
                <w:color w:val="auto"/>
              </w:rPr>
              <w:t>164.9</w:t>
            </w:r>
          </w:p>
        </w:tc>
        <w:tc>
          <w:tcPr>
            <w:tcW w:w="720" w:type="dxa"/>
            <w:vAlign w:val="bottom"/>
          </w:tcPr>
          <w:p>
            <w:pPr>
              <w:jc w:val="right"/>
              <w:spacing w:after="0"/>
              <w:rPr>
                <w:sz w:val="20"/>
                <w:szCs w:val="20"/>
                <w:color w:val="auto"/>
              </w:rPr>
            </w:pPr>
            <w:r>
              <w:rPr>
                <w:rFonts w:ascii="Arial" w:cs="Arial" w:eastAsia="Arial" w:hAnsi="Arial"/>
                <w:sz w:val="18"/>
                <w:szCs w:val="18"/>
                <w:color w:val="auto"/>
              </w:rPr>
              <w:t>616.6</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640" w:type="dxa"/>
            <w:vAlign w:val="bottom"/>
          </w:tcPr>
          <w:p>
            <w:pPr>
              <w:jc w:val="right"/>
              <w:spacing w:after="0"/>
              <w:rPr>
                <w:sz w:val="20"/>
                <w:szCs w:val="20"/>
                <w:color w:val="auto"/>
              </w:rPr>
            </w:pPr>
            <w:r>
              <w:rPr>
                <w:rFonts w:ascii="Arial" w:cs="Arial" w:eastAsia="Arial" w:hAnsi="Arial"/>
                <w:sz w:val="18"/>
                <w:szCs w:val="18"/>
                <w:color w:val="auto"/>
              </w:rPr>
              <w:t>159.6</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(3.2 %)</w:t>
            </w:r>
          </w:p>
        </w:tc>
        <w:tc>
          <w:tcPr>
            <w:tcW w:w="8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CRM</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Neuromodulation</w:t>
            </w:r>
          </w:p>
        </w:tc>
        <w:tc>
          <w:tcPr>
            <w:tcW w:w="680" w:type="dxa"/>
            <w:vAlign w:val="bottom"/>
          </w:tcPr>
          <w:p>
            <w:pPr>
              <w:jc w:val="right"/>
              <w:spacing w:after="0"/>
              <w:rPr>
                <w:sz w:val="20"/>
                <w:szCs w:val="20"/>
                <w:color w:val="auto"/>
              </w:rPr>
            </w:pPr>
            <w:r>
              <w:rPr>
                <w:rFonts w:ascii="Arial" w:cs="Arial" w:eastAsia="Arial" w:hAnsi="Arial"/>
                <w:sz w:val="18"/>
                <w:szCs w:val="18"/>
                <w:color w:val="auto"/>
              </w:rPr>
              <w:t>70.1</w:t>
            </w:r>
          </w:p>
        </w:tc>
        <w:tc>
          <w:tcPr>
            <w:tcW w:w="660" w:type="dxa"/>
            <w:vAlign w:val="bottom"/>
          </w:tcPr>
          <w:p>
            <w:pPr>
              <w:jc w:val="right"/>
              <w:spacing w:after="0"/>
              <w:rPr>
                <w:sz w:val="20"/>
                <w:szCs w:val="20"/>
                <w:color w:val="auto"/>
              </w:rPr>
            </w:pPr>
            <w:r>
              <w:rPr>
                <w:rFonts w:ascii="Arial" w:cs="Arial" w:eastAsia="Arial" w:hAnsi="Arial"/>
                <w:sz w:val="18"/>
                <w:szCs w:val="18"/>
                <w:color w:val="auto"/>
              </w:rPr>
              <w:t>78.4</w:t>
            </w:r>
          </w:p>
        </w:tc>
        <w:tc>
          <w:tcPr>
            <w:tcW w:w="660" w:type="dxa"/>
            <w:vAlign w:val="bottom"/>
          </w:tcPr>
          <w:p>
            <w:pPr>
              <w:jc w:val="right"/>
              <w:spacing w:after="0"/>
              <w:rPr>
                <w:sz w:val="20"/>
                <w:szCs w:val="20"/>
                <w:color w:val="auto"/>
              </w:rPr>
            </w:pPr>
            <w:r>
              <w:rPr>
                <w:rFonts w:ascii="Arial" w:cs="Arial" w:eastAsia="Arial" w:hAnsi="Arial"/>
                <w:sz w:val="18"/>
                <w:szCs w:val="18"/>
                <w:color w:val="auto"/>
              </w:rPr>
              <w:t>84.3</w:t>
            </w: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720" w:type="dxa"/>
            <w:vAlign w:val="bottom"/>
          </w:tcPr>
          <w:p>
            <w:pPr>
              <w:jc w:val="right"/>
              <w:spacing w:after="0"/>
              <w:rPr>
                <w:sz w:val="20"/>
                <w:szCs w:val="20"/>
                <w:color w:val="auto"/>
              </w:rPr>
            </w:pPr>
            <w:r>
              <w:rPr>
                <w:rFonts w:ascii="Arial" w:cs="Arial" w:eastAsia="Arial" w:hAnsi="Arial"/>
                <w:sz w:val="18"/>
                <w:szCs w:val="18"/>
                <w:color w:val="auto"/>
              </w:rPr>
              <w:t>324.3</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640" w:type="dxa"/>
            <w:vAlign w:val="bottom"/>
          </w:tcPr>
          <w:p>
            <w:pPr>
              <w:jc w:val="right"/>
              <w:spacing w:after="0"/>
              <w:rPr>
                <w:sz w:val="20"/>
                <w:szCs w:val="20"/>
                <w:color w:val="auto"/>
              </w:rPr>
            </w:pPr>
            <w:r>
              <w:rPr>
                <w:rFonts w:ascii="Arial" w:cs="Arial" w:eastAsia="Arial" w:hAnsi="Arial"/>
                <w:sz w:val="18"/>
                <w:szCs w:val="18"/>
                <w:color w:val="auto"/>
              </w:rPr>
              <w:t>91.2</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353.0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(0.3 %)</w:t>
            </w:r>
          </w:p>
        </w:tc>
        <w:tc>
          <w:tcPr>
            <w:tcW w:w="86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2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(53.5 %)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(42.6 %)</w:t>
            </w:r>
          </w:p>
        </w:tc>
      </w:tr>
      <w:tr>
        <w:trPr>
          <w:trHeight w:val="264"/>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$1,204.6</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$291.8</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$319.3</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$1,216.8</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596"/>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LIVANOVA PLC</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260" w:type="dxa"/>
            <w:vAlign w:val="bottom"/>
            <w:gridSpan w:val="4"/>
          </w:tcPr>
          <w:p>
            <w:pPr>
              <w:ind w:left="20"/>
              <w:spacing w:after="0"/>
              <w:rPr>
                <w:sz w:val="20"/>
                <w:szCs w:val="20"/>
                <w:color w:val="auto"/>
              </w:rPr>
            </w:pPr>
            <w:r>
              <w:rPr>
                <w:rFonts w:ascii="Arial" w:cs="Arial" w:eastAsia="Arial" w:hAnsi="Arial"/>
                <w:sz w:val="18"/>
                <w:szCs w:val="18"/>
                <w:b w:val="1"/>
                <w:bCs w:val="1"/>
                <w:color w:val="auto"/>
              </w:rPr>
              <w:t>QUARTERLY SALES TREND BY BUSINESS UNIT</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U.S. dollars in millions, REPORTED</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28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191"/>
        </w:trPr>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4Q16 vs.</w:t>
            </w:r>
          </w:p>
        </w:tc>
        <w:tc>
          <w:tcPr>
            <w:tcW w:w="86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FY16 vs.</w:t>
            </w:r>
          </w:p>
        </w:tc>
      </w:tr>
      <w:tr>
        <w:trPr>
          <w:trHeight w:val="234"/>
        </w:trPr>
        <w:tc>
          <w:tcPr>
            <w:tcW w:w="2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1Q15</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2Q15</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3Q15</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4Q15</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FY15</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1Q16</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2Q16</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3Q16</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4Q16</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FY16</w:t>
            </w: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4Q15</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FY15</w:t>
            </w:r>
          </w:p>
        </w:tc>
      </w:tr>
      <w:tr>
        <w:trPr>
          <w:trHeight w:val="237"/>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Cardio Pulmonary</w:t>
            </w: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$125.9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Heart Valves</w:t>
            </w: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37"/>
        </w:trPr>
        <w:tc>
          <w:tcPr>
            <w:tcW w:w="2920" w:type="dxa"/>
            <w:vAlign w:val="bottom"/>
            <w:gridSpan w:val="2"/>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Cardiac Surgery Total</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142.2</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620" w:type="dxa"/>
            <w:vAlign w:val="bottom"/>
          </w:tcPr>
          <w:p>
            <w:pPr>
              <w:jc w:val="right"/>
              <w:spacing w:after="0"/>
              <w:rPr>
                <w:sz w:val="20"/>
                <w:szCs w:val="20"/>
                <w:color w:val="auto"/>
              </w:rPr>
            </w:pPr>
            <w:r>
              <w:rPr>
                <w:rFonts w:ascii="Arial" w:cs="Arial" w:eastAsia="Arial" w:hAnsi="Arial"/>
                <w:sz w:val="18"/>
                <w:szCs w:val="18"/>
                <w:color w:val="auto"/>
              </w:rPr>
              <w:t>164.9</w:t>
            </w:r>
          </w:p>
        </w:tc>
        <w:tc>
          <w:tcPr>
            <w:tcW w:w="720" w:type="dxa"/>
            <w:vAlign w:val="bottom"/>
          </w:tcPr>
          <w:p>
            <w:pPr>
              <w:jc w:val="right"/>
              <w:spacing w:after="0"/>
              <w:rPr>
                <w:sz w:val="20"/>
                <w:szCs w:val="20"/>
                <w:color w:val="auto"/>
              </w:rPr>
            </w:pPr>
            <w:r>
              <w:rPr>
                <w:rFonts w:ascii="Arial" w:cs="Arial" w:eastAsia="Arial" w:hAnsi="Arial"/>
                <w:sz w:val="18"/>
                <w:szCs w:val="18"/>
                <w:color w:val="auto"/>
              </w:rPr>
              <w:t>616.6</w:t>
            </w:r>
          </w:p>
        </w:tc>
        <w:tc>
          <w:tcPr>
            <w:tcW w:w="660" w:type="dxa"/>
            <w:vAlign w:val="bottom"/>
          </w:tcPr>
          <w:p>
            <w:pPr>
              <w:jc w:val="right"/>
              <w:spacing w:after="0"/>
              <w:rPr>
                <w:sz w:val="20"/>
                <w:szCs w:val="20"/>
                <w:color w:val="auto"/>
              </w:rPr>
            </w:pPr>
            <w:r>
              <w:rPr>
                <w:rFonts w:ascii="Arial" w:cs="Arial" w:eastAsia="Arial" w:hAnsi="Arial"/>
                <w:sz w:val="18"/>
                <w:szCs w:val="18"/>
                <w:color w:val="auto"/>
              </w:rPr>
              <w:t>143.4</w:t>
            </w:r>
          </w:p>
        </w:tc>
        <w:tc>
          <w:tcPr>
            <w:tcW w:w="660" w:type="dxa"/>
            <w:vAlign w:val="bottom"/>
          </w:tcPr>
          <w:p>
            <w:pPr>
              <w:jc w:val="right"/>
              <w:spacing w:after="0"/>
              <w:rPr>
                <w:sz w:val="20"/>
                <w:szCs w:val="20"/>
                <w:color w:val="auto"/>
              </w:rPr>
            </w:pPr>
            <w:r>
              <w:rPr>
                <w:rFonts w:ascii="Arial" w:cs="Arial" w:eastAsia="Arial" w:hAnsi="Arial"/>
                <w:sz w:val="18"/>
                <w:szCs w:val="18"/>
                <w:color w:val="auto"/>
              </w:rPr>
              <w:t>161.1</w:t>
            </w:r>
          </w:p>
        </w:tc>
        <w:tc>
          <w:tcPr>
            <w:tcW w:w="680" w:type="dxa"/>
            <w:vAlign w:val="bottom"/>
          </w:tcPr>
          <w:p>
            <w:pPr>
              <w:jc w:val="right"/>
              <w:spacing w:after="0"/>
              <w:rPr>
                <w:sz w:val="20"/>
                <w:szCs w:val="20"/>
                <w:color w:val="auto"/>
              </w:rPr>
            </w:pPr>
            <w:r>
              <w:rPr>
                <w:rFonts w:ascii="Arial" w:cs="Arial" w:eastAsia="Arial" w:hAnsi="Arial"/>
                <w:sz w:val="18"/>
                <w:szCs w:val="18"/>
                <w:color w:val="auto"/>
              </w:rPr>
              <w:t>148.5</w:t>
            </w:r>
          </w:p>
        </w:tc>
        <w:tc>
          <w:tcPr>
            <w:tcW w:w="640" w:type="dxa"/>
            <w:vAlign w:val="bottom"/>
          </w:tcPr>
          <w:p>
            <w:pPr>
              <w:jc w:val="right"/>
              <w:spacing w:after="0"/>
              <w:rPr>
                <w:sz w:val="20"/>
                <w:szCs w:val="20"/>
                <w:color w:val="auto"/>
              </w:rPr>
            </w:pPr>
            <w:r>
              <w:rPr>
                <w:rFonts w:ascii="Arial" w:cs="Arial" w:eastAsia="Arial" w:hAnsi="Arial"/>
                <w:sz w:val="18"/>
                <w:szCs w:val="18"/>
                <w:color w:val="auto"/>
              </w:rPr>
              <w:t>158.7</w:t>
            </w:r>
          </w:p>
        </w:tc>
        <w:tc>
          <w:tcPr>
            <w:tcW w:w="740" w:type="dxa"/>
            <w:vAlign w:val="bottom"/>
          </w:tcPr>
          <w:p>
            <w:pPr>
              <w:jc w:val="right"/>
              <w:spacing w:after="0"/>
              <w:rPr>
                <w:sz w:val="20"/>
                <w:szCs w:val="20"/>
                <w:color w:val="auto"/>
              </w:rPr>
            </w:pPr>
            <w:r>
              <w:rPr>
                <w:rFonts w:ascii="Arial" w:cs="Arial" w:eastAsia="Arial" w:hAnsi="Arial"/>
                <w:sz w:val="18"/>
                <w:szCs w:val="18"/>
                <w:color w:val="auto"/>
              </w:rPr>
              <w:t>611.7</w:t>
            </w:r>
          </w:p>
        </w:tc>
        <w:tc>
          <w:tcPr>
            <w:tcW w:w="920" w:type="dxa"/>
            <w:vAlign w:val="bottom"/>
          </w:tcPr>
          <w:p>
            <w:pPr>
              <w:jc w:val="right"/>
              <w:spacing w:after="0"/>
              <w:rPr>
                <w:sz w:val="20"/>
                <w:szCs w:val="20"/>
                <w:color w:val="auto"/>
              </w:rPr>
            </w:pPr>
            <w:r>
              <w:rPr>
                <w:rFonts w:ascii="Arial" w:cs="Arial" w:eastAsia="Arial" w:hAnsi="Arial"/>
                <w:sz w:val="18"/>
                <w:szCs w:val="18"/>
                <w:color w:val="auto"/>
              </w:rPr>
              <w:t>(3.7 %)</w:t>
            </w:r>
          </w:p>
        </w:tc>
        <w:tc>
          <w:tcPr>
            <w:tcW w:w="8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CRM</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Neuromodulation</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660" w:type="dxa"/>
            <w:vAlign w:val="bottom"/>
          </w:tcPr>
          <w:p>
            <w:pPr>
              <w:jc w:val="right"/>
              <w:spacing w:after="0"/>
              <w:rPr>
                <w:sz w:val="20"/>
                <w:szCs w:val="20"/>
                <w:color w:val="auto"/>
              </w:rPr>
            </w:pPr>
            <w:r>
              <w:rPr>
                <w:rFonts w:ascii="Arial" w:cs="Arial" w:eastAsia="Arial" w:hAnsi="Arial"/>
                <w:sz w:val="18"/>
                <w:szCs w:val="18"/>
                <w:color w:val="auto"/>
              </w:rPr>
              <w:t>84.3</w:t>
            </w: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720" w:type="dxa"/>
            <w:vAlign w:val="bottom"/>
          </w:tcPr>
          <w:p>
            <w:pPr>
              <w:jc w:val="right"/>
              <w:spacing w:after="0"/>
              <w:rPr>
                <w:sz w:val="20"/>
                <w:szCs w:val="20"/>
                <w:color w:val="auto"/>
              </w:rPr>
            </w:pPr>
            <w:r>
              <w:rPr>
                <w:rFonts w:ascii="Arial" w:cs="Arial" w:eastAsia="Arial" w:hAnsi="Arial"/>
                <w:sz w:val="18"/>
                <w:szCs w:val="18"/>
                <w:color w:val="auto"/>
              </w:rPr>
              <w:t>324.3</w:t>
            </w:r>
          </w:p>
        </w:tc>
        <w:tc>
          <w:tcPr>
            <w:tcW w:w="660" w:type="dxa"/>
            <w:vAlign w:val="bottom"/>
          </w:tcPr>
          <w:p>
            <w:pPr>
              <w:jc w:val="right"/>
              <w:spacing w:after="0"/>
              <w:rPr>
                <w:sz w:val="20"/>
                <w:szCs w:val="20"/>
                <w:color w:val="auto"/>
              </w:rPr>
            </w:pPr>
            <w:r>
              <w:rPr>
                <w:rFonts w:ascii="Arial" w:cs="Arial" w:eastAsia="Arial" w:hAnsi="Arial"/>
                <w:sz w:val="18"/>
                <w:szCs w:val="18"/>
                <w:color w:val="auto"/>
              </w:rPr>
              <w:t>81.4</w:t>
            </w: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680" w:type="dxa"/>
            <w:vAlign w:val="bottom"/>
          </w:tcPr>
          <w:p>
            <w:pPr>
              <w:jc w:val="right"/>
              <w:spacing w:after="0"/>
              <w:rPr>
                <w:sz w:val="20"/>
                <w:szCs w:val="20"/>
                <w:color w:val="auto"/>
              </w:rPr>
            </w:pPr>
            <w:r>
              <w:rPr>
                <w:rFonts w:ascii="Arial" w:cs="Arial" w:eastAsia="Arial" w:hAnsi="Arial"/>
                <w:sz w:val="18"/>
                <w:szCs w:val="18"/>
                <w:color w:val="auto"/>
              </w:rPr>
              <w:t>89.5</w:t>
            </w:r>
          </w:p>
        </w:tc>
        <w:tc>
          <w:tcPr>
            <w:tcW w:w="640" w:type="dxa"/>
            <w:vAlign w:val="bottom"/>
          </w:tcPr>
          <w:p>
            <w:pPr>
              <w:jc w:val="right"/>
              <w:spacing w:after="0"/>
              <w:rPr>
                <w:sz w:val="20"/>
                <w:szCs w:val="20"/>
                <w:color w:val="auto"/>
              </w:rPr>
            </w:pPr>
            <w:r>
              <w:rPr>
                <w:rFonts w:ascii="Arial" w:cs="Arial" w:eastAsia="Arial" w:hAnsi="Arial"/>
                <w:sz w:val="18"/>
                <w:szCs w:val="18"/>
                <w:color w:val="auto"/>
              </w:rPr>
              <w:t>90.5</w:t>
            </w:r>
          </w:p>
        </w:tc>
        <w:tc>
          <w:tcPr>
            <w:tcW w:w="740" w:type="dxa"/>
            <w:vAlign w:val="bottom"/>
          </w:tcPr>
          <w:p>
            <w:pPr>
              <w:jc w:val="right"/>
              <w:spacing w:after="0"/>
              <w:rPr>
                <w:sz w:val="20"/>
                <w:szCs w:val="20"/>
                <w:color w:val="auto"/>
              </w:rPr>
            </w:pPr>
            <w:r>
              <w:rPr>
                <w:rFonts w:ascii="Arial" w:cs="Arial" w:eastAsia="Arial" w:hAnsi="Arial"/>
                <w:sz w:val="18"/>
                <w:szCs w:val="18"/>
                <w:color w:val="auto"/>
              </w:rPr>
              <w:t>351.4</w:t>
            </w: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86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2920" w:type="dxa"/>
            <w:vAlign w:val="bottom"/>
            <w:gridSpan w:val="2"/>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(54.7 %)</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(45.4 %)</w:t>
            </w:r>
          </w:p>
        </w:tc>
      </w:tr>
      <w:tr>
        <w:trPr>
          <w:trHeight w:val="264"/>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$283.4</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$317.1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$1,204.6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$1,213.9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The sales results presented are unaudited. Numbers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6" w:name="page17"/>
    <w:bookmarkEnd w:id="16"/>
    <w:p>
      <w:pPr>
        <w:ind w:left="20"/>
        <w:spacing w:after="0"/>
        <w:rPr>
          <w:sz w:val="20"/>
          <w:szCs w:val="20"/>
          <w:color w:val="auto"/>
        </w:rPr>
      </w:pPr>
      <w:r>
        <w:rPr>
          <w:rFonts w:ascii="Arial" w:cs="Arial" w:eastAsia="Arial" w:hAnsi="Arial"/>
          <w:sz w:val="18"/>
          <w:szCs w:val="18"/>
          <w:b w:val="1"/>
          <w:bCs w:val="1"/>
          <w:color w:val="auto"/>
        </w:rPr>
        <w:t>LIVANOVA PLC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QUARTERLY SALES TREND BY REGION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 REPORTED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FY16</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4Q16 vs.</w:t>
            </w:r>
          </w:p>
        </w:tc>
        <w:tc>
          <w:tcPr>
            <w:tcW w:w="60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2Q15</w:t>
            </w: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3Q15</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4Q15</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FY15</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1Q16</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2Q16</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3Q16</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4Q16</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FY16</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4Q15</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FY15</w:t>
            </w:r>
          </w:p>
        </w:tc>
        <w:tc>
          <w:tcPr>
            <w:tcW w:w="0" w:type="dxa"/>
            <w:vAlign w:val="bottom"/>
          </w:tcPr>
          <w:p>
            <w:pPr>
              <w:spacing w:after="0"/>
              <w:rPr>
                <w:sz w:val="1"/>
                <w:szCs w:val="1"/>
                <w:color w:val="auto"/>
              </w:rPr>
            </w:pPr>
          </w:p>
        </w:tc>
      </w:tr>
      <w:tr>
        <w:trPr>
          <w:trHeight w:val="191"/>
        </w:trPr>
        <w:tc>
          <w:tcPr>
            <w:tcW w:w="140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Cardio</w:t>
            </w: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00" w:type="dxa"/>
            <w:vAlign w:val="bottom"/>
          </w:tcPr>
          <w:p>
            <w:pPr>
              <w:ind w:left="20"/>
              <w:spacing w:after="0"/>
              <w:rPr>
                <w:sz w:val="20"/>
                <w:szCs w:val="20"/>
                <w:color w:val="auto"/>
              </w:rPr>
            </w:pPr>
            <w:r>
              <w:rPr>
                <w:rFonts w:ascii="Arial" w:cs="Arial" w:eastAsia="Arial" w:hAnsi="Arial"/>
                <w:sz w:val="18"/>
                <w:szCs w:val="18"/>
                <w:b w:val="1"/>
                <w:bCs w:val="1"/>
                <w:color w:val="auto"/>
              </w:rPr>
              <w:t>Pulmonary</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  (4.5 %)</w:t>
            </w:r>
          </w:p>
        </w:tc>
        <w:tc>
          <w:tcPr>
            <w:tcW w:w="0" w:type="dxa"/>
            <w:vAlign w:val="bottom"/>
          </w:tcPr>
          <w:p>
            <w:pPr>
              <w:spacing w:after="0"/>
              <w:rPr>
                <w:sz w:val="1"/>
                <w:szCs w:val="1"/>
                <w:color w:val="auto"/>
              </w:rPr>
            </w:pPr>
          </w:p>
        </w:tc>
      </w:tr>
      <w:tr>
        <w:trPr>
          <w:trHeight w:val="257"/>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31.7</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137.9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(4.9 %)  (6.8 %)</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41.5</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176.9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7"/>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125.9</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113.0</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130.0</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476.4</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110.9</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124.0</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114.8</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124.7</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(0.4 %)</w:t>
            </w:r>
          </w:p>
        </w:tc>
        <w:tc>
          <w:tcPr>
            <w:tcW w:w="0" w:type="dxa"/>
            <w:vAlign w:val="bottom"/>
          </w:tcPr>
          <w:p>
            <w:pPr>
              <w:spacing w:after="0"/>
              <w:rPr>
                <w:sz w:val="1"/>
                <w:szCs w:val="1"/>
                <w:color w:val="auto"/>
              </w:rPr>
            </w:pPr>
          </w:p>
        </w:tc>
      </w:tr>
      <w:tr>
        <w:trPr>
          <w:trHeight w:val="21"/>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Heart Valve</w:t>
            </w: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46.9</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20" w:type="dxa"/>
            <w:vAlign w:val="bottom"/>
          </w:tcPr>
          <w:p>
            <w:pPr>
              <w:jc w:val="right"/>
              <w:spacing w:after="0"/>
              <w:rPr>
                <w:sz w:val="20"/>
                <w:szCs w:val="20"/>
                <w:color w:val="auto"/>
              </w:rPr>
            </w:pPr>
            <w:r>
              <w:rPr>
                <w:rFonts w:ascii="Arial" w:cs="Arial" w:eastAsia="Arial" w:hAnsi="Arial"/>
                <w:sz w:val="18"/>
                <w:szCs w:val="18"/>
                <w:color w:val="auto"/>
              </w:rPr>
              <w:t>(1.6 %)</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(5.5 %)</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68.1</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(4.1 %)</w:t>
            </w:r>
          </w:p>
        </w:tc>
        <w:tc>
          <w:tcPr>
            <w:tcW w:w="0" w:type="dxa"/>
            <w:vAlign w:val="bottom"/>
          </w:tcPr>
          <w:p>
            <w:pPr>
              <w:spacing w:after="0"/>
              <w:rPr>
                <w:sz w:val="1"/>
                <w:szCs w:val="1"/>
                <w:color w:val="auto"/>
              </w:rPr>
            </w:pPr>
          </w:p>
        </w:tc>
      </w:tr>
      <w:tr>
        <w:trPr>
          <w:trHeight w:val="264"/>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34.2</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34.0</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(2.1 %)</w:t>
            </w:r>
          </w:p>
        </w:tc>
        <w:tc>
          <w:tcPr>
            <w:tcW w:w="0" w:type="dxa"/>
            <w:vAlign w:val="bottom"/>
          </w:tcPr>
          <w:p>
            <w:pPr>
              <w:spacing w:after="0"/>
              <w:rPr>
                <w:sz w:val="1"/>
                <w:szCs w:val="1"/>
                <w:color w:val="auto"/>
              </w:rPr>
            </w:pPr>
          </w:p>
        </w:tc>
      </w:tr>
      <w:tr>
        <w:trPr>
          <w:trHeight w:val="21"/>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7"/>
              </w:rPr>
              <w:t>Cardiac Surgery</w:t>
            </w: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45.9</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51.7</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186.9</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  (2.5 %)</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41.9</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46.5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184.8</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(4.1 %)  (6.5 %)</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59.3</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66.7</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245.0</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7"/>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162.3</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147.2</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164.9</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616.6</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143.4</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161.1</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148.5</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158.7</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(0.8 %)</w:t>
            </w:r>
          </w:p>
        </w:tc>
        <w:tc>
          <w:tcPr>
            <w:tcW w:w="0" w:type="dxa"/>
            <w:vAlign w:val="bottom"/>
          </w:tcPr>
          <w:p>
            <w:pPr>
              <w:spacing w:after="0"/>
              <w:rPr>
                <w:sz w:val="1"/>
                <w:szCs w:val="1"/>
                <w:color w:val="auto"/>
              </w:rPr>
            </w:pPr>
          </w:p>
        </w:tc>
      </w:tr>
      <w:tr>
        <w:trPr>
          <w:trHeight w:val="21"/>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CRM</w:t>
            </w: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(20.9 %) (36.0 %)</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44.8</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50.5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198.6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1020" w:type="dxa"/>
            <w:vAlign w:val="bottom"/>
          </w:tcPr>
          <w:p>
            <w:pPr>
              <w:jc w:val="right"/>
              <w:spacing w:after="0"/>
              <w:rPr>
                <w:sz w:val="20"/>
                <w:szCs w:val="20"/>
                <w:color w:val="auto"/>
              </w:rPr>
            </w:pPr>
            <w:r>
              <w:rPr>
                <w:rFonts w:ascii="Arial" w:cs="Arial" w:eastAsia="Arial" w:hAnsi="Arial"/>
                <w:sz w:val="18"/>
                <w:szCs w:val="18"/>
                <w:color w:val="auto"/>
              </w:rPr>
              <w:t>(4.8 %)</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(0.7 %)</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46.4</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49.1 %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(9.7 %)</w:t>
            </w:r>
          </w:p>
        </w:tc>
        <w:tc>
          <w:tcPr>
            <w:tcW w:w="0" w:type="dxa"/>
            <w:vAlign w:val="bottom"/>
          </w:tcPr>
          <w:p>
            <w:pPr>
              <w:spacing w:after="0"/>
              <w:rPr>
                <w:sz w:val="1"/>
                <w:szCs w:val="1"/>
                <w:color w:val="auto"/>
              </w:rPr>
            </w:pPr>
          </w:p>
        </w:tc>
      </w:tr>
      <w:tr>
        <w:trPr>
          <w:trHeight w:val="237"/>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75.6</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53.9</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60.7</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260.5</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56.8</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249.1</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(4.4 %)</w:t>
            </w:r>
          </w:p>
        </w:tc>
        <w:tc>
          <w:tcPr>
            <w:tcW w:w="0" w:type="dxa"/>
            <w:vAlign w:val="bottom"/>
          </w:tcPr>
          <w:p>
            <w:pPr>
              <w:spacing w:after="0"/>
              <w:rPr>
                <w:sz w:val="1"/>
                <w:szCs w:val="1"/>
                <w:color w:val="auto"/>
              </w:rPr>
            </w:pPr>
          </w:p>
        </w:tc>
      </w:tr>
      <w:tr>
        <w:trPr>
          <w:trHeight w:val="21"/>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1"/>
              </w:rPr>
              <w:t>Neuromodulation</w:t>
            </w: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63.6</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70.9</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76.8</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268.8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  11.0 %</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9.2</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35.2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(15.8 %)  (9.2 %)</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7"/>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78.4</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84.3</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91.5</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324.3</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81.4</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90.5</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w:t>
            </w: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(36.2 %) (44.1 %)</w:t>
            </w:r>
          </w:p>
        </w:tc>
        <w:tc>
          <w:tcPr>
            <w:tcW w:w="0" w:type="dxa"/>
            <w:vAlign w:val="bottom"/>
          </w:tcPr>
          <w:p>
            <w:pPr>
              <w:spacing w:after="0"/>
              <w:rPr>
                <w:sz w:val="1"/>
                <w:szCs w:val="1"/>
                <w:color w:val="auto"/>
              </w:rPr>
            </w:pPr>
          </w:p>
        </w:tc>
      </w:tr>
      <w:tr>
        <w:trPr>
          <w:trHeight w:val="237"/>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(54.7 %) (45.4 %)</w:t>
            </w:r>
          </w:p>
        </w:tc>
        <w:tc>
          <w:tcPr>
            <w:tcW w:w="0" w:type="dxa"/>
            <w:vAlign w:val="bottom"/>
          </w:tcPr>
          <w:p>
            <w:pPr>
              <w:spacing w:after="0"/>
              <w:rPr>
                <w:sz w:val="1"/>
                <w:szCs w:val="1"/>
                <w:color w:val="auto"/>
              </w:rPr>
            </w:pPr>
          </w:p>
        </w:tc>
      </w:tr>
      <w:tr>
        <w:trPr>
          <w:trHeight w:val="21"/>
        </w:trPr>
        <w:tc>
          <w:tcPr>
            <w:tcW w:w="1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120.8</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131.6</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471.2</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  4.1 %</w:t>
            </w: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95.2</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106.4</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418.8</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(5.7 %)  (4.0 %)</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70.2</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79.9</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314.6</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85.4</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80.2</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321.4</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140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$317.1</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$286.1</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$318.0</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$1,204.6</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$287.0</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$321.0</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$295.3</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$310.6</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$1,213.9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The sales results presented are unaudited. Numbers may not add due to rounding.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LIVANOVA PLC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QUARTERLY SALES TREND BY REGION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 CONSTANT CURRENCY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4Q16 vs.</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FY16 vs.</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1Q15</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2Q15</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3Q15</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FY15</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1Q16</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2Q16</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3Q16</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4Q16</w:t>
            </w: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FY16</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FY15</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b w:val="1"/>
                <w:bCs w:val="1"/>
                <w:color w:val="auto"/>
              </w:rPr>
              <w:t>Cardio Pulmonary</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31.7</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35.6</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137.9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32.4</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28.8</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35.4</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840" w:type="dxa"/>
            <w:vAlign w:val="bottom"/>
          </w:tcPr>
          <w:p>
            <w:pPr>
              <w:jc w:val="right"/>
              <w:spacing w:after="0"/>
              <w:rPr>
                <w:sz w:val="20"/>
                <w:szCs w:val="20"/>
                <w:color w:val="auto"/>
              </w:rPr>
            </w:pPr>
            <w:r>
              <w:rPr>
                <w:rFonts w:ascii="Arial" w:cs="Arial" w:eastAsia="Arial" w:hAnsi="Arial"/>
                <w:sz w:val="18"/>
                <w:szCs w:val="18"/>
                <w:color w:val="auto"/>
              </w:rPr>
              <w:t>(0.5 %)</w:t>
            </w:r>
          </w:p>
        </w:tc>
        <w:tc>
          <w:tcPr>
            <w:tcW w:w="8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45.9</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41.5</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48.5</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176.9</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49.8</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45.1</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48.8</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190.3</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107.5</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125.9</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113.0</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130.0</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476.4</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113.4</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123.6</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113.3</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125.5</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Heart Valve</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46.9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12.4</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1.7 %</w:t>
            </w:r>
          </w:p>
        </w:tc>
        <w:tc>
          <w:tcPr>
            <w:tcW w:w="8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16.8</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18.2</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68.1</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17.6</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16.1</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36.4</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34.2</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34.9</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140.2</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33.4</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37.0</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33.4</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34.2</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Cardiac Surgery</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49.6</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45.9</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186.9</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46.3</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48.1</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41.9</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46.5</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184.8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44.0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47.0</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38.7</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46.5</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176.1</w:t>
            </w: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62.7</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59.3</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66.7</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245.0</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61.8</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67.4</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61.2</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65.1</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142.2</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162.3</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147.2</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164.9</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616.6</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146.8</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160.7</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146.6</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159.6</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613.7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CRM</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52.3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44.8</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50.5</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198.6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51.2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53.5</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44.8</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49.2</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198.7</w:t>
            </w:r>
          </w:p>
        </w:tc>
        <w:tc>
          <w:tcPr>
            <w:tcW w:w="840" w:type="dxa"/>
            <w:vAlign w:val="bottom"/>
          </w:tcPr>
          <w:p>
            <w:pPr>
              <w:jc w:val="right"/>
              <w:spacing w:after="0"/>
              <w:rPr>
                <w:sz w:val="20"/>
                <w:szCs w:val="20"/>
                <w:color w:val="auto"/>
              </w:rPr>
            </w:pPr>
            <w:r>
              <w:rPr>
                <w:rFonts w:ascii="Arial" w:cs="Arial" w:eastAsia="Arial" w:hAnsi="Arial"/>
                <w:sz w:val="18"/>
                <w:szCs w:val="18"/>
                <w:color w:val="auto"/>
              </w:rPr>
              <w:t>(2.7 %)</w:t>
            </w:r>
          </w:p>
        </w:tc>
        <w:tc>
          <w:tcPr>
            <w:tcW w:w="82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7.0</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46.4</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39.6</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75.6</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53.9</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60.7</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260.5</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62.9</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68.1</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55.8</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61.4</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248.2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Neuromodulation</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63.6</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70.9</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76.8</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268.8</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70.2</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75.8</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74.9</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77.6</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298.5</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8.4</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9.4</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9.0</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33.5</w:t>
            </w:r>
          </w:p>
        </w:tc>
        <w:tc>
          <w:tcPr>
            <w:tcW w:w="840" w:type="dxa"/>
            <w:vAlign w:val="bottom"/>
          </w:tcPr>
          <w:p>
            <w:pPr>
              <w:jc w:val="right"/>
              <w:spacing w:after="0"/>
              <w:rPr>
                <w:sz w:val="20"/>
                <w:szCs w:val="20"/>
                <w:color w:val="auto"/>
              </w:rPr>
            </w:pPr>
            <w:r>
              <w:rPr>
                <w:rFonts w:ascii="Arial" w:cs="Arial" w:eastAsia="Arial" w:hAnsi="Arial"/>
                <w:sz w:val="18"/>
                <w:szCs w:val="18"/>
                <w:color w:val="auto"/>
              </w:rPr>
              <w:t>(8.2 %)</w:t>
            </w:r>
          </w:p>
        </w:tc>
        <w:tc>
          <w:tcPr>
            <w:tcW w:w="8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78.4</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84.3</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91.5</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324.3</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81.6</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90.1</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90.0</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91.2</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840" w:type="dxa"/>
            <w:vAlign w:val="bottom"/>
          </w:tcPr>
          <w:p>
            <w:pPr>
              <w:jc w:val="right"/>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0.9</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1"/>
        </w:trPr>
        <w:tc>
          <w:tcPr>
            <w:tcW w:w="1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1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117.1</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120.8</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131.6</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471.2</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114.1</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124.4</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123.8</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128.1</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auto"/>
              </w:rPr>
              <w:t>Europe</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111.2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95.2</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106.4</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418.8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101.9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110.0</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92.5</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104.0</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408.4</w:t>
            </w:r>
          </w:p>
        </w:tc>
        <w:tc>
          <w:tcPr>
            <w:tcW w:w="840" w:type="dxa"/>
            <w:vAlign w:val="bottom"/>
          </w:tcPr>
          <w:p>
            <w:pPr>
              <w:jc w:val="right"/>
              <w:spacing w:after="0"/>
              <w:rPr>
                <w:sz w:val="20"/>
                <w:szCs w:val="20"/>
                <w:color w:val="auto"/>
              </w:rPr>
            </w:pPr>
            <w:r>
              <w:rPr>
                <w:rFonts w:ascii="Arial" w:cs="Arial" w:eastAsia="Arial" w:hAnsi="Arial"/>
                <w:sz w:val="18"/>
                <w:szCs w:val="18"/>
                <w:color w:val="auto"/>
              </w:rPr>
              <w:t>(2.2 %)</w:t>
            </w:r>
          </w:p>
        </w:tc>
        <w:tc>
          <w:tcPr>
            <w:tcW w:w="8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88.8</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70.2</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79.9</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314.6</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75.8</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84.9</w:t>
            </w:r>
          </w:p>
        </w:tc>
        <w:tc>
          <w:tcPr>
            <w:tcW w:w="8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76.6</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80.6</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317.9</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16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$317.1</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$1,204.6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$291.8</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$319.3</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$1,216.8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The sales results presented are unaudited. Numbers may not add due to rounding.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QUARTERLY SALES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w w:val="90"/>
              </w:rPr>
              <w:t>Three Months Ended December 31, 2016</w:t>
            </w:r>
          </w:p>
        </w:tc>
        <w:tc>
          <w:tcPr>
            <w:tcW w:w="1840" w:type="dxa"/>
            <w:vAlign w:val="bottom"/>
            <w:tcBorders>
              <w:bottom w:val="single" w:sz="8" w:color="auto"/>
            </w:tcBorders>
          </w:tcPr>
          <w:p>
            <w:pPr>
              <w:spacing w:after="0"/>
              <w:rPr>
                <w:sz w:val="20"/>
                <w:szCs w:val="20"/>
                <w:color w:val="auto"/>
              </w:rPr>
            </w:pPr>
          </w:p>
        </w:tc>
      </w:tr>
      <w:tr>
        <w:trPr>
          <w:trHeight w:val="434"/>
        </w:trPr>
        <w:tc>
          <w:tcPr>
            <w:tcW w:w="4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ind w:left="140"/>
              <w:spacing w:after="0"/>
              <w:rPr>
                <w:sz w:val="20"/>
                <w:szCs w:val="20"/>
                <w:color w:val="auto"/>
              </w:rPr>
            </w:pPr>
            <w:r>
              <w:rPr>
                <w:rFonts w:ascii="Arial" w:cs="Arial" w:eastAsia="Arial" w:hAnsi="Arial"/>
                <w:sz w:val="18"/>
                <w:szCs w:val="18"/>
                <w:b w:val="1"/>
                <w:bCs w:val="1"/>
                <w:color w:val="auto"/>
              </w:rPr>
              <w:t>% Change at Actual</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 Change at Constant</w:t>
            </w:r>
          </w:p>
        </w:tc>
      </w:tr>
      <w:tr>
        <w:trPr>
          <w:trHeight w:val="234"/>
        </w:trPr>
        <w:tc>
          <w:tcPr>
            <w:tcW w:w="45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Currency Rates</w:t>
            </w: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Currency Rates</w:t>
            </w: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Cardio Pulmonary</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(4.0 %)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(3.4 %)</w:t>
            </w:r>
          </w:p>
        </w:tc>
      </w:tr>
      <w:tr>
        <w:trPr>
          <w:trHeight w:val="480"/>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Heart Valve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17.4 %</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(2.2 %)</w:t>
            </w:r>
          </w:p>
        </w:tc>
      </w:tr>
      <w:tr>
        <w:trPr>
          <w:trHeight w:val="480"/>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Cardiac Surgery</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0.0 %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(3.2 %)</w:t>
            </w:r>
          </w:p>
        </w:tc>
      </w:tr>
      <w:tr>
        <w:trPr>
          <w:trHeight w:val="480"/>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CRM</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49.1 %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1.3 %</w:t>
            </w:r>
          </w:p>
        </w:tc>
      </w:tr>
      <w:tr>
        <w:trPr>
          <w:trHeight w:val="480"/>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Neuromodulation</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(0.3 %)</w:t>
            </w:r>
          </w:p>
        </w:tc>
      </w:tr>
      <w:tr>
        <w:trPr>
          <w:trHeight w:val="480"/>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N/A</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0" w:type="dxa"/>
            <w:vAlign w:val="bottom"/>
            <w:gridSpan w:val="3"/>
          </w:tcPr>
          <w:p>
            <w:pPr>
              <w:ind w:left="1540"/>
              <w:spacing w:after="0"/>
              <w:rPr>
                <w:sz w:val="20"/>
                <w:szCs w:val="20"/>
                <w:color w:val="auto"/>
              </w:rPr>
            </w:pPr>
            <w:r>
              <w:rPr>
                <w:rFonts w:ascii="Arial" w:cs="Arial" w:eastAsia="Arial" w:hAnsi="Arial"/>
                <w:sz w:val="18"/>
                <w:szCs w:val="18"/>
                <w:color w:val="auto"/>
              </w:rPr>
              <w:t>N/A</w:t>
            </w:r>
          </w:p>
        </w:tc>
        <w:tc>
          <w:tcPr>
            <w:tcW w:w="18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(54.7 %)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(53.5 %)</w:t>
            </w:r>
          </w:p>
        </w:tc>
      </w:tr>
      <w:tr>
        <w:trPr>
          <w:trHeight w:val="480"/>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100.3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2.8 %</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$310.6</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$318.0</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(2.3 %)</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(1.6 %)</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The sales results presented are unaudited. Numbers may not add due to rounding.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FY16 SALES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492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Twelve Months Ended December 31, 2016</w:t>
            </w: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434"/>
        </w:trPr>
        <w:tc>
          <w:tcPr>
            <w:tcW w:w="4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b w:val="1"/>
                <w:bCs w:val="1"/>
                <w:color w:val="auto"/>
              </w:rPr>
              <w:t>% Change at Actual</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w w:val="94"/>
              </w:rPr>
              <w:t>% Change at Constant</w:t>
            </w:r>
          </w:p>
        </w:tc>
      </w:tr>
      <w:tr>
        <w:trPr>
          <w:trHeight w:val="234"/>
        </w:trPr>
        <w:tc>
          <w:tcPr>
            <w:tcW w:w="45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5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b w:val="1"/>
                <w:bCs w:val="1"/>
                <w:color w:val="auto"/>
              </w:rPr>
              <w:t>Currency Rates</w:t>
            </w:r>
          </w:p>
        </w:tc>
        <w:tc>
          <w:tcPr>
            <w:tcW w:w="8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b w:val="1"/>
                <w:bCs w:val="1"/>
                <w:color w:val="auto"/>
              </w:rPr>
              <w:t>Currency Rates</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Cardio Pulmonary</w:t>
            </w:r>
          </w:p>
        </w:tc>
        <w:tc>
          <w:tcPr>
            <w:tcW w:w="1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128.5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137.9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8.3 %</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474.4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476.4</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(0.4 %)</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(0.1 %)</w:t>
            </w:r>
          </w:p>
        </w:tc>
      </w:tr>
      <w:tr>
        <w:trPr>
          <w:trHeight w:val="48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Heart Valve</w:t>
            </w: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9.8 %</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44.3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137.3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(2.1 %)</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(1.6 %)</w:t>
            </w:r>
          </w:p>
        </w:tc>
      </w:tr>
      <w:tr>
        <w:trPr>
          <w:trHeight w:val="48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Cardiac Surgery</w:t>
            </w: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172.8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184.8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4.8 %</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4.3 %</w:t>
            </w:r>
          </w:p>
        </w:tc>
      </w:tr>
      <w:tr>
        <w:trPr>
          <w:trHeight w:val="250"/>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611.7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616.6</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(0.8 %)</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(0.5 %)</w:t>
            </w:r>
          </w:p>
        </w:tc>
      </w:tr>
      <w:tr>
        <w:trPr>
          <w:trHeight w:val="48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CRM</w:t>
            </w: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197.2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198.6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0.1 %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249.1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260.5</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(4.4 %)</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(4.7 %)</w:t>
            </w:r>
          </w:p>
        </w:tc>
      </w:tr>
      <w:tr>
        <w:trPr>
          <w:trHeight w:val="48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11.0 %</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31.9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3.3 %</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351.4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324.3</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8.3 %</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8.8 %</w:t>
            </w:r>
          </w:p>
        </w:tc>
      </w:tr>
      <w:tr>
        <w:trPr>
          <w:trHeight w:val="48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(44.1 %)</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(45.4 %)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(42.6 %)</w:t>
            </w:r>
          </w:p>
        </w:tc>
      </w:tr>
      <w:tr>
        <w:trPr>
          <w:trHeight w:val="48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4.1 %</w:t>
            </w:r>
          </w:p>
        </w:tc>
        <w:tc>
          <w:tcPr>
            <w:tcW w:w="1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4.1 %</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Europe</w:t>
            </w:r>
          </w:p>
        </w:tc>
        <w:tc>
          <w:tcPr>
            <w:tcW w:w="1380" w:type="dxa"/>
            <w:vAlign w:val="bottom"/>
          </w:tcPr>
          <w:p>
            <w:pPr>
              <w:jc w:val="right"/>
              <w:spacing w:after="0"/>
              <w:rPr>
                <w:sz w:val="20"/>
                <w:szCs w:val="20"/>
                <w:color w:val="auto"/>
              </w:rPr>
            </w:pPr>
            <w:r>
              <w:rPr>
                <w:rFonts w:ascii="Arial" w:cs="Arial" w:eastAsia="Arial" w:hAnsi="Arial"/>
                <w:sz w:val="18"/>
                <w:szCs w:val="18"/>
                <w:color w:val="auto"/>
              </w:rPr>
              <w:t>402.1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418.8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1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$1,213.9</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$1,204.6</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0.8 %</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1.0 %</w:t>
            </w:r>
          </w:p>
        </w:tc>
      </w:tr>
      <w:tr>
        <w:trPr>
          <w:trHeight w:val="21"/>
        </w:trPr>
        <w:tc>
          <w:tcPr>
            <w:tcW w:w="4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The sales results presented are unaudited. Numbers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 OF INCOME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17"/>
                <w:szCs w:val="17"/>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Three Months Ended December 31,</w:t>
            </w:r>
          </w:p>
        </w:tc>
      </w:tr>
      <w:tr>
        <w:trPr>
          <w:trHeight w:val="234"/>
        </w:trPr>
        <w:tc>
          <w:tcPr>
            <w:tcW w:w="8480" w:type="dxa"/>
            <w:vAlign w:val="bottom"/>
          </w:tcPr>
          <w:p>
            <w:pPr>
              <w:spacing w:after="0"/>
              <w:rPr>
                <w:sz w:val="20"/>
                <w:szCs w:val="20"/>
                <w:color w:val="auto"/>
              </w:rPr>
            </w:pPr>
          </w:p>
        </w:tc>
        <w:tc>
          <w:tcPr>
            <w:tcW w:w="29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2016</w:t>
            </w:r>
          </w:p>
        </w:tc>
      </w:tr>
      <w:tr>
        <w:trPr>
          <w:trHeight w:val="23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94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75"/>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remediation</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3"/>
        </w:trPr>
        <w:tc>
          <w:tcPr>
            <w:tcW w:w="84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480"/>
        </w:trPr>
        <w:tc>
          <w:tcPr>
            <w:tcW w:w="8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940" w:type="dxa"/>
            <w:vAlign w:val="bottom"/>
          </w:tcPr>
          <w:p>
            <w:pPr>
              <w:spacing w:after="0"/>
              <w:rPr>
                <w:sz w:val="24"/>
                <w:szCs w:val="24"/>
                <w:color w:val="auto"/>
              </w:rPr>
            </w:pPr>
          </w:p>
        </w:tc>
      </w:tr>
      <w:tr>
        <w:trPr>
          <w:trHeight w:val="243"/>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94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9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9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848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auto"/>
            </w:tcBorders>
            <w:shd w:val="clear" w:color="auto" w:fill="CCEEFF"/>
          </w:tcPr>
          <w:p>
            <w:pPr>
              <w:spacing w:after="0"/>
              <w:rPr>
                <w:sz w:val="21"/>
                <w:szCs w:val="2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37"/>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35" w:right="239" w:bottom="835" w:gutter="0" w:footer="0" w:header="0"/>
        </w:sect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 (expense), net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exchange and other -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(3.4</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-1619250</wp:posOffset>
            </wp:positionH>
            <wp:positionV relativeFrom="paragraph">
              <wp:posOffset>14605</wp:posOffset>
            </wp:positionV>
            <wp:extent cx="1861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(36.3</w:t>
      </w:r>
    </w:p>
    <w:p>
      <w:pPr>
        <w:spacing w:after="0" w:line="248" w:lineRule="exact"/>
        <w:rPr>
          <w:sz w:val="20"/>
          <w:szCs w:val="20"/>
          <w:color w:val="auto"/>
        </w:rPr>
      </w:pPr>
    </w:p>
    <w:p>
      <w:pPr>
        <w:sectPr>
          <w:pgSz w:w="11900" w:h="16838" w:orient="portrait"/>
          <w:cols w:equalWidth="0" w:num="2">
            <w:col w:w="10320" w:space="720"/>
            <w:col w:w="380"/>
          </w:cols>
          <w:pgMar w:left="240" w:top="135" w:right="239" w:bottom="835"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equity method investments</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5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 (1)</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Adjusted SG&amp;A (1)</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R&amp;D (1)</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Adjusted Income from Operations (1)</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(1)</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Adjusted Diluted Earnings Per Share (1)</w:t>
            </w: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81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Statistics (as a % of net sales, except for income tax rate)</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GAAP Three Months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42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Ended December 31,</w:t>
            </w:r>
          </w:p>
        </w:tc>
        <w:tc>
          <w:tcPr>
            <w:tcW w:w="100" w:type="dxa"/>
            <w:vAlign w:val="bottom"/>
          </w:tcPr>
          <w:p>
            <w:pPr>
              <w:spacing w:after="0"/>
              <w:rPr>
                <w:sz w:val="20"/>
                <w:szCs w:val="20"/>
                <w:color w:val="auto"/>
              </w:rPr>
            </w:pPr>
          </w:p>
        </w:tc>
        <w:tc>
          <w:tcPr>
            <w:tcW w:w="3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2"/>
              </w:rPr>
              <w:t>Adjusted (1) Three Months Ended December 31,</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19"/>
                <w:szCs w:val="19"/>
                <w:color w:val="auto"/>
              </w:rPr>
            </w:pPr>
          </w:p>
        </w:tc>
        <w:tc>
          <w:tcPr>
            <w:tcW w:w="2340" w:type="dxa"/>
            <w:vAlign w:val="bottom"/>
            <w:tcBorders>
              <w:bottom w:val="single" w:sz="8" w:color="auto"/>
            </w:tcBorders>
            <w:gridSpan w:val="2"/>
          </w:tcPr>
          <w:p>
            <w:pPr>
              <w:jc w:val="right"/>
              <w:ind w:right="1180"/>
              <w:spacing w:after="0"/>
              <w:rPr>
                <w:sz w:val="20"/>
                <w:szCs w:val="20"/>
                <w:color w:val="auto"/>
              </w:rPr>
            </w:pPr>
            <w:r>
              <w:rPr>
                <w:rFonts w:ascii="Arial" w:cs="Arial" w:eastAsia="Arial" w:hAnsi="Arial"/>
                <w:sz w:val="18"/>
                <w:szCs w:val="18"/>
                <w:color w:val="auto"/>
              </w:rPr>
              <w:t>2016</w:t>
            </w: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52.8 %</w:t>
            </w:r>
          </w:p>
        </w:tc>
        <w:tc>
          <w:tcPr>
            <w:tcW w:w="2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64.4 %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SG&amp;A</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39.8 %</w:t>
            </w:r>
          </w:p>
        </w:tc>
        <w:tc>
          <w:tcPr>
            <w:tcW w:w="2440" w:type="dxa"/>
            <w:vAlign w:val="bottom"/>
            <w:gridSpan w:val="3"/>
          </w:tcPr>
          <w:p>
            <w:pPr>
              <w:jc w:val="right"/>
              <w:ind w:right="400"/>
              <w:spacing w:after="0"/>
              <w:rPr>
                <w:sz w:val="20"/>
                <w:szCs w:val="20"/>
                <w:color w:val="auto"/>
              </w:rPr>
            </w:pPr>
            <w:r>
              <w:rPr>
                <w:rFonts w:ascii="Arial" w:cs="Arial" w:eastAsia="Arial" w:hAnsi="Arial"/>
                <w:sz w:val="18"/>
                <w:szCs w:val="18"/>
                <w:color w:val="auto"/>
              </w:rPr>
              <w:t>37.0 %</w:t>
            </w:r>
          </w:p>
        </w:tc>
        <w:tc>
          <w:tcPr>
            <w:tcW w:w="1580" w:type="dxa"/>
            <w:vAlign w:val="bottom"/>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9.1 %</w:t>
            </w:r>
          </w:p>
        </w:tc>
        <w:tc>
          <w:tcPr>
            <w:tcW w:w="2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(11.7 %)</w:t>
            </w:r>
          </w:p>
        </w:tc>
        <w:tc>
          <w:tcPr>
            <w:tcW w:w="2440" w:type="dxa"/>
            <w:vAlign w:val="bottom"/>
            <w:gridSpan w:val="3"/>
          </w:tcPr>
          <w:p>
            <w:pPr>
              <w:jc w:val="right"/>
              <w:ind w:right="400"/>
              <w:spacing w:after="0"/>
              <w:rPr>
                <w:sz w:val="20"/>
                <w:szCs w:val="20"/>
                <w:color w:val="auto"/>
              </w:rPr>
            </w:pPr>
            <w:r>
              <w:rPr>
                <w:rFonts w:ascii="Arial" w:cs="Arial" w:eastAsia="Arial" w:hAnsi="Arial"/>
                <w:sz w:val="18"/>
                <w:szCs w:val="18"/>
                <w:color w:val="auto"/>
              </w:rPr>
              <w:t>18.4 %</w:t>
            </w:r>
          </w:p>
        </w:tc>
        <w:tc>
          <w:tcPr>
            <w:tcW w:w="158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2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13.4 %</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Income Tax Rate</w:t>
            </w:r>
          </w:p>
        </w:tc>
        <w:tc>
          <w:tcPr>
            <w:tcW w:w="1980" w:type="dxa"/>
            <w:vAlign w:val="bottom"/>
          </w:tcPr>
          <w:p>
            <w:pPr>
              <w:jc w:val="right"/>
              <w:spacing w:after="0"/>
              <w:rPr>
                <w:sz w:val="20"/>
                <w:szCs w:val="20"/>
                <w:color w:val="auto"/>
              </w:rPr>
            </w:pPr>
            <w:r>
              <w:rPr>
                <w:rFonts w:ascii="Arial" w:cs="Arial" w:eastAsia="Arial" w:hAnsi="Arial"/>
                <w:sz w:val="18"/>
                <w:szCs w:val="18"/>
                <w:color w:val="auto"/>
              </w:rPr>
              <w:t>(26.9 %)</w:t>
            </w:r>
          </w:p>
        </w:tc>
        <w:tc>
          <w:tcPr>
            <w:tcW w:w="2440" w:type="dxa"/>
            <w:vAlign w:val="bottom"/>
            <w:gridSpan w:val="3"/>
          </w:tcPr>
          <w:p>
            <w:pPr>
              <w:jc w:val="right"/>
              <w:ind w:right="400"/>
              <w:spacing w:after="0"/>
              <w:rPr>
                <w:sz w:val="20"/>
                <w:szCs w:val="20"/>
                <w:color w:val="auto"/>
              </w:rPr>
            </w:pPr>
            <w:r>
              <w:rPr>
                <w:rFonts w:ascii="Arial" w:cs="Arial" w:eastAsia="Arial" w:hAnsi="Arial"/>
                <w:sz w:val="18"/>
                <w:szCs w:val="18"/>
                <w:color w:val="auto"/>
              </w:rPr>
              <w:t>21.0 %</w:t>
            </w: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1120" w:hanging="145"/>
        <w:spacing w:after="0" w:line="207" w:lineRule="auto"/>
        <w:tabs>
          <w:tab w:leader="none" w:pos="265"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Adjusted financial measures are Non-GAAP measures and exclude specified items as described and reconciled to compare GAAP financial measures in the Reconciliation of GAAP to non-GAAP Financial Measures contained in the press release.</w:t>
      </w:r>
    </w:p>
    <w:p>
      <w:pPr>
        <w:ind w:left="40"/>
        <w:spacing w:after="0"/>
        <w:rPr>
          <w:sz w:val="20"/>
          <w:szCs w:val="20"/>
          <w:color w:val="auto"/>
        </w:rPr>
      </w:pPr>
      <w:r>
        <w:rPr>
          <w:rFonts w:ascii="Arial" w:cs="Arial" w:eastAsia="Arial" w:hAnsi="Arial"/>
          <w:sz w:val="18"/>
          <w:szCs w:val="18"/>
          <w:color w:val="auto"/>
        </w:rPr>
        <w:t>* Numbers may not add due to rounding. n/a is not applicable; there is no applicable adjusted net income or tax rate reported for 4Q15.</w:t>
      </w:r>
    </w:p>
    <w:p>
      <w:pPr>
        <w:sectPr>
          <w:pgSz w:w="11900" w:h="16838" w:orient="portrait"/>
          <w:cols w:equalWidth="0" w:num="1">
            <w:col w:w="11420"/>
          </w:cols>
          <w:pgMar w:left="240" w:top="135" w:right="239" w:bottom="83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835"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 OF INCOME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 dollars in millions,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w w:val="91"/>
              </w:rPr>
              <w:t>Twelve Months Ended December 31,</w:t>
            </w:r>
          </w:p>
        </w:tc>
      </w:tr>
      <w:tr>
        <w:trPr>
          <w:trHeight w:val="234"/>
        </w:trPr>
        <w:tc>
          <w:tcPr>
            <w:tcW w:w="8480" w:type="dxa"/>
            <w:vAlign w:val="bottom"/>
          </w:tcPr>
          <w:p>
            <w:pPr>
              <w:spacing w:after="0"/>
              <w:rPr>
                <w:sz w:val="20"/>
                <w:szCs w:val="20"/>
                <w:color w:val="auto"/>
              </w:rPr>
            </w:pPr>
          </w:p>
        </w:tc>
        <w:tc>
          <w:tcPr>
            <w:tcW w:w="294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940" w:type="dxa"/>
            <w:vAlign w:val="bottom"/>
          </w:tcPr>
          <w:p>
            <w:pPr>
              <w:jc w:val="right"/>
              <w:spacing w:after="0"/>
              <w:rPr>
                <w:sz w:val="20"/>
                <w:szCs w:val="20"/>
                <w:color w:val="auto"/>
              </w:rPr>
            </w:pPr>
            <w:r>
              <w:rPr>
                <w:rFonts w:ascii="Arial" w:cs="Arial" w:eastAsia="Arial" w:hAnsi="Arial"/>
                <w:sz w:val="18"/>
                <w:szCs w:val="18"/>
                <w:color w:val="auto"/>
              </w:rPr>
              <w:t>$1,213.9</w:t>
            </w:r>
          </w:p>
        </w:tc>
      </w:tr>
      <w:tr>
        <w:trPr>
          <w:trHeight w:val="243"/>
        </w:trPr>
        <w:tc>
          <w:tcPr>
            <w:tcW w:w="8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sales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r>
      <w:tr>
        <w:trPr>
          <w:trHeight w:val="243"/>
        </w:trPr>
        <w:tc>
          <w:tcPr>
            <w:tcW w:w="8480" w:type="dxa"/>
            <w:vAlign w:val="bottom"/>
          </w:tcPr>
          <w:p>
            <w:pPr>
              <w:ind w:left="100"/>
              <w:spacing w:after="0"/>
              <w:rPr>
                <w:sz w:val="20"/>
                <w:szCs w:val="20"/>
                <w:color w:val="auto"/>
              </w:rPr>
            </w:pPr>
            <w:r>
              <w:rPr>
                <w:rFonts w:ascii="Arial" w:cs="Arial" w:eastAsia="Arial" w:hAnsi="Arial"/>
                <w:sz w:val="18"/>
                <w:szCs w:val="18"/>
                <w:color w:val="auto"/>
              </w:rPr>
              <w:t>Product remediation</w:t>
            </w:r>
          </w:p>
        </w:tc>
        <w:tc>
          <w:tcPr>
            <w:tcW w:w="29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848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2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r>
    </w:tbl>
    <w:p>
      <w:pPr>
        <w:spacing w:after="0" w:line="200" w:lineRule="exact"/>
        <w:rPr>
          <w:sz w:val="20"/>
          <w:szCs w:val="20"/>
          <w:color w:val="auto"/>
        </w:rPr>
      </w:pPr>
    </w:p>
    <w:p>
      <w:pPr>
        <w:sectPr>
          <w:pgSz w:w="11900" w:h="16838" w:orient="portrait"/>
          <w:cols w:equalWidth="0" w:num="1">
            <w:col w:w="11420"/>
          </w:cols>
          <w:pgMar w:left="240" w:top="378" w:right="239" w:bottom="893"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Selling, general and administrative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Merger and integration expense</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Restructuring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Amortization of intangibles</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469.2</w:t>
      </w:r>
    </w:p>
    <w:p>
      <w:pPr>
        <w:spacing w:after="0" w:line="71"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122.5</w:t>
      </w:r>
    </w:p>
    <w:p>
      <w:pPr>
        <w:spacing w:after="0" w:line="7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20.5</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55.9</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45.5</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18.3</w:t>
      </w:r>
    </w:p>
    <w:p>
      <w:pPr>
        <w:spacing w:after="0" w:line="200" w:lineRule="exact"/>
        <w:rPr>
          <w:sz w:val="20"/>
          <w:szCs w:val="20"/>
          <w:color w:val="auto"/>
        </w:rPr>
      </w:pPr>
    </w:p>
    <w:p>
      <w:pPr>
        <w:sectPr>
          <w:pgSz w:w="11900" w:h="16838" w:orient="portrait"/>
          <w:cols w:equalWidth="0" w:num="2">
            <w:col w:w="10280" w:space="720"/>
            <w:col w:w="420"/>
          </w:cols>
          <w:pgMar w:left="240" w:top="378" w:right="239" w:bottom="893"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9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848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r>
      <w:tr>
        <w:trPr>
          <w:trHeight w:val="243"/>
        </w:trPr>
        <w:tc>
          <w:tcPr>
            <w:tcW w:w="8480" w:type="dxa"/>
            <w:vAlign w:val="bottom"/>
          </w:tcPr>
          <w:p>
            <w:pPr>
              <w:ind w:left="100"/>
              <w:spacing w:after="0"/>
              <w:rPr>
                <w:sz w:val="20"/>
                <w:szCs w:val="20"/>
                <w:color w:val="auto"/>
              </w:rPr>
            </w:pPr>
            <w:r>
              <w:rPr>
                <w:rFonts w:ascii="Arial" w:cs="Arial" w:eastAsia="Arial" w:hAnsi="Arial"/>
                <w:sz w:val="18"/>
                <w:szCs w:val="18"/>
                <w:color w:val="auto"/>
              </w:rPr>
              <w:t>Interest income (expense), net</w:t>
            </w:r>
          </w:p>
        </w:tc>
        <w:tc>
          <w:tcPr>
            <w:tcW w:w="2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exchange and other - gain (loss)</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37"/>
        </w:trPr>
        <w:tc>
          <w:tcPr>
            <w:tcW w:w="84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43"/>
        </w:trPr>
        <w:tc>
          <w:tcPr>
            <w:tcW w:w="8480" w:type="dxa"/>
            <w:vAlign w:val="bottom"/>
          </w:tcPr>
          <w:p>
            <w:pPr>
              <w:ind w:left="100"/>
              <w:spacing w:after="0"/>
              <w:rPr>
                <w:sz w:val="20"/>
                <w:szCs w:val="20"/>
                <w:color w:val="auto"/>
              </w:rPr>
            </w:pPr>
            <w:r>
              <w:rPr>
                <w:rFonts w:ascii="Arial" w:cs="Arial" w:eastAsia="Arial" w:hAnsi="Arial"/>
                <w:sz w:val="18"/>
                <w:szCs w:val="18"/>
                <w:color w:val="auto"/>
              </w:rPr>
              <w:t>Loss from equity method investments</w:t>
            </w:r>
          </w:p>
        </w:tc>
        <w:tc>
          <w:tcPr>
            <w:tcW w:w="29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Income tax expense (benefit)</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37"/>
        </w:trPr>
        <w:tc>
          <w:tcPr>
            <w:tcW w:w="84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940" w:type="dxa"/>
            <w:vAlign w:val="bottom"/>
          </w:tcPr>
          <w:p>
            <w:pPr>
              <w:spacing w:after="0"/>
              <w:rPr>
                <w:sz w:val="20"/>
                <w:szCs w:val="20"/>
                <w:color w:val="auto"/>
              </w:rPr>
            </w:pPr>
          </w:p>
        </w:tc>
      </w:tr>
      <w:tr>
        <w:trPr>
          <w:trHeight w:val="249"/>
        </w:trPr>
        <w:tc>
          <w:tcPr>
            <w:tcW w:w="8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84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848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940" w:type="dxa"/>
            <w:vAlign w:val="bottom"/>
          </w:tcPr>
          <w:p>
            <w:pPr>
              <w:spacing w:after="0"/>
              <w:rPr>
                <w:sz w:val="20"/>
                <w:szCs w:val="20"/>
                <w:color w:val="auto"/>
              </w:rPr>
            </w:pPr>
          </w:p>
        </w:tc>
      </w:tr>
      <w:tr>
        <w:trPr>
          <w:trHeight w:val="249"/>
        </w:trPr>
        <w:tc>
          <w:tcPr>
            <w:tcW w:w="8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84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94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848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Adjusted Gross Profit (1)</w:t>
            </w:r>
          </w:p>
        </w:tc>
        <w:tc>
          <w:tcPr>
            <w:tcW w:w="2940" w:type="dxa"/>
            <w:vAlign w:val="bottom"/>
          </w:tcPr>
          <w:p>
            <w:pPr>
              <w:jc w:val="right"/>
              <w:spacing w:after="0"/>
              <w:rPr>
                <w:sz w:val="20"/>
                <w:szCs w:val="20"/>
                <w:color w:val="auto"/>
              </w:rPr>
            </w:pPr>
            <w:r>
              <w:rPr>
                <w:rFonts w:ascii="Arial" w:cs="Arial" w:eastAsia="Arial" w:hAnsi="Arial"/>
                <w:sz w:val="18"/>
                <w:szCs w:val="18"/>
                <w:color w:val="auto"/>
              </w:rPr>
              <w:t>$784.6</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SG&amp;A (1)</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Adjusted R&amp;D (1)</w:t>
            </w:r>
          </w:p>
        </w:tc>
        <w:tc>
          <w:tcPr>
            <w:tcW w:w="294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from Operations (1)</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Adjusted Net Income (1)</w:t>
            </w:r>
          </w:p>
        </w:tc>
        <w:tc>
          <w:tcPr>
            <w:tcW w:w="294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Earnings Per Share (1)</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bl>
    <w:p>
      <w:pPr>
        <w:spacing w:after="0" w:line="200" w:lineRule="exact"/>
        <w:rPr>
          <w:sz w:val="20"/>
          <w:szCs w:val="20"/>
          <w:color w:val="auto"/>
        </w:rPr>
      </w:pPr>
    </w:p>
    <w:p>
      <w:pPr>
        <w:sectPr>
          <w:pgSz w:w="11900" w:h="16838" w:orient="portrait"/>
          <w:cols w:equalWidth="0" w:num="1">
            <w:col w:w="11420"/>
          </w:cols>
          <w:pgMar w:left="240" w:top="378" w:right="239" w:bottom="893" w:gutter="0" w:footer="0" w:header="0"/>
          <w:type w:val="continuous"/>
        </w:sectPr>
      </w:pP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Statistics (as a % of net sales, except for income tax rate)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Profit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SG&amp;A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R&amp;D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(loss) from Operations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 income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Rate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GAAP Twelve Months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Ended December 31,</w:t>
            </w:r>
          </w:p>
        </w:tc>
        <w:tc>
          <w:tcPr>
            <w:tcW w:w="100" w:type="dxa"/>
            <w:vAlign w:val="bottom"/>
          </w:tcPr>
          <w:p>
            <w:pPr>
              <w:spacing w:after="0"/>
              <w:rPr>
                <w:sz w:val="18"/>
                <w:szCs w:val="18"/>
                <w:color w:val="auto"/>
              </w:rPr>
            </w:pPr>
          </w:p>
        </w:tc>
        <w:tc>
          <w:tcPr>
            <w:tcW w:w="3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Adjusted (1) Twelve Months Ended December 31,</w:t>
            </w:r>
          </w:p>
        </w:tc>
      </w:tr>
      <w:tr>
        <w:trPr>
          <w:trHeight w:val="223"/>
        </w:trPr>
        <w:tc>
          <w:tcPr>
            <w:tcW w:w="1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23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2016</w:t>
            </w: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2015</w:t>
            </w:r>
          </w:p>
        </w:tc>
      </w:tr>
      <w:tr>
        <w:trPr>
          <w:trHeight w:val="237"/>
        </w:trPr>
        <w:tc>
          <w:tcPr>
            <w:tcW w:w="1980" w:type="dxa"/>
            <w:vAlign w:val="bottom"/>
          </w:tcPr>
          <w:p>
            <w:pPr>
              <w:jc w:val="right"/>
              <w:ind w:right="10"/>
              <w:spacing w:after="0"/>
              <w:rPr>
                <w:sz w:val="20"/>
                <w:szCs w:val="20"/>
                <w:color w:val="auto"/>
              </w:rPr>
            </w:pPr>
            <w:r>
              <w:rPr>
                <w:rFonts w:ascii="Arial" w:cs="Arial" w:eastAsia="Arial" w:hAnsi="Arial"/>
                <w:sz w:val="18"/>
                <w:szCs w:val="18"/>
                <w:color w:val="auto"/>
              </w:rPr>
              <w:t>58.0 %</w:t>
            </w:r>
          </w:p>
        </w:tc>
        <w:tc>
          <w:tcPr>
            <w:tcW w:w="2440" w:type="dxa"/>
            <w:vAlign w:val="bottom"/>
            <w:gridSpan w:val="2"/>
          </w:tcPr>
          <w:p>
            <w:pPr>
              <w:jc w:val="right"/>
              <w:ind w:right="310"/>
              <w:spacing w:after="0"/>
              <w:rPr>
                <w:sz w:val="20"/>
                <w:szCs w:val="20"/>
                <w:color w:val="auto"/>
              </w:rPr>
            </w:pPr>
            <w:r>
              <w:rPr>
                <w:rFonts w:ascii="Arial" w:cs="Arial" w:eastAsia="Arial" w:hAnsi="Arial"/>
                <w:sz w:val="18"/>
                <w:szCs w:val="18"/>
                <w:color w:val="auto"/>
              </w:rPr>
              <w:t>64.6 %</w:t>
            </w:r>
          </w:p>
        </w:tc>
        <w:tc>
          <w:tcPr>
            <w:tcW w:w="1580" w:type="dxa"/>
            <w:vAlign w:val="bottom"/>
          </w:tcPr>
          <w:p>
            <w:pPr>
              <w:jc w:val="right"/>
              <w:spacing w:after="0"/>
              <w:rPr>
                <w:sz w:val="20"/>
                <w:szCs w:val="20"/>
                <w:color w:val="auto"/>
              </w:rPr>
            </w:pPr>
            <w:r>
              <w:rPr>
                <w:rFonts w:ascii="Arial" w:cs="Arial" w:eastAsia="Arial" w:hAnsi="Arial"/>
                <w:sz w:val="18"/>
                <w:szCs w:val="18"/>
                <w:color w:val="auto"/>
              </w:rPr>
              <w:t>63.1 %</w:t>
            </w:r>
          </w:p>
        </w:tc>
      </w:tr>
      <w:tr>
        <w:trPr>
          <w:trHeight w:val="243"/>
        </w:trPr>
        <w:tc>
          <w:tcPr>
            <w:tcW w:w="1980" w:type="dxa"/>
            <w:vAlign w:val="bottom"/>
          </w:tcPr>
          <w:p>
            <w:pPr>
              <w:jc w:val="right"/>
              <w:ind w:right="10"/>
              <w:spacing w:after="0"/>
              <w:rPr>
                <w:sz w:val="20"/>
                <w:szCs w:val="20"/>
                <w:color w:val="auto"/>
              </w:rPr>
            </w:pPr>
            <w:r>
              <w:rPr>
                <w:rFonts w:ascii="Arial" w:cs="Arial" w:eastAsia="Arial" w:hAnsi="Arial"/>
                <w:sz w:val="18"/>
                <w:szCs w:val="18"/>
                <w:color w:val="auto"/>
              </w:rPr>
              <w:t>38.7 %</w:t>
            </w:r>
          </w:p>
        </w:tc>
        <w:tc>
          <w:tcPr>
            <w:tcW w:w="2440" w:type="dxa"/>
            <w:vAlign w:val="bottom"/>
            <w:gridSpan w:val="2"/>
          </w:tcPr>
          <w:p>
            <w:pPr>
              <w:jc w:val="right"/>
              <w:ind w:right="310"/>
              <w:spacing w:after="0"/>
              <w:rPr>
                <w:sz w:val="20"/>
                <w:szCs w:val="20"/>
                <w:color w:val="auto"/>
              </w:rPr>
            </w:pPr>
            <w:r>
              <w:rPr>
                <w:rFonts w:ascii="Arial" w:cs="Arial" w:eastAsia="Arial" w:hAnsi="Arial"/>
                <w:sz w:val="18"/>
                <w:szCs w:val="18"/>
                <w:color w:val="auto"/>
              </w:rPr>
              <w:t>36.7 %</w:t>
            </w:r>
          </w:p>
        </w:tc>
        <w:tc>
          <w:tcPr>
            <w:tcW w:w="1580" w:type="dxa"/>
            <w:vAlign w:val="bottom"/>
          </w:tcPr>
          <w:p>
            <w:pPr>
              <w:jc w:val="right"/>
              <w:spacing w:after="0"/>
              <w:rPr>
                <w:sz w:val="20"/>
                <w:szCs w:val="20"/>
                <w:color w:val="auto"/>
              </w:rPr>
            </w:pPr>
            <w:r>
              <w:rPr>
                <w:rFonts w:ascii="Arial" w:cs="Arial" w:eastAsia="Arial" w:hAnsi="Arial"/>
                <w:sz w:val="18"/>
                <w:szCs w:val="18"/>
                <w:color w:val="auto"/>
              </w:rPr>
              <w:t>36.9 %</w:t>
            </w:r>
          </w:p>
        </w:tc>
      </w:tr>
      <w:tr>
        <w:trPr>
          <w:trHeight w:val="243"/>
        </w:trPr>
        <w:tc>
          <w:tcPr>
            <w:tcW w:w="1980" w:type="dxa"/>
            <w:vAlign w:val="bottom"/>
          </w:tcPr>
          <w:p>
            <w:pPr>
              <w:jc w:val="right"/>
              <w:ind w:right="10"/>
              <w:spacing w:after="0"/>
              <w:rPr>
                <w:sz w:val="20"/>
                <w:szCs w:val="20"/>
                <w:color w:val="auto"/>
              </w:rPr>
            </w:pPr>
            <w:r>
              <w:rPr>
                <w:rFonts w:ascii="Arial" w:cs="Arial" w:eastAsia="Arial" w:hAnsi="Arial"/>
                <w:sz w:val="18"/>
                <w:szCs w:val="18"/>
                <w:color w:val="auto"/>
              </w:rPr>
              <w:t>10.1 %</w:t>
            </w:r>
          </w:p>
        </w:tc>
        <w:tc>
          <w:tcPr>
            <w:tcW w:w="2440" w:type="dxa"/>
            <w:vAlign w:val="bottom"/>
            <w:gridSpan w:val="2"/>
          </w:tcPr>
          <w:p>
            <w:pPr>
              <w:jc w:val="right"/>
              <w:ind w:right="310"/>
              <w:spacing w:after="0"/>
              <w:rPr>
                <w:sz w:val="20"/>
                <w:szCs w:val="20"/>
                <w:color w:val="auto"/>
              </w:rPr>
            </w:pPr>
            <w:r>
              <w:rPr>
                <w:rFonts w:ascii="Arial" w:cs="Arial" w:eastAsia="Arial" w:hAnsi="Arial"/>
                <w:sz w:val="18"/>
                <w:szCs w:val="18"/>
                <w:color w:val="auto"/>
              </w:rPr>
              <w:t>9.9 %</w:t>
            </w:r>
          </w:p>
        </w:tc>
        <w:tc>
          <w:tcPr>
            <w:tcW w:w="158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1980" w:type="dxa"/>
            <w:vAlign w:val="bottom"/>
          </w:tcPr>
          <w:p>
            <w:pPr>
              <w:jc w:val="right"/>
              <w:spacing w:after="0"/>
              <w:rPr>
                <w:sz w:val="20"/>
                <w:szCs w:val="20"/>
                <w:color w:val="auto"/>
              </w:rPr>
            </w:pPr>
            <w:r>
              <w:rPr>
                <w:rFonts w:ascii="Arial" w:cs="Arial" w:eastAsia="Arial" w:hAnsi="Arial"/>
                <w:sz w:val="18"/>
                <w:szCs w:val="18"/>
                <w:color w:val="auto"/>
              </w:rPr>
              <w:t>(2.3 %)</w:t>
            </w:r>
          </w:p>
        </w:tc>
        <w:tc>
          <w:tcPr>
            <w:tcW w:w="2440" w:type="dxa"/>
            <w:vAlign w:val="bottom"/>
            <w:gridSpan w:val="2"/>
          </w:tcPr>
          <w:p>
            <w:pPr>
              <w:jc w:val="right"/>
              <w:ind w:right="310"/>
              <w:spacing w:after="0"/>
              <w:rPr>
                <w:sz w:val="20"/>
                <w:szCs w:val="20"/>
                <w:color w:val="auto"/>
              </w:rPr>
            </w:pPr>
            <w:r>
              <w:rPr>
                <w:rFonts w:ascii="Arial" w:cs="Arial" w:eastAsia="Arial" w:hAnsi="Arial"/>
                <w:sz w:val="18"/>
                <w:szCs w:val="18"/>
                <w:color w:val="auto"/>
              </w:rPr>
              <w:t>18.0 %</w:t>
            </w:r>
          </w:p>
        </w:tc>
        <w:tc>
          <w:tcPr>
            <w:tcW w:w="158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43"/>
        </w:trPr>
        <w:tc>
          <w:tcPr>
            <w:tcW w:w="1980" w:type="dxa"/>
            <w:vAlign w:val="bottom"/>
          </w:tcPr>
          <w:p>
            <w:pPr>
              <w:jc w:val="right"/>
              <w:spacing w:after="0"/>
              <w:rPr>
                <w:sz w:val="20"/>
                <w:szCs w:val="20"/>
                <w:color w:val="auto"/>
              </w:rPr>
            </w:pPr>
            <w:r>
              <w:rPr>
                <w:rFonts w:ascii="Arial" w:cs="Arial" w:eastAsia="Arial" w:hAnsi="Arial"/>
                <w:sz w:val="18"/>
                <w:szCs w:val="18"/>
                <w:color w:val="auto"/>
              </w:rPr>
              <w:t>(5.2 %)</w:t>
            </w:r>
          </w:p>
        </w:tc>
        <w:tc>
          <w:tcPr>
            <w:tcW w:w="2440" w:type="dxa"/>
            <w:vAlign w:val="bottom"/>
            <w:gridSpan w:val="2"/>
          </w:tcPr>
          <w:p>
            <w:pPr>
              <w:jc w:val="right"/>
              <w:ind w:right="310"/>
              <w:spacing w:after="0"/>
              <w:rPr>
                <w:sz w:val="20"/>
                <w:szCs w:val="20"/>
                <w:color w:val="auto"/>
              </w:rPr>
            </w:pPr>
            <w:r>
              <w:rPr>
                <w:rFonts w:ascii="Arial" w:cs="Arial" w:eastAsia="Arial" w:hAnsi="Arial"/>
                <w:sz w:val="18"/>
                <w:szCs w:val="18"/>
                <w:color w:val="auto"/>
              </w:rPr>
              <w:t>12.3 %</w:t>
            </w: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1980" w:type="dxa"/>
            <w:vAlign w:val="bottom"/>
          </w:tcPr>
          <w:p>
            <w:pPr>
              <w:jc w:val="right"/>
              <w:ind w:right="10"/>
              <w:spacing w:after="0"/>
              <w:rPr>
                <w:sz w:val="20"/>
                <w:szCs w:val="20"/>
                <w:color w:val="auto"/>
              </w:rPr>
            </w:pPr>
            <w:r>
              <w:rPr>
                <w:rFonts w:ascii="Arial" w:cs="Arial" w:eastAsia="Arial" w:hAnsi="Arial"/>
                <w:sz w:val="18"/>
                <w:szCs w:val="18"/>
                <w:color w:val="auto"/>
              </w:rPr>
              <w:t>21.6 %</w:t>
            </w:r>
          </w:p>
        </w:tc>
        <w:tc>
          <w:tcPr>
            <w:tcW w:w="2440" w:type="dxa"/>
            <w:vAlign w:val="bottom"/>
            <w:gridSpan w:val="2"/>
          </w:tcPr>
          <w:p>
            <w:pPr>
              <w:jc w:val="right"/>
              <w:ind w:right="310"/>
              <w:spacing w:after="0"/>
              <w:rPr>
                <w:sz w:val="20"/>
                <w:szCs w:val="20"/>
                <w:color w:val="auto"/>
              </w:rPr>
            </w:pPr>
            <w:r>
              <w:rPr>
                <w:rFonts w:ascii="Arial" w:cs="Arial" w:eastAsia="Arial" w:hAnsi="Arial"/>
                <w:sz w:val="18"/>
                <w:szCs w:val="18"/>
                <w:color w:val="auto"/>
              </w:rPr>
              <w:t>24.9 %</w:t>
            </w:r>
          </w:p>
        </w:tc>
        <w:tc>
          <w:tcPr>
            <w:tcW w:w="158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-925830</wp:posOffset>
            </wp:positionV>
            <wp:extent cx="72466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-616585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-307975</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700" w:space="720"/>
            <w:col w:w="6000"/>
          </w:cols>
          <w:pgMar w:left="240" w:top="378" w:right="239" w:bottom="893" w:gutter="0" w:footer="0" w:header="0"/>
          <w:type w:val="continuous"/>
        </w:sectPr>
      </w:pPr>
    </w:p>
    <w:p>
      <w:pPr>
        <w:ind w:left="180" w:right="1120" w:hanging="145"/>
        <w:spacing w:after="0" w:line="205" w:lineRule="auto"/>
        <w:tabs>
          <w:tab w:leader="none" w:pos="265" w:val="left"/>
        </w:tabs>
        <w:numPr>
          <w:ilvl w:val="1"/>
          <w:numId w:val="7"/>
        </w:numPr>
        <w:rPr>
          <w:rFonts w:ascii="Arial" w:cs="Arial" w:eastAsia="Arial" w:hAnsi="Arial"/>
          <w:sz w:val="28"/>
          <w:szCs w:val="28"/>
          <w:color w:val="auto"/>
          <w:vertAlign w:val="superscript"/>
        </w:rPr>
      </w:pPr>
      <w:r>
        <w:rPr>
          <w:rFonts w:ascii="Arial" w:cs="Arial" w:eastAsia="Arial" w:hAnsi="Arial"/>
          <w:sz w:val="17"/>
          <w:szCs w:val="17"/>
          <w:color w:val="auto"/>
        </w:rPr>
        <w:t>Adjusted financial measures are Non-GAAP measures and exclude specified items as described and reconciled to compare GAAP financial measures in the Reconciliation of GAAP to non-GAAP Financial Measures contained in the press release.</w:t>
      </w:r>
    </w:p>
    <w:p>
      <w:pPr>
        <w:spacing w:after="0" w:line="1" w:lineRule="exact"/>
        <w:rPr>
          <w:rFonts w:ascii="Arial" w:cs="Arial" w:eastAsia="Arial" w:hAnsi="Arial"/>
          <w:sz w:val="28"/>
          <w:szCs w:val="28"/>
          <w:color w:val="auto"/>
          <w:vertAlign w:val="superscript"/>
        </w:rPr>
      </w:pPr>
    </w:p>
    <w:p>
      <w:pPr>
        <w:ind w:right="260"/>
        <w:spacing w:after="0" w:line="237" w:lineRule="auto"/>
        <w:rPr>
          <w:rFonts w:ascii="Arial" w:cs="Arial" w:eastAsia="Arial" w:hAnsi="Arial"/>
          <w:sz w:val="28"/>
          <w:szCs w:val="28"/>
          <w:color w:val="auto"/>
          <w:vertAlign w:val="superscript"/>
        </w:rPr>
      </w:pPr>
      <w:r>
        <w:rPr>
          <w:rFonts w:ascii="Arial" w:cs="Arial" w:eastAsia="Arial" w:hAnsi="Arial"/>
          <w:sz w:val="22"/>
          <w:szCs w:val="22"/>
          <w:color w:val="auto"/>
        </w:rPr>
        <w:t>* Numbers may not add due to rounding. n/a is not applicable; there is no applicable adjusted net income or tax rate reported for FY15.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893"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LIVANOVA PLC AND SUBSIDIARIES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dollars in millions, except per share amounts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Three Months Ended December 31, 2016</w:t>
            </w:r>
          </w:p>
        </w:tc>
        <w:tc>
          <w:tcPr>
            <w:tcW w:w="132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Sales</w:t>
            </w:r>
          </w:p>
        </w:tc>
        <w:tc>
          <w:tcPr>
            <w:tcW w:w="122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8"/>
              </w:rPr>
              <w:t>Gross Profit</w:t>
            </w:r>
          </w:p>
        </w:tc>
        <w:tc>
          <w:tcPr>
            <w:tcW w:w="1300" w:type="dxa"/>
            <w:vAlign w:val="bottom"/>
            <w:tcBorders>
              <w:top w:val="single" w:sz="8" w:color="auto"/>
            </w:tcBorders>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Income From</w:t>
            </w:r>
          </w:p>
        </w:tc>
        <w:tc>
          <w:tcPr>
            <w:tcW w:w="1280" w:type="dxa"/>
            <w:vAlign w:val="bottom"/>
            <w:tcBorders>
              <w:top w:val="single" w:sz="8" w:color="auto"/>
            </w:tcBorders>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Net Income</w:t>
            </w:r>
          </w:p>
        </w:tc>
        <w:tc>
          <w:tcPr>
            <w:tcW w:w="132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Diluted EPS</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Operations</w:t>
            </w: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(Loss)</w:t>
            </w:r>
          </w:p>
        </w:tc>
        <w:tc>
          <w:tcPr>
            <w:tcW w:w="13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Financial Measures</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1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Merger and integration expense (A)</w:t>
            </w:r>
          </w:p>
        </w:tc>
        <w:tc>
          <w:tcPr>
            <w:tcW w:w="1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Restructuring expense (B)</w:t>
            </w:r>
          </w:p>
        </w:tc>
        <w:tc>
          <w:tcPr>
            <w:tcW w:w="13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 assets (C)</w:t>
            </w:r>
          </w:p>
        </w:tc>
        <w:tc>
          <w:tcPr>
            <w:tcW w:w="1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Impairment of goodwill (D)</w:t>
            </w:r>
          </w:p>
        </w:tc>
        <w:tc>
          <w:tcPr>
            <w:tcW w:w="13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3T product remediation (E)</w:t>
            </w:r>
          </w:p>
        </w:tc>
        <w:tc>
          <w:tcPr>
            <w:tcW w:w="1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Other Income Expenses &amp; Litigations (F)</w:t>
            </w:r>
          </w:p>
        </w:tc>
        <w:tc>
          <w:tcPr>
            <w:tcW w:w="132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Impact of inventory step-up (G)</w:t>
            </w:r>
          </w:p>
        </w:tc>
        <w:tc>
          <w:tcPr>
            <w:tcW w:w="1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Equity compensation (H)</w:t>
            </w:r>
          </w:p>
        </w:tc>
        <w:tc>
          <w:tcPr>
            <w:tcW w:w="1320" w:type="dxa"/>
            <w:vAlign w:val="bottom"/>
          </w:tcPr>
          <w:p>
            <w:pPr>
              <w:spacing w:after="0"/>
              <w:rPr>
                <w:sz w:val="23"/>
                <w:szCs w:val="2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Certain tax adjustments (I)</w:t>
            </w:r>
          </w:p>
        </w:tc>
        <w:tc>
          <w:tcPr>
            <w:tcW w:w="1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Pr>
          <w:p>
            <w:pPr>
              <w:ind w:left="40"/>
              <w:spacing w:after="0"/>
              <w:rPr>
                <w:sz w:val="20"/>
                <w:szCs w:val="20"/>
                <w:color w:val="auto"/>
              </w:rPr>
            </w:pPr>
            <w:r>
              <w:rPr>
                <w:rFonts w:ascii="Arial" w:cs="Arial" w:eastAsia="Arial" w:hAnsi="Arial"/>
                <w:sz w:val="18"/>
                <w:szCs w:val="18"/>
                <w:color w:val="auto"/>
              </w:rPr>
              <w:t>Adjusted financial measures</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$310.6</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$200.1</w:t>
            </w: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$57.1</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$41.5</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GAAP results for the three months ended December 31, 2016 include:</w:t>
      </w:r>
    </w:p>
    <w:p>
      <w:pPr>
        <w:spacing w:after="0" w:line="27" w:lineRule="exact"/>
        <w:rPr>
          <w:sz w:val="20"/>
          <w:szCs w:val="20"/>
          <w:color w:val="auto"/>
        </w:rPr>
      </w:pPr>
    </w:p>
    <w:p>
      <w:pPr>
        <w:ind w:left="540" w:hanging="37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related to merger and integration activities</w:t>
      </w:r>
    </w:p>
    <w:p>
      <w:pPr>
        <w:spacing w:after="0" w:line="9" w:lineRule="exact"/>
        <w:rPr>
          <w:rFonts w:ascii="Arial" w:cs="Arial" w:eastAsia="Arial" w:hAnsi="Arial"/>
          <w:sz w:val="18"/>
          <w:szCs w:val="18"/>
          <w:color w:val="auto"/>
        </w:rPr>
      </w:pPr>
    </w:p>
    <w:p>
      <w:pPr>
        <w:ind w:left="540" w:hanging="373"/>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Corporate-related severance, shared-service synergies and recent organizational changes</w:t>
      </w:r>
    </w:p>
    <w:p>
      <w:pPr>
        <w:spacing w:after="0" w:line="9" w:lineRule="exact"/>
        <w:rPr>
          <w:rFonts w:ascii="Arial" w:cs="Arial" w:eastAsia="Arial" w:hAnsi="Arial"/>
          <w:sz w:val="18"/>
          <w:szCs w:val="18"/>
          <w:color w:val="auto"/>
        </w:rPr>
      </w:pPr>
    </w:p>
    <w:p>
      <w:pPr>
        <w:ind w:left="540" w:hanging="373"/>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expense associated with intangible assets recorded at fair value in purchase accounting</w:t>
      </w:r>
    </w:p>
    <w:p>
      <w:pPr>
        <w:spacing w:after="0" w:line="9" w:lineRule="exact"/>
        <w:rPr>
          <w:rFonts w:ascii="Arial" w:cs="Arial" w:eastAsia="Arial" w:hAnsi="Arial"/>
          <w:sz w:val="18"/>
          <w:szCs w:val="18"/>
          <w:color w:val="auto"/>
        </w:rPr>
      </w:pPr>
    </w:p>
    <w:p>
      <w:pPr>
        <w:ind w:left="540" w:hanging="37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 of CRM segment goodwill</w:t>
      </w:r>
    </w:p>
    <w:p>
      <w:pPr>
        <w:spacing w:after="0" w:line="9" w:lineRule="exact"/>
        <w:rPr>
          <w:rFonts w:ascii="Arial" w:cs="Arial" w:eastAsia="Arial" w:hAnsi="Arial"/>
          <w:sz w:val="18"/>
          <w:szCs w:val="18"/>
          <w:color w:val="auto"/>
        </w:rPr>
      </w:pPr>
    </w:p>
    <w:p>
      <w:pPr>
        <w:ind w:left="540" w:hanging="368"/>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the 3T Heater-Cooler Remediation Plan</w:t>
      </w:r>
    </w:p>
    <w:p>
      <w:pPr>
        <w:spacing w:after="0" w:line="9" w:lineRule="exact"/>
        <w:rPr>
          <w:sz w:val="20"/>
          <w:szCs w:val="20"/>
          <w:color w:val="auto"/>
        </w:rPr>
      </w:pPr>
    </w:p>
    <w:p>
      <w:pPr>
        <w:ind w:left="540" w:right="80" w:hanging="363"/>
        <w:spacing w:after="0" w:line="21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$2.6M related to the reassessment of earn-out provisions for two legacy distributor acquisitions; $0.7M related to a provision for a tax penalty for previous years under audit in a foreign jurisdiction</w:t>
      </w:r>
    </w:p>
    <w:p>
      <w:pPr>
        <w:ind w:left="540" w:hanging="3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amortization of inventory step-up associated with purchase accounting</w:t>
      </w:r>
    </w:p>
    <w:p>
      <w:pPr>
        <w:spacing w:after="0" w:line="9" w:lineRule="exact"/>
        <w:rPr>
          <w:rFonts w:ascii="Arial" w:cs="Arial" w:eastAsia="Arial" w:hAnsi="Arial"/>
          <w:sz w:val="18"/>
          <w:szCs w:val="18"/>
          <w:color w:val="auto"/>
        </w:rPr>
      </w:pPr>
    </w:p>
    <w:p>
      <w:pPr>
        <w:ind w:left="540" w:hanging="3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$4.0M related to SG&amp;A, $0.1M related to R&amp;D, and $0.1M related to Cost of Sales</w:t>
      </w:r>
    </w:p>
    <w:p>
      <w:pPr>
        <w:spacing w:after="0" w:line="9"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Relates to the impact of restructuring initiatives, including IP migration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Twelve Months Ended December 31, 2016</w:t>
            </w:r>
          </w:p>
        </w:tc>
        <w:tc>
          <w:tcPr>
            <w:tcW w:w="1320" w:type="dxa"/>
            <w:vAlign w:val="bottom"/>
            <w:tcBorders>
              <w:top w:val="single" w:sz="8" w:color="auto"/>
            </w:tcBorders>
            <w:vMerge w:val="restart"/>
          </w:tcPr>
          <w:p>
            <w:pPr>
              <w:jc w:val="right"/>
              <w:ind w:right="410"/>
              <w:spacing w:after="0"/>
              <w:rPr>
                <w:sz w:val="20"/>
                <w:szCs w:val="20"/>
                <w:color w:val="auto"/>
              </w:rPr>
            </w:pPr>
            <w:r>
              <w:rPr>
                <w:rFonts w:ascii="Arial" w:cs="Arial" w:eastAsia="Arial" w:hAnsi="Arial"/>
                <w:sz w:val="18"/>
                <w:szCs w:val="18"/>
                <w:b w:val="1"/>
                <w:bCs w:val="1"/>
                <w:color w:val="auto"/>
              </w:rPr>
              <w:t>Sales</w:t>
            </w:r>
          </w:p>
        </w:tc>
        <w:tc>
          <w:tcPr>
            <w:tcW w:w="126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8"/>
              </w:rPr>
              <w:t>Gross Profit</w:t>
            </w:r>
          </w:p>
        </w:tc>
        <w:tc>
          <w:tcPr>
            <w:tcW w:w="1340" w:type="dxa"/>
            <w:vAlign w:val="bottom"/>
            <w:tcBorders>
              <w:top w:val="single" w:sz="8" w:color="auto"/>
            </w:tcBorders>
          </w:tcPr>
          <w:p>
            <w:pPr>
              <w:jc w:val="right"/>
              <w:ind w:right="130"/>
              <w:spacing w:after="0" w:line="189" w:lineRule="exact"/>
              <w:rPr>
                <w:sz w:val="20"/>
                <w:szCs w:val="20"/>
                <w:color w:val="auto"/>
              </w:rPr>
            </w:pPr>
            <w:r>
              <w:rPr>
                <w:rFonts w:ascii="Arial" w:cs="Arial" w:eastAsia="Arial" w:hAnsi="Arial"/>
                <w:sz w:val="18"/>
                <w:szCs w:val="18"/>
                <w:b w:val="1"/>
                <w:bCs w:val="1"/>
                <w:color w:val="auto"/>
                <w:w w:val="97"/>
              </w:rPr>
              <w:t>Income From</w:t>
            </w:r>
          </w:p>
        </w:tc>
        <w:tc>
          <w:tcPr>
            <w:tcW w:w="128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b w:val="1"/>
                <w:bCs w:val="1"/>
                <w:color w:val="auto"/>
              </w:rPr>
              <w:t>Net Income</w:t>
            </w:r>
          </w:p>
        </w:tc>
        <w:tc>
          <w:tcPr>
            <w:tcW w:w="12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Diluted EPS</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Operations</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(Loss)</w:t>
            </w: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GAAP Financial Measures</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0"/>
        </w:trPr>
        <w:tc>
          <w:tcPr>
            <w:tcW w:w="4980" w:type="dxa"/>
            <w:vAlign w:val="bottom"/>
          </w:tcPr>
          <w:p>
            <w:pPr>
              <w:ind w:left="40"/>
              <w:spacing w:after="0"/>
              <w:rPr>
                <w:sz w:val="20"/>
                <w:szCs w:val="20"/>
                <w:color w:val="auto"/>
              </w:rPr>
            </w:pPr>
            <w:r>
              <w:rPr>
                <w:rFonts w:ascii="Arial" w:cs="Arial" w:eastAsia="Arial" w:hAnsi="Arial"/>
                <w:sz w:val="18"/>
                <w:szCs w:val="18"/>
                <w:color w:val="auto"/>
              </w:rPr>
              <w:t>Specified Items</w:t>
            </w:r>
          </w:p>
        </w:tc>
        <w:tc>
          <w:tcPr>
            <w:tcW w:w="1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Merger and integration expense (A)</w:t>
            </w: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Restructuring expense (B)</w:t>
            </w:r>
          </w:p>
        </w:tc>
        <w:tc>
          <w:tcPr>
            <w:tcW w:w="132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45.5</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 assets (C)</w:t>
            </w: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52.4</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42.5</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Impairment of goodwill (D)</w:t>
            </w:r>
          </w:p>
        </w:tc>
        <w:tc>
          <w:tcPr>
            <w:tcW w:w="132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3T product remediation (E)</w:t>
            </w: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37.5</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37.5</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Other Income Expenses &amp; Litigations (F)</w:t>
            </w:r>
          </w:p>
        </w:tc>
        <w:tc>
          <w:tcPr>
            <w:tcW w:w="132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Write-off of investment in minorities (G)</w:t>
            </w: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Impact of inventory step-up (H)</w:t>
            </w:r>
          </w:p>
        </w:tc>
        <w:tc>
          <w:tcPr>
            <w:tcW w:w="1320" w:type="dxa"/>
            <w:vAlign w:val="bottom"/>
          </w:tcPr>
          <w:p>
            <w:pPr>
              <w:spacing w:after="0"/>
              <w:rPr>
                <w:sz w:val="23"/>
                <w:szCs w:val="23"/>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35.2</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26.3</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Equity compensation (I)</w:t>
            </w: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0"/>
        </w:trPr>
        <w:tc>
          <w:tcPr>
            <w:tcW w:w="4980" w:type="dxa"/>
            <w:vAlign w:val="bottom"/>
          </w:tcPr>
          <w:p>
            <w:pPr>
              <w:ind w:left="540"/>
              <w:spacing w:after="0"/>
              <w:rPr>
                <w:sz w:val="20"/>
                <w:szCs w:val="20"/>
                <w:color w:val="auto"/>
              </w:rPr>
            </w:pPr>
            <w:r>
              <w:rPr>
                <w:rFonts w:ascii="Arial" w:cs="Arial" w:eastAsia="Arial" w:hAnsi="Arial"/>
                <w:sz w:val="18"/>
                <w:szCs w:val="18"/>
                <w:color w:val="auto"/>
              </w:rPr>
              <w:t>Certain tax adjustments (J)</w:t>
            </w:r>
          </w:p>
        </w:tc>
        <w:tc>
          <w:tcPr>
            <w:tcW w:w="1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318"/>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financial measures</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$218.6</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GAAP results for the twelve months ended December 31, 2016 include:</w:t>
      </w:r>
    </w:p>
    <w:p>
      <w:pPr>
        <w:spacing w:after="0" w:line="27" w:lineRule="exact"/>
        <w:rPr>
          <w:sz w:val="20"/>
          <w:szCs w:val="20"/>
          <w:color w:val="auto"/>
        </w:rPr>
      </w:pPr>
    </w:p>
    <w:p>
      <w:pPr>
        <w:ind w:left="540" w:hanging="3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related to merger and integration activities</w:t>
      </w:r>
    </w:p>
    <w:p>
      <w:pPr>
        <w:spacing w:after="0" w:line="9" w:lineRule="exact"/>
        <w:rPr>
          <w:rFonts w:ascii="Arial" w:cs="Arial" w:eastAsia="Arial" w:hAnsi="Arial"/>
          <w:sz w:val="18"/>
          <w:szCs w:val="18"/>
          <w:color w:val="auto"/>
        </w:rPr>
      </w:pPr>
    </w:p>
    <w:p>
      <w:pPr>
        <w:ind w:left="540" w:hanging="373"/>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CRM restructuring announced March 10, 2016, corporate-related severance, shared-service synergies and recent organizational changes</w:t>
      </w:r>
    </w:p>
    <w:p>
      <w:pPr>
        <w:spacing w:after="0" w:line="20" w:lineRule="exact"/>
        <w:rPr>
          <w:rFonts w:ascii="Arial" w:cs="Arial" w:eastAsia="Arial" w:hAnsi="Arial"/>
          <w:sz w:val="17"/>
          <w:szCs w:val="17"/>
          <w:color w:val="auto"/>
        </w:rPr>
      </w:pPr>
    </w:p>
    <w:p>
      <w:pPr>
        <w:ind w:left="540" w:hanging="373"/>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expense associated with intangible assets recorded at fair value in purchase accounting</w:t>
      </w:r>
    </w:p>
    <w:p>
      <w:pPr>
        <w:spacing w:after="0" w:line="9" w:lineRule="exact"/>
        <w:rPr>
          <w:rFonts w:ascii="Arial" w:cs="Arial" w:eastAsia="Arial" w:hAnsi="Arial"/>
          <w:sz w:val="18"/>
          <w:szCs w:val="18"/>
          <w:color w:val="auto"/>
        </w:rPr>
      </w:pPr>
    </w:p>
    <w:p>
      <w:pPr>
        <w:ind w:left="540" w:hanging="3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of CRM segment goodwill</w:t>
      </w:r>
    </w:p>
    <w:p>
      <w:pPr>
        <w:spacing w:after="0" w:line="9" w:lineRule="exact"/>
        <w:rPr>
          <w:rFonts w:ascii="Arial" w:cs="Arial" w:eastAsia="Arial" w:hAnsi="Arial"/>
          <w:sz w:val="18"/>
          <w:szCs w:val="18"/>
          <w:color w:val="auto"/>
        </w:rPr>
      </w:pPr>
    </w:p>
    <w:p>
      <w:pPr>
        <w:ind w:left="540" w:hanging="36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the 3T Heater-Cooler Remediation Plan</w:t>
      </w:r>
    </w:p>
    <w:p>
      <w:pPr>
        <w:spacing w:after="0" w:line="9" w:lineRule="exact"/>
        <w:rPr>
          <w:sz w:val="20"/>
          <w:szCs w:val="20"/>
          <w:color w:val="auto"/>
        </w:rPr>
      </w:pPr>
    </w:p>
    <w:p>
      <w:pPr>
        <w:ind w:left="540" w:right="80" w:hanging="363"/>
        <w:spacing w:after="0" w:line="20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gain recognized for the reimbursement of $4.7M of earthquake damages incurred in Mirandola (Italy) in 2012; $5.0M for the reserve of certain receivables from a Greece distributor; $2.6M related to the reassessment of earn-out provisions for two legacy distributor acquisitions; $0.8M related litigation settlements with two independent sales agent; $0.7M related to accruals for tax penalties related to previous years; $2.5M related to other litigation</w:t>
      </w:r>
    </w:p>
    <w:p>
      <w:pPr>
        <w:spacing w:after="0" w:line="2" w:lineRule="exact"/>
        <w:rPr>
          <w:sz w:val="20"/>
          <w:szCs w:val="20"/>
          <w:color w:val="auto"/>
        </w:rPr>
      </w:pPr>
    </w:p>
    <w:p>
      <w:pPr>
        <w:ind w:left="540" w:hanging="3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$9.2M related to the impairment of a purchase option for Respicardia</w:t>
      </w:r>
    </w:p>
    <w:p>
      <w:pPr>
        <w:spacing w:after="0" w:line="9" w:lineRule="exact"/>
        <w:rPr>
          <w:rFonts w:ascii="Arial" w:cs="Arial" w:eastAsia="Arial" w:hAnsi="Arial"/>
          <w:sz w:val="18"/>
          <w:szCs w:val="18"/>
          <w:color w:val="auto"/>
        </w:rPr>
      </w:pPr>
    </w:p>
    <w:p>
      <w:pPr>
        <w:ind w:left="540" w:hanging="3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amortization of inventory step-up associated with purchase accounting</w:t>
      </w:r>
    </w:p>
    <w:p>
      <w:pPr>
        <w:spacing w:after="0" w:line="9" w:lineRule="exact"/>
        <w:rPr>
          <w:sz w:val="20"/>
          <w:szCs w:val="20"/>
          <w:color w:val="auto"/>
        </w:rPr>
      </w:pPr>
    </w:p>
    <w:p>
      <w:pPr>
        <w:ind w:left="540" w:hanging="343"/>
        <w:spacing w:after="0"/>
        <w:tabs>
          <w:tab w:leader="none" w:pos="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$17.7M related to SG&amp;A, $0.9M related to R&amp;D, and $0.7M related to Cost of Sales</w:t>
      </w:r>
    </w:p>
    <w:p>
      <w:pPr>
        <w:spacing w:after="0" w:line="9" w:lineRule="exact"/>
        <w:rPr>
          <w:rFonts w:ascii="Arial" w:cs="Arial" w:eastAsia="Arial" w:hAnsi="Arial"/>
          <w:sz w:val="18"/>
          <w:szCs w:val="18"/>
          <w:color w:val="auto"/>
        </w:rPr>
      </w:pPr>
    </w:p>
    <w:p>
      <w:pPr>
        <w:ind w:left="460" w:hanging="3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Relates to the impact of restructuring initiatives, including IP migration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515"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CONDENSED CONSOLIDATED BALANCE SHEETS</w:t>
      </w:r>
    </w:p>
    <w:p>
      <w:pPr>
        <w:ind w:left="20"/>
        <w:spacing w:after="0"/>
        <w:rPr>
          <w:sz w:val="20"/>
          <w:szCs w:val="20"/>
          <w:color w:val="auto"/>
        </w:rPr>
      </w:pPr>
      <w:r>
        <w:rPr>
          <w:rFonts w:ascii="Arial" w:cs="Arial" w:eastAsia="Arial" w:hAnsi="Arial"/>
          <w:sz w:val="18"/>
          <w:szCs w:val="18"/>
          <w:b w:val="1"/>
          <w:bCs w:val="1"/>
          <w:color w:val="auto"/>
        </w:rPr>
        <w:t>U.S.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60" w:type="dxa"/>
            <w:vAlign w:val="bottom"/>
          </w:tcPr>
          <w:p>
            <w:pPr>
              <w:spacing w:after="0"/>
              <w:rPr>
                <w:sz w:val="19"/>
                <w:szCs w:val="19"/>
                <w:color w:val="auto"/>
              </w:rPr>
            </w:pPr>
          </w:p>
        </w:tc>
        <w:tc>
          <w:tcPr>
            <w:tcW w:w="2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 2016</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December 31, 2015</w:t>
            </w:r>
          </w:p>
        </w:tc>
      </w:tr>
      <w:tr>
        <w:trPr>
          <w:trHeight w:val="250"/>
        </w:trPr>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473"/>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040" w:type="dxa"/>
            <w:vAlign w:val="bottom"/>
          </w:tcPr>
          <w:p>
            <w:pPr>
              <w:jc w:val="right"/>
              <w:spacing w:after="0"/>
              <w:rPr>
                <w:sz w:val="20"/>
                <w:szCs w:val="20"/>
                <w:color w:val="auto"/>
              </w:rPr>
            </w:pPr>
            <w:r>
              <w:rPr>
                <w:rFonts w:ascii="Arial" w:cs="Arial" w:eastAsia="Arial" w:hAnsi="Arial"/>
                <w:sz w:val="18"/>
                <w:szCs w:val="18"/>
                <w:color w:val="auto"/>
              </w:rPr>
              <w:t>183.5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212.4</w:t>
            </w: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and refundable income taxes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726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5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8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tcPr>
          <w:p>
            <w:pPr>
              <w:jc w:val="right"/>
              <w:spacing w:after="0"/>
              <w:rPr>
                <w:sz w:val="20"/>
                <w:szCs w:val="20"/>
                <w:color w:val="auto"/>
              </w:rPr>
            </w:pPr>
            <w:r>
              <w:rPr>
                <w:rFonts w:ascii="Arial" w:cs="Arial" w:eastAsia="Arial" w:hAnsi="Arial"/>
                <w:sz w:val="18"/>
                <w:szCs w:val="18"/>
                <w:color w:val="auto"/>
              </w:rPr>
              <w:t>223.8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244.6</w:t>
            </w: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745.4</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2040" w:type="dxa"/>
            <w:vAlign w:val="bottom"/>
          </w:tcPr>
          <w:p>
            <w:pPr>
              <w:jc w:val="right"/>
              <w:spacing w:after="0"/>
              <w:rPr>
                <w:sz w:val="20"/>
                <w:szCs w:val="20"/>
                <w:color w:val="auto"/>
              </w:rPr>
            </w:pPr>
            <w:r>
              <w:rPr>
                <w:rFonts w:ascii="Arial" w:cs="Arial" w:eastAsia="Arial" w:hAnsi="Arial"/>
                <w:sz w:val="18"/>
                <w:szCs w:val="18"/>
                <w:color w:val="auto"/>
              </w:rPr>
              <w:t>609.2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658.9</w:t>
            </w: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Deferred tax assets net</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153.5</w:t>
            </w:r>
          </w:p>
        </w:tc>
      </w:tr>
      <w:tr>
        <w:trPr>
          <w:trHeight w:val="230"/>
        </w:trPr>
        <w:tc>
          <w:tcPr>
            <w:tcW w:w="7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40" w:type="dxa"/>
            <w:vAlign w:val="bottom"/>
          </w:tcPr>
          <w:p>
            <w:pPr>
              <w:jc w:val="right"/>
              <w:spacing w:after="0"/>
              <w:rPr>
                <w:sz w:val="20"/>
                <w:szCs w:val="20"/>
                <w:color w:val="auto"/>
              </w:rPr>
            </w:pPr>
            <w:r>
              <w:rPr>
                <w:rFonts w:ascii="Arial" w:cs="Arial" w:eastAsia="Arial" w:hAnsi="Arial"/>
                <w:sz w:val="18"/>
                <w:szCs w:val="18"/>
                <w:color w:val="auto"/>
              </w:rPr>
              <w:t>$2,342.6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$2,558.7</w:t>
            </w:r>
          </w:p>
        </w:tc>
      </w:tr>
      <w:tr>
        <w:trPr>
          <w:trHeight w:val="21"/>
        </w:trPr>
        <w:tc>
          <w:tcPr>
            <w:tcW w:w="72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2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4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Current debt obligations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$47.7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$82.5</w:t>
            </w: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2040" w:type="dxa"/>
            <w:vAlign w:val="bottom"/>
          </w:tcPr>
          <w:p>
            <w:pPr>
              <w:jc w:val="right"/>
              <w:spacing w:after="0"/>
              <w:rPr>
                <w:sz w:val="20"/>
                <w:szCs w:val="20"/>
                <w:color w:val="auto"/>
              </w:rPr>
            </w:pPr>
            <w:r>
              <w:rPr>
                <w:rFonts w:ascii="Arial" w:cs="Arial" w:eastAsia="Arial" w:hAnsi="Arial"/>
                <w:sz w:val="18"/>
                <w:szCs w:val="18"/>
                <w:color w:val="auto"/>
              </w:rPr>
              <w:t>75.6</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63.0</w:t>
            </w:r>
          </w:p>
        </w:tc>
      </w:tr>
      <w:tr>
        <w:trPr>
          <w:trHeight w:val="270"/>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7260" w:type="dxa"/>
            <w:vAlign w:val="bottom"/>
          </w:tcPr>
          <w:p>
            <w:pPr>
              <w:ind w:left="100"/>
              <w:spacing w:after="0"/>
              <w:rPr>
                <w:sz w:val="20"/>
                <w:szCs w:val="20"/>
                <w:color w:val="auto"/>
              </w:rPr>
            </w:pPr>
            <w:r>
              <w:rPr>
                <w:rFonts w:ascii="Arial" w:cs="Arial" w:eastAsia="Arial" w:hAnsi="Arial"/>
                <w:sz w:val="18"/>
                <w:szCs w:val="18"/>
                <w:color w:val="auto"/>
              </w:rPr>
              <w:t>Accrued employee compensation and related benefits liability</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37"/>
        </w:trPr>
        <w:tc>
          <w:tcPr>
            <w:tcW w:w="7260" w:type="dxa"/>
            <w:vAlign w:val="bottom"/>
          </w:tcPr>
          <w:p>
            <w:pPr>
              <w:ind w:left="100"/>
              <w:spacing w:after="0"/>
              <w:rPr>
                <w:sz w:val="20"/>
                <w:szCs w:val="20"/>
                <w:color w:val="auto"/>
              </w:rPr>
            </w:pPr>
            <w:r>
              <w:rPr>
                <w:rFonts w:ascii="Arial" w:cs="Arial" w:eastAsia="Arial" w:hAnsi="Arial"/>
                <w:sz w:val="18"/>
                <w:szCs w:val="18"/>
                <w:color w:val="auto"/>
              </w:rPr>
              <w:t>Long-term debt obligations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75.2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91.8</w:t>
            </w:r>
          </w:p>
        </w:tc>
      </w:tr>
      <w:tr>
        <w:trPr>
          <w:trHeight w:val="243"/>
        </w:trPr>
        <w:tc>
          <w:tcPr>
            <w:tcW w:w="7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 liability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43"/>
        </w:trPr>
        <w:tc>
          <w:tcPr>
            <w:tcW w:w="7260" w:type="dxa"/>
            <w:vAlign w:val="bottom"/>
          </w:tcPr>
          <w:p>
            <w:pPr>
              <w:ind w:left="100"/>
              <w:spacing w:after="0"/>
              <w:rPr>
                <w:sz w:val="20"/>
                <w:szCs w:val="20"/>
                <w:color w:val="auto"/>
              </w:rPr>
            </w:pPr>
            <w:r>
              <w:rPr>
                <w:rFonts w:ascii="Arial" w:cs="Arial" w:eastAsia="Arial" w:hAnsi="Arial"/>
                <w:sz w:val="18"/>
                <w:szCs w:val="18"/>
                <w:color w:val="auto"/>
              </w:rPr>
              <w:t>Long-term employee compensation and related benefits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31.7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7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long-term liabilities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1,811.5</w:t>
            </w:r>
          </w:p>
        </w:tc>
      </w:tr>
      <w:tr>
        <w:trPr>
          <w:trHeight w:val="196"/>
        </w:trPr>
        <w:tc>
          <w:tcPr>
            <w:tcW w:w="7260" w:type="dxa"/>
            <w:vAlign w:val="bottom"/>
            <w:tcBorders>
              <w:top w:val="single" w:sz="8" w:color="CCEEFF"/>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$2,342.6</w:t>
            </w:r>
          </w:p>
        </w:tc>
        <w:tc>
          <w:tcPr>
            <w:tcW w:w="80" w:type="dxa"/>
            <w:vAlign w:val="bottom"/>
            <w:tcBorders>
              <w:top w:val="single" w:sz="8" w:color="CCEEFF"/>
              <w:bottom w:val="single" w:sz="8" w:color="CCEEFF"/>
            </w:tcBorders>
          </w:tcPr>
          <w:p>
            <w:pPr>
              <w:spacing w:after="0"/>
              <w:rPr>
                <w:sz w:val="17"/>
                <w:szCs w:val="17"/>
                <w:color w:val="auto"/>
              </w:rPr>
            </w:pPr>
          </w:p>
        </w:tc>
        <w:tc>
          <w:tcPr>
            <w:tcW w:w="2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$2,558.7</w:t>
            </w:r>
          </w:p>
        </w:tc>
      </w:tr>
      <w:tr>
        <w:trPr>
          <w:trHeight w:val="21"/>
        </w:trPr>
        <w:tc>
          <w:tcPr>
            <w:tcW w:w="7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rPr>
        <w:t>* Numbers may not add due to rounding.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CASH FLOW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Non-cash items included in net (loss) income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Stock-based compensation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of prepaid income taxes on intercompany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(benefit) expense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Impairment of property, plant and equipment</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 from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receivable, net</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current and non-current assets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Restructuring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payable and accrued current and non-current liabilities</w:t>
      </w:r>
    </w:p>
    <w:p>
      <w:pPr>
        <w:spacing w:after="0" w:line="46"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 of short-term investments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 of property, plant and equipment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 of Equity and Cost Method Investments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466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borrowing (repayments) borrowing, net</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Proceeds from long term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Repayment of long-term debt obligations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Repayment of trade receivable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to equity method investees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Proceeds from exercise of options for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Realized excess tax benefits - stock based compensation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settlement of compensation-based stock units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financial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466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Numbers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2466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disclosure of Cash Flow Information:</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paid for income taxes</w:t>
      </w:r>
    </w:p>
    <w:p>
      <w:pPr>
        <w:spacing w:after="0" w:line="342" w:lineRule="exact"/>
        <w:rPr>
          <w:sz w:val="20"/>
          <w:szCs w:val="20"/>
          <w:color w:val="auto"/>
        </w:rPr>
      </w:pPr>
    </w:p>
    <w:p>
      <w:pPr>
        <w:jc w:val="right"/>
        <w:ind w:right="186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Twelve Months Ended December 31st,</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4445</wp:posOffset>
            </wp:positionV>
            <wp:extent cx="20066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($62.8)</w:t>
      </w:r>
    </w:p>
    <w:p>
      <w:pPr>
        <w:spacing w:after="0" w:line="27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39.9</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45.5</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19.6</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26.0</w:t>
      </w:r>
    </w:p>
    <w:p>
      <w:pPr>
        <w:spacing w:after="0" w:line="36"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(26.7 )</w:t>
      </w:r>
    </w:p>
    <w:p>
      <w:pPr>
        <w:spacing w:after="0" w:line="7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18.3</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6.0</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22.6</w:t>
      </w:r>
    </w:p>
    <w:p>
      <w:pPr>
        <w:spacing w:after="0" w:line="3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(16.4 )</w:t>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26.7</w:t>
      </w:r>
    </w:p>
    <w:p>
      <w:pPr>
        <w:spacing w:after="0" w:line="36"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(32.7 )</w:t>
      </w:r>
    </w:p>
    <w:p>
      <w:pPr>
        <w:spacing w:after="0" w:line="7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w:t>
      </w:r>
    </w:p>
    <w:p>
      <w:pPr>
        <w:spacing w:after="0" w:line="58"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8890</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34290</wp:posOffset>
            </wp:positionV>
            <wp:extent cx="20066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(7.1 )</w:t>
      </w:r>
    </w:p>
    <w:p>
      <w:pPr>
        <w:spacing w:after="0" w:line="5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14.1</w:t>
      </w:r>
    </w:p>
    <w:p>
      <w:pPr>
        <w:spacing w:after="0" w:line="36"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(35.3 )</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14605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40005</wp:posOffset>
            </wp:positionV>
            <wp:extent cx="20066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(33.7 )</w:t>
      </w:r>
    </w:p>
    <w:p>
      <w:pPr>
        <w:spacing w:after="0" w:line="7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7.2</w:t>
      </w:r>
    </w:p>
    <w:p>
      <w:pPr>
        <w:spacing w:after="0" w:line="36"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(21.1 )</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(23.8 )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(6.3 )</w:t>
      </w:r>
    </w:p>
    <w:p>
      <w:pPr>
        <w:spacing w:after="0" w:line="3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8.3</w:t>
      </w:r>
    </w:p>
    <w:p>
      <w:pPr>
        <w:spacing w:after="0" w:line="3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2.1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(54.5 )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(2.7 )</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14605</wp:posOffset>
            </wp:positionV>
            <wp:extent cx="19469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(124.3 )</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(0.4 )</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14605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40005</wp:posOffset>
            </wp:positionV>
            <wp:extent cx="20066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1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112.6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7.4</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47.8</w:t>
      </w:r>
    </w:p>
    <w:sectPr>
      <w:pgSz w:w="11900" w:h="16838" w:orient="portrait"/>
      <w:cols w:equalWidth="0" w:num="2">
        <w:col w:w="7620" w:space="720"/>
        <w:col w:w="3040"/>
      </w:cols>
      <w:pgMar w:left="260" w:top="378" w:right="259" w:bottom="11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Roman"/>
      <w:start w:val="9"/>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lvl w:ilvl="1">
      <w:lvlJc w:val="left"/>
      <w:lvlText w:val="(%2)"/>
      <w:numFmt w:val="decimal"/>
      <w:start w:val="1"/>
    </w:lvl>
  </w:abstractNum>
  <w:abstractNum w:abstractNumId="7">
    <w:nsid w:val="1190CDE7"/>
    <w:multiLevelType w:val="hybridMultilevel"/>
    <w:lvl w:ilvl="0">
      <w:lvlJc w:val="left"/>
      <w:lvlText w:val="(%1)"/>
      <w:numFmt w:val="upperLetter"/>
      <w:start w:val="1"/>
    </w:lvl>
  </w:abstractNum>
  <w:abstractNum w:abstractNumId="8">
    <w:nsid w:val="66EF438D"/>
    <w:multiLevelType w:val="hybridMultilevel"/>
    <w:lvl w:ilvl="0">
      <w:lvlJc w:val="left"/>
      <w:lvlText w:val="(%1)"/>
      <w:numFmt w:val="upperLetter"/>
      <w:start w:val="6"/>
    </w:lvl>
  </w:abstractNum>
  <w:abstractNum w:abstractNumId="9">
    <w:nsid w:val="140E0F76"/>
    <w:multiLevelType w:val="hybridMultilevel"/>
    <w:lvl w:ilvl="0">
      <w:lvlJc w:val="left"/>
      <w:lvlText w:val="(%1)"/>
      <w:numFmt w:val="upperLetter"/>
      <w:start w:val="7"/>
    </w:lvl>
  </w:abstractNum>
  <w:abstractNum w:abstractNumId="10">
    <w:nsid w:val="3352255A"/>
    <w:multiLevelType w:val="hybridMultilevel"/>
    <w:lvl w:ilvl="0">
      <w:lvlJc w:val="left"/>
      <w:lvlText w:val="(%1)"/>
      <w:numFmt w:val="upperLetter"/>
      <w:start w:val="1"/>
    </w:lvl>
  </w:abstractNum>
  <w:abstractNum w:abstractNumId="11">
    <w:nsid w:val="109CF92E"/>
    <w:multiLevelType w:val="hybridMultilevel"/>
    <w:lvl w:ilvl="0">
      <w:lvlJc w:val="left"/>
      <w:lvlText w:val="(%1)"/>
      <w:numFmt w:val="upperLetter"/>
      <w:start w:val="6"/>
    </w:lvl>
  </w:abstractNum>
  <w:abstractNum w:abstractNumId="12">
    <w:nsid w:val="DED7263"/>
    <w:multiLevelType w:val="hybridMultilevel"/>
    <w:lvl w:ilvl="0">
      <w:lvlJc w:val="left"/>
      <w:lvlText w:val="(%1)"/>
      <w:numFmt w:val="upperLetter"/>
      <w:start w:val="7"/>
    </w:lvl>
  </w:abstractNum>
  <w:abstractNum w:abstractNumId="13">
    <w:nsid w:val="7FDCC233"/>
    <w:multiLevelType w:val="hybridMultilevel"/>
    <w:lvl w:ilvl="0">
      <w:lvlJc w:val="left"/>
      <w:lvlText w:val="%1"/>
      <w:numFmt w:val="upperLetter"/>
      <w:start w:val="1"/>
    </w:lvl>
    <w:lvl w:ilvl="1">
      <w:lvlJc w:val="left"/>
      <w:lvlText w:val="(%2)"/>
      <w:numFmt w:val="upperLetter"/>
      <w:start w:val="9"/>
    </w:lvl>
  </w:abstractNum>
  <w:abstractNum w:abstractNumId="14">
    <w:nsid w:val="1BEFD79F"/>
    <w:multiLevelType w:val="hybridMultilevel"/>
    <w:lvl w:ilvl="0">
      <w:lvlJc w:val="left"/>
      <w:lvlText w:val="%1)"/>
      <w:numFmt w:val="upperLetter"/>
      <w:start w:val="10"/>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2019-12-08T02:41:22Z</dcterms:created>
  <dcterms:modified xsi:type="dcterms:W3CDTF">2019-12-08T02:41:22Z</dcterms:modified>
</cp:coreProperties>
</file>