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LivaNova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G5509L101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G5509L101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PRIMECAP MANAGEMENT CO/CA/</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4,517,200.00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4,754,060.00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4,754,060.00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LivaNova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 Eastbourne Terrace London, UNITED KINGDOM W2 6LG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PRIMECAP MANAGEMENT CO/CA/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177 EAST COLORADO BLVD. 11TH FLOOR PASADENA, California 91105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PRIMECAP MANAGEMENT CO/CA/ -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G5509L101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4,754,060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8.76 %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5700" w:firstLine="6"/>
        <w:spacing w:after="0" w:line="509" w:lineRule="auto"/>
        <w:tabs>
          <w:tab w:leader="none" w:pos="25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PRIMECAP MANAGEMENT CO/CA/ - 4,517,200</w:t>
      </w:r>
    </w:p>
    <w:p>
      <w:pPr>
        <w:spacing w:after="0" w:line="1"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PRIMECAP MANAGEMENT CO/CA/ - 0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PRIMECAP MANAGEMENT CO/CA/ - 4,754,060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jc w:val="both"/>
        <w:ind w:right="6460"/>
        <w:spacing w:after="0" w:line="56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PRIMECAP MANAGEMENT CO/CA/ - 0 Ownership of 5 Percent or Less of a Class.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PRIMECAP MANAGEMENT CO/CA/</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Jorge A. Rodriguez</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Deputy Chief Compliance Officer</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2025-02-13T17:35:11Z</dcterms:created>
  <dcterms:modified xsi:type="dcterms:W3CDTF">2025-02-13T17:35:11Z</dcterms:modified>
</cp:coreProperties>
</file>